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D8C" w:rsidRPr="00D32659" w:rsidRDefault="00C13D8C" w:rsidP="00C13D8C">
      <w:pPr>
        <w:autoSpaceDE w:val="0"/>
        <w:autoSpaceDN w:val="0"/>
        <w:adjustRightInd w:val="0"/>
        <w:spacing w:after="0" w:line="240" w:lineRule="auto"/>
        <w:rPr>
          <w:rFonts w:eastAsiaTheme="minorHAnsi"/>
          <w:szCs w:val="24"/>
        </w:rPr>
      </w:pPr>
    </w:p>
    <w:p w:rsidR="00C13D8C" w:rsidRPr="00D32659" w:rsidRDefault="00C13D8C" w:rsidP="00C13D8C">
      <w:pPr>
        <w:pStyle w:val="Zkladntext"/>
        <w:jc w:val="center"/>
        <w:rPr>
          <w:spacing w:val="32"/>
          <w:sz w:val="32"/>
        </w:rPr>
      </w:pPr>
      <w:r w:rsidRPr="00D32659">
        <w:rPr>
          <w:spacing w:val="32"/>
          <w:sz w:val="32"/>
        </w:rPr>
        <w:t>Masarykova univerzita</w:t>
      </w:r>
    </w:p>
    <w:p w:rsidR="00C13D8C" w:rsidRPr="00D32659" w:rsidRDefault="00C13D8C" w:rsidP="00C13D8C">
      <w:pPr>
        <w:pStyle w:val="Diplomka-textodstavce"/>
        <w:spacing w:before="0" w:after="100" w:line="240" w:lineRule="auto"/>
        <w:jc w:val="center"/>
        <w:rPr>
          <w:bCs/>
          <w:sz w:val="32"/>
        </w:rPr>
      </w:pPr>
      <w:r w:rsidRPr="00D32659">
        <w:rPr>
          <w:bCs/>
          <w:sz w:val="32"/>
        </w:rPr>
        <w:t>Ekonomicko</w:t>
      </w:r>
      <w:r w:rsidRPr="00D32659">
        <w:rPr>
          <w:bCs/>
          <w:sz w:val="32"/>
        </w:rPr>
        <w:noBreakHyphen/>
        <w:t>správní fakulta</w:t>
      </w:r>
    </w:p>
    <w:p w:rsidR="00C13D8C" w:rsidRPr="00D32659" w:rsidRDefault="00C13D8C" w:rsidP="00C13D8C">
      <w:pPr>
        <w:pStyle w:val="Diplomka-textodstavce"/>
        <w:spacing w:before="100" w:after="100" w:line="240" w:lineRule="auto"/>
        <w:jc w:val="center"/>
        <w:rPr>
          <w:b/>
        </w:rPr>
      </w:pPr>
      <w:r w:rsidRPr="00D32659">
        <w:rPr>
          <w:b/>
        </w:rPr>
        <w:t>Studijní obor: Podniková ekonomika a management</w:t>
      </w:r>
    </w:p>
    <w:p w:rsidR="00C13D8C" w:rsidRPr="00D32659" w:rsidRDefault="00C13D8C" w:rsidP="00C13D8C">
      <w:pPr>
        <w:pStyle w:val="Diplomka-textodstavce"/>
        <w:spacing w:before="100" w:after="100" w:line="240" w:lineRule="auto"/>
        <w:jc w:val="center"/>
        <w:rPr>
          <w:b/>
        </w:rPr>
      </w:pPr>
    </w:p>
    <w:p w:rsidR="00C13D8C" w:rsidRPr="00D32659" w:rsidRDefault="00C13D8C" w:rsidP="00C13D8C">
      <w:pPr>
        <w:pStyle w:val="Diplomka-textodstavce"/>
        <w:spacing w:before="100" w:after="100" w:line="240" w:lineRule="auto"/>
        <w:jc w:val="center"/>
        <w:rPr>
          <w:b/>
        </w:rPr>
      </w:pPr>
    </w:p>
    <w:p w:rsidR="00C13D8C" w:rsidRPr="00D32659" w:rsidRDefault="00C13D8C" w:rsidP="00C13D8C">
      <w:pPr>
        <w:pStyle w:val="Diplomka-textodstavce"/>
        <w:spacing w:before="100" w:after="100" w:line="240" w:lineRule="auto"/>
        <w:jc w:val="center"/>
        <w:rPr>
          <w:b/>
        </w:rPr>
      </w:pPr>
      <w:r w:rsidRPr="00D32659">
        <w:rPr>
          <w:noProof/>
          <w:lang w:eastAsia="cs-CZ"/>
        </w:rPr>
        <w:drawing>
          <wp:anchor distT="0" distB="0" distL="114300" distR="114300" simplePos="0" relativeHeight="251670528" behindDoc="0" locked="0" layoutInCell="1" allowOverlap="1" wp14:anchorId="2C682BB3" wp14:editId="33614F9D">
            <wp:simplePos x="0" y="0"/>
            <wp:positionH relativeFrom="column">
              <wp:posOffset>2172335</wp:posOffset>
            </wp:positionH>
            <wp:positionV relativeFrom="paragraph">
              <wp:posOffset>22225</wp:posOffset>
            </wp:positionV>
            <wp:extent cx="1450975" cy="1440815"/>
            <wp:effectExtent l="19050" t="0" r="0" b="0"/>
            <wp:wrapSquare wrapText="bothSides"/>
            <wp:docPr id="62" name="obrázek 2" descr="..\..\..\arch\loga\logoESF2008\logoC.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arch\loga\logoESF2008\logoC.wmf"/>
                    <pic:cNvPicPr>
                      <a:picLocks noChangeAspect="1" noChangeArrowheads="1"/>
                    </pic:cNvPicPr>
                  </pic:nvPicPr>
                  <pic:blipFill>
                    <a:blip r:embed="rId9" cstate="print"/>
                    <a:srcRect/>
                    <a:stretch>
                      <a:fillRect/>
                    </a:stretch>
                  </pic:blipFill>
                  <pic:spPr bwMode="auto">
                    <a:xfrm>
                      <a:off x="0" y="0"/>
                      <a:ext cx="1450975" cy="1440815"/>
                    </a:xfrm>
                    <a:prstGeom prst="rect">
                      <a:avLst/>
                    </a:prstGeom>
                    <a:noFill/>
                    <a:ln w="9525">
                      <a:noFill/>
                      <a:miter lim="800000"/>
                      <a:headEnd/>
                      <a:tailEnd/>
                    </a:ln>
                  </pic:spPr>
                </pic:pic>
              </a:graphicData>
            </a:graphic>
          </wp:anchor>
        </w:drawing>
      </w:r>
    </w:p>
    <w:p w:rsidR="00C13D8C" w:rsidRPr="00D32659" w:rsidRDefault="00C13D8C" w:rsidP="00C13D8C">
      <w:pPr>
        <w:pStyle w:val="Diplomka-textodstavce"/>
        <w:spacing w:before="100" w:after="100" w:line="240" w:lineRule="auto"/>
        <w:jc w:val="center"/>
        <w:rPr>
          <w:b/>
        </w:rPr>
      </w:pPr>
    </w:p>
    <w:p w:rsidR="00C13D8C" w:rsidRPr="00D32659" w:rsidRDefault="00C13D8C" w:rsidP="00C13D8C">
      <w:pPr>
        <w:pStyle w:val="Diplomka-textodstavce"/>
        <w:spacing w:before="100" w:after="100" w:line="240" w:lineRule="auto"/>
        <w:jc w:val="center"/>
        <w:rPr>
          <w:b/>
        </w:rPr>
      </w:pPr>
    </w:p>
    <w:p w:rsidR="00C13D8C" w:rsidRPr="00D32659" w:rsidRDefault="00C13D8C" w:rsidP="00C13D8C">
      <w:pPr>
        <w:pStyle w:val="Diplomka-textodstavce"/>
        <w:spacing w:before="100" w:after="100" w:line="240" w:lineRule="auto"/>
        <w:jc w:val="center"/>
        <w:rPr>
          <w:b/>
        </w:rPr>
      </w:pPr>
    </w:p>
    <w:p w:rsidR="00C13D8C" w:rsidRPr="00D32659" w:rsidRDefault="00C13D8C" w:rsidP="00C13D8C">
      <w:pPr>
        <w:pStyle w:val="Zkladntext"/>
        <w:jc w:val="center"/>
      </w:pPr>
    </w:p>
    <w:p w:rsidR="00C13D8C" w:rsidRPr="00D32659" w:rsidRDefault="00C13D8C" w:rsidP="00C13D8C">
      <w:pPr>
        <w:pStyle w:val="Zkladntext"/>
        <w:jc w:val="center"/>
      </w:pPr>
    </w:p>
    <w:p w:rsidR="00C13D8C" w:rsidRPr="00D32659" w:rsidRDefault="00C13D8C" w:rsidP="00C13D8C">
      <w:pPr>
        <w:pStyle w:val="Zkladntext"/>
        <w:jc w:val="center"/>
      </w:pPr>
    </w:p>
    <w:p w:rsidR="00C13D8C" w:rsidRPr="00D32659" w:rsidRDefault="00C13D8C" w:rsidP="00C13D8C">
      <w:pPr>
        <w:pStyle w:val="Zkladntext"/>
        <w:jc w:val="center"/>
      </w:pPr>
    </w:p>
    <w:p w:rsidR="00C13D8C" w:rsidRPr="00D32659" w:rsidRDefault="00C13D8C" w:rsidP="00C13D8C">
      <w:pPr>
        <w:pStyle w:val="Zkladntext"/>
        <w:spacing w:before="240"/>
        <w:jc w:val="center"/>
        <w:rPr>
          <w:bCs/>
          <w:caps/>
          <w:sz w:val="44"/>
        </w:rPr>
      </w:pPr>
      <w:r w:rsidRPr="00D32659">
        <w:rPr>
          <w:bCs/>
          <w:caps/>
          <w:sz w:val="44"/>
        </w:rPr>
        <w:t>Finanční analýza podniku</w:t>
      </w:r>
    </w:p>
    <w:p w:rsidR="00C13D8C" w:rsidRPr="00D32659" w:rsidRDefault="00C13D8C" w:rsidP="00C13D8C">
      <w:pPr>
        <w:pStyle w:val="Zkladntext"/>
        <w:spacing w:before="240"/>
        <w:jc w:val="center"/>
        <w:rPr>
          <w:bCs/>
          <w:sz w:val="40"/>
          <w:szCs w:val="44"/>
        </w:rPr>
      </w:pPr>
      <w:r w:rsidRPr="00D32659">
        <w:rPr>
          <w:bCs/>
          <w:sz w:val="40"/>
          <w:szCs w:val="44"/>
        </w:rPr>
        <w:t>Financial analysis of the company</w:t>
      </w:r>
    </w:p>
    <w:p w:rsidR="00C13D8C" w:rsidRPr="00D32659" w:rsidRDefault="00C13D8C" w:rsidP="00C13D8C">
      <w:pPr>
        <w:spacing w:before="480"/>
        <w:jc w:val="center"/>
        <w:rPr>
          <w:bCs/>
          <w:sz w:val="32"/>
        </w:rPr>
      </w:pPr>
      <w:r w:rsidRPr="00D32659">
        <w:rPr>
          <w:bCs/>
          <w:sz w:val="32"/>
        </w:rPr>
        <w:t>Bakalářská práce</w:t>
      </w:r>
    </w:p>
    <w:p w:rsidR="00C13D8C" w:rsidRPr="00D32659" w:rsidRDefault="00C13D8C" w:rsidP="00C13D8C">
      <w:pPr>
        <w:pStyle w:val="Zkladntext"/>
        <w:spacing w:before="3960"/>
        <w:jc w:val="left"/>
        <w:rPr>
          <w:sz w:val="26"/>
        </w:rPr>
      </w:pPr>
      <w:r w:rsidRPr="00D32659">
        <w:rPr>
          <w:sz w:val="26"/>
        </w:rPr>
        <w:t>Vedoucí práce:</w:t>
      </w:r>
      <w:r w:rsidRPr="00D32659">
        <w:rPr>
          <w:sz w:val="26"/>
        </w:rPr>
        <w:tab/>
      </w:r>
      <w:r w:rsidRPr="00D32659">
        <w:rPr>
          <w:sz w:val="26"/>
        </w:rPr>
        <w:tab/>
      </w:r>
      <w:r w:rsidRPr="00D32659">
        <w:rPr>
          <w:sz w:val="26"/>
        </w:rPr>
        <w:tab/>
      </w:r>
      <w:r w:rsidRPr="00D32659">
        <w:rPr>
          <w:sz w:val="26"/>
        </w:rPr>
        <w:tab/>
      </w:r>
      <w:r w:rsidRPr="00D32659">
        <w:rPr>
          <w:sz w:val="26"/>
        </w:rPr>
        <w:tab/>
      </w:r>
      <w:r w:rsidRPr="00D32659">
        <w:rPr>
          <w:sz w:val="26"/>
        </w:rPr>
        <w:tab/>
        <w:t>Autor:</w:t>
      </w:r>
    </w:p>
    <w:p w:rsidR="00C13D8C" w:rsidRPr="00D32659" w:rsidRDefault="00C13D8C" w:rsidP="00C13D8C">
      <w:pPr>
        <w:pStyle w:val="Zkladntext"/>
        <w:jc w:val="left"/>
        <w:rPr>
          <w:sz w:val="26"/>
        </w:rPr>
      </w:pPr>
      <w:r w:rsidRPr="00D32659">
        <w:rPr>
          <w:sz w:val="26"/>
        </w:rPr>
        <w:t>Mgr. Ing. Milan SEDLÁČEK, Ph.D.</w:t>
      </w:r>
      <w:r w:rsidRPr="00D32659">
        <w:rPr>
          <w:sz w:val="26"/>
        </w:rPr>
        <w:tab/>
      </w:r>
      <w:r w:rsidRPr="00D32659">
        <w:rPr>
          <w:sz w:val="26"/>
        </w:rPr>
        <w:tab/>
      </w:r>
      <w:r w:rsidRPr="00D32659">
        <w:rPr>
          <w:sz w:val="26"/>
        </w:rPr>
        <w:tab/>
        <w:t>Vendula KASALOVÁ</w:t>
      </w:r>
    </w:p>
    <w:p w:rsidR="00C13D8C" w:rsidRPr="00D32659" w:rsidRDefault="00C13D8C" w:rsidP="00C13D8C">
      <w:pPr>
        <w:pStyle w:val="Zkladntext"/>
        <w:jc w:val="left"/>
        <w:rPr>
          <w:caps/>
          <w:sz w:val="26"/>
        </w:rPr>
      </w:pPr>
    </w:p>
    <w:p w:rsidR="00C13D8C" w:rsidRPr="00D32659" w:rsidRDefault="00C13D8C" w:rsidP="00C13D8C">
      <w:pPr>
        <w:pStyle w:val="Zkladntext"/>
        <w:jc w:val="left"/>
        <w:rPr>
          <w:caps/>
          <w:sz w:val="26"/>
        </w:rPr>
      </w:pPr>
    </w:p>
    <w:p w:rsidR="00C13D8C" w:rsidRPr="00D32659" w:rsidRDefault="00C13D8C" w:rsidP="00C13D8C">
      <w:pPr>
        <w:pStyle w:val="Zkladntext"/>
        <w:jc w:val="center"/>
        <w:rPr>
          <w:caps/>
          <w:sz w:val="26"/>
        </w:rPr>
      </w:pPr>
      <w:r w:rsidRPr="00D32659">
        <w:rPr>
          <w:sz w:val="26"/>
        </w:rPr>
        <w:t>Brno, 2015</w:t>
      </w:r>
    </w:p>
    <w:p w:rsidR="00C13D8C" w:rsidRPr="00D32659" w:rsidRDefault="00C13D8C" w:rsidP="00C13D8C">
      <w:pPr>
        <w:spacing w:after="0" w:line="240" w:lineRule="auto"/>
        <w:rPr>
          <w:b/>
          <w:sz w:val="32"/>
        </w:rPr>
      </w:pPr>
      <w:r w:rsidRPr="00D32659">
        <w:rPr>
          <w:b/>
          <w:sz w:val="32"/>
        </w:rPr>
        <w:br w:type="page"/>
      </w:r>
    </w:p>
    <w:p w:rsidR="001544B2" w:rsidRDefault="001544B2">
      <w:pPr>
        <w:rPr>
          <w:bCs/>
          <w:spacing w:val="24"/>
          <w:sz w:val="22"/>
        </w:rPr>
      </w:pPr>
      <w:r>
        <w:rPr>
          <w:bCs/>
          <w:spacing w:val="24"/>
          <w:sz w:val="22"/>
        </w:rPr>
        <w:lastRenderedPageBreak/>
        <w:br w:type="page"/>
      </w:r>
    </w:p>
    <w:p w:rsidR="00FF6309" w:rsidRDefault="00FF6309">
      <w:pPr>
        <w:rPr>
          <w:bCs/>
          <w:spacing w:val="24"/>
          <w:sz w:val="22"/>
        </w:rPr>
      </w:pPr>
    </w:p>
    <w:p w:rsidR="00C13D8C" w:rsidRPr="00D32659" w:rsidRDefault="00C13D8C" w:rsidP="001544B2">
      <w:pPr>
        <w:rPr>
          <w:bCs/>
          <w:sz w:val="22"/>
        </w:rPr>
      </w:pPr>
      <w:r w:rsidRPr="00D32659">
        <w:rPr>
          <w:bCs/>
          <w:spacing w:val="24"/>
          <w:sz w:val="22"/>
        </w:rPr>
        <w:t>Jméno a příjmení autora:</w:t>
      </w:r>
      <w:r w:rsidRPr="00D32659">
        <w:rPr>
          <w:bCs/>
          <w:sz w:val="22"/>
        </w:rPr>
        <w:tab/>
      </w:r>
      <w:r w:rsidRPr="00D32659">
        <w:rPr>
          <w:bCs/>
          <w:sz w:val="22"/>
        </w:rPr>
        <w:tab/>
        <w:t>Vendula Kasalová</w:t>
      </w:r>
    </w:p>
    <w:p w:rsidR="00C13D8C" w:rsidRPr="00D32659" w:rsidRDefault="00C13D8C" w:rsidP="00C13D8C">
      <w:pPr>
        <w:pStyle w:val="Zkladntext"/>
        <w:spacing w:before="120" w:line="276" w:lineRule="auto"/>
        <w:ind w:left="3540" w:hanging="3540"/>
        <w:rPr>
          <w:bCs/>
          <w:sz w:val="22"/>
          <w:szCs w:val="22"/>
        </w:rPr>
      </w:pPr>
      <w:r w:rsidRPr="00D32659">
        <w:rPr>
          <w:bCs/>
          <w:spacing w:val="24"/>
          <w:sz w:val="22"/>
          <w:szCs w:val="22"/>
        </w:rPr>
        <w:t>Název bakalářské práce:</w:t>
      </w:r>
      <w:r w:rsidRPr="00D32659">
        <w:rPr>
          <w:bCs/>
          <w:sz w:val="22"/>
          <w:szCs w:val="22"/>
        </w:rPr>
        <w:t xml:space="preserve"> </w:t>
      </w:r>
      <w:r w:rsidRPr="00D32659">
        <w:rPr>
          <w:bCs/>
          <w:sz w:val="22"/>
          <w:szCs w:val="22"/>
        </w:rPr>
        <w:tab/>
        <w:t>Finanční analýza podniku</w:t>
      </w:r>
    </w:p>
    <w:p w:rsidR="00C13D8C" w:rsidRPr="00D32659" w:rsidRDefault="00C13D8C" w:rsidP="00C13D8C">
      <w:pPr>
        <w:pStyle w:val="Zkladntext"/>
        <w:spacing w:before="120" w:line="276" w:lineRule="auto"/>
        <w:rPr>
          <w:sz w:val="22"/>
          <w:szCs w:val="22"/>
        </w:rPr>
      </w:pPr>
      <w:r w:rsidRPr="00D32659">
        <w:rPr>
          <w:bCs/>
          <w:spacing w:val="24"/>
          <w:sz w:val="22"/>
          <w:szCs w:val="22"/>
        </w:rPr>
        <w:t>Název práce v angličtině:</w:t>
      </w:r>
      <w:r w:rsidRPr="00D32659">
        <w:rPr>
          <w:bCs/>
          <w:sz w:val="22"/>
          <w:szCs w:val="22"/>
        </w:rPr>
        <w:t xml:space="preserve"> </w:t>
      </w:r>
      <w:r w:rsidRPr="00D32659">
        <w:rPr>
          <w:bCs/>
          <w:sz w:val="22"/>
          <w:szCs w:val="22"/>
        </w:rPr>
        <w:tab/>
        <w:t>Financial analysis of the company</w:t>
      </w:r>
    </w:p>
    <w:p w:rsidR="00C13D8C" w:rsidRPr="00D32659" w:rsidRDefault="00C13D8C" w:rsidP="00C13D8C">
      <w:pPr>
        <w:pStyle w:val="Zkladntext"/>
        <w:spacing w:before="120" w:line="276" w:lineRule="auto"/>
        <w:rPr>
          <w:bCs/>
          <w:sz w:val="22"/>
          <w:szCs w:val="22"/>
        </w:rPr>
      </w:pPr>
      <w:r w:rsidRPr="00D32659">
        <w:rPr>
          <w:bCs/>
          <w:spacing w:val="24"/>
          <w:sz w:val="22"/>
          <w:szCs w:val="22"/>
        </w:rPr>
        <w:t>Katedra:</w:t>
      </w:r>
      <w:r w:rsidRPr="00D32659">
        <w:rPr>
          <w:bCs/>
          <w:sz w:val="22"/>
          <w:szCs w:val="22"/>
        </w:rPr>
        <w:tab/>
      </w:r>
      <w:r w:rsidRPr="00D32659">
        <w:rPr>
          <w:bCs/>
          <w:sz w:val="22"/>
          <w:szCs w:val="22"/>
        </w:rPr>
        <w:tab/>
      </w:r>
      <w:r w:rsidRPr="00D32659">
        <w:rPr>
          <w:bCs/>
          <w:sz w:val="22"/>
          <w:szCs w:val="22"/>
        </w:rPr>
        <w:tab/>
      </w:r>
      <w:r w:rsidRPr="00D32659">
        <w:rPr>
          <w:bCs/>
          <w:sz w:val="22"/>
          <w:szCs w:val="22"/>
        </w:rPr>
        <w:tab/>
        <w:t>podnikového hospodářství</w:t>
      </w:r>
    </w:p>
    <w:p w:rsidR="00C13D8C" w:rsidRPr="00D32659" w:rsidRDefault="00C13D8C" w:rsidP="00C13D8C">
      <w:pPr>
        <w:pStyle w:val="Zkladntext"/>
        <w:spacing w:before="120" w:line="276" w:lineRule="auto"/>
        <w:rPr>
          <w:bCs/>
          <w:sz w:val="22"/>
          <w:szCs w:val="22"/>
        </w:rPr>
      </w:pPr>
      <w:r w:rsidRPr="00D32659">
        <w:rPr>
          <w:bCs/>
          <w:spacing w:val="24"/>
          <w:sz w:val="22"/>
          <w:szCs w:val="22"/>
        </w:rPr>
        <w:t>Vedoucí bakalářské práce:</w:t>
      </w:r>
      <w:r w:rsidRPr="00D32659">
        <w:rPr>
          <w:bCs/>
          <w:sz w:val="22"/>
          <w:szCs w:val="22"/>
        </w:rPr>
        <w:tab/>
        <w:t>Mgr. Ing. Milan Sedláček, Ph.D.</w:t>
      </w:r>
    </w:p>
    <w:p w:rsidR="00C13D8C" w:rsidRPr="00D32659" w:rsidRDefault="00C13D8C" w:rsidP="00C13D8C">
      <w:pPr>
        <w:pStyle w:val="Zkladntext"/>
        <w:spacing w:before="120" w:line="276" w:lineRule="auto"/>
        <w:rPr>
          <w:bCs/>
        </w:rPr>
      </w:pPr>
      <w:r w:rsidRPr="00D32659">
        <w:rPr>
          <w:bCs/>
          <w:spacing w:val="24"/>
          <w:sz w:val="22"/>
          <w:szCs w:val="22"/>
        </w:rPr>
        <w:t>Rok obhajoby:</w:t>
      </w:r>
      <w:r w:rsidRPr="00D32659">
        <w:rPr>
          <w:bCs/>
          <w:sz w:val="22"/>
          <w:szCs w:val="22"/>
        </w:rPr>
        <w:t xml:space="preserve"> </w:t>
      </w:r>
      <w:r w:rsidRPr="00D32659">
        <w:rPr>
          <w:bCs/>
          <w:sz w:val="22"/>
          <w:szCs w:val="22"/>
        </w:rPr>
        <w:tab/>
      </w:r>
      <w:r w:rsidRPr="00D32659">
        <w:rPr>
          <w:bCs/>
          <w:sz w:val="22"/>
          <w:szCs w:val="22"/>
        </w:rPr>
        <w:tab/>
      </w:r>
      <w:r w:rsidRPr="00D32659">
        <w:rPr>
          <w:bCs/>
          <w:sz w:val="22"/>
          <w:szCs w:val="22"/>
        </w:rPr>
        <w:tab/>
        <w:t>2015</w:t>
      </w:r>
    </w:p>
    <w:p w:rsidR="00C13D8C" w:rsidRPr="00D32659" w:rsidRDefault="00C13D8C" w:rsidP="00C13D8C">
      <w:pPr>
        <w:pStyle w:val="Zkladntext"/>
        <w:rPr>
          <w:sz w:val="22"/>
        </w:rPr>
      </w:pPr>
    </w:p>
    <w:p w:rsidR="00C13D8C" w:rsidRPr="00D32659" w:rsidRDefault="00C13D8C" w:rsidP="00C13D8C">
      <w:pPr>
        <w:pStyle w:val="Zkladntext"/>
        <w:rPr>
          <w:sz w:val="22"/>
        </w:rPr>
      </w:pPr>
    </w:p>
    <w:p w:rsidR="00C13D8C" w:rsidRPr="00D32659" w:rsidRDefault="00C13D8C" w:rsidP="00C13D8C">
      <w:pPr>
        <w:pStyle w:val="Titulek1"/>
        <w:jc w:val="both"/>
      </w:pPr>
      <w:r w:rsidRPr="00D32659">
        <w:t>Anotace</w:t>
      </w:r>
    </w:p>
    <w:p w:rsidR="00846F5A" w:rsidRPr="00D32659" w:rsidRDefault="00C13D8C" w:rsidP="00C13D8C">
      <w:pPr>
        <w:spacing w:before="120" w:after="120"/>
        <w:jc w:val="both"/>
        <w:rPr>
          <w:lang w:eastAsia="ar-SA"/>
        </w:rPr>
      </w:pPr>
      <w:r w:rsidRPr="00D32659">
        <w:rPr>
          <w:lang w:eastAsia="ar-SA"/>
        </w:rPr>
        <w:t>Předmětem bakalářské práce „Finanční analýza podniku“ je aplikace vybraných nástrojů finanční analýzy na konkrétní podnik za</w:t>
      </w:r>
      <w:r w:rsidR="00846F5A" w:rsidRPr="00D32659">
        <w:rPr>
          <w:lang w:eastAsia="ar-SA"/>
        </w:rPr>
        <w:t xml:space="preserve"> účelem posouzení jeho aktuálního</w:t>
      </w:r>
      <w:r w:rsidRPr="00D32659">
        <w:rPr>
          <w:lang w:eastAsia="ar-SA"/>
        </w:rPr>
        <w:t xml:space="preserve"> finanční</w:t>
      </w:r>
      <w:r w:rsidR="00846F5A" w:rsidRPr="00D32659">
        <w:rPr>
          <w:lang w:eastAsia="ar-SA"/>
        </w:rPr>
        <w:t>ho stavu</w:t>
      </w:r>
      <w:r w:rsidRPr="00D32659">
        <w:rPr>
          <w:lang w:eastAsia="ar-SA"/>
        </w:rPr>
        <w:t xml:space="preserve">. </w:t>
      </w:r>
      <w:r w:rsidR="00846F5A" w:rsidRPr="00D32659">
        <w:rPr>
          <w:lang w:eastAsia="ar-SA"/>
        </w:rPr>
        <w:t>V teoretické části práce jsou definovány základní pojmy a metody finanční analýzy. V praktické části jsou tyto metody aplikovány na vybranou společnost FOCAM, spol. s. r. o. V závěru práce je zhodnocení finančního stavu a možná doporučení pro jeho zlepšení.</w:t>
      </w:r>
    </w:p>
    <w:p w:rsidR="00C13D8C" w:rsidRPr="00D32659" w:rsidRDefault="00C13D8C" w:rsidP="00C13D8C">
      <w:pPr>
        <w:pStyle w:val="Titulek1"/>
        <w:jc w:val="both"/>
        <w:rPr>
          <w:lang w:val="en-GB"/>
        </w:rPr>
      </w:pPr>
      <w:r w:rsidRPr="00D32659">
        <w:rPr>
          <w:lang w:val="en-GB"/>
        </w:rPr>
        <w:t>Annotation</w:t>
      </w:r>
    </w:p>
    <w:p w:rsidR="00D32659" w:rsidRPr="00D32659" w:rsidRDefault="00C13D8C" w:rsidP="00C13D8C">
      <w:pPr>
        <w:spacing w:before="120" w:after="120"/>
        <w:jc w:val="both"/>
        <w:rPr>
          <w:lang w:eastAsia="ar-SA"/>
        </w:rPr>
      </w:pPr>
      <w:r w:rsidRPr="00D32659">
        <w:rPr>
          <w:lang w:val="en-GB" w:eastAsia="ar-SA"/>
        </w:rPr>
        <w:t>The</w:t>
      </w:r>
      <w:r w:rsidRPr="00D32659">
        <w:rPr>
          <w:lang w:eastAsia="ar-SA"/>
        </w:rPr>
        <w:t xml:space="preserve"> aim of the bachelor thesis “Financial Analysis of the Company” is to apply selected methods o</w:t>
      </w:r>
      <w:r w:rsidR="00D32659" w:rsidRPr="00D32659">
        <w:rPr>
          <w:lang w:eastAsia="ar-SA"/>
        </w:rPr>
        <w:t>f financial analysis on a specific chosen</w:t>
      </w:r>
      <w:r w:rsidRPr="00D32659">
        <w:rPr>
          <w:lang w:eastAsia="ar-SA"/>
        </w:rPr>
        <w:t xml:space="preserve"> company in order to evaluate its present financial situation. </w:t>
      </w:r>
      <w:r w:rsidR="00D32659" w:rsidRPr="00D32659">
        <w:rPr>
          <w:lang w:eastAsia="ar-SA"/>
        </w:rPr>
        <w:t xml:space="preserve">In a theoretical parts of work are defined basic concepts and methods of financial analysis. In a practical part, these methods are applied to the selected company FOCAM, s.r.o. The final part presents an appraisal of the financial situation and recommendations for its improvement. </w:t>
      </w:r>
    </w:p>
    <w:p w:rsidR="00C13D8C" w:rsidRPr="00D32659" w:rsidRDefault="00C13D8C" w:rsidP="00C13D8C">
      <w:pPr>
        <w:spacing w:before="120" w:after="120"/>
        <w:jc w:val="both"/>
        <w:rPr>
          <w:lang w:eastAsia="ar-SA"/>
        </w:rPr>
      </w:pPr>
    </w:p>
    <w:p w:rsidR="00C13D8C" w:rsidRPr="00D32659" w:rsidRDefault="00C13D8C" w:rsidP="00C13D8C">
      <w:pPr>
        <w:spacing w:before="120" w:after="120"/>
        <w:jc w:val="both"/>
        <w:rPr>
          <w:lang w:eastAsia="ar-SA"/>
        </w:rPr>
      </w:pPr>
    </w:p>
    <w:p w:rsidR="00C13D8C" w:rsidRPr="00D32659" w:rsidRDefault="00C13D8C" w:rsidP="00C13D8C">
      <w:pPr>
        <w:pStyle w:val="Titulek1"/>
        <w:jc w:val="both"/>
      </w:pPr>
      <w:r w:rsidRPr="00D32659">
        <w:t>Klíčová slova</w:t>
      </w:r>
    </w:p>
    <w:p w:rsidR="00C13D8C" w:rsidRPr="00D32659" w:rsidRDefault="00C13D8C" w:rsidP="00C13D8C">
      <w:pPr>
        <w:spacing w:before="120" w:after="120"/>
        <w:jc w:val="both"/>
        <w:rPr>
          <w:lang w:eastAsia="ar-SA"/>
        </w:rPr>
      </w:pPr>
      <w:r w:rsidRPr="00D32659">
        <w:rPr>
          <w:lang w:eastAsia="ar-SA"/>
        </w:rPr>
        <w:t>Finanční analýza, poměrové ukazatele, likvidita, rent</w:t>
      </w:r>
      <w:r w:rsidR="00FA754E" w:rsidRPr="00D32659">
        <w:rPr>
          <w:lang w:eastAsia="ar-SA"/>
        </w:rPr>
        <w:t>abilita, aktivita, zadluženost</w:t>
      </w:r>
    </w:p>
    <w:p w:rsidR="00C13D8C" w:rsidRPr="00D32659" w:rsidRDefault="00C13D8C" w:rsidP="00C13D8C">
      <w:pPr>
        <w:spacing w:before="120" w:after="120"/>
        <w:jc w:val="both"/>
        <w:rPr>
          <w:lang w:eastAsia="ar-SA"/>
        </w:rPr>
      </w:pPr>
    </w:p>
    <w:p w:rsidR="00C13D8C" w:rsidRPr="00D32659" w:rsidRDefault="00C13D8C" w:rsidP="00C13D8C">
      <w:pPr>
        <w:pStyle w:val="Titulek1"/>
        <w:jc w:val="both"/>
      </w:pPr>
      <w:r w:rsidRPr="00D32659">
        <w:t>Keywords</w:t>
      </w:r>
    </w:p>
    <w:p w:rsidR="00922D18" w:rsidRPr="00D32659" w:rsidRDefault="00C13D8C" w:rsidP="00922D18">
      <w:pPr>
        <w:spacing w:before="120" w:after="120"/>
        <w:jc w:val="both"/>
        <w:rPr>
          <w:lang w:eastAsia="ar-SA"/>
        </w:rPr>
      </w:pPr>
      <w:r w:rsidRPr="00D32659">
        <w:rPr>
          <w:lang w:eastAsia="ar-SA"/>
        </w:rPr>
        <w:t>Financial analysis, financial ratios, liquidity, profit</w:t>
      </w:r>
      <w:r w:rsidR="00FA754E" w:rsidRPr="00D32659">
        <w:rPr>
          <w:lang w:eastAsia="ar-SA"/>
        </w:rPr>
        <w:t>ability, activity, indebtedness</w:t>
      </w:r>
    </w:p>
    <w:p w:rsidR="00922D18" w:rsidRPr="00D32659" w:rsidRDefault="00922D18">
      <w:pPr>
        <w:rPr>
          <w:lang w:eastAsia="ar-SA"/>
        </w:rPr>
      </w:pPr>
      <w:r w:rsidRPr="00D32659">
        <w:rPr>
          <w:lang w:eastAsia="ar-SA"/>
        </w:rPr>
        <w:br w:type="page"/>
      </w:r>
    </w:p>
    <w:p w:rsidR="00CC37B1" w:rsidRPr="00D32659" w:rsidRDefault="00CC37B1">
      <w:pPr>
        <w:rPr>
          <w:b/>
          <w:sz w:val="32"/>
        </w:rPr>
      </w:pPr>
      <w:r w:rsidRPr="00D32659">
        <w:rPr>
          <w:b/>
          <w:sz w:val="32"/>
        </w:rPr>
        <w:lastRenderedPageBreak/>
        <w:br w:type="page"/>
      </w: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rPr>
          <w:rFonts w:ascii="Arial Narrow" w:eastAsia="Times New Roman" w:hAnsi="Arial Narrow"/>
          <w:b/>
          <w:sz w:val="28"/>
        </w:rPr>
      </w:pPr>
    </w:p>
    <w:p w:rsidR="00CC37B1" w:rsidRPr="00D32659" w:rsidRDefault="00CC37B1" w:rsidP="00CC37B1">
      <w:pPr>
        <w:pStyle w:val="Diplomka-textodstavce"/>
        <w:spacing w:line="276" w:lineRule="auto"/>
      </w:pPr>
      <w:r w:rsidRPr="00D32659">
        <w:rPr>
          <w:rFonts w:ascii="Arial Narrow" w:eastAsia="Times New Roman" w:hAnsi="Arial Narrow"/>
          <w:b/>
          <w:sz w:val="28"/>
        </w:rPr>
        <w:t>Prohlášení</w:t>
      </w:r>
    </w:p>
    <w:p w:rsidR="00CC37B1" w:rsidRPr="00D32659" w:rsidRDefault="00CC37B1" w:rsidP="00CC37B1">
      <w:pPr>
        <w:pStyle w:val="Diplomka-textodstavce"/>
        <w:spacing w:line="276" w:lineRule="auto"/>
        <w:rPr>
          <w:sz w:val="22"/>
          <w:szCs w:val="22"/>
        </w:rPr>
      </w:pPr>
      <w:r w:rsidRPr="00D32659">
        <w:rPr>
          <w:sz w:val="22"/>
          <w:szCs w:val="22"/>
        </w:rPr>
        <w:t xml:space="preserve">Prohlašuji, že jsem bakalářskou práci, </w:t>
      </w:r>
      <w:r w:rsidRPr="00D32659">
        <w:rPr>
          <w:bCs/>
          <w:i/>
          <w:sz w:val="22"/>
          <w:szCs w:val="22"/>
        </w:rPr>
        <w:t>Finanční analýza podniku,</w:t>
      </w:r>
      <w:r w:rsidRPr="00D32659">
        <w:rPr>
          <w:sz w:val="22"/>
          <w:szCs w:val="22"/>
        </w:rPr>
        <w:t xml:space="preserve"> vypracovala samostatně pod vedením Mgr. Ing. Milana Sedláčka, Ph.D. a uvedla v ní všechny použité literární a jiné odborné zdroje v souladu s právními předpisy, vnitřními předpisy Masarykovy univerzity a vnitřními akty řízení Masarykovy univerzity a Ekonomicko-správní fakulty MU.</w:t>
      </w:r>
    </w:p>
    <w:p w:rsidR="00CC37B1" w:rsidRPr="00D32659" w:rsidRDefault="00CC37B1" w:rsidP="00CC37B1">
      <w:pPr>
        <w:pStyle w:val="Diplomka-textodstavce"/>
        <w:spacing w:line="276" w:lineRule="auto"/>
        <w:rPr>
          <w:sz w:val="22"/>
          <w:szCs w:val="22"/>
        </w:rPr>
      </w:pPr>
    </w:p>
    <w:p w:rsidR="00CC37B1" w:rsidRPr="00D32659" w:rsidRDefault="00CC37B1" w:rsidP="00CC37B1">
      <w:pPr>
        <w:pStyle w:val="Diplomka-textodstavce"/>
        <w:spacing w:after="0" w:line="276" w:lineRule="auto"/>
        <w:rPr>
          <w:bCs/>
          <w:sz w:val="22"/>
          <w:szCs w:val="22"/>
        </w:rPr>
      </w:pPr>
      <w:r w:rsidRPr="00D32659">
        <w:rPr>
          <w:sz w:val="22"/>
          <w:szCs w:val="22"/>
        </w:rPr>
        <w:t>V Brně dne 22. dubna 2015</w:t>
      </w:r>
    </w:p>
    <w:p w:rsidR="00CC37B1" w:rsidRPr="00D32659" w:rsidRDefault="00CC37B1" w:rsidP="00CC37B1">
      <w:pPr>
        <w:pStyle w:val="Diplomka-textodstavce"/>
        <w:spacing w:after="0" w:line="276" w:lineRule="auto"/>
      </w:pPr>
      <w:r w:rsidRPr="00D32659">
        <w:t xml:space="preserve">   </w:t>
      </w:r>
    </w:p>
    <w:p w:rsidR="00CC37B1" w:rsidRPr="001544B2" w:rsidRDefault="00CC37B1" w:rsidP="001544B2">
      <w:pPr>
        <w:pStyle w:val="Diplomka-textodstavce"/>
        <w:tabs>
          <w:tab w:val="left" w:pos="5387"/>
        </w:tabs>
        <w:spacing w:before="60" w:line="276" w:lineRule="auto"/>
        <w:rPr>
          <w:spacing w:val="24"/>
          <w:sz w:val="20"/>
        </w:rPr>
      </w:pPr>
      <w:r w:rsidRPr="00D32659">
        <w:rPr>
          <w:noProof/>
          <w:lang w:eastAsia="cs-CZ"/>
        </w:rPr>
        <mc:AlternateContent>
          <mc:Choice Requires="wps">
            <w:drawing>
              <wp:anchor distT="0" distB="0" distL="114300" distR="114300" simplePos="0" relativeHeight="251672576" behindDoc="0" locked="0" layoutInCell="1" allowOverlap="1" wp14:anchorId="21E7DD65" wp14:editId="572539B1">
                <wp:simplePos x="0" y="0"/>
                <wp:positionH relativeFrom="column">
                  <wp:posOffset>2905760</wp:posOffset>
                </wp:positionH>
                <wp:positionV relativeFrom="paragraph">
                  <wp:posOffset>12700</wp:posOffset>
                </wp:positionV>
                <wp:extent cx="2628900" cy="0"/>
                <wp:effectExtent l="10160" t="12700" r="8890" b="6350"/>
                <wp:wrapNone/>
                <wp:docPr id="5"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8pt,1pt" to="435.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3LCGwIAADYEAAAOAAAAZHJzL2Uyb0RvYy54bWysU8uO2jAU3VfqP1jeQxImQyEijCoC3dAW&#10;aaYfYGyHWPVLtoeAqv57rw2kpd1UVbNw/Dj3+Nx7jxdPJyXRkTsvjK5xMc4x4poaJvShxl9eNqMZ&#10;Rj4QzYg0mtf4zD1+Wr59s+htxSemM5Jxh4BE+6q3Ne5CsFWWedpxRfzYWK7hsDVOkQBLd8iYIz2w&#10;K5lN8nya9cYx6wzl3sNucznEy8TftpyGz23reUCyxqAtpNGlcR/HbLkg1cER2wl6lUH+QYUiQsOl&#10;A1VDAkGvTvxBpQR1xps2jKlRmWlbQXnKAbIp8t+yee6I5SkXKI63Q5n8/6Oln447hwSr8SNGmiho&#10;0VZojsoilqa3vgLESu9cTI6e9LPdGvrVI21WHdEHniS+nC3EpYjsLiQuvIUL9v1HwwBDXoNJdTq1&#10;TkVKqAA6pXach3bwU0AUNifTyWyeQ9fo7Swj1S3QOh8+cKNQnNRYguhETI5bH0A6QG+QeI82GyFl&#10;6rbUqK/x/GGapwBvpGDxMMK8O+xX0qEjiX5JX6wDkN3BlAjgWilUjWcDiFQdJ2ytWbolECEvcwiW&#10;OpJDXqDtOru449s8n69n61k5KifT9ajMm2b0frMqR9NN8e6xeWhWq6b4HnUWZdUJxriOUm9OLcq/&#10;c8L1zVw8Nnh1qEl2z57yBbG3fxKdGht7eXHF3rDzzsXSxB6DORP4+pCi+39dJ9TP5778AQAA//8D&#10;AFBLAwQUAAYACAAAACEAXGYbktwAAAAHAQAADwAAAGRycy9kb3ducmV2LnhtbEyPQU+DQBCF7yb9&#10;D5tp0ouxC41SRJZGa/TgwcS23hd2BCI7i+zSor/e0Ysev7yXN9/km8l24oiDbx0piJcRCKTKmZZq&#10;BYf9w0UKwgdNRneOUMEnetgUs7NcZ8ad6AWPu1ALHiGfaQVNCH0mpa8atNovXY/E2ZsbrA6MQy3N&#10;oE88bju5iqJEWt0SX2h0j9sGq/fdaBV8JP1r+SXHu/Prp32cHkZLz/ePSi3m0+0NiIBT+CvDjz6r&#10;Q8FOpRvJeNEpuLxaJ1xVsOKXOE/XMXP5y7LI5X//4hsAAP//AwBQSwECLQAUAAYACAAAACEAtoM4&#10;kv4AAADhAQAAEwAAAAAAAAAAAAAAAAAAAAAAW0NvbnRlbnRfVHlwZXNdLnhtbFBLAQItABQABgAI&#10;AAAAIQA4/SH/1gAAAJQBAAALAAAAAAAAAAAAAAAAAC8BAABfcmVscy8ucmVsc1BLAQItABQABgAI&#10;AAAAIQBTW3LCGwIAADYEAAAOAAAAAAAAAAAAAAAAAC4CAABkcnMvZTJvRG9jLnhtbFBLAQItABQA&#10;BgAIAAAAIQBcZhuS3AAAAAcBAAAPAAAAAAAAAAAAAAAAAHUEAABkcnMvZG93bnJldi54bWxQSwUG&#10;AAAAAAQABADzAAAAfgUAAAAA&#10;" strokeweight=".26mm">
                <v:stroke joinstyle="miter"/>
              </v:line>
            </w:pict>
          </mc:Fallback>
        </mc:AlternateContent>
      </w:r>
      <w:r w:rsidRPr="00D32659">
        <w:tab/>
      </w:r>
      <w:r w:rsidRPr="00D32659">
        <w:rPr>
          <w:spacing w:val="24"/>
          <w:sz w:val="20"/>
        </w:rPr>
        <w:t>vlastnoruční podpis autora</w:t>
      </w: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p>
    <w:p w:rsidR="00FF6309" w:rsidRDefault="00FF6309">
      <w:pPr>
        <w:rPr>
          <w:rFonts w:ascii="Arial Narrow" w:eastAsia="Times New Roman" w:hAnsi="Arial Narrow"/>
          <w:b/>
          <w:sz w:val="28"/>
          <w:szCs w:val="20"/>
          <w:lang w:eastAsia="ar-SA"/>
        </w:rPr>
      </w:pPr>
      <w:r>
        <w:rPr>
          <w:rFonts w:ascii="Arial Narrow" w:eastAsia="Times New Roman" w:hAnsi="Arial Narrow"/>
          <w:b/>
          <w:sz w:val="28"/>
        </w:rPr>
        <w:br w:type="page"/>
      </w: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FF6309" w:rsidRDefault="00FF6309" w:rsidP="005E060F">
      <w:pPr>
        <w:pStyle w:val="Diplomka-textodstavce"/>
        <w:spacing w:line="276" w:lineRule="auto"/>
        <w:rPr>
          <w:rFonts w:ascii="Arial Narrow" w:eastAsia="Times New Roman" w:hAnsi="Arial Narrow"/>
          <w:b/>
          <w:sz w:val="28"/>
        </w:rPr>
      </w:pPr>
    </w:p>
    <w:p w:rsidR="005E060F" w:rsidRPr="00D32659" w:rsidRDefault="005E060F" w:rsidP="005E060F">
      <w:pPr>
        <w:pStyle w:val="Diplomka-textodstavce"/>
        <w:spacing w:line="276" w:lineRule="auto"/>
        <w:rPr>
          <w:rFonts w:ascii="Arial Narrow" w:eastAsia="Times New Roman" w:hAnsi="Arial Narrow"/>
          <w:b/>
          <w:sz w:val="28"/>
        </w:rPr>
      </w:pPr>
      <w:r w:rsidRPr="00D32659">
        <w:rPr>
          <w:rFonts w:ascii="Arial Narrow" w:eastAsia="Times New Roman" w:hAnsi="Arial Narrow"/>
          <w:b/>
          <w:sz w:val="28"/>
        </w:rPr>
        <w:t xml:space="preserve">Poděkování </w:t>
      </w:r>
    </w:p>
    <w:p w:rsidR="005E060F" w:rsidRPr="00D32659" w:rsidRDefault="005E060F" w:rsidP="005E060F">
      <w:pPr>
        <w:pStyle w:val="Zkladntext"/>
        <w:spacing w:line="276" w:lineRule="auto"/>
        <w:rPr>
          <w:iCs/>
          <w:sz w:val="22"/>
          <w:szCs w:val="22"/>
        </w:rPr>
      </w:pPr>
      <w:r w:rsidRPr="00D32659">
        <w:rPr>
          <w:iCs/>
          <w:sz w:val="22"/>
          <w:szCs w:val="22"/>
        </w:rPr>
        <w:t>Na tomto místě bych ráda poděkovala Mgr. Ing. Milanu Sedláčkovi za cenné připomínky a odborné rady, kterými přispěl k vypracování této bakalářské práce. A neméně bych chtěla poděkovat firmě FOCAM, spol. s. r. o., hlavně paní účetní za poskytnuté informace a konzultace.</w:t>
      </w:r>
    </w:p>
    <w:p w:rsidR="001544B2" w:rsidRDefault="001544B2">
      <w:pPr>
        <w:rPr>
          <w:b/>
          <w:sz w:val="32"/>
        </w:rPr>
      </w:pPr>
      <w:r>
        <w:rPr>
          <w:b/>
          <w:sz w:val="32"/>
        </w:rPr>
        <w:br w:type="page"/>
      </w:r>
    </w:p>
    <w:p w:rsidR="00F73EC2" w:rsidRPr="00D32659" w:rsidRDefault="00F73EC2" w:rsidP="00D32659">
      <w:pPr>
        <w:rPr>
          <w:b/>
          <w:sz w:val="32"/>
        </w:rPr>
      </w:pPr>
      <w:r w:rsidRPr="00D32659">
        <w:rPr>
          <w:b/>
          <w:sz w:val="32"/>
        </w:rPr>
        <w:lastRenderedPageBreak/>
        <w:t>OBSAH</w:t>
      </w:r>
    </w:p>
    <w:p w:rsidR="00F73EC2" w:rsidRPr="00122928" w:rsidRDefault="00F73EC2" w:rsidP="008015B2">
      <w:pPr>
        <w:spacing w:after="0"/>
        <w:jc w:val="both"/>
        <w:rPr>
          <w:b/>
          <w:sz w:val="20"/>
          <w:szCs w:val="20"/>
        </w:rPr>
      </w:pPr>
    </w:p>
    <w:bookmarkStart w:id="0" w:name="_GoBack"/>
    <w:bookmarkEnd w:id="0"/>
    <w:p w:rsidR="00FA2E31" w:rsidRDefault="00F73EC2">
      <w:pPr>
        <w:pStyle w:val="Obsah1"/>
        <w:tabs>
          <w:tab w:val="right" w:leader="dot" w:pos="9060"/>
        </w:tabs>
        <w:rPr>
          <w:rFonts w:asciiTheme="minorHAnsi" w:eastAsiaTheme="minorEastAsia" w:hAnsiTheme="minorHAnsi" w:cstheme="minorBidi"/>
          <w:noProof/>
          <w:sz w:val="22"/>
          <w:lang w:eastAsia="cs-CZ"/>
        </w:rPr>
      </w:pPr>
      <w:r w:rsidRPr="00122928">
        <w:rPr>
          <w:b/>
          <w:sz w:val="20"/>
          <w:szCs w:val="20"/>
        </w:rPr>
        <w:fldChar w:fldCharType="begin"/>
      </w:r>
      <w:r w:rsidRPr="00122928">
        <w:rPr>
          <w:b/>
          <w:sz w:val="20"/>
          <w:szCs w:val="20"/>
        </w:rPr>
        <w:instrText xml:space="preserve"> TOC \o "1-4" \h \z \u </w:instrText>
      </w:r>
      <w:r w:rsidRPr="00122928">
        <w:rPr>
          <w:b/>
          <w:sz w:val="20"/>
          <w:szCs w:val="20"/>
        </w:rPr>
        <w:fldChar w:fldCharType="separate"/>
      </w:r>
      <w:hyperlink w:anchor="_Toc417564139" w:history="1">
        <w:r w:rsidR="00FA2E31" w:rsidRPr="005306FE">
          <w:rPr>
            <w:rStyle w:val="Hypertextovodkaz"/>
            <w:noProof/>
          </w:rPr>
          <w:t>ÚVOD</w:t>
        </w:r>
        <w:r w:rsidR="00FA2E31">
          <w:rPr>
            <w:noProof/>
            <w:webHidden/>
          </w:rPr>
          <w:tab/>
        </w:r>
        <w:r w:rsidR="00FA2E31">
          <w:rPr>
            <w:noProof/>
            <w:webHidden/>
          </w:rPr>
          <w:fldChar w:fldCharType="begin"/>
        </w:r>
        <w:r w:rsidR="00FA2E31">
          <w:rPr>
            <w:noProof/>
            <w:webHidden/>
          </w:rPr>
          <w:instrText xml:space="preserve"> PAGEREF _Toc417564139 \h </w:instrText>
        </w:r>
        <w:r w:rsidR="00FA2E31">
          <w:rPr>
            <w:noProof/>
            <w:webHidden/>
          </w:rPr>
        </w:r>
        <w:r w:rsidR="00FA2E31">
          <w:rPr>
            <w:noProof/>
            <w:webHidden/>
          </w:rPr>
          <w:fldChar w:fldCharType="separate"/>
        </w:r>
        <w:r w:rsidR="00FA2E31">
          <w:rPr>
            <w:noProof/>
            <w:webHidden/>
          </w:rPr>
          <w:t>12</w:t>
        </w:r>
        <w:r w:rsidR="00FA2E31">
          <w:rPr>
            <w:noProof/>
            <w:webHidden/>
          </w:rPr>
          <w:fldChar w:fldCharType="end"/>
        </w:r>
      </w:hyperlink>
    </w:p>
    <w:p w:rsidR="00FA2E31" w:rsidRDefault="00FA2E31">
      <w:pPr>
        <w:pStyle w:val="Obsah1"/>
        <w:tabs>
          <w:tab w:val="right" w:leader="dot" w:pos="9060"/>
        </w:tabs>
        <w:rPr>
          <w:rFonts w:asciiTheme="minorHAnsi" w:eastAsiaTheme="minorEastAsia" w:hAnsiTheme="minorHAnsi" w:cstheme="minorBidi"/>
          <w:noProof/>
          <w:sz w:val="22"/>
          <w:lang w:eastAsia="cs-CZ"/>
        </w:rPr>
      </w:pPr>
      <w:hyperlink w:anchor="_Toc417564140" w:history="1">
        <w:r w:rsidRPr="005306FE">
          <w:rPr>
            <w:rStyle w:val="Hypertextovodkaz"/>
            <w:noProof/>
          </w:rPr>
          <w:t>TEORETICKÁ ČÁST</w:t>
        </w:r>
        <w:r>
          <w:rPr>
            <w:noProof/>
            <w:webHidden/>
          </w:rPr>
          <w:tab/>
        </w:r>
        <w:r>
          <w:rPr>
            <w:noProof/>
            <w:webHidden/>
          </w:rPr>
          <w:fldChar w:fldCharType="begin"/>
        </w:r>
        <w:r>
          <w:rPr>
            <w:noProof/>
            <w:webHidden/>
          </w:rPr>
          <w:instrText xml:space="preserve"> PAGEREF _Toc417564140 \h </w:instrText>
        </w:r>
        <w:r>
          <w:rPr>
            <w:noProof/>
            <w:webHidden/>
          </w:rPr>
        </w:r>
        <w:r>
          <w:rPr>
            <w:noProof/>
            <w:webHidden/>
          </w:rPr>
          <w:fldChar w:fldCharType="separate"/>
        </w:r>
        <w:r>
          <w:rPr>
            <w:noProof/>
            <w:webHidden/>
          </w:rPr>
          <w:t>14</w:t>
        </w:r>
        <w:r>
          <w:rPr>
            <w:noProof/>
            <w:webHidden/>
          </w:rPr>
          <w:fldChar w:fldCharType="end"/>
        </w:r>
      </w:hyperlink>
    </w:p>
    <w:p w:rsidR="00FA2E31" w:rsidRDefault="00FA2E31">
      <w:pPr>
        <w:pStyle w:val="Obsah1"/>
        <w:tabs>
          <w:tab w:val="left" w:pos="440"/>
          <w:tab w:val="right" w:leader="dot" w:pos="9060"/>
        </w:tabs>
        <w:rPr>
          <w:rFonts w:asciiTheme="minorHAnsi" w:eastAsiaTheme="minorEastAsia" w:hAnsiTheme="minorHAnsi" w:cstheme="minorBidi"/>
          <w:noProof/>
          <w:sz w:val="22"/>
          <w:lang w:eastAsia="cs-CZ"/>
        </w:rPr>
      </w:pPr>
      <w:hyperlink w:anchor="_Toc417564141" w:history="1">
        <w:r w:rsidRPr="005306FE">
          <w:rPr>
            <w:rStyle w:val="Hypertextovodkaz"/>
            <w:noProof/>
          </w:rPr>
          <w:t>1</w:t>
        </w:r>
        <w:r>
          <w:rPr>
            <w:rFonts w:asciiTheme="minorHAnsi" w:eastAsiaTheme="minorEastAsia" w:hAnsiTheme="minorHAnsi" w:cstheme="minorBidi"/>
            <w:noProof/>
            <w:sz w:val="22"/>
            <w:lang w:eastAsia="cs-CZ"/>
          </w:rPr>
          <w:tab/>
        </w:r>
        <w:r w:rsidRPr="005306FE">
          <w:rPr>
            <w:rStyle w:val="Hypertextovodkaz"/>
            <w:noProof/>
          </w:rPr>
          <w:t>Finanční analýza</w:t>
        </w:r>
        <w:r>
          <w:rPr>
            <w:noProof/>
            <w:webHidden/>
          </w:rPr>
          <w:tab/>
        </w:r>
        <w:r>
          <w:rPr>
            <w:noProof/>
            <w:webHidden/>
          </w:rPr>
          <w:fldChar w:fldCharType="begin"/>
        </w:r>
        <w:r>
          <w:rPr>
            <w:noProof/>
            <w:webHidden/>
          </w:rPr>
          <w:instrText xml:space="preserve"> PAGEREF _Toc417564141 \h </w:instrText>
        </w:r>
        <w:r>
          <w:rPr>
            <w:noProof/>
            <w:webHidden/>
          </w:rPr>
        </w:r>
        <w:r>
          <w:rPr>
            <w:noProof/>
            <w:webHidden/>
          </w:rPr>
          <w:fldChar w:fldCharType="separate"/>
        </w:r>
        <w:r>
          <w:rPr>
            <w:noProof/>
            <w:webHidden/>
          </w:rPr>
          <w:t>14</w:t>
        </w:r>
        <w:r>
          <w:rPr>
            <w:noProof/>
            <w:webHidden/>
          </w:rPr>
          <w:fldChar w:fldCharType="end"/>
        </w:r>
      </w:hyperlink>
    </w:p>
    <w:p w:rsidR="00FA2E31" w:rsidRDefault="00FA2E31">
      <w:pPr>
        <w:pStyle w:val="Obsah2"/>
        <w:tabs>
          <w:tab w:val="left" w:pos="880"/>
          <w:tab w:val="right" w:leader="dot" w:pos="9060"/>
        </w:tabs>
        <w:rPr>
          <w:rFonts w:asciiTheme="minorHAnsi" w:eastAsiaTheme="minorEastAsia" w:hAnsiTheme="minorHAnsi" w:cstheme="minorBidi"/>
          <w:noProof/>
          <w:sz w:val="22"/>
          <w:lang w:eastAsia="cs-CZ"/>
        </w:rPr>
      </w:pPr>
      <w:hyperlink w:anchor="_Toc417564142" w:history="1">
        <w:r w:rsidRPr="005306FE">
          <w:rPr>
            <w:rStyle w:val="Hypertextovodkaz"/>
            <w:noProof/>
          </w:rPr>
          <w:t>1.1</w:t>
        </w:r>
        <w:r>
          <w:rPr>
            <w:rFonts w:asciiTheme="minorHAnsi" w:eastAsiaTheme="minorEastAsia" w:hAnsiTheme="minorHAnsi" w:cstheme="minorBidi"/>
            <w:noProof/>
            <w:sz w:val="22"/>
            <w:lang w:eastAsia="cs-CZ"/>
          </w:rPr>
          <w:tab/>
        </w:r>
        <w:r w:rsidRPr="005306FE">
          <w:rPr>
            <w:rStyle w:val="Hypertextovodkaz"/>
            <w:noProof/>
          </w:rPr>
          <w:t>Informační zdroje</w:t>
        </w:r>
        <w:r>
          <w:rPr>
            <w:noProof/>
            <w:webHidden/>
          </w:rPr>
          <w:tab/>
        </w:r>
        <w:r>
          <w:rPr>
            <w:noProof/>
            <w:webHidden/>
          </w:rPr>
          <w:fldChar w:fldCharType="begin"/>
        </w:r>
        <w:r>
          <w:rPr>
            <w:noProof/>
            <w:webHidden/>
          </w:rPr>
          <w:instrText xml:space="preserve"> PAGEREF _Toc417564142 \h </w:instrText>
        </w:r>
        <w:r>
          <w:rPr>
            <w:noProof/>
            <w:webHidden/>
          </w:rPr>
        </w:r>
        <w:r>
          <w:rPr>
            <w:noProof/>
            <w:webHidden/>
          </w:rPr>
          <w:fldChar w:fldCharType="separate"/>
        </w:r>
        <w:r>
          <w:rPr>
            <w:noProof/>
            <w:webHidden/>
          </w:rPr>
          <w:t>14</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43" w:history="1">
        <w:r w:rsidRPr="005306FE">
          <w:rPr>
            <w:rStyle w:val="Hypertextovodkaz"/>
            <w:noProof/>
          </w:rPr>
          <w:t>1.1.1</w:t>
        </w:r>
        <w:r>
          <w:rPr>
            <w:rFonts w:asciiTheme="minorHAnsi" w:eastAsiaTheme="minorEastAsia" w:hAnsiTheme="minorHAnsi" w:cstheme="minorBidi"/>
            <w:noProof/>
            <w:sz w:val="22"/>
            <w:lang w:eastAsia="cs-CZ"/>
          </w:rPr>
          <w:tab/>
        </w:r>
        <w:r w:rsidRPr="005306FE">
          <w:rPr>
            <w:rStyle w:val="Hypertextovodkaz"/>
            <w:noProof/>
          </w:rPr>
          <w:t>Interní informace</w:t>
        </w:r>
        <w:r>
          <w:rPr>
            <w:noProof/>
            <w:webHidden/>
          </w:rPr>
          <w:tab/>
        </w:r>
        <w:r>
          <w:rPr>
            <w:noProof/>
            <w:webHidden/>
          </w:rPr>
          <w:fldChar w:fldCharType="begin"/>
        </w:r>
        <w:r>
          <w:rPr>
            <w:noProof/>
            <w:webHidden/>
          </w:rPr>
          <w:instrText xml:space="preserve"> PAGEREF _Toc417564143 \h </w:instrText>
        </w:r>
        <w:r>
          <w:rPr>
            <w:noProof/>
            <w:webHidden/>
          </w:rPr>
        </w:r>
        <w:r>
          <w:rPr>
            <w:noProof/>
            <w:webHidden/>
          </w:rPr>
          <w:fldChar w:fldCharType="separate"/>
        </w:r>
        <w:r>
          <w:rPr>
            <w:noProof/>
            <w:webHidden/>
          </w:rPr>
          <w:t>14</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44" w:history="1">
        <w:r w:rsidRPr="005306FE">
          <w:rPr>
            <w:rStyle w:val="Hypertextovodkaz"/>
            <w:noProof/>
          </w:rPr>
          <w:t>1.1.2</w:t>
        </w:r>
        <w:r>
          <w:rPr>
            <w:rFonts w:asciiTheme="minorHAnsi" w:eastAsiaTheme="minorEastAsia" w:hAnsiTheme="minorHAnsi" w:cstheme="minorBidi"/>
            <w:noProof/>
            <w:sz w:val="22"/>
            <w:lang w:eastAsia="cs-CZ"/>
          </w:rPr>
          <w:tab/>
        </w:r>
        <w:r w:rsidRPr="005306FE">
          <w:rPr>
            <w:rStyle w:val="Hypertextovodkaz"/>
            <w:noProof/>
          </w:rPr>
          <w:t>Externí informace</w:t>
        </w:r>
        <w:r>
          <w:rPr>
            <w:noProof/>
            <w:webHidden/>
          </w:rPr>
          <w:tab/>
        </w:r>
        <w:r>
          <w:rPr>
            <w:noProof/>
            <w:webHidden/>
          </w:rPr>
          <w:fldChar w:fldCharType="begin"/>
        </w:r>
        <w:r>
          <w:rPr>
            <w:noProof/>
            <w:webHidden/>
          </w:rPr>
          <w:instrText xml:space="preserve"> PAGEREF _Toc417564144 \h </w:instrText>
        </w:r>
        <w:r>
          <w:rPr>
            <w:noProof/>
            <w:webHidden/>
          </w:rPr>
        </w:r>
        <w:r>
          <w:rPr>
            <w:noProof/>
            <w:webHidden/>
          </w:rPr>
          <w:fldChar w:fldCharType="separate"/>
        </w:r>
        <w:r>
          <w:rPr>
            <w:noProof/>
            <w:webHidden/>
          </w:rPr>
          <w:t>14</w:t>
        </w:r>
        <w:r>
          <w:rPr>
            <w:noProof/>
            <w:webHidden/>
          </w:rPr>
          <w:fldChar w:fldCharType="end"/>
        </w:r>
      </w:hyperlink>
    </w:p>
    <w:p w:rsidR="00FA2E31" w:rsidRDefault="00FA2E31">
      <w:pPr>
        <w:pStyle w:val="Obsah2"/>
        <w:tabs>
          <w:tab w:val="left" w:pos="880"/>
          <w:tab w:val="right" w:leader="dot" w:pos="9060"/>
        </w:tabs>
        <w:rPr>
          <w:rFonts w:asciiTheme="minorHAnsi" w:eastAsiaTheme="minorEastAsia" w:hAnsiTheme="minorHAnsi" w:cstheme="minorBidi"/>
          <w:noProof/>
          <w:sz w:val="22"/>
          <w:lang w:eastAsia="cs-CZ"/>
        </w:rPr>
      </w:pPr>
      <w:hyperlink w:anchor="_Toc417564145" w:history="1">
        <w:r w:rsidRPr="005306FE">
          <w:rPr>
            <w:rStyle w:val="Hypertextovodkaz"/>
            <w:noProof/>
          </w:rPr>
          <w:t>1.2</w:t>
        </w:r>
        <w:r>
          <w:rPr>
            <w:rFonts w:asciiTheme="minorHAnsi" w:eastAsiaTheme="minorEastAsia" w:hAnsiTheme="minorHAnsi" w:cstheme="minorBidi"/>
            <w:noProof/>
            <w:sz w:val="22"/>
            <w:lang w:eastAsia="cs-CZ"/>
          </w:rPr>
          <w:tab/>
        </w:r>
        <w:r w:rsidRPr="005306FE">
          <w:rPr>
            <w:rStyle w:val="Hypertextovodkaz"/>
            <w:noProof/>
          </w:rPr>
          <w:t>Uživatelé finanční analýzy</w:t>
        </w:r>
        <w:r>
          <w:rPr>
            <w:noProof/>
            <w:webHidden/>
          </w:rPr>
          <w:tab/>
        </w:r>
        <w:r>
          <w:rPr>
            <w:noProof/>
            <w:webHidden/>
          </w:rPr>
          <w:fldChar w:fldCharType="begin"/>
        </w:r>
        <w:r>
          <w:rPr>
            <w:noProof/>
            <w:webHidden/>
          </w:rPr>
          <w:instrText xml:space="preserve"> PAGEREF _Toc417564145 \h </w:instrText>
        </w:r>
        <w:r>
          <w:rPr>
            <w:noProof/>
            <w:webHidden/>
          </w:rPr>
        </w:r>
        <w:r>
          <w:rPr>
            <w:noProof/>
            <w:webHidden/>
          </w:rPr>
          <w:fldChar w:fldCharType="separate"/>
        </w:r>
        <w:r>
          <w:rPr>
            <w:noProof/>
            <w:webHidden/>
          </w:rPr>
          <w:t>14</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46" w:history="1">
        <w:r w:rsidRPr="005306FE">
          <w:rPr>
            <w:rStyle w:val="Hypertextovodkaz"/>
            <w:noProof/>
          </w:rPr>
          <w:t>1.2.1</w:t>
        </w:r>
        <w:r>
          <w:rPr>
            <w:rFonts w:asciiTheme="minorHAnsi" w:eastAsiaTheme="minorEastAsia" w:hAnsiTheme="minorHAnsi" w:cstheme="minorBidi"/>
            <w:noProof/>
            <w:sz w:val="22"/>
            <w:lang w:eastAsia="cs-CZ"/>
          </w:rPr>
          <w:tab/>
        </w:r>
        <w:r w:rsidRPr="005306FE">
          <w:rPr>
            <w:rStyle w:val="Hypertextovodkaz"/>
            <w:noProof/>
          </w:rPr>
          <w:t>Externí uživatelé</w:t>
        </w:r>
        <w:r>
          <w:rPr>
            <w:noProof/>
            <w:webHidden/>
          </w:rPr>
          <w:tab/>
        </w:r>
        <w:r>
          <w:rPr>
            <w:noProof/>
            <w:webHidden/>
          </w:rPr>
          <w:fldChar w:fldCharType="begin"/>
        </w:r>
        <w:r>
          <w:rPr>
            <w:noProof/>
            <w:webHidden/>
          </w:rPr>
          <w:instrText xml:space="preserve"> PAGEREF _Toc417564146 \h </w:instrText>
        </w:r>
        <w:r>
          <w:rPr>
            <w:noProof/>
            <w:webHidden/>
          </w:rPr>
        </w:r>
        <w:r>
          <w:rPr>
            <w:noProof/>
            <w:webHidden/>
          </w:rPr>
          <w:fldChar w:fldCharType="separate"/>
        </w:r>
        <w:r>
          <w:rPr>
            <w:noProof/>
            <w:webHidden/>
          </w:rPr>
          <w:t>14</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47" w:history="1">
        <w:r w:rsidRPr="005306FE">
          <w:rPr>
            <w:rStyle w:val="Hypertextovodkaz"/>
            <w:noProof/>
          </w:rPr>
          <w:t>1.2.2</w:t>
        </w:r>
        <w:r>
          <w:rPr>
            <w:rFonts w:asciiTheme="minorHAnsi" w:eastAsiaTheme="minorEastAsia" w:hAnsiTheme="minorHAnsi" w:cstheme="minorBidi"/>
            <w:noProof/>
            <w:sz w:val="22"/>
            <w:lang w:eastAsia="cs-CZ"/>
          </w:rPr>
          <w:tab/>
        </w:r>
        <w:r w:rsidRPr="005306FE">
          <w:rPr>
            <w:rStyle w:val="Hypertextovodkaz"/>
            <w:noProof/>
          </w:rPr>
          <w:t>Interní uživatelé</w:t>
        </w:r>
        <w:r>
          <w:rPr>
            <w:noProof/>
            <w:webHidden/>
          </w:rPr>
          <w:tab/>
        </w:r>
        <w:r>
          <w:rPr>
            <w:noProof/>
            <w:webHidden/>
          </w:rPr>
          <w:fldChar w:fldCharType="begin"/>
        </w:r>
        <w:r>
          <w:rPr>
            <w:noProof/>
            <w:webHidden/>
          </w:rPr>
          <w:instrText xml:space="preserve"> PAGEREF _Toc417564147 \h </w:instrText>
        </w:r>
        <w:r>
          <w:rPr>
            <w:noProof/>
            <w:webHidden/>
          </w:rPr>
        </w:r>
        <w:r>
          <w:rPr>
            <w:noProof/>
            <w:webHidden/>
          </w:rPr>
          <w:fldChar w:fldCharType="separate"/>
        </w:r>
        <w:r>
          <w:rPr>
            <w:noProof/>
            <w:webHidden/>
          </w:rPr>
          <w:t>15</w:t>
        </w:r>
        <w:r>
          <w:rPr>
            <w:noProof/>
            <w:webHidden/>
          </w:rPr>
          <w:fldChar w:fldCharType="end"/>
        </w:r>
      </w:hyperlink>
    </w:p>
    <w:p w:rsidR="00FA2E31" w:rsidRDefault="00FA2E31">
      <w:pPr>
        <w:pStyle w:val="Obsah2"/>
        <w:tabs>
          <w:tab w:val="left" w:pos="880"/>
          <w:tab w:val="right" w:leader="dot" w:pos="9060"/>
        </w:tabs>
        <w:rPr>
          <w:rFonts w:asciiTheme="minorHAnsi" w:eastAsiaTheme="minorEastAsia" w:hAnsiTheme="minorHAnsi" w:cstheme="minorBidi"/>
          <w:noProof/>
          <w:sz w:val="22"/>
          <w:lang w:eastAsia="cs-CZ"/>
        </w:rPr>
      </w:pPr>
      <w:hyperlink w:anchor="_Toc417564148" w:history="1">
        <w:r w:rsidRPr="005306FE">
          <w:rPr>
            <w:rStyle w:val="Hypertextovodkaz"/>
            <w:noProof/>
          </w:rPr>
          <w:t>1.3</w:t>
        </w:r>
        <w:r>
          <w:rPr>
            <w:rFonts w:asciiTheme="minorHAnsi" w:eastAsiaTheme="minorEastAsia" w:hAnsiTheme="minorHAnsi" w:cstheme="minorBidi"/>
            <w:noProof/>
            <w:sz w:val="22"/>
            <w:lang w:eastAsia="cs-CZ"/>
          </w:rPr>
          <w:tab/>
        </w:r>
        <w:r w:rsidRPr="005306FE">
          <w:rPr>
            <w:rStyle w:val="Hypertextovodkaz"/>
            <w:noProof/>
          </w:rPr>
          <w:t>Zdroje dat</w:t>
        </w:r>
        <w:r>
          <w:rPr>
            <w:noProof/>
            <w:webHidden/>
          </w:rPr>
          <w:tab/>
        </w:r>
        <w:r>
          <w:rPr>
            <w:noProof/>
            <w:webHidden/>
          </w:rPr>
          <w:fldChar w:fldCharType="begin"/>
        </w:r>
        <w:r>
          <w:rPr>
            <w:noProof/>
            <w:webHidden/>
          </w:rPr>
          <w:instrText xml:space="preserve"> PAGEREF _Toc417564148 \h </w:instrText>
        </w:r>
        <w:r>
          <w:rPr>
            <w:noProof/>
            <w:webHidden/>
          </w:rPr>
        </w:r>
        <w:r>
          <w:rPr>
            <w:noProof/>
            <w:webHidden/>
          </w:rPr>
          <w:fldChar w:fldCharType="separate"/>
        </w:r>
        <w:r>
          <w:rPr>
            <w:noProof/>
            <w:webHidden/>
          </w:rPr>
          <w:t>15</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49" w:history="1">
        <w:r w:rsidRPr="005306FE">
          <w:rPr>
            <w:rStyle w:val="Hypertextovodkaz"/>
            <w:noProof/>
          </w:rPr>
          <w:t>1.3.1</w:t>
        </w:r>
        <w:r>
          <w:rPr>
            <w:rFonts w:asciiTheme="minorHAnsi" w:eastAsiaTheme="minorEastAsia" w:hAnsiTheme="minorHAnsi" w:cstheme="minorBidi"/>
            <w:noProof/>
            <w:sz w:val="22"/>
            <w:lang w:eastAsia="cs-CZ"/>
          </w:rPr>
          <w:tab/>
        </w:r>
        <w:r w:rsidRPr="005306FE">
          <w:rPr>
            <w:rStyle w:val="Hypertextovodkaz"/>
            <w:noProof/>
          </w:rPr>
          <w:t>Rozvaha</w:t>
        </w:r>
        <w:r>
          <w:rPr>
            <w:noProof/>
            <w:webHidden/>
          </w:rPr>
          <w:tab/>
        </w:r>
        <w:r>
          <w:rPr>
            <w:noProof/>
            <w:webHidden/>
          </w:rPr>
          <w:fldChar w:fldCharType="begin"/>
        </w:r>
        <w:r>
          <w:rPr>
            <w:noProof/>
            <w:webHidden/>
          </w:rPr>
          <w:instrText xml:space="preserve"> PAGEREF _Toc417564149 \h </w:instrText>
        </w:r>
        <w:r>
          <w:rPr>
            <w:noProof/>
            <w:webHidden/>
          </w:rPr>
        </w:r>
        <w:r>
          <w:rPr>
            <w:noProof/>
            <w:webHidden/>
          </w:rPr>
          <w:fldChar w:fldCharType="separate"/>
        </w:r>
        <w:r>
          <w:rPr>
            <w:noProof/>
            <w:webHidden/>
          </w:rPr>
          <w:t>15</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50" w:history="1">
        <w:r w:rsidRPr="005306FE">
          <w:rPr>
            <w:rStyle w:val="Hypertextovodkaz"/>
            <w:noProof/>
          </w:rPr>
          <w:t>1.3.2</w:t>
        </w:r>
        <w:r>
          <w:rPr>
            <w:rFonts w:asciiTheme="minorHAnsi" w:eastAsiaTheme="minorEastAsia" w:hAnsiTheme="minorHAnsi" w:cstheme="minorBidi"/>
            <w:noProof/>
            <w:sz w:val="22"/>
            <w:lang w:eastAsia="cs-CZ"/>
          </w:rPr>
          <w:tab/>
        </w:r>
        <w:r w:rsidRPr="005306FE">
          <w:rPr>
            <w:rStyle w:val="Hypertextovodkaz"/>
            <w:noProof/>
          </w:rPr>
          <w:t>Výkaz zisku a ztrát</w:t>
        </w:r>
        <w:r>
          <w:rPr>
            <w:noProof/>
            <w:webHidden/>
          </w:rPr>
          <w:tab/>
        </w:r>
        <w:r>
          <w:rPr>
            <w:noProof/>
            <w:webHidden/>
          </w:rPr>
          <w:fldChar w:fldCharType="begin"/>
        </w:r>
        <w:r>
          <w:rPr>
            <w:noProof/>
            <w:webHidden/>
          </w:rPr>
          <w:instrText xml:space="preserve"> PAGEREF _Toc417564150 \h </w:instrText>
        </w:r>
        <w:r>
          <w:rPr>
            <w:noProof/>
            <w:webHidden/>
          </w:rPr>
        </w:r>
        <w:r>
          <w:rPr>
            <w:noProof/>
            <w:webHidden/>
          </w:rPr>
          <w:fldChar w:fldCharType="separate"/>
        </w:r>
        <w:r>
          <w:rPr>
            <w:noProof/>
            <w:webHidden/>
          </w:rPr>
          <w:t>17</w:t>
        </w:r>
        <w:r>
          <w:rPr>
            <w:noProof/>
            <w:webHidden/>
          </w:rPr>
          <w:fldChar w:fldCharType="end"/>
        </w:r>
      </w:hyperlink>
    </w:p>
    <w:p w:rsidR="00FA2E31" w:rsidRDefault="00FA2E31">
      <w:pPr>
        <w:pStyle w:val="Obsah1"/>
        <w:tabs>
          <w:tab w:val="left" w:pos="440"/>
          <w:tab w:val="right" w:leader="dot" w:pos="9060"/>
        </w:tabs>
        <w:rPr>
          <w:rFonts w:asciiTheme="minorHAnsi" w:eastAsiaTheme="minorEastAsia" w:hAnsiTheme="minorHAnsi" w:cstheme="minorBidi"/>
          <w:noProof/>
          <w:sz w:val="22"/>
          <w:lang w:eastAsia="cs-CZ"/>
        </w:rPr>
      </w:pPr>
      <w:hyperlink w:anchor="_Toc417564151" w:history="1">
        <w:r w:rsidRPr="005306FE">
          <w:rPr>
            <w:rStyle w:val="Hypertextovodkaz"/>
            <w:noProof/>
          </w:rPr>
          <w:t>2</w:t>
        </w:r>
        <w:r>
          <w:rPr>
            <w:rFonts w:asciiTheme="minorHAnsi" w:eastAsiaTheme="minorEastAsia" w:hAnsiTheme="minorHAnsi" w:cstheme="minorBidi"/>
            <w:noProof/>
            <w:sz w:val="22"/>
            <w:lang w:eastAsia="cs-CZ"/>
          </w:rPr>
          <w:tab/>
        </w:r>
        <w:r w:rsidRPr="005306FE">
          <w:rPr>
            <w:rStyle w:val="Hypertextovodkaz"/>
            <w:noProof/>
          </w:rPr>
          <w:t>Metody finanční analýzy</w:t>
        </w:r>
        <w:r>
          <w:rPr>
            <w:noProof/>
            <w:webHidden/>
          </w:rPr>
          <w:tab/>
        </w:r>
        <w:r>
          <w:rPr>
            <w:noProof/>
            <w:webHidden/>
          </w:rPr>
          <w:fldChar w:fldCharType="begin"/>
        </w:r>
        <w:r>
          <w:rPr>
            <w:noProof/>
            <w:webHidden/>
          </w:rPr>
          <w:instrText xml:space="preserve"> PAGEREF _Toc417564151 \h </w:instrText>
        </w:r>
        <w:r>
          <w:rPr>
            <w:noProof/>
            <w:webHidden/>
          </w:rPr>
        </w:r>
        <w:r>
          <w:rPr>
            <w:noProof/>
            <w:webHidden/>
          </w:rPr>
          <w:fldChar w:fldCharType="separate"/>
        </w:r>
        <w:r>
          <w:rPr>
            <w:noProof/>
            <w:webHidden/>
          </w:rPr>
          <w:t>18</w:t>
        </w:r>
        <w:r>
          <w:rPr>
            <w:noProof/>
            <w:webHidden/>
          </w:rPr>
          <w:fldChar w:fldCharType="end"/>
        </w:r>
      </w:hyperlink>
    </w:p>
    <w:p w:rsidR="00FA2E31" w:rsidRDefault="00FA2E31">
      <w:pPr>
        <w:pStyle w:val="Obsah2"/>
        <w:tabs>
          <w:tab w:val="left" w:pos="880"/>
          <w:tab w:val="right" w:leader="dot" w:pos="9060"/>
        </w:tabs>
        <w:rPr>
          <w:rFonts w:asciiTheme="minorHAnsi" w:eastAsiaTheme="minorEastAsia" w:hAnsiTheme="minorHAnsi" w:cstheme="minorBidi"/>
          <w:noProof/>
          <w:sz w:val="22"/>
          <w:lang w:eastAsia="cs-CZ"/>
        </w:rPr>
      </w:pPr>
      <w:hyperlink w:anchor="_Toc417564152" w:history="1">
        <w:r w:rsidRPr="005306FE">
          <w:rPr>
            <w:rStyle w:val="Hypertextovodkaz"/>
            <w:noProof/>
          </w:rPr>
          <w:t>2.1</w:t>
        </w:r>
        <w:r>
          <w:rPr>
            <w:rFonts w:asciiTheme="minorHAnsi" w:eastAsiaTheme="minorEastAsia" w:hAnsiTheme="minorHAnsi" w:cstheme="minorBidi"/>
            <w:noProof/>
            <w:sz w:val="22"/>
            <w:lang w:eastAsia="cs-CZ"/>
          </w:rPr>
          <w:tab/>
        </w:r>
        <w:r w:rsidRPr="005306FE">
          <w:rPr>
            <w:rStyle w:val="Hypertextovodkaz"/>
            <w:noProof/>
          </w:rPr>
          <w:t>Analýza absolutních ukazatelů</w:t>
        </w:r>
        <w:r>
          <w:rPr>
            <w:noProof/>
            <w:webHidden/>
          </w:rPr>
          <w:tab/>
        </w:r>
        <w:r>
          <w:rPr>
            <w:noProof/>
            <w:webHidden/>
          </w:rPr>
          <w:fldChar w:fldCharType="begin"/>
        </w:r>
        <w:r>
          <w:rPr>
            <w:noProof/>
            <w:webHidden/>
          </w:rPr>
          <w:instrText xml:space="preserve"> PAGEREF _Toc417564152 \h </w:instrText>
        </w:r>
        <w:r>
          <w:rPr>
            <w:noProof/>
            <w:webHidden/>
          </w:rPr>
        </w:r>
        <w:r>
          <w:rPr>
            <w:noProof/>
            <w:webHidden/>
          </w:rPr>
          <w:fldChar w:fldCharType="separate"/>
        </w:r>
        <w:r>
          <w:rPr>
            <w:noProof/>
            <w:webHidden/>
          </w:rPr>
          <w:t>18</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53" w:history="1">
        <w:r w:rsidRPr="005306FE">
          <w:rPr>
            <w:rStyle w:val="Hypertextovodkaz"/>
            <w:noProof/>
          </w:rPr>
          <w:t>2.1.1</w:t>
        </w:r>
        <w:r>
          <w:rPr>
            <w:rFonts w:asciiTheme="minorHAnsi" w:eastAsiaTheme="minorEastAsia" w:hAnsiTheme="minorHAnsi" w:cstheme="minorBidi"/>
            <w:noProof/>
            <w:sz w:val="22"/>
            <w:lang w:eastAsia="cs-CZ"/>
          </w:rPr>
          <w:tab/>
        </w:r>
        <w:r w:rsidRPr="005306FE">
          <w:rPr>
            <w:rStyle w:val="Hypertextovodkaz"/>
            <w:noProof/>
          </w:rPr>
          <w:t>Horizontální analýza</w:t>
        </w:r>
        <w:r>
          <w:rPr>
            <w:noProof/>
            <w:webHidden/>
          </w:rPr>
          <w:tab/>
        </w:r>
        <w:r>
          <w:rPr>
            <w:noProof/>
            <w:webHidden/>
          </w:rPr>
          <w:fldChar w:fldCharType="begin"/>
        </w:r>
        <w:r>
          <w:rPr>
            <w:noProof/>
            <w:webHidden/>
          </w:rPr>
          <w:instrText xml:space="preserve"> PAGEREF _Toc417564153 \h </w:instrText>
        </w:r>
        <w:r>
          <w:rPr>
            <w:noProof/>
            <w:webHidden/>
          </w:rPr>
        </w:r>
        <w:r>
          <w:rPr>
            <w:noProof/>
            <w:webHidden/>
          </w:rPr>
          <w:fldChar w:fldCharType="separate"/>
        </w:r>
        <w:r>
          <w:rPr>
            <w:noProof/>
            <w:webHidden/>
          </w:rPr>
          <w:t>18</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54" w:history="1">
        <w:r w:rsidRPr="005306FE">
          <w:rPr>
            <w:rStyle w:val="Hypertextovodkaz"/>
            <w:noProof/>
          </w:rPr>
          <w:t>2.1.2</w:t>
        </w:r>
        <w:r>
          <w:rPr>
            <w:rFonts w:asciiTheme="minorHAnsi" w:eastAsiaTheme="minorEastAsia" w:hAnsiTheme="minorHAnsi" w:cstheme="minorBidi"/>
            <w:noProof/>
            <w:sz w:val="22"/>
            <w:lang w:eastAsia="cs-CZ"/>
          </w:rPr>
          <w:tab/>
        </w:r>
        <w:r w:rsidRPr="005306FE">
          <w:rPr>
            <w:rStyle w:val="Hypertextovodkaz"/>
            <w:noProof/>
          </w:rPr>
          <w:t>Vertikální analýza</w:t>
        </w:r>
        <w:r>
          <w:rPr>
            <w:noProof/>
            <w:webHidden/>
          </w:rPr>
          <w:tab/>
        </w:r>
        <w:r>
          <w:rPr>
            <w:noProof/>
            <w:webHidden/>
          </w:rPr>
          <w:fldChar w:fldCharType="begin"/>
        </w:r>
        <w:r>
          <w:rPr>
            <w:noProof/>
            <w:webHidden/>
          </w:rPr>
          <w:instrText xml:space="preserve"> PAGEREF _Toc417564154 \h </w:instrText>
        </w:r>
        <w:r>
          <w:rPr>
            <w:noProof/>
            <w:webHidden/>
          </w:rPr>
        </w:r>
        <w:r>
          <w:rPr>
            <w:noProof/>
            <w:webHidden/>
          </w:rPr>
          <w:fldChar w:fldCharType="separate"/>
        </w:r>
        <w:r>
          <w:rPr>
            <w:noProof/>
            <w:webHidden/>
          </w:rPr>
          <w:t>19</w:t>
        </w:r>
        <w:r>
          <w:rPr>
            <w:noProof/>
            <w:webHidden/>
          </w:rPr>
          <w:fldChar w:fldCharType="end"/>
        </w:r>
      </w:hyperlink>
    </w:p>
    <w:p w:rsidR="00FA2E31" w:rsidRDefault="00FA2E31">
      <w:pPr>
        <w:pStyle w:val="Obsah2"/>
        <w:tabs>
          <w:tab w:val="left" w:pos="880"/>
          <w:tab w:val="right" w:leader="dot" w:pos="9060"/>
        </w:tabs>
        <w:rPr>
          <w:rFonts w:asciiTheme="minorHAnsi" w:eastAsiaTheme="minorEastAsia" w:hAnsiTheme="minorHAnsi" w:cstheme="minorBidi"/>
          <w:noProof/>
          <w:sz w:val="22"/>
          <w:lang w:eastAsia="cs-CZ"/>
        </w:rPr>
      </w:pPr>
      <w:hyperlink w:anchor="_Toc417564155" w:history="1">
        <w:r w:rsidRPr="005306FE">
          <w:rPr>
            <w:rStyle w:val="Hypertextovodkaz"/>
            <w:noProof/>
          </w:rPr>
          <w:t>2.2</w:t>
        </w:r>
        <w:r>
          <w:rPr>
            <w:rFonts w:asciiTheme="minorHAnsi" w:eastAsiaTheme="minorEastAsia" w:hAnsiTheme="minorHAnsi" w:cstheme="minorBidi"/>
            <w:noProof/>
            <w:sz w:val="22"/>
            <w:lang w:eastAsia="cs-CZ"/>
          </w:rPr>
          <w:tab/>
        </w:r>
        <w:r w:rsidRPr="005306FE">
          <w:rPr>
            <w:rStyle w:val="Hypertextovodkaz"/>
            <w:noProof/>
          </w:rPr>
          <w:t>Analýza poměrových ukazatelů</w:t>
        </w:r>
        <w:r>
          <w:rPr>
            <w:noProof/>
            <w:webHidden/>
          </w:rPr>
          <w:tab/>
        </w:r>
        <w:r>
          <w:rPr>
            <w:noProof/>
            <w:webHidden/>
          </w:rPr>
          <w:fldChar w:fldCharType="begin"/>
        </w:r>
        <w:r>
          <w:rPr>
            <w:noProof/>
            <w:webHidden/>
          </w:rPr>
          <w:instrText xml:space="preserve"> PAGEREF _Toc417564155 \h </w:instrText>
        </w:r>
        <w:r>
          <w:rPr>
            <w:noProof/>
            <w:webHidden/>
          </w:rPr>
        </w:r>
        <w:r>
          <w:rPr>
            <w:noProof/>
            <w:webHidden/>
          </w:rPr>
          <w:fldChar w:fldCharType="separate"/>
        </w:r>
        <w:r>
          <w:rPr>
            <w:noProof/>
            <w:webHidden/>
          </w:rPr>
          <w:t>19</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56" w:history="1">
        <w:r w:rsidRPr="005306FE">
          <w:rPr>
            <w:rStyle w:val="Hypertextovodkaz"/>
            <w:noProof/>
          </w:rPr>
          <w:t>2.2.1</w:t>
        </w:r>
        <w:r>
          <w:rPr>
            <w:rFonts w:asciiTheme="minorHAnsi" w:eastAsiaTheme="minorEastAsia" w:hAnsiTheme="minorHAnsi" w:cstheme="minorBidi"/>
            <w:noProof/>
            <w:sz w:val="22"/>
            <w:lang w:eastAsia="cs-CZ"/>
          </w:rPr>
          <w:tab/>
        </w:r>
        <w:r w:rsidRPr="005306FE">
          <w:rPr>
            <w:rStyle w:val="Hypertextovodkaz"/>
            <w:noProof/>
          </w:rPr>
          <w:t>Ukazatel likvidity</w:t>
        </w:r>
        <w:r>
          <w:rPr>
            <w:noProof/>
            <w:webHidden/>
          </w:rPr>
          <w:tab/>
        </w:r>
        <w:r>
          <w:rPr>
            <w:noProof/>
            <w:webHidden/>
          </w:rPr>
          <w:fldChar w:fldCharType="begin"/>
        </w:r>
        <w:r>
          <w:rPr>
            <w:noProof/>
            <w:webHidden/>
          </w:rPr>
          <w:instrText xml:space="preserve"> PAGEREF _Toc417564156 \h </w:instrText>
        </w:r>
        <w:r>
          <w:rPr>
            <w:noProof/>
            <w:webHidden/>
          </w:rPr>
        </w:r>
        <w:r>
          <w:rPr>
            <w:noProof/>
            <w:webHidden/>
          </w:rPr>
          <w:fldChar w:fldCharType="separate"/>
        </w:r>
        <w:r>
          <w:rPr>
            <w:noProof/>
            <w:webHidden/>
          </w:rPr>
          <w:t>19</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57" w:history="1">
        <w:r w:rsidRPr="005306FE">
          <w:rPr>
            <w:rStyle w:val="Hypertextovodkaz"/>
            <w:noProof/>
          </w:rPr>
          <w:t>2.2.2</w:t>
        </w:r>
        <w:r>
          <w:rPr>
            <w:rFonts w:asciiTheme="minorHAnsi" w:eastAsiaTheme="minorEastAsia" w:hAnsiTheme="minorHAnsi" w:cstheme="minorBidi"/>
            <w:noProof/>
            <w:sz w:val="22"/>
            <w:lang w:eastAsia="cs-CZ"/>
          </w:rPr>
          <w:tab/>
        </w:r>
        <w:r w:rsidRPr="005306FE">
          <w:rPr>
            <w:rStyle w:val="Hypertextovodkaz"/>
            <w:noProof/>
          </w:rPr>
          <w:t>Ukazatel rentability</w:t>
        </w:r>
        <w:r>
          <w:rPr>
            <w:noProof/>
            <w:webHidden/>
          </w:rPr>
          <w:tab/>
        </w:r>
        <w:r>
          <w:rPr>
            <w:noProof/>
            <w:webHidden/>
          </w:rPr>
          <w:fldChar w:fldCharType="begin"/>
        </w:r>
        <w:r>
          <w:rPr>
            <w:noProof/>
            <w:webHidden/>
          </w:rPr>
          <w:instrText xml:space="preserve"> PAGEREF _Toc417564157 \h </w:instrText>
        </w:r>
        <w:r>
          <w:rPr>
            <w:noProof/>
            <w:webHidden/>
          </w:rPr>
        </w:r>
        <w:r>
          <w:rPr>
            <w:noProof/>
            <w:webHidden/>
          </w:rPr>
          <w:fldChar w:fldCharType="separate"/>
        </w:r>
        <w:r>
          <w:rPr>
            <w:noProof/>
            <w:webHidden/>
          </w:rPr>
          <w:t>20</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58" w:history="1">
        <w:r w:rsidRPr="005306FE">
          <w:rPr>
            <w:rStyle w:val="Hypertextovodkaz"/>
            <w:noProof/>
          </w:rPr>
          <w:t>2.2.3</w:t>
        </w:r>
        <w:r>
          <w:rPr>
            <w:rFonts w:asciiTheme="minorHAnsi" w:eastAsiaTheme="minorEastAsia" w:hAnsiTheme="minorHAnsi" w:cstheme="minorBidi"/>
            <w:noProof/>
            <w:sz w:val="22"/>
            <w:lang w:eastAsia="cs-CZ"/>
          </w:rPr>
          <w:tab/>
        </w:r>
        <w:r w:rsidRPr="005306FE">
          <w:rPr>
            <w:rStyle w:val="Hypertextovodkaz"/>
            <w:noProof/>
          </w:rPr>
          <w:t>Ukazatel aktivity (řízení)</w:t>
        </w:r>
        <w:r>
          <w:rPr>
            <w:noProof/>
            <w:webHidden/>
          </w:rPr>
          <w:tab/>
        </w:r>
        <w:r>
          <w:rPr>
            <w:noProof/>
            <w:webHidden/>
          </w:rPr>
          <w:fldChar w:fldCharType="begin"/>
        </w:r>
        <w:r>
          <w:rPr>
            <w:noProof/>
            <w:webHidden/>
          </w:rPr>
          <w:instrText xml:space="preserve"> PAGEREF _Toc417564158 \h </w:instrText>
        </w:r>
        <w:r>
          <w:rPr>
            <w:noProof/>
            <w:webHidden/>
          </w:rPr>
        </w:r>
        <w:r>
          <w:rPr>
            <w:noProof/>
            <w:webHidden/>
          </w:rPr>
          <w:fldChar w:fldCharType="separate"/>
        </w:r>
        <w:r>
          <w:rPr>
            <w:noProof/>
            <w:webHidden/>
          </w:rPr>
          <w:t>22</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59" w:history="1">
        <w:r w:rsidRPr="005306FE">
          <w:rPr>
            <w:rStyle w:val="Hypertextovodkaz"/>
            <w:noProof/>
          </w:rPr>
          <w:t>2.2.4</w:t>
        </w:r>
        <w:r>
          <w:rPr>
            <w:rFonts w:asciiTheme="minorHAnsi" w:eastAsiaTheme="minorEastAsia" w:hAnsiTheme="minorHAnsi" w:cstheme="minorBidi"/>
            <w:noProof/>
            <w:sz w:val="22"/>
            <w:lang w:eastAsia="cs-CZ"/>
          </w:rPr>
          <w:tab/>
        </w:r>
        <w:r w:rsidRPr="005306FE">
          <w:rPr>
            <w:rStyle w:val="Hypertextovodkaz"/>
            <w:noProof/>
          </w:rPr>
          <w:t>Ukazatel zadluženosti</w:t>
        </w:r>
        <w:r>
          <w:rPr>
            <w:noProof/>
            <w:webHidden/>
          </w:rPr>
          <w:tab/>
        </w:r>
        <w:r>
          <w:rPr>
            <w:noProof/>
            <w:webHidden/>
          </w:rPr>
          <w:fldChar w:fldCharType="begin"/>
        </w:r>
        <w:r>
          <w:rPr>
            <w:noProof/>
            <w:webHidden/>
          </w:rPr>
          <w:instrText xml:space="preserve"> PAGEREF _Toc417564159 \h </w:instrText>
        </w:r>
        <w:r>
          <w:rPr>
            <w:noProof/>
            <w:webHidden/>
          </w:rPr>
        </w:r>
        <w:r>
          <w:rPr>
            <w:noProof/>
            <w:webHidden/>
          </w:rPr>
          <w:fldChar w:fldCharType="separate"/>
        </w:r>
        <w:r>
          <w:rPr>
            <w:noProof/>
            <w:webHidden/>
          </w:rPr>
          <w:t>24</w:t>
        </w:r>
        <w:r>
          <w:rPr>
            <w:noProof/>
            <w:webHidden/>
          </w:rPr>
          <w:fldChar w:fldCharType="end"/>
        </w:r>
      </w:hyperlink>
    </w:p>
    <w:p w:rsidR="00FA2E31" w:rsidRDefault="00FA2E31">
      <w:pPr>
        <w:pStyle w:val="Obsah2"/>
        <w:tabs>
          <w:tab w:val="left" w:pos="880"/>
          <w:tab w:val="right" w:leader="dot" w:pos="9060"/>
        </w:tabs>
        <w:rPr>
          <w:rFonts w:asciiTheme="minorHAnsi" w:eastAsiaTheme="minorEastAsia" w:hAnsiTheme="minorHAnsi" w:cstheme="minorBidi"/>
          <w:noProof/>
          <w:sz w:val="22"/>
          <w:lang w:eastAsia="cs-CZ"/>
        </w:rPr>
      </w:pPr>
      <w:hyperlink w:anchor="_Toc417564160" w:history="1">
        <w:r w:rsidRPr="005306FE">
          <w:rPr>
            <w:rStyle w:val="Hypertextovodkaz"/>
            <w:noProof/>
          </w:rPr>
          <w:t>2.3</w:t>
        </w:r>
        <w:r>
          <w:rPr>
            <w:rFonts w:asciiTheme="minorHAnsi" w:eastAsiaTheme="minorEastAsia" w:hAnsiTheme="minorHAnsi" w:cstheme="minorBidi"/>
            <w:noProof/>
            <w:sz w:val="22"/>
            <w:lang w:eastAsia="cs-CZ"/>
          </w:rPr>
          <w:tab/>
        </w:r>
        <w:r w:rsidRPr="005306FE">
          <w:rPr>
            <w:rStyle w:val="Hypertextovodkaz"/>
            <w:noProof/>
          </w:rPr>
          <w:t>Analýza rozdílových ukazatelů</w:t>
        </w:r>
        <w:r>
          <w:rPr>
            <w:noProof/>
            <w:webHidden/>
          </w:rPr>
          <w:tab/>
        </w:r>
        <w:r>
          <w:rPr>
            <w:noProof/>
            <w:webHidden/>
          </w:rPr>
          <w:fldChar w:fldCharType="begin"/>
        </w:r>
        <w:r>
          <w:rPr>
            <w:noProof/>
            <w:webHidden/>
          </w:rPr>
          <w:instrText xml:space="preserve"> PAGEREF _Toc417564160 \h </w:instrText>
        </w:r>
        <w:r>
          <w:rPr>
            <w:noProof/>
            <w:webHidden/>
          </w:rPr>
        </w:r>
        <w:r>
          <w:rPr>
            <w:noProof/>
            <w:webHidden/>
          </w:rPr>
          <w:fldChar w:fldCharType="separate"/>
        </w:r>
        <w:r>
          <w:rPr>
            <w:noProof/>
            <w:webHidden/>
          </w:rPr>
          <w:t>25</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61" w:history="1">
        <w:r w:rsidRPr="005306FE">
          <w:rPr>
            <w:rStyle w:val="Hypertextovodkaz"/>
            <w:noProof/>
          </w:rPr>
          <w:t>2.3.1</w:t>
        </w:r>
        <w:r>
          <w:rPr>
            <w:rFonts w:asciiTheme="minorHAnsi" w:eastAsiaTheme="minorEastAsia" w:hAnsiTheme="minorHAnsi" w:cstheme="minorBidi"/>
            <w:noProof/>
            <w:sz w:val="22"/>
            <w:lang w:eastAsia="cs-CZ"/>
          </w:rPr>
          <w:tab/>
        </w:r>
        <w:r w:rsidRPr="005306FE">
          <w:rPr>
            <w:rStyle w:val="Hypertextovodkaz"/>
            <w:noProof/>
          </w:rPr>
          <w:t>Čistý pracovní kapitál</w:t>
        </w:r>
        <w:r>
          <w:rPr>
            <w:noProof/>
            <w:webHidden/>
          </w:rPr>
          <w:tab/>
        </w:r>
        <w:r>
          <w:rPr>
            <w:noProof/>
            <w:webHidden/>
          </w:rPr>
          <w:fldChar w:fldCharType="begin"/>
        </w:r>
        <w:r>
          <w:rPr>
            <w:noProof/>
            <w:webHidden/>
          </w:rPr>
          <w:instrText xml:space="preserve"> PAGEREF _Toc417564161 \h </w:instrText>
        </w:r>
        <w:r>
          <w:rPr>
            <w:noProof/>
            <w:webHidden/>
          </w:rPr>
        </w:r>
        <w:r>
          <w:rPr>
            <w:noProof/>
            <w:webHidden/>
          </w:rPr>
          <w:fldChar w:fldCharType="separate"/>
        </w:r>
        <w:r>
          <w:rPr>
            <w:noProof/>
            <w:webHidden/>
          </w:rPr>
          <w:t>25</w:t>
        </w:r>
        <w:r>
          <w:rPr>
            <w:noProof/>
            <w:webHidden/>
          </w:rPr>
          <w:fldChar w:fldCharType="end"/>
        </w:r>
      </w:hyperlink>
    </w:p>
    <w:p w:rsidR="00FA2E31" w:rsidRDefault="00FA2E31">
      <w:pPr>
        <w:pStyle w:val="Obsah2"/>
        <w:tabs>
          <w:tab w:val="left" w:pos="880"/>
          <w:tab w:val="right" w:leader="dot" w:pos="9060"/>
        </w:tabs>
        <w:rPr>
          <w:rFonts w:asciiTheme="minorHAnsi" w:eastAsiaTheme="minorEastAsia" w:hAnsiTheme="minorHAnsi" w:cstheme="minorBidi"/>
          <w:noProof/>
          <w:sz w:val="22"/>
          <w:lang w:eastAsia="cs-CZ"/>
        </w:rPr>
      </w:pPr>
      <w:hyperlink w:anchor="_Toc417564162" w:history="1">
        <w:r w:rsidRPr="005306FE">
          <w:rPr>
            <w:rStyle w:val="Hypertextovodkaz"/>
            <w:noProof/>
          </w:rPr>
          <w:t>2.4</w:t>
        </w:r>
        <w:r>
          <w:rPr>
            <w:rFonts w:asciiTheme="minorHAnsi" w:eastAsiaTheme="minorEastAsia" w:hAnsiTheme="minorHAnsi" w:cstheme="minorBidi"/>
            <w:noProof/>
            <w:sz w:val="22"/>
            <w:lang w:eastAsia="cs-CZ"/>
          </w:rPr>
          <w:tab/>
        </w:r>
        <w:r w:rsidRPr="005306FE">
          <w:rPr>
            <w:rStyle w:val="Hypertextovodkaz"/>
            <w:noProof/>
          </w:rPr>
          <w:t>Analýza soustav ukazatelů</w:t>
        </w:r>
        <w:r>
          <w:rPr>
            <w:noProof/>
            <w:webHidden/>
          </w:rPr>
          <w:tab/>
        </w:r>
        <w:r>
          <w:rPr>
            <w:noProof/>
            <w:webHidden/>
          </w:rPr>
          <w:fldChar w:fldCharType="begin"/>
        </w:r>
        <w:r>
          <w:rPr>
            <w:noProof/>
            <w:webHidden/>
          </w:rPr>
          <w:instrText xml:space="preserve"> PAGEREF _Toc417564162 \h </w:instrText>
        </w:r>
        <w:r>
          <w:rPr>
            <w:noProof/>
            <w:webHidden/>
          </w:rPr>
        </w:r>
        <w:r>
          <w:rPr>
            <w:noProof/>
            <w:webHidden/>
          </w:rPr>
          <w:fldChar w:fldCharType="separate"/>
        </w:r>
        <w:r>
          <w:rPr>
            <w:noProof/>
            <w:webHidden/>
          </w:rPr>
          <w:t>25</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63" w:history="1">
        <w:r w:rsidRPr="005306FE">
          <w:rPr>
            <w:rStyle w:val="Hypertextovodkaz"/>
            <w:noProof/>
          </w:rPr>
          <w:t>2.4.1</w:t>
        </w:r>
        <w:r>
          <w:rPr>
            <w:rFonts w:asciiTheme="minorHAnsi" w:eastAsiaTheme="minorEastAsia" w:hAnsiTheme="minorHAnsi" w:cstheme="minorBidi"/>
            <w:noProof/>
            <w:sz w:val="22"/>
            <w:lang w:eastAsia="cs-CZ"/>
          </w:rPr>
          <w:tab/>
        </w:r>
        <w:r w:rsidRPr="005306FE">
          <w:rPr>
            <w:rStyle w:val="Hypertextovodkaz"/>
            <w:noProof/>
          </w:rPr>
          <w:t>Pyramidový rozklad rentability vlastního kapitálu</w:t>
        </w:r>
        <w:r>
          <w:rPr>
            <w:noProof/>
            <w:webHidden/>
          </w:rPr>
          <w:tab/>
        </w:r>
        <w:r>
          <w:rPr>
            <w:noProof/>
            <w:webHidden/>
          </w:rPr>
          <w:fldChar w:fldCharType="begin"/>
        </w:r>
        <w:r>
          <w:rPr>
            <w:noProof/>
            <w:webHidden/>
          </w:rPr>
          <w:instrText xml:space="preserve"> PAGEREF _Toc417564163 \h </w:instrText>
        </w:r>
        <w:r>
          <w:rPr>
            <w:noProof/>
            <w:webHidden/>
          </w:rPr>
        </w:r>
        <w:r>
          <w:rPr>
            <w:noProof/>
            <w:webHidden/>
          </w:rPr>
          <w:fldChar w:fldCharType="separate"/>
        </w:r>
        <w:r>
          <w:rPr>
            <w:noProof/>
            <w:webHidden/>
          </w:rPr>
          <w:t>26</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64" w:history="1">
        <w:r w:rsidRPr="005306FE">
          <w:rPr>
            <w:rStyle w:val="Hypertextovodkaz"/>
            <w:noProof/>
          </w:rPr>
          <w:t>2.4.2</w:t>
        </w:r>
        <w:r>
          <w:rPr>
            <w:rFonts w:asciiTheme="minorHAnsi" w:eastAsiaTheme="minorEastAsia" w:hAnsiTheme="minorHAnsi" w:cstheme="minorBidi"/>
            <w:noProof/>
            <w:sz w:val="22"/>
            <w:lang w:eastAsia="cs-CZ"/>
          </w:rPr>
          <w:tab/>
        </w:r>
        <w:r w:rsidRPr="005306FE">
          <w:rPr>
            <w:rStyle w:val="Hypertextovodkaz"/>
            <w:noProof/>
          </w:rPr>
          <w:t>Bankrotní modely</w:t>
        </w:r>
        <w:r>
          <w:rPr>
            <w:noProof/>
            <w:webHidden/>
          </w:rPr>
          <w:tab/>
        </w:r>
        <w:r>
          <w:rPr>
            <w:noProof/>
            <w:webHidden/>
          </w:rPr>
          <w:fldChar w:fldCharType="begin"/>
        </w:r>
        <w:r>
          <w:rPr>
            <w:noProof/>
            <w:webHidden/>
          </w:rPr>
          <w:instrText xml:space="preserve"> PAGEREF _Toc417564164 \h </w:instrText>
        </w:r>
        <w:r>
          <w:rPr>
            <w:noProof/>
            <w:webHidden/>
          </w:rPr>
        </w:r>
        <w:r>
          <w:rPr>
            <w:noProof/>
            <w:webHidden/>
          </w:rPr>
          <w:fldChar w:fldCharType="separate"/>
        </w:r>
        <w:r>
          <w:rPr>
            <w:noProof/>
            <w:webHidden/>
          </w:rPr>
          <w:t>27</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65" w:history="1">
        <w:r w:rsidRPr="005306FE">
          <w:rPr>
            <w:rStyle w:val="Hypertextovodkaz"/>
            <w:noProof/>
          </w:rPr>
          <w:t>2.4.3</w:t>
        </w:r>
        <w:r>
          <w:rPr>
            <w:rFonts w:asciiTheme="minorHAnsi" w:eastAsiaTheme="minorEastAsia" w:hAnsiTheme="minorHAnsi" w:cstheme="minorBidi"/>
            <w:noProof/>
            <w:sz w:val="22"/>
            <w:lang w:eastAsia="cs-CZ"/>
          </w:rPr>
          <w:tab/>
        </w:r>
        <w:r w:rsidRPr="005306FE">
          <w:rPr>
            <w:rStyle w:val="Hypertextovodkaz"/>
            <w:noProof/>
          </w:rPr>
          <w:t>Bonitní model</w:t>
        </w:r>
        <w:r>
          <w:rPr>
            <w:noProof/>
            <w:webHidden/>
          </w:rPr>
          <w:tab/>
        </w:r>
        <w:r>
          <w:rPr>
            <w:noProof/>
            <w:webHidden/>
          </w:rPr>
          <w:fldChar w:fldCharType="begin"/>
        </w:r>
        <w:r>
          <w:rPr>
            <w:noProof/>
            <w:webHidden/>
          </w:rPr>
          <w:instrText xml:space="preserve"> PAGEREF _Toc417564165 \h </w:instrText>
        </w:r>
        <w:r>
          <w:rPr>
            <w:noProof/>
            <w:webHidden/>
          </w:rPr>
        </w:r>
        <w:r>
          <w:rPr>
            <w:noProof/>
            <w:webHidden/>
          </w:rPr>
          <w:fldChar w:fldCharType="separate"/>
        </w:r>
        <w:r>
          <w:rPr>
            <w:noProof/>
            <w:webHidden/>
          </w:rPr>
          <w:t>28</w:t>
        </w:r>
        <w:r>
          <w:rPr>
            <w:noProof/>
            <w:webHidden/>
          </w:rPr>
          <w:fldChar w:fldCharType="end"/>
        </w:r>
      </w:hyperlink>
    </w:p>
    <w:p w:rsidR="00FA2E31" w:rsidRDefault="00FA2E31">
      <w:pPr>
        <w:pStyle w:val="Obsah1"/>
        <w:tabs>
          <w:tab w:val="right" w:leader="dot" w:pos="9060"/>
        </w:tabs>
        <w:rPr>
          <w:rFonts w:asciiTheme="minorHAnsi" w:eastAsiaTheme="minorEastAsia" w:hAnsiTheme="minorHAnsi" w:cstheme="minorBidi"/>
          <w:noProof/>
          <w:sz w:val="22"/>
          <w:lang w:eastAsia="cs-CZ"/>
        </w:rPr>
      </w:pPr>
      <w:hyperlink w:anchor="_Toc417564166" w:history="1">
        <w:r w:rsidRPr="005306FE">
          <w:rPr>
            <w:rStyle w:val="Hypertextovodkaz"/>
            <w:noProof/>
          </w:rPr>
          <w:t>PRAKTICKÁ ČÁST</w:t>
        </w:r>
        <w:r>
          <w:rPr>
            <w:noProof/>
            <w:webHidden/>
          </w:rPr>
          <w:tab/>
        </w:r>
        <w:r>
          <w:rPr>
            <w:noProof/>
            <w:webHidden/>
          </w:rPr>
          <w:fldChar w:fldCharType="begin"/>
        </w:r>
        <w:r>
          <w:rPr>
            <w:noProof/>
            <w:webHidden/>
          </w:rPr>
          <w:instrText xml:space="preserve"> PAGEREF _Toc417564166 \h </w:instrText>
        </w:r>
        <w:r>
          <w:rPr>
            <w:noProof/>
            <w:webHidden/>
          </w:rPr>
        </w:r>
        <w:r>
          <w:rPr>
            <w:noProof/>
            <w:webHidden/>
          </w:rPr>
          <w:fldChar w:fldCharType="separate"/>
        </w:r>
        <w:r>
          <w:rPr>
            <w:noProof/>
            <w:webHidden/>
          </w:rPr>
          <w:t>30</w:t>
        </w:r>
        <w:r>
          <w:rPr>
            <w:noProof/>
            <w:webHidden/>
          </w:rPr>
          <w:fldChar w:fldCharType="end"/>
        </w:r>
      </w:hyperlink>
    </w:p>
    <w:p w:rsidR="00FA2E31" w:rsidRDefault="00FA2E31">
      <w:pPr>
        <w:pStyle w:val="Obsah1"/>
        <w:tabs>
          <w:tab w:val="left" w:pos="440"/>
          <w:tab w:val="right" w:leader="dot" w:pos="9060"/>
        </w:tabs>
        <w:rPr>
          <w:rFonts w:asciiTheme="minorHAnsi" w:eastAsiaTheme="minorEastAsia" w:hAnsiTheme="minorHAnsi" w:cstheme="minorBidi"/>
          <w:noProof/>
          <w:sz w:val="22"/>
          <w:lang w:eastAsia="cs-CZ"/>
        </w:rPr>
      </w:pPr>
      <w:hyperlink w:anchor="_Toc417564167" w:history="1">
        <w:r w:rsidRPr="005306FE">
          <w:rPr>
            <w:rStyle w:val="Hypertextovodkaz"/>
            <w:noProof/>
          </w:rPr>
          <w:t>3</w:t>
        </w:r>
        <w:r>
          <w:rPr>
            <w:rFonts w:asciiTheme="minorHAnsi" w:eastAsiaTheme="minorEastAsia" w:hAnsiTheme="minorHAnsi" w:cstheme="minorBidi"/>
            <w:noProof/>
            <w:sz w:val="22"/>
            <w:lang w:eastAsia="cs-CZ"/>
          </w:rPr>
          <w:tab/>
        </w:r>
        <w:r w:rsidRPr="005306FE">
          <w:rPr>
            <w:rStyle w:val="Hypertextovodkaz"/>
            <w:noProof/>
          </w:rPr>
          <w:t>O společnosti FOCAM, spol. s. r. o.</w:t>
        </w:r>
        <w:r>
          <w:rPr>
            <w:noProof/>
            <w:webHidden/>
          </w:rPr>
          <w:tab/>
        </w:r>
        <w:r>
          <w:rPr>
            <w:noProof/>
            <w:webHidden/>
          </w:rPr>
          <w:fldChar w:fldCharType="begin"/>
        </w:r>
        <w:r>
          <w:rPr>
            <w:noProof/>
            <w:webHidden/>
          </w:rPr>
          <w:instrText xml:space="preserve"> PAGEREF _Toc417564167 \h </w:instrText>
        </w:r>
        <w:r>
          <w:rPr>
            <w:noProof/>
            <w:webHidden/>
          </w:rPr>
        </w:r>
        <w:r>
          <w:rPr>
            <w:noProof/>
            <w:webHidden/>
          </w:rPr>
          <w:fldChar w:fldCharType="separate"/>
        </w:r>
        <w:r>
          <w:rPr>
            <w:noProof/>
            <w:webHidden/>
          </w:rPr>
          <w:t>30</w:t>
        </w:r>
        <w:r>
          <w:rPr>
            <w:noProof/>
            <w:webHidden/>
          </w:rPr>
          <w:fldChar w:fldCharType="end"/>
        </w:r>
      </w:hyperlink>
    </w:p>
    <w:p w:rsidR="00FA2E31" w:rsidRDefault="00FA2E31">
      <w:pPr>
        <w:pStyle w:val="Obsah1"/>
        <w:tabs>
          <w:tab w:val="left" w:pos="440"/>
          <w:tab w:val="right" w:leader="dot" w:pos="9060"/>
        </w:tabs>
        <w:rPr>
          <w:rFonts w:asciiTheme="minorHAnsi" w:eastAsiaTheme="minorEastAsia" w:hAnsiTheme="minorHAnsi" w:cstheme="minorBidi"/>
          <w:noProof/>
          <w:sz w:val="22"/>
          <w:lang w:eastAsia="cs-CZ"/>
        </w:rPr>
      </w:pPr>
      <w:hyperlink w:anchor="_Toc417564168" w:history="1">
        <w:r w:rsidRPr="005306FE">
          <w:rPr>
            <w:rStyle w:val="Hypertextovodkaz"/>
            <w:noProof/>
          </w:rPr>
          <w:t>4</w:t>
        </w:r>
        <w:r>
          <w:rPr>
            <w:rFonts w:asciiTheme="minorHAnsi" w:eastAsiaTheme="minorEastAsia" w:hAnsiTheme="minorHAnsi" w:cstheme="minorBidi"/>
            <w:noProof/>
            <w:sz w:val="22"/>
            <w:lang w:eastAsia="cs-CZ"/>
          </w:rPr>
          <w:tab/>
        </w:r>
        <w:r w:rsidRPr="005306FE">
          <w:rPr>
            <w:rStyle w:val="Hypertextovodkaz"/>
            <w:noProof/>
          </w:rPr>
          <w:t>Finanční analýza společnosti FOCAM, spol. s. r. o.</w:t>
        </w:r>
        <w:r>
          <w:rPr>
            <w:noProof/>
            <w:webHidden/>
          </w:rPr>
          <w:tab/>
        </w:r>
        <w:r>
          <w:rPr>
            <w:noProof/>
            <w:webHidden/>
          </w:rPr>
          <w:fldChar w:fldCharType="begin"/>
        </w:r>
        <w:r>
          <w:rPr>
            <w:noProof/>
            <w:webHidden/>
          </w:rPr>
          <w:instrText xml:space="preserve"> PAGEREF _Toc417564168 \h </w:instrText>
        </w:r>
        <w:r>
          <w:rPr>
            <w:noProof/>
            <w:webHidden/>
          </w:rPr>
        </w:r>
        <w:r>
          <w:rPr>
            <w:noProof/>
            <w:webHidden/>
          </w:rPr>
          <w:fldChar w:fldCharType="separate"/>
        </w:r>
        <w:r>
          <w:rPr>
            <w:noProof/>
            <w:webHidden/>
          </w:rPr>
          <w:t>31</w:t>
        </w:r>
        <w:r>
          <w:rPr>
            <w:noProof/>
            <w:webHidden/>
          </w:rPr>
          <w:fldChar w:fldCharType="end"/>
        </w:r>
      </w:hyperlink>
    </w:p>
    <w:p w:rsidR="00FA2E31" w:rsidRDefault="00FA2E31">
      <w:pPr>
        <w:pStyle w:val="Obsah2"/>
        <w:tabs>
          <w:tab w:val="left" w:pos="880"/>
          <w:tab w:val="right" w:leader="dot" w:pos="9060"/>
        </w:tabs>
        <w:rPr>
          <w:rFonts w:asciiTheme="minorHAnsi" w:eastAsiaTheme="minorEastAsia" w:hAnsiTheme="minorHAnsi" w:cstheme="minorBidi"/>
          <w:noProof/>
          <w:sz w:val="22"/>
          <w:lang w:eastAsia="cs-CZ"/>
        </w:rPr>
      </w:pPr>
      <w:hyperlink w:anchor="_Toc417564169" w:history="1">
        <w:r w:rsidRPr="005306FE">
          <w:rPr>
            <w:rStyle w:val="Hypertextovodkaz"/>
            <w:noProof/>
          </w:rPr>
          <w:t>4.1</w:t>
        </w:r>
        <w:r>
          <w:rPr>
            <w:rFonts w:asciiTheme="minorHAnsi" w:eastAsiaTheme="minorEastAsia" w:hAnsiTheme="minorHAnsi" w:cstheme="minorBidi"/>
            <w:noProof/>
            <w:sz w:val="22"/>
            <w:lang w:eastAsia="cs-CZ"/>
          </w:rPr>
          <w:tab/>
        </w:r>
        <w:r w:rsidRPr="005306FE">
          <w:rPr>
            <w:rStyle w:val="Hypertextovodkaz"/>
            <w:noProof/>
          </w:rPr>
          <w:t>Analýza absolutních ukazatelů</w:t>
        </w:r>
        <w:r>
          <w:rPr>
            <w:noProof/>
            <w:webHidden/>
          </w:rPr>
          <w:tab/>
        </w:r>
        <w:r>
          <w:rPr>
            <w:noProof/>
            <w:webHidden/>
          </w:rPr>
          <w:fldChar w:fldCharType="begin"/>
        </w:r>
        <w:r>
          <w:rPr>
            <w:noProof/>
            <w:webHidden/>
          </w:rPr>
          <w:instrText xml:space="preserve"> PAGEREF _Toc417564169 \h </w:instrText>
        </w:r>
        <w:r>
          <w:rPr>
            <w:noProof/>
            <w:webHidden/>
          </w:rPr>
        </w:r>
        <w:r>
          <w:rPr>
            <w:noProof/>
            <w:webHidden/>
          </w:rPr>
          <w:fldChar w:fldCharType="separate"/>
        </w:r>
        <w:r>
          <w:rPr>
            <w:noProof/>
            <w:webHidden/>
          </w:rPr>
          <w:t>31</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70" w:history="1">
        <w:r w:rsidRPr="005306FE">
          <w:rPr>
            <w:rStyle w:val="Hypertextovodkaz"/>
            <w:noProof/>
          </w:rPr>
          <w:t>4.1.1</w:t>
        </w:r>
        <w:r>
          <w:rPr>
            <w:rFonts w:asciiTheme="minorHAnsi" w:eastAsiaTheme="minorEastAsia" w:hAnsiTheme="minorHAnsi" w:cstheme="minorBidi"/>
            <w:noProof/>
            <w:sz w:val="22"/>
            <w:lang w:eastAsia="cs-CZ"/>
          </w:rPr>
          <w:tab/>
        </w:r>
        <w:r w:rsidRPr="005306FE">
          <w:rPr>
            <w:rStyle w:val="Hypertextovodkaz"/>
            <w:noProof/>
          </w:rPr>
          <w:t>Horizontální analýza aktiv</w:t>
        </w:r>
        <w:r>
          <w:rPr>
            <w:noProof/>
            <w:webHidden/>
          </w:rPr>
          <w:tab/>
        </w:r>
        <w:r>
          <w:rPr>
            <w:noProof/>
            <w:webHidden/>
          </w:rPr>
          <w:fldChar w:fldCharType="begin"/>
        </w:r>
        <w:r>
          <w:rPr>
            <w:noProof/>
            <w:webHidden/>
          </w:rPr>
          <w:instrText xml:space="preserve"> PAGEREF _Toc417564170 \h </w:instrText>
        </w:r>
        <w:r>
          <w:rPr>
            <w:noProof/>
            <w:webHidden/>
          </w:rPr>
        </w:r>
        <w:r>
          <w:rPr>
            <w:noProof/>
            <w:webHidden/>
          </w:rPr>
          <w:fldChar w:fldCharType="separate"/>
        </w:r>
        <w:r>
          <w:rPr>
            <w:noProof/>
            <w:webHidden/>
          </w:rPr>
          <w:t>31</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71" w:history="1">
        <w:r w:rsidRPr="005306FE">
          <w:rPr>
            <w:rStyle w:val="Hypertextovodkaz"/>
            <w:noProof/>
          </w:rPr>
          <w:t>4.1.2</w:t>
        </w:r>
        <w:r>
          <w:rPr>
            <w:rFonts w:asciiTheme="minorHAnsi" w:eastAsiaTheme="minorEastAsia" w:hAnsiTheme="minorHAnsi" w:cstheme="minorBidi"/>
            <w:noProof/>
            <w:sz w:val="22"/>
            <w:lang w:eastAsia="cs-CZ"/>
          </w:rPr>
          <w:tab/>
        </w:r>
        <w:r w:rsidRPr="005306FE">
          <w:rPr>
            <w:rStyle w:val="Hypertextovodkaz"/>
            <w:noProof/>
          </w:rPr>
          <w:t>Horizontální analýza pasiv</w:t>
        </w:r>
        <w:r>
          <w:rPr>
            <w:noProof/>
            <w:webHidden/>
          </w:rPr>
          <w:tab/>
        </w:r>
        <w:r>
          <w:rPr>
            <w:noProof/>
            <w:webHidden/>
          </w:rPr>
          <w:fldChar w:fldCharType="begin"/>
        </w:r>
        <w:r>
          <w:rPr>
            <w:noProof/>
            <w:webHidden/>
          </w:rPr>
          <w:instrText xml:space="preserve"> PAGEREF _Toc417564171 \h </w:instrText>
        </w:r>
        <w:r>
          <w:rPr>
            <w:noProof/>
            <w:webHidden/>
          </w:rPr>
        </w:r>
        <w:r>
          <w:rPr>
            <w:noProof/>
            <w:webHidden/>
          </w:rPr>
          <w:fldChar w:fldCharType="separate"/>
        </w:r>
        <w:r>
          <w:rPr>
            <w:noProof/>
            <w:webHidden/>
          </w:rPr>
          <w:t>32</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72" w:history="1">
        <w:r w:rsidRPr="005306FE">
          <w:rPr>
            <w:rStyle w:val="Hypertextovodkaz"/>
            <w:noProof/>
          </w:rPr>
          <w:t>4.1.3</w:t>
        </w:r>
        <w:r>
          <w:rPr>
            <w:rFonts w:asciiTheme="minorHAnsi" w:eastAsiaTheme="minorEastAsia" w:hAnsiTheme="minorHAnsi" w:cstheme="minorBidi"/>
            <w:noProof/>
            <w:sz w:val="22"/>
            <w:lang w:eastAsia="cs-CZ"/>
          </w:rPr>
          <w:tab/>
        </w:r>
        <w:r w:rsidRPr="005306FE">
          <w:rPr>
            <w:rStyle w:val="Hypertextovodkaz"/>
            <w:noProof/>
          </w:rPr>
          <w:t>Horizontální analýza výkazu zisku a ztrát</w:t>
        </w:r>
        <w:r>
          <w:rPr>
            <w:noProof/>
            <w:webHidden/>
          </w:rPr>
          <w:tab/>
        </w:r>
        <w:r>
          <w:rPr>
            <w:noProof/>
            <w:webHidden/>
          </w:rPr>
          <w:fldChar w:fldCharType="begin"/>
        </w:r>
        <w:r>
          <w:rPr>
            <w:noProof/>
            <w:webHidden/>
          </w:rPr>
          <w:instrText xml:space="preserve"> PAGEREF _Toc417564172 \h </w:instrText>
        </w:r>
        <w:r>
          <w:rPr>
            <w:noProof/>
            <w:webHidden/>
          </w:rPr>
        </w:r>
        <w:r>
          <w:rPr>
            <w:noProof/>
            <w:webHidden/>
          </w:rPr>
          <w:fldChar w:fldCharType="separate"/>
        </w:r>
        <w:r>
          <w:rPr>
            <w:noProof/>
            <w:webHidden/>
          </w:rPr>
          <w:t>33</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73" w:history="1">
        <w:r w:rsidRPr="005306FE">
          <w:rPr>
            <w:rStyle w:val="Hypertextovodkaz"/>
            <w:noProof/>
          </w:rPr>
          <w:t>4.1.4</w:t>
        </w:r>
        <w:r>
          <w:rPr>
            <w:rFonts w:asciiTheme="minorHAnsi" w:eastAsiaTheme="minorEastAsia" w:hAnsiTheme="minorHAnsi" w:cstheme="minorBidi"/>
            <w:noProof/>
            <w:sz w:val="22"/>
            <w:lang w:eastAsia="cs-CZ"/>
          </w:rPr>
          <w:tab/>
        </w:r>
        <w:r w:rsidRPr="005306FE">
          <w:rPr>
            <w:rStyle w:val="Hypertextovodkaz"/>
            <w:noProof/>
          </w:rPr>
          <w:t>Vertikální analýza aktiv</w:t>
        </w:r>
        <w:r>
          <w:rPr>
            <w:noProof/>
            <w:webHidden/>
          </w:rPr>
          <w:tab/>
        </w:r>
        <w:r>
          <w:rPr>
            <w:noProof/>
            <w:webHidden/>
          </w:rPr>
          <w:fldChar w:fldCharType="begin"/>
        </w:r>
        <w:r>
          <w:rPr>
            <w:noProof/>
            <w:webHidden/>
          </w:rPr>
          <w:instrText xml:space="preserve"> PAGEREF _Toc417564173 \h </w:instrText>
        </w:r>
        <w:r>
          <w:rPr>
            <w:noProof/>
            <w:webHidden/>
          </w:rPr>
        </w:r>
        <w:r>
          <w:rPr>
            <w:noProof/>
            <w:webHidden/>
          </w:rPr>
          <w:fldChar w:fldCharType="separate"/>
        </w:r>
        <w:r>
          <w:rPr>
            <w:noProof/>
            <w:webHidden/>
          </w:rPr>
          <w:t>34</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74" w:history="1">
        <w:r w:rsidRPr="005306FE">
          <w:rPr>
            <w:rStyle w:val="Hypertextovodkaz"/>
            <w:noProof/>
          </w:rPr>
          <w:t>4.1.5</w:t>
        </w:r>
        <w:r>
          <w:rPr>
            <w:rFonts w:asciiTheme="minorHAnsi" w:eastAsiaTheme="minorEastAsia" w:hAnsiTheme="minorHAnsi" w:cstheme="minorBidi"/>
            <w:noProof/>
            <w:sz w:val="22"/>
            <w:lang w:eastAsia="cs-CZ"/>
          </w:rPr>
          <w:tab/>
        </w:r>
        <w:r w:rsidRPr="005306FE">
          <w:rPr>
            <w:rStyle w:val="Hypertextovodkaz"/>
            <w:noProof/>
          </w:rPr>
          <w:t>Vertikální analýza pasiv</w:t>
        </w:r>
        <w:r>
          <w:rPr>
            <w:noProof/>
            <w:webHidden/>
          </w:rPr>
          <w:tab/>
        </w:r>
        <w:r>
          <w:rPr>
            <w:noProof/>
            <w:webHidden/>
          </w:rPr>
          <w:fldChar w:fldCharType="begin"/>
        </w:r>
        <w:r>
          <w:rPr>
            <w:noProof/>
            <w:webHidden/>
          </w:rPr>
          <w:instrText xml:space="preserve"> PAGEREF _Toc417564174 \h </w:instrText>
        </w:r>
        <w:r>
          <w:rPr>
            <w:noProof/>
            <w:webHidden/>
          </w:rPr>
        </w:r>
        <w:r>
          <w:rPr>
            <w:noProof/>
            <w:webHidden/>
          </w:rPr>
          <w:fldChar w:fldCharType="separate"/>
        </w:r>
        <w:r>
          <w:rPr>
            <w:noProof/>
            <w:webHidden/>
          </w:rPr>
          <w:t>35</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75" w:history="1">
        <w:r w:rsidRPr="005306FE">
          <w:rPr>
            <w:rStyle w:val="Hypertextovodkaz"/>
            <w:noProof/>
          </w:rPr>
          <w:t>4.1.6</w:t>
        </w:r>
        <w:r>
          <w:rPr>
            <w:rFonts w:asciiTheme="minorHAnsi" w:eastAsiaTheme="minorEastAsia" w:hAnsiTheme="minorHAnsi" w:cstheme="minorBidi"/>
            <w:noProof/>
            <w:sz w:val="22"/>
            <w:lang w:eastAsia="cs-CZ"/>
          </w:rPr>
          <w:tab/>
        </w:r>
        <w:r w:rsidRPr="005306FE">
          <w:rPr>
            <w:rStyle w:val="Hypertextovodkaz"/>
            <w:noProof/>
          </w:rPr>
          <w:t>Vertikální analýza výkazu zisku a ztrát</w:t>
        </w:r>
        <w:r>
          <w:rPr>
            <w:noProof/>
            <w:webHidden/>
          </w:rPr>
          <w:tab/>
        </w:r>
        <w:r>
          <w:rPr>
            <w:noProof/>
            <w:webHidden/>
          </w:rPr>
          <w:fldChar w:fldCharType="begin"/>
        </w:r>
        <w:r>
          <w:rPr>
            <w:noProof/>
            <w:webHidden/>
          </w:rPr>
          <w:instrText xml:space="preserve"> PAGEREF _Toc417564175 \h </w:instrText>
        </w:r>
        <w:r>
          <w:rPr>
            <w:noProof/>
            <w:webHidden/>
          </w:rPr>
        </w:r>
        <w:r>
          <w:rPr>
            <w:noProof/>
            <w:webHidden/>
          </w:rPr>
          <w:fldChar w:fldCharType="separate"/>
        </w:r>
        <w:r>
          <w:rPr>
            <w:noProof/>
            <w:webHidden/>
          </w:rPr>
          <w:t>35</w:t>
        </w:r>
        <w:r>
          <w:rPr>
            <w:noProof/>
            <w:webHidden/>
          </w:rPr>
          <w:fldChar w:fldCharType="end"/>
        </w:r>
      </w:hyperlink>
    </w:p>
    <w:p w:rsidR="00FA2E31" w:rsidRDefault="00FA2E31">
      <w:pPr>
        <w:pStyle w:val="Obsah2"/>
        <w:tabs>
          <w:tab w:val="left" w:pos="880"/>
          <w:tab w:val="right" w:leader="dot" w:pos="9060"/>
        </w:tabs>
        <w:rPr>
          <w:rFonts w:asciiTheme="minorHAnsi" w:eastAsiaTheme="minorEastAsia" w:hAnsiTheme="minorHAnsi" w:cstheme="minorBidi"/>
          <w:noProof/>
          <w:sz w:val="22"/>
          <w:lang w:eastAsia="cs-CZ"/>
        </w:rPr>
      </w:pPr>
      <w:hyperlink w:anchor="_Toc417564176" w:history="1">
        <w:r w:rsidRPr="005306FE">
          <w:rPr>
            <w:rStyle w:val="Hypertextovodkaz"/>
            <w:noProof/>
          </w:rPr>
          <w:t>4.2</w:t>
        </w:r>
        <w:r>
          <w:rPr>
            <w:rFonts w:asciiTheme="minorHAnsi" w:eastAsiaTheme="minorEastAsia" w:hAnsiTheme="minorHAnsi" w:cstheme="minorBidi"/>
            <w:noProof/>
            <w:sz w:val="22"/>
            <w:lang w:eastAsia="cs-CZ"/>
          </w:rPr>
          <w:tab/>
        </w:r>
        <w:r w:rsidRPr="005306FE">
          <w:rPr>
            <w:rStyle w:val="Hypertextovodkaz"/>
            <w:noProof/>
          </w:rPr>
          <w:t>Analýza poměrových ukazatelů</w:t>
        </w:r>
        <w:r>
          <w:rPr>
            <w:noProof/>
            <w:webHidden/>
          </w:rPr>
          <w:tab/>
        </w:r>
        <w:r>
          <w:rPr>
            <w:noProof/>
            <w:webHidden/>
          </w:rPr>
          <w:fldChar w:fldCharType="begin"/>
        </w:r>
        <w:r>
          <w:rPr>
            <w:noProof/>
            <w:webHidden/>
          </w:rPr>
          <w:instrText xml:space="preserve"> PAGEREF _Toc417564176 \h </w:instrText>
        </w:r>
        <w:r>
          <w:rPr>
            <w:noProof/>
            <w:webHidden/>
          </w:rPr>
        </w:r>
        <w:r>
          <w:rPr>
            <w:noProof/>
            <w:webHidden/>
          </w:rPr>
          <w:fldChar w:fldCharType="separate"/>
        </w:r>
        <w:r>
          <w:rPr>
            <w:noProof/>
            <w:webHidden/>
          </w:rPr>
          <w:t>36</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77" w:history="1">
        <w:r w:rsidRPr="005306FE">
          <w:rPr>
            <w:rStyle w:val="Hypertextovodkaz"/>
            <w:noProof/>
          </w:rPr>
          <w:t>4.2.1</w:t>
        </w:r>
        <w:r>
          <w:rPr>
            <w:rFonts w:asciiTheme="minorHAnsi" w:eastAsiaTheme="minorEastAsia" w:hAnsiTheme="minorHAnsi" w:cstheme="minorBidi"/>
            <w:noProof/>
            <w:sz w:val="22"/>
            <w:lang w:eastAsia="cs-CZ"/>
          </w:rPr>
          <w:tab/>
        </w:r>
        <w:r w:rsidRPr="005306FE">
          <w:rPr>
            <w:rStyle w:val="Hypertextovodkaz"/>
            <w:noProof/>
          </w:rPr>
          <w:t>Ukazatel likvidity</w:t>
        </w:r>
        <w:r>
          <w:rPr>
            <w:noProof/>
            <w:webHidden/>
          </w:rPr>
          <w:tab/>
        </w:r>
        <w:r>
          <w:rPr>
            <w:noProof/>
            <w:webHidden/>
          </w:rPr>
          <w:fldChar w:fldCharType="begin"/>
        </w:r>
        <w:r>
          <w:rPr>
            <w:noProof/>
            <w:webHidden/>
          </w:rPr>
          <w:instrText xml:space="preserve"> PAGEREF _Toc417564177 \h </w:instrText>
        </w:r>
        <w:r>
          <w:rPr>
            <w:noProof/>
            <w:webHidden/>
          </w:rPr>
        </w:r>
        <w:r>
          <w:rPr>
            <w:noProof/>
            <w:webHidden/>
          </w:rPr>
          <w:fldChar w:fldCharType="separate"/>
        </w:r>
        <w:r>
          <w:rPr>
            <w:noProof/>
            <w:webHidden/>
          </w:rPr>
          <w:t>36</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78" w:history="1">
        <w:r w:rsidRPr="005306FE">
          <w:rPr>
            <w:rStyle w:val="Hypertextovodkaz"/>
            <w:noProof/>
          </w:rPr>
          <w:t>4.2.2</w:t>
        </w:r>
        <w:r>
          <w:rPr>
            <w:rFonts w:asciiTheme="minorHAnsi" w:eastAsiaTheme="minorEastAsia" w:hAnsiTheme="minorHAnsi" w:cstheme="minorBidi"/>
            <w:noProof/>
            <w:sz w:val="22"/>
            <w:lang w:eastAsia="cs-CZ"/>
          </w:rPr>
          <w:tab/>
        </w:r>
        <w:r w:rsidRPr="005306FE">
          <w:rPr>
            <w:rStyle w:val="Hypertextovodkaz"/>
            <w:noProof/>
          </w:rPr>
          <w:t>Ukazatel rentability</w:t>
        </w:r>
        <w:r>
          <w:rPr>
            <w:noProof/>
            <w:webHidden/>
          </w:rPr>
          <w:tab/>
        </w:r>
        <w:r>
          <w:rPr>
            <w:noProof/>
            <w:webHidden/>
          </w:rPr>
          <w:fldChar w:fldCharType="begin"/>
        </w:r>
        <w:r>
          <w:rPr>
            <w:noProof/>
            <w:webHidden/>
          </w:rPr>
          <w:instrText xml:space="preserve"> PAGEREF _Toc417564178 \h </w:instrText>
        </w:r>
        <w:r>
          <w:rPr>
            <w:noProof/>
            <w:webHidden/>
          </w:rPr>
        </w:r>
        <w:r>
          <w:rPr>
            <w:noProof/>
            <w:webHidden/>
          </w:rPr>
          <w:fldChar w:fldCharType="separate"/>
        </w:r>
        <w:r>
          <w:rPr>
            <w:noProof/>
            <w:webHidden/>
          </w:rPr>
          <w:t>37</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79" w:history="1">
        <w:r w:rsidRPr="005306FE">
          <w:rPr>
            <w:rStyle w:val="Hypertextovodkaz"/>
            <w:noProof/>
          </w:rPr>
          <w:t>4.2.3</w:t>
        </w:r>
        <w:r>
          <w:rPr>
            <w:rFonts w:asciiTheme="minorHAnsi" w:eastAsiaTheme="minorEastAsia" w:hAnsiTheme="minorHAnsi" w:cstheme="minorBidi"/>
            <w:noProof/>
            <w:sz w:val="22"/>
            <w:lang w:eastAsia="cs-CZ"/>
          </w:rPr>
          <w:tab/>
        </w:r>
        <w:r w:rsidRPr="005306FE">
          <w:rPr>
            <w:rStyle w:val="Hypertextovodkaz"/>
            <w:noProof/>
          </w:rPr>
          <w:t>Ukazatel aktivity</w:t>
        </w:r>
        <w:r>
          <w:rPr>
            <w:noProof/>
            <w:webHidden/>
          </w:rPr>
          <w:tab/>
        </w:r>
        <w:r>
          <w:rPr>
            <w:noProof/>
            <w:webHidden/>
          </w:rPr>
          <w:fldChar w:fldCharType="begin"/>
        </w:r>
        <w:r>
          <w:rPr>
            <w:noProof/>
            <w:webHidden/>
          </w:rPr>
          <w:instrText xml:space="preserve"> PAGEREF _Toc417564179 \h </w:instrText>
        </w:r>
        <w:r>
          <w:rPr>
            <w:noProof/>
            <w:webHidden/>
          </w:rPr>
        </w:r>
        <w:r>
          <w:rPr>
            <w:noProof/>
            <w:webHidden/>
          </w:rPr>
          <w:fldChar w:fldCharType="separate"/>
        </w:r>
        <w:r>
          <w:rPr>
            <w:noProof/>
            <w:webHidden/>
          </w:rPr>
          <w:t>38</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80" w:history="1">
        <w:r w:rsidRPr="005306FE">
          <w:rPr>
            <w:rStyle w:val="Hypertextovodkaz"/>
            <w:noProof/>
          </w:rPr>
          <w:t>4.2.4</w:t>
        </w:r>
        <w:r>
          <w:rPr>
            <w:rFonts w:asciiTheme="minorHAnsi" w:eastAsiaTheme="minorEastAsia" w:hAnsiTheme="minorHAnsi" w:cstheme="minorBidi"/>
            <w:noProof/>
            <w:sz w:val="22"/>
            <w:lang w:eastAsia="cs-CZ"/>
          </w:rPr>
          <w:tab/>
        </w:r>
        <w:r w:rsidRPr="005306FE">
          <w:rPr>
            <w:rStyle w:val="Hypertextovodkaz"/>
            <w:noProof/>
          </w:rPr>
          <w:t>Ukazatel zadluženosti</w:t>
        </w:r>
        <w:r>
          <w:rPr>
            <w:noProof/>
            <w:webHidden/>
          </w:rPr>
          <w:tab/>
        </w:r>
        <w:r>
          <w:rPr>
            <w:noProof/>
            <w:webHidden/>
          </w:rPr>
          <w:fldChar w:fldCharType="begin"/>
        </w:r>
        <w:r>
          <w:rPr>
            <w:noProof/>
            <w:webHidden/>
          </w:rPr>
          <w:instrText xml:space="preserve"> PAGEREF _Toc417564180 \h </w:instrText>
        </w:r>
        <w:r>
          <w:rPr>
            <w:noProof/>
            <w:webHidden/>
          </w:rPr>
        </w:r>
        <w:r>
          <w:rPr>
            <w:noProof/>
            <w:webHidden/>
          </w:rPr>
          <w:fldChar w:fldCharType="separate"/>
        </w:r>
        <w:r>
          <w:rPr>
            <w:noProof/>
            <w:webHidden/>
          </w:rPr>
          <w:t>39</w:t>
        </w:r>
        <w:r>
          <w:rPr>
            <w:noProof/>
            <w:webHidden/>
          </w:rPr>
          <w:fldChar w:fldCharType="end"/>
        </w:r>
      </w:hyperlink>
    </w:p>
    <w:p w:rsidR="00FA2E31" w:rsidRDefault="00FA2E31">
      <w:pPr>
        <w:pStyle w:val="Obsah2"/>
        <w:tabs>
          <w:tab w:val="left" w:pos="880"/>
          <w:tab w:val="right" w:leader="dot" w:pos="9060"/>
        </w:tabs>
        <w:rPr>
          <w:rFonts w:asciiTheme="minorHAnsi" w:eastAsiaTheme="minorEastAsia" w:hAnsiTheme="minorHAnsi" w:cstheme="minorBidi"/>
          <w:noProof/>
          <w:sz w:val="22"/>
          <w:lang w:eastAsia="cs-CZ"/>
        </w:rPr>
      </w:pPr>
      <w:hyperlink w:anchor="_Toc417564181" w:history="1">
        <w:r w:rsidRPr="005306FE">
          <w:rPr>
            <w:rStyle w:val="Hypertextovodkaz"/>
            <w:noProof/>
          </w:rPr>
          <w:t>4.3</w:t>
        </w:r>
        <w:r>
          <w:rPr>
            <w:rFonts w:asciiTheme="minorHAnsi" w:eastAsiaTheme="minorEastAsia" w:hAnsiTheme="minorHAnsi" w:cstheme="minorBidi"/>
            <w:noProof/>
            <w:sz w:val="22"/>
            <w:lang w:eastAsia="cs-CZ"/>
          </w:rPr>
          <w:tab/>
        </w:r>
        <w:r w:rsidRPr="005306FE">
          <w:rPr>
            <w:rStyle w:val="Hypertextovodkaz"/>
            <w:noProof/>
          </w:rPr>
          <w:t>Analýza rozdílových ukazatelů</w:t>
        </w:r>
        <w:r>
          <w:rPr>
            <w:noProof/>
            <w:webHidden/>
          </w:rPr>
          <w:tab/>
        </w:r>
        <w:r>
          <w:rPr>
            <w:noProof/>
            <w:webHidden/>
          </w:rPr>
          <w:fldChar w:fldCharType="begin"/>
        </w:r>
        <w:r>
          <w:rPr>
            <w:noProof/>
            <w:webHidden/>
          </w:rPr>
          <w:instrText xml:space="preserve"> PAGEREF _Toc417564181 \h </w:instrText>
        </w:r>
        <w:r>
          <w:rPr>
            <w:noProof/>
            <w:webHidden/>
          </w:rPr>
        </w:r>
        <w:r>
          <w:rPr>
            <w:noProof/>
            <w:webHidden/>
          </w:rPr>
          <w:fldChar w:fldCharType="separate"/>
        </w:r>
        <w:r>
          <w:rPr>
            <w:noProof/>
            <w:webHidden/>
          </w:rPr>
          <w:t>40</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82" w:history="1">
        <w:r w:rsidRPr="005306FE">
          <w:rPr>
            <w:rStyle w:val="Hypertextovodkaz"/>
            <w:noProof/>
          </w:rPr>
          <w:t>4.3.1</w:t>
        </w:r>
        <w:r>
          <w:rPr>
            <w:rFonts w:asciiTheme="minorHAnsi" w:eastAsiaTheme="minorEastAsia" w:hAnsiTheme="minorHAnsi" w:cstheme="minorBidi"/>
            <w:noProof/>
            <w:sz w:val="22"/>
            <w:lang w:eastAsia="cs-CZ"/>
          </w:rPr>
          <w:tab/>
        </w:r>
        <w:r w:rsidRPr="005306FE">
          <w:rPr>
            <w:rStyle w:val="Hypertextovodkaz"/>
            <w:noProof/>
          </w:rPr>
          <w:t>Čistý pracovní kapitál</w:t>
        </w:r>
        <w:r>
          <w:rPr>
            <w:noProof/>
            <w:webHidden/>
          </w:rPr>
          <w:tab/>
        </w:r>
        <w:r>
          <w:rPr>
            <w:noProof/>
            <w:webHidden/>
          </w:rPr>
          <w:fldChar w:fldCharType="begin"/>
        </w:r>
        <w:r>
          <w:rPr>
            <w:noProof/>
            <w:webHidden/>
          </w:rPr>
          <w:instrText xml:space="preserve"> PAGEREF _Toc417564182 \h </w:instrText>
        </w:r>
        <w:r>
          <w:rPr>
            <w:noProof/>
            <w:webHidden/>
          </w:rPr>
        </w:r>
        <w:r>
          <w:rPr>
            <w:noProof/>
            <w:webHidden/>
          </w:rPr>
          <w:fldChar w:fldCharType="separate"/>
        </w:r>
        <w:r>
          <w:rPr>
            <w:noProof/>
            <w:webHidden/>
          </w:rPr>
          <w:t>40</w:t>
        </w:r>
        <w:r>
          <w:rPr>
            <w:noProof/>
            <w:webHidden/>
          </w:rPr>
          <w:fldChar w:fldCharType="end"/>
        </w:r>
      </w:hyperlink>
    </w:p>
    <w:p w:rsidR="00FA2E31" w:rsidRDefault="00FA2E31">
      <w:pPr>
        <w:pStyle w:val="Obsah2"/>
        <w:tabs>
          <w:tab w:val="left" w:pos="880"/>
          <w:tab w:val="right" w:leader="dot" w:pos="9060"/>
        </w:tabs>
        <w:rPr>
          <w:rFonts w:asciiTheme="minorHAnsi" w:eastAsiaTheme="minorEastAsia" w:hAnsiTheme="minorHAnsi" w:cstheme="minorBidi"/>
          <w:noProof/>
          <w:sz w:val="22"/>
          <w:lang w:eastAsia="cs-CZ"/>
        </w:rPr>
      </w:pPr>
      <w:hyperlink w:anchor="_Toc417564183" w:history="1">
        <w:r w:rsidRPr="005306FE">
          <w:rPr>
            <w:rStyle w:val="Hypertextovodkaz"/>
            <w:noProof/>
          </w:rPr>
          <w:t>4.4</w:t>
        </w:r>
        <w:r>
          <w:rPr>
            <w:rFonts w:asciiTheme="minorHAnsi" w:eastAsiaTheme="minorEastAsia" w:hAnsiTheme="minorHAnsi" w:cstheme="minorBidi"/>
            <w:noProof/>
            <w:sz w:val="22"/>
            <w:lang w:eastAsia="cs-CZ"/>
          </w:rPr>
          <w:tab/>
        </w:r>
        <w:r w:rsidRPr="005306FE">
          <w:rPr>
            <w:rStyle w:val="Hypertextovodkaz"/>
            <w:noProof/>
          </w:rPr>
          <w:t>Analýza soustav ukazatelů</w:t>
        </w:r>
        <w:r>
          <w:rPr>
            <w:noProof/>
            <w:webHidden/>
          </w:rPr>
          <w:tab/>
        </w:r>
        <w:r>
          <w:rPr>
            <w:noProof/>
            <w:webHidden/>
          </w:rPr>
          <w:fldChar w:fldCharType="begin"/>
        </w:r>
        <w:r>
          <w:rPr>
            <w:noProof/>
            <w:webHidden/>
          </w:rPr>
          <w:instrText xml:space="preserve"> PAGEREF _Toc417564183 \h </w:instrText>
        </w:r>
        <w:r>
          <w:rPr>
            <w:noProof/>
            <w:webHidden/>
          </w:rPr>
        </w:r>
        <w:r>
          <w:rPr>
            <w:noProof/>
            <w:webHidden/>
          </w:rPr>
          <w:fldChar w:fldCharType="separate"/>
        </w:r>
        <w:r>
          <w:rPr>
            <w:noProof/>
            <w:webHidden/>
          </w:rPr>
          <w:t>41</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84" w:history="1">
        <w:r w:rsidRPr="005306FE">
          <w:rPr>
            <w:rStyle w:val="Hypertextovodkaz"/>
            <w:noProof/>
          </w:rPr>
          <w:t>4.4.1</w:t>
        </w:r>
        <w:r>
          <w:rPr>
            <w:rFonts w:asciiTheme="minorHAnsi" w:eastAsiaTheme="minorEastAsia" w:hAnsiTheme="minorHAnsi" w:cstheme="minorBidi"/>
            <w:noProof/>
            <w:sz w:val="22"/>
            <w:lang w:eastAsia="cs-CZ"/>
          </w:rPr>
          <w:tab/>
        </w:r>
        <w:r w:rsidRPr="005306FE">
          <w:rPr>
            <w:rStyle w:val="Hypertextovodkaz"/>
            <w:noProof/>
          </w:rPr>
          <w:t>Pyramidový rozklad rentability vlastního kapitálu</w:t>
        </w:r>
        <w:r>
          <w:rPr>
            <w:noProof/>
            <w:webHidden/>
          </w:rPr>
          <w:tab/>
        </w:r>
        <w:r>
          <w:rPr>
            <w:noProof/>
            <w:webHidden/>
          </w:rPr>
          <w:fldChar w:fldCharType="begin"/>
        </w:r>
        <w:r>
          <w:rPr>
            <w:noProof/>
            <w:webHidden/>
          </w:rPr>
          <w:instrText xml:space="preserve"> PAGEREF _Toc417564184 \h </w:instrText>
        </w:r>
        <w:r>
          <w:rPr>
            <w:noProof/>
            <w:webHidden/>
          </w:rPr>
        </w:r>
        <w:r>
          <w:rPr>
            <w:noProof/>
            <w:webHidden/>
          </w:rPr>
          <w:fldChar w:fldCharType="separate"/>
        </w:r>
        <w:r>
          <w:rPr>
            <w:noProof/>
            <w:webHidden/>
          </w:rPr>
          <w:t>41</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85" w:history="1">
        <w:r w:rsidRPr="005306FE">
          <w:rPr>
            <w:rStyle w:val="Hypertextovodkaz"/>
            <w:noProof/>
          </w:rPr>
          <w:t>4.4.2</w:t>
        </w:r>
        <w:r>
          <w:rPr>
            <w:rFonts w:asciiTheme="minorHAnsi" w:eastAsiaTheme="minorEastAsia" w:hAnsiTheme="minorHAnsi" w:cstheme="minorBidi"/>
            <w:noProof/>
            <w:sz w:val="22"/>
            <w:lang w:eastAsia="cs-CZ"/>
          </w:rPr>
          <w:tab/>
        </w:r>
        <w:r w:rsidRPr="005306FE">
          <w:rPr>
            <w:rStyle w:val="Hypertextovodkaz"/>
            <w:noProof/>
          </w:rPr>
          <w:t>Bankrotní modely</w:t>
        </w:r>
        <w:r>
          <w:rPr>
            <w:noProof/>
            <w:webHidden/>
          </w:rPr>
          <w:tab/>
        </w:r>
        <w:r>
          <w:rPr>
            <w:noProof/>
            <w:webHidden/>
          </w:rPr>
          <w:fldChar w:fldCharType="begin"/>
        </w:r>
        <w:r>
          <w:rPr>
            <w:noProof/>
            <w:webHidden/>
          </w:rPr>
          <w:instrText xml:space="preserve"> PAGEREF _Toc417564185 \h </w:instrText>
        </w:r>
        <w:r>
          <w:rPr>
            <w:noProof/>
            <w:webHidden/>
          </w:rPr>
        </w:r>
        <w:r>
          <w:rPr>
            <w:noProof/>
            <w:webHidden/>
          </w:rPr>
          <w:fldChar w:fldCharType="separate"/>
        </w:r>
        <w:r>
          <w:rPr>
            <w:noProof/>
            <w:webHidden/>
          </w:rPr>
          <w:t>42</w:t>
        </w:r>
        <w:r>
          <w:rPr>
            <w:noProof/>
            <w:webHidden/>
          </w:rPr>
          <w:fldChar w:fldCharType="end"/>
        </w:r>
      </w:hyperlink>
    </w:p>
    <w:p w:rsidR="00FA2E31" w:rsidRDefault="00FA2E31">
      <w:pPr>
        <w:pStyle w:val="Obsah3"/>
        <w:tabs>
          <w:tab w:val="left" w:pos="1320"/>
          <w:tab w:val="right" w:leader="dot" w:pos="9060"/>
        </w:tabs>
        <w:rPr>
          <w:rFonts w:asciiTheme="minorHAnsi" w:eastAsiaTheme="minorEastAsia" w:hAnsiTheme="minorHAnsi" w:cstheme="minorBidi"/>
          <w:noProof/>
          <w:sz w:val="22"/>
          <w:lang w:eastAsia="cs-CZ"/>
        </w:rPr>
      </w:pPr>
      <w:hyperlink w:anchor="_Toc417564186" w:history="1">
        <w:r w:rsidRPr="005306FE">
          <w:rPr>
            <w:rStyle w:val="Hypertextovodkaz"/>
            <w:noProof/>
          </w:rPr>
          <w:t>4.4.3</w:t>
        </w:r>
        <w:r>
          <w:rPr>
            <w:rFonts w:asciiTheme="minorHAnsi" w:eastAsiaTheme="minorEastAsia" w:hAnsiTheme="minorHAnsi" w:cstheme="minorBidi"/>
            <w:noProof/>
            <w:sz w:val="22"/>
            <w:lang w:eastAsia="cs-CZ"/>
          </w:rPr>
          <w:tab/>
        </w:r>
        <w:r w:rsidRPr="005306FE">
          <w:rPr>
            <w:rStyle w:val="Hypertextovodkaz"/>
            <w:noProof/>
          </w:rPr>
          <w:t>Bonitní modely</w:t>
        </w:r>
        <w:r>
          <w:rPr>
            <w:noProof/>
            <w:webHidden/>
          </w:rPr>
          <w:tab/>
        </w:r>
        <w:r>
          <w:rPr>
            <w:noProof/>
            <w:webHidden/>
          </w:rPr>
          <w:fldChar w:fldCharType="begin"/>
        </w:r>
        <w:r>
          <w:rPr>
            <w:noProof/>
            <w:webHidden/>
          </w:rPr>
          <w:instrText xml:space="preserve"> PAGEREF _Toc417564186 \h </w:instrText>
        </w:r>
        <w:r>
          <w:rPr>
            <w:noProof/>
            <w:webHidden/>
          </w:rPr>
        </w:r>
        <w:r>
          <w:rPr>
            <w:noProof/>
            <w:webHidden/>
          </w:rPr>
          <w:fldChar w:fldCharType="separate"/>
        </w:r>
        <w:r>
          <w:rPr>
            <w:noProof/>
            <w:webHidden/>
          </w:rPr>
          <w:t>43</w:t>
        </w:r>
        <w:r>
          <w:rPr>
            <w:noProof/>
            <w:webHidden/>
          </w:rPr>
          <w:fldChar w:fldCharType="end"/>
        </w:r>
      </w:hyperlink>
    </w:p>
    <w:p w:rsidR="00FA2E31" w:rsidRDefault="00FA2E31">
      <w:pPr>
        <w:pStyle w:val="Obsah1"/>
        <w:tabs>
          <w:tab w:val="left" w:pos="440"/>
          <w:tab w:val="right" w:leader="dot" w:pos="9060"/>
        </w:tabs>
        <w:rPr>
          <w:rFonts w:asciiTheme="minorHAnsi" w:eastAsiaTheme="minorEastAsia" w:hAnsiTheme="minorHAnsi" w:cstheme="minorBidi"/>
          <w:noProof/>
          <w:sz w:val="22"/>
          <w:lang w:eastAsia="cs-CZ"/>
        </w:rPr>
      </w:pPr>
      <w:hyperlink w:anchor="_Toc417564187" w:history="1">
        <w:r w:rsidRPr="005306FE">
          <w:rPr>
            <w:rStyle w:val="Hypertextovodkaz"/>
            <w:noProof/>
          </w:rPr>
          <w:t>5</w:t>
        </w:r>
        <w:r>
          <w:rPr>
            <w:rFonts w:asciiTheme="minorHAnsi" w:eastAsiaTheme="minorEastAsia" w:hAnsiTheme="minorHAnsi" w:cstheme="minorBidi"/>
            <w:noProof/>
            <w:sz w:val="22"/>
            <w:lang w:eastAsia="cs-CZ"/>
          </w:rPr>
          <w:tab/>
        </w:r>
        <w:r w:rsidRPr="005306FE">
          <w:rPr>
            <w:rStyle w:val="Hypertextovodkaz"/>
            <w:noProof/>
          </w:rPr>
          <w:t>Vyhodnocení analýzy a doporučení</w:t>
        </w:r>
        <w:r>
          <w:rPr>
            <w:noProof/>
            <w:webHidden/>
          </w:rPr>
          <w:tab/>
        </w:r>
        <w:r>
          <w:rPr>
            <w:noProof/>
            <w:webHidden/>
          </w:rPr>
          <w:fldChar w:fldCharType="begin"/>
        </w:r>
        <w:r>
          <w:rPr>
            <w:noProof/>
            <w:webHidden/>
          </w:rPr>
          <w:instrText xml:space="preserve"> PAGEREF _Toc417564187 \h </w:instrText>
        </w:r>
        <w:r>
          <w:rPr>
            <w:noProof/>
            <w:webHidden/>
          </w:rPr>
        </w:r>
        <w:r>
          <w:rPr>
            <w:noProof/>
            <w:webHidden/>
          </w:rPr>
          <w:fldChar w:fldCharType="separate"/>
        </w:r>
        <w:r>
          <w:rPr>
            <w:noProof/>
            <w:webHidden/>
          </w:rPr>
          <w:t>44</w:t>
        </w:r>
        <w:r>
          <w:rPr>
            <w:noProof/>
            <w:webHidden/>
          </w:rPr>
          <w:fldChar w:fldCharType="end"/>
        </w:r>
      </w:hyperlink>
    </w:p>
    <w:p w:rsidR="00FA2E31" w:rsidRDefault="00FA2E31">
      <w:pPr>
        <w:pStyle w:val="Obsah1"/>
        <w:tabs>
          <w:tab w:val="right" w:leader="dot" w:pos="9060"/>
        </w:tabs>
        <w:rPr>
          <w:rFonts w:asciiTheme="minorHAnsi" w:eastAsiaTheme="minorEastAsia" w:hAnsiTheme="minorHAnsi" w:cstheme="minorBidi"/>
          <w:noProof/>
          <w:sz w:val="22"/>
          <w:lang w:eastAsia="cs-CZ"/>
        </w:rPr>
      </w:pPr>
      <w:hyperlink w:anchor="_Toc417564188" w:history="1">
        <w:r w:rsidRPr="005306FE">
          <w:rPr>
            <w:rStyle w:val="Hypertextovodkaz"/>
            <w:noProof/>
          </w:rPr>
          <w:t>ZÁVĚR</w:t>
        </w:r>
        <w:r>
          <w:rPr>
            <w:noProof/>
            <w:webHidden/>
          </w:rPr>
          <w:tab/>
        </w:r>
        <w:r>
          <w:rPr>
            <w:noProof/>
            <w:webHidden/>
          </w:rPr>
          <w:fldChar w:fldCharType="begin"/>
        </w:r>
        <w:r>
          <w:rPr>
            <w:noProof/>
            <w:webHidden/>
          </w:rPr>
          <w:instrText xml:space="preserve"> PAGEREF _Toc417564188 \h </w:instrText>
        </w:r>
        <w:r>
          <w:rPr>
            <w:noProof/>
            <w:webHidden/>
          </w:rPr>
        </w:r>
        <w:r>
          <w:rPr>
            <w:noProof/>
            <w:webHidden/>
          </w:rPr>
          <w:fldChar w:fldCharType="separate"/>
        </w:r>
        <w:r>
          <w:rPr>
            <w:noProof/>
            <w:webHidden/>
          </w:rPr>
          <w:t>45</w:t>
        </w:r>
        <w:r>
          <w:rPr>
            <w:noProof/>
            <w:webHidden/>
          </w:rPr>
          <w:fldChar w:fldCharType="end"/>
        </w:r>
      </w:hyperlink>
    </w:p>
    <w:p w:rsidR="00FA2E31" w:rsidRDefault="00FA2E31">
      <w:pPr>
        <w:pStyle w:val="Obsah1"/>
        <w:tabs>
          <w:tab w:val="right" w:leader="dot" w:pos="9060"/>
        </w:tabs>
        <w:rPr>
          <w:rFonts w:asciiTheme="minorHAnsi" w:eastAsiaTheme="minorEastAsia" w:hAnsiTheme="minorHAnsi" w:cstheme="minorBidi"/>
          <w:noProof/>
          <w:sz w:val="22"/>
          <w:lang w:eastAsia="cs-CZ"/>
        </w:rPr>
      </w:pPr>
      <w:hyperlink w:anchor="_Toc417564189" w:history="1">
        <w:r w:rsidRPr="005306FE">
          <w:rPr>
            <w:rStyle w:val="Hypertextovodkaz"/>
            <w:noProof/>
          </w:rPr>
          <w:t>SEZNAM POUŽITÝCH ZDROJŮ</w:t>
        </w:r>
        <w:r>
          <w:rPr>
            <w:noProof/>
            <w:webHidden/>
          </w:rPr>
          <w:tab/>
        </w:r>
        <w:r>
          <w:rPr>
            <w:noProof/>
            <w:webHidden/>
          </w:rPr>
          <w:fldChar w:fldCharType="begin"/>
        </w:r>
        <w:r>
          <w:rPr>
            <w:noProof/>
            <w:webHidden/>
          </w:rPr>
          <w:instrText xml:space="preserve"> PAGEREF _Toc417564189 \h </w:instrText>
        </w:r>
        <w:r>
          <w:rPr>
            <w:noProof/>
            <w:webHidden/>
          </w:rPr>
        </w:r>
        <w:r>
          <w:rPr>
            <w:noProof/>
            <w:webHidden/>
          </w:rPr>
          <w:fldChar w:fldCharType="separate"/>
        </w:r>
        <w:r>
          <w:rPr>
            <w:noProof/>
            <w:webHidden/>
          </w:rPr>
          <w:t>46</w:t>
        </w:r>
        <w:r>
          <w:rPr>
            <w:noProof/>
            <w:webHidden/>
          </w:rPr>
          <w:fldChar w:fldCharType="end"/>
        </w:r>
      </w:hyperlink>
    </w:p>
    <w:p w:rsidR="00FA2E31" w:rsidRDefault="00FA2E31">
      <w:pPr>
        <w:pStyle w:val="Obsah1"/>
        <w:tabs>
          <w:tab w:val="right" w:leader="dot" w:pos="9060"/>
        </w:tabs>
        <w:rPr>
          <w:rFonts w:asciiTheme="minorHAnsi" w:eastAsiaTheme="minorEastAsia" w:hAnsiTheme="minorHAnsi" w:cstheme="minorBidi"/>
          <w:noProof/>
          <w:sz w:val="22"/>
          <w:lang w:eastAsia="cs-CZ"/>
        </w:rPr>
      </w:pPr>
      <w:hyperlink w:anchor="_Toc417564190" w:history="1">
        <w:r w:rsidRPr="005306FE">
          <w:rPr>
            <w:rStyle w:val="Hypertextovodkaz"/>
            <w:noProof/>
          </w:rPr>
          <w:t>SEZNAM GRAFŮ</w:t>
        </w:r>
        <w:r>
          <w:rPr>
            <w:noProof/>
            <w:webHidden/>
          </w:rPr>
          <w:tab/>
        </w:r>
        <w:r>
          <w:rPr>
            <w:noProof/>
            <w:webHidden/>
          </w:rPr>
          <w:fldChar w:fldCharType="begin"/>
        </w:r>
        <w:r>
          <w:rPr>
            <w:noProof/>
            <w:webHidden/>
          </w:rPr>
          <w:instrText xml:space="preserve"> PAGEREF _Toc417564190 \h </w:instrText>
        </w:r>
        <w:r>
          <w:rPr>
            <w:noProof/>
            <w:webHidden/>
          </w:rPr>
        </w:r>
        <w:r>
          <w:rPr>
            <w:noProof/>
            <w:webHidden/>
          </w:rPr>
          <w:fldChar w:fldCharType="separate"/>
        </w:r>
        <w:r>
          <w:rPr>
            <w:noProof/>
            <w:webHidden/>
          </w:rPr>
          <w:t>48</w:t>
        </w:r>
        <w:r>
          <w:rPr>
            <w:noProof/>
            <w:webHidden/>
          </w:rPr>
          <w:fldChar w:fldCharType="end"/>
        </w:r>
      </w:hyperlink>
    </w:p>
    <w:p w:rsidR="00FA2E31" w:rsidRDefault="00FA2E31">
      <w:pPr>
        <w:pStyle w:val="Obsah1"/>
        <w:tabs>
          <w:tab w:val="right" w:leader="dot" w:pos="9060"/>
        </w:tabs>
        <w:rPr>
          <w:rFonts w:asciiTheme="minorHAnsi" w:eastAsiaTheme="minorEastAsia" w:hAnsiTheme="minorHAnsi" w:cstheme="minorBidi"/>
          <w:noProof/>
          <w:sz w:val="22"/>
          <w:lang w:eastAsia="cs-CZ"/>
        </w:rPr>
      </w:pPr>
      <w:hyperlink w:anchor="_Toc417564191" w:history="1">
        <w:r w:rsidRPr="005306FE">
          <w:rPr>
            <w:rStyle w:val="Hypertextovodkaz"/>
            <w:noProof/>
          </w:rPr>
          <w:t>SEZNAM TABULEK</w:t>
        </w:r>
        <w:r>
          <w:rPr>
            <w:noProof/>
            <w:webHidden/>
          </w:rPr>
          <w:tab/>
        </w:r>
        <w:r>
          <w:rPr>
            <w:noProof/>
            <w:webHidden/>
          </w:rPr>
          <w:fldChar w:fldCharType="begin"/>
        </w:r>
        <w:r>
          <w:rPr>
            <w:noProof/>
            <w:webHidden/>
          </w:rPr>
          <w:instrText xml:space="preserve"> PAGEREF _Toc417564191 \h </w:instrText>
        </w:r>
        <w:r>
          <w:rPr>
            <w:noProof/>
            <w:webHidden/>
          </w:rPr>
        </w:r>
        <w:r>
          <w:rPr>
            <w:noProof/>
            <w:webHidden/>
          </w:rPr>
          <w:fldChar w:fldCharType="separate"/>
        </w:r>
        <w:r>
          <w:rPr>
            <w:noProof/>
            <w:webHidden/>
          </w:rPr>
          <w:t>48</w:t>
        </w:r>
        <w:r>
          <w:rPr>
            <w:noProof/>
            <w:webHidden/>
          </w:rPr>
          <w:fldChar w:fldCharType="end"/>
        </w:r>
      </w:hyperlink>
    </w:p>
    <w:p w:rsidR="00FA2E31" w:rsidRDefault="00FA2E31">
      <w:pPr>
        <w:pStyle w:val="Obsah1"/>
        <w:tabs>
          <w:tab w:val="right" w:leader="dot" w:pos="9060"/>
        </w:tabs>
        <w:rPr>
          <w:rFonts w:asciiTheme="minorHAnsi" w:eastAsiaTheme="minorEastAsia" w:hAnsiTheme="minorHAnsi" w:cstheme="minorBidi"/>
          <w:noProof/>
          <w:sz w:val="22"/>
          <w:lang w:eastAsia="cs-CZ"/>
        </w:rPr>
      </w:pPr>
      <w:hyperlink w:anchor="_Toc417564192" w:history="1">
        <w:r w:rsidRPr="005306FE">
          <w:rPr>
            <w:rStyle w:val="Hypertextovodkaz"/>
            <w:noProof/>
          </w:rPr>
          <w:t>SEZNAM SCHÉMAT</w:t>
        </w:r>
        <w:r>
          <w:rPr>
            <w:noProof/>
            <w:webHidden/>
          </w:rPr>
          <w:tab/>
        </w:r>
        <w:r>
          <w:rPr>
            <w:noProof/>
            <w:webHidden/>
          </w:rPr>
          <w:fldChar w:fldCharType="begin"/>
        </w:r>
        <w:r>
          <w:rPr>
            <w:noProof/>
            <w:webHidden/>
          </w:rPr>
          <w:instrText xml:space="preserve"> PAGEREF _Toc417564192 \h </w:instrText>
        </w:r>
        <w:r>
          <w:rPr>
            <w:noProof/>
            <w:webHidden/>
          </w:rPr>
        </w:r>
        <w:r>
          <w:rPr>
            <w:noProof/>
            <w:webHidden/>
          </w:rPr>
          <w:fldChar w:fldCharType="separate"/>
        </w:r>
        <w:r>
          <w:rPr>
            <w:noProof/>
            <w:webHidden/>
          </w:rPr>
          <w:t>48</w:t>
        </w:r>
        <w:r>
          <w:rPr>
            <w:noProof/>
            <w:webHidden/>
          </w:rPr>
          <w:fldChar w:fldCharType="end"/>
        </w:r>
      </w:hyperlink>
    </w:p>
    <w:p w:rsidR="00FA2E31" w:rsidRDefault="00FA2E31">
      <w:pPr>
        <w:pStyle w:val="Obsah1"/>
        <w:tabs>
          <w:tab w:val="right" w:leader="dot" w:pos="9060"/>
        </w:tabs>
        <w:rPr>
          <w:rFonts w:asciiTheme="minorHAnsi" w:eastAsiaTheme="minorEastAsia" w:hAnsiTheme="minorHAnsi" w:cstheme="minorBidi"/>
          <w:noProof/>
          <w:sz w:val="22"/>
          <w:lang w:eastAsia="cs-CZ"/>
        </w:rPr>
      </w:pPr>
      <w:hyperlink w:anchor="_Toc417564193" w:history="1">
        <w:r w:rsidRPr="005306FE">
          <w:rPr>
            <w:rStyle w:val="Hypertextovodkaz"/>
            <w:noProof/>
          </w:rPr>
          <w:t>SEZNAM POŽITÝCH ZKRATEK</w:t>
        </w:r>
        <w:r>
          <w:rPr>
            <w:noProof/>
            <w:webHidden/>
          </w:rPr>
          <w:tab/>
        </w:r>
        <w:r>
          <w:rPr>
            <w:noProof/>
            <w:webHidden/>
          </w:rPr>
          <w:fldChar w:fldCharType="begin"/>
        </w:r>
        <w:r>
          <w:rPr>
            <w:noProof/>
            <w:webHidden/>
          </w:rPr>
          <w:instrText xml:space="preserve"> PAGEREF _Toc417564193 \h </w:instrText>
        </w:r>
        <w:r>
          <w:rPr>
            <w:noProof/>
            <w:webHidden/>
          </w:rPr>
        </w:r>
        <w:r>
          <w:rPr>
            <w:noProof/>
            <w:webHidden/>
          </w:rPr>
          <w:fldChar w:fldCharType="separate"/>
        </w:r>
        <w:r>
          <w:rPr>
            <w:noProof/>
            <w:webHidden/>
          </w:rPr>
          <w:t>49</w:t>
        </w:r>
        <w:r>
          <w:rPr>
            <w:noProof/>
            <w:webHidden/>
          </w:rPr>
          <w:fldChar w:fldCharType="end"/>
        </w:r>
      </w:hyperlink>
    </w:p>
    <w:p w:rsidR="00FA2E31" w:rsidRDefault="00FA2E31">
      <w:pPr>
        <w:pStyle w:val="Obsah1"/>
        <w:tabs>
          <w:tab w:val="right" w:leader="dot" w:pos="9060"/>
        </w:tabs>
        <w:rPr>
          <w:rFonts w:asciiTheme="minorHAnsi" w:eastAsiaTheme="minorEastAsia" w:hAnsiTheme="minorHAnsi" w:cstheme="minorBidi"/>
          <w:noProof/>
          <w:sz w:val="22"/>
          <w:lang w:eastAsia="cs-CZ"/>
        </w:rPr>
      </w:pPr>
      <w:hyperlink w:anchor="_Toc417564194" w:history="1">
        <w:r w:rsidRPr="005306FE">
          <w:rPr>
            <w:rStyle w:val="Hypertextovodkaz"/>
            <w:rFonts w:eastAsiaTheme="minorHAnsi"/>
            <w:noProof/>
          </w:rPr>
          <w:t>SEZNAM PŘÍLOH</w:t>
        </w:r>
        <w:r>
          <w:rPr>
            <w:noProof/>
            <w:webHidden/>
          </w:rPr>
          <w:tab/>
        </w:r>
        <w:r>
          <w:rPr>
            <w:noProof/>
            <w:webHidden/>
          </w:rPr>
          <w:fldChar w:fldCharType="begin"/>
        </w:r>
        <w:r>
          <w:rPr>
            <w:noProof/>
            <w:webHidden/>
          </w:rPr>
          <w:instrText xml:space="preserve"> PAGEREF _Toc417564194 \h </w:instrText>
        </w:r>
        <w:r>
          <w:rPr>
            <w:noProof/>
            <w:webHidden/>
          </w:rPr>
        </w:r>
        <w:r>
          <w:rPr>
            <w:noProof/>
            <w:webHidden/>
          </w:rPr>
          <w:fldChar w:fldCharType="separate"/>
        </w:r>
        <w:r>
          <w:rPr>
            <w:noProof/>
            <w:webHidden/>
          </w:rPr>
          <w:t>50</w:t>
        </w:r>
        <w:r>
          <w:rPr>
            <w:noProof/>
            <w:webHidden/>
          </w:rPr>
          <w:fldChar w:fldCharType="end"/>
        </w:r>
      </w:hyperlink>
    </w:p>
    <w:p w:rsidR="00172047" w:rsidRPr="00D32659" w:rsidRDefault="00F73EC2" w:rsidP="008015B2">
      <w:pPr>
        <w:spacing w:after="0" w:line="240" w:lineRule="auto"/>
        <w:jc w:val="both"/>
        <w:rPr>
          <w:b/>
        </w:rPr>
      </w:pPr>
      <w:r w:rsidRPr="00122928">
        <w:rPr>
          <w:b/>
          <w:sz w:val="20"/>
          <w:szCs w:val="20"/>
        </w:rPr>
        <w:fldChar w:fldCharType="end"/>
      </w:r>
    </w:p>
    <w:p w:rsidR="00F73EC2" w:rsidRPr="00D32659" w:rsidRDefault="00F73EC2" w:rsidP="00BE14DE">
      <w:pPr>
        <w:rPr>
          <w:b/>
        </w:rPr>
        <w:sectPr w:rsidR="00F73EC2" w:rsidRPr="00D32659" w:rsidSect="00BE14DE">
          <w:footerReference w:type="even" r:id="rId10"/>
          <w:footerReference w:type="default" r:id="rId11"/>
          <w:footerReference w:type="first" r:id="rId12"/>
          <w:pgSz w:w="11906" w:h="16838"/>
          <w:pgMar w:top="1418" w:right="851" w:bottom="1134" w:left="1985" w:header="709" w:footer="709" w:gutter="0"/>
          <w:cols w:space="708"/>
          <w:docGrid w:linePitch="360"/>
        </w:sectPr>
      </w:pPr>
    </w:p>
    <w:p w:rsidR="00EC711D" w:rsidRPr="00D32659" w:rsidRDefault="00EC711D" w:rsidP="00122928">
      <w:pPr>
        <w:pStyle w:val="Nadpis1"/>
        <w:numPr>
          <w:ilvl w:val="0"/>
          <w:numId w:val="0"/>
        </w:numPr>
        <w:jc w:val="both"/>
      </w:pPr>
      <w:bookmarkStart w:id="1" w:name="_Toc417564139"/>
      <w:r w:rsidRPr="00D32659">
        <w:lastRenderedPageBreak/>
        <w:t>ÚVOD</w:t>
      </w:r>
      <w:bookmarkEnd w:id="1"/>
    </w:p>
    <w:p w:rsidR="00EC711D" w:rsidRPr="00D32659" w:rsidRDefault="00EC711D" w:rsidP="008015B2">
      <w:pPr>
        <w:pStyle w:val="Bezmezer"/>
        <w:jc w:val="both"/>
        <w:rPr>
          <w:lang w:val="cs-CZ"/>
        </w:rPr>
      </w:pPr>
    </w:p>
    <w:p w:rsidR="009C2941" w:rsidRPr="00D32659" w:rsidRDefault="002D3898" w:rsidP="008015B2">
      <w:pPr>
        <w:jc w:val="both"/>
        <w:rPr>
          <w:szCs w:val="23"/>
        </w:rPr>
      </w:pPr>
      <w:r w:rsidRPr="00D32659">
        <w:rPr>
          <w:szCs w:val="23"/>
        </w:rPr>
        <w:t xml:space="preserve">V dnešní době globalizace a dynamického rozvoje je pro každého manažera nutností dobrá znalost svého podniku. </w:t>
      </w:r>
      <w:r w:rsidR="003D292B">
        <w:rPr>
          <w:szCs w:val="23"/>
        </w:rPr>
        <w:t xml:space="preserve">Neméně </w:t>
      </w:r>
      <w:r w:rsidRPr="00D32659">
        <w:rPr>
          <w:szCs w:val="23"/>
        </w:rPr>
        <w:t>důležité</w:t>
      </w:r>
      <w:r w:rsidR="003D292B">
        <w:rPr>
          <w:szCs w:val="23"/>
        </w:rPr>
        <w:t xml:space="preserve"> je</w:t>
      </w:r>
      <w:r w:rsidRPr="00D32659">
        <w:rPr>
          <w:szCs w:val="23"/>
        </w:rPr>
        <w:t xml:space="preserve"> pracovat efe</w:t>
      </w:r>
      <w:r w:rsidR="003D292B">
        <w:rPr>
          <w:szCs w:val="23"/>
        </w:rPr>
        <w:t>ktivně a taky efektivně řídit. Každý m</w:t>
      </w:r>
      <w:r w:rsidRPr="00D32659">
        <w:rPr>
          <w:szCs w:val="23"/>
        </w:rPr>
        <w:t>anažer ke svému rozhodování potřebuje</w:t>
      </w:r>
      <w:r w:rsidR="003D292B">
        <w:rPr>
          <w:szCs w:val="23"/>
        </w:rPr>
        <w:t xml:space="preserve"> spolehlivé</w:t>
      </w:r>
      <w:r w:rsidRPr="00D32659">
        <w:rPr>
          <w:szCs w:val="23"/>
        </w:rPr>
        <w:t xml:space="preserve"> podklady, které mu řeknou, jak na tom jeho společnost byla v minulosti a napoví, jakým s</w:t>
      </w:r>
      <w:r w:rsidR="003D292B">
        <w:rPr>
          <w:szCs w:val="23"/>
        </w:rPr>
        <w:t>měrem by se měla ubírat dál, aby</w:t>
      </w:r>
      <w:r w:rsidRPr="00D32659">
        <w:rPr>
          <w:szCs w:val="23"/>
        </w:rPr>
        <w:t xml:space="preserve"> se vyhnula případným finančním problémům. Pro získání těchto podkladů slouží finanční analýza, která bude hlavním předmětem této práce.</w:t>
      </w:r>
    </w:p>
    <w:p w:rsidR="009C2941" w:rsidRPr="00D32659" w:rsidRDefault="009C2941" w:rsidP="008015B2">
      <w:pPr>
        <w:jc w:val="both"/>
        <w:rPr>
          <w:szCs w:val="23"/>
        </w:rPr>
      </w:pPr>
      <w:r w:rsidRPr="00D32659">
        <w:rPr>
          <w:szCs w:val="23"/>
        </w:rPr>
        <w:t>Finanční analýza, jak už název napovídá, úzce souvisí s penězi, proto se její počátek dá zařadit do doby vzniku prvních peněz. V té</w:t>
      </w:r>
      <w:r w:rsidR="003D292B">
        <w:rPr>
          <w:szCs w:val="23"/>
        </w:rPr>
        <w:t>to</w:t>
      </w:r>
      <w:r w:rsidRPr="00D32659">
        <w:rPr>
          <w:szCs w:val="23"/>
        </w:rPr>
        <w:t xml:space="preserve"> době samozřejmě nešlo o finanční analýzu, jak ji známe dnes, ale spíše o způsoby jak s penězi hospodařit. Vznik moderní finanční analýzy je spojován se Spojenými státy, kde se hlavně po první světové válce zvedl zájem o znalost účetních výkazů a hlavně o informovanost, zda je podnik schopný dostát svým závazkům. K dalšímu rozvoji přispěla Velké hospo</w:t>
      </w:r>
      <w:r w:rsidR="003D292B">
        <w:rPr>
          <w:szCs w:val="23"/>
        </w:rPr>
        <w:t xml:space="preserve">dářská krize, po které se zvedl zájem o znalost </w:t>
      </w:r>
      <w:r w:rsidRPr="00D32659">
        <w:rPr>
          <w:szCs w:val="23"/>
        </w:rPr>
        <w:t>likvidity</w:t>
      </w:r>
      <w:r w:rsidR="003D292B">
        <w:rPr>
          <w:szCs w:val="23"/>
        </w:rPr>
        <w:t xml:space="preserve"> podniku, tedy schopnosti dostát svým závazkům</w:t>
      </w:r>
      <w:r w:rsidRPr="00D32659">
        <w:rPr>
          <w:szCs w:val="23"/>
        </w:rPr>
        <w:t>. S rozvojem počítačů a dalších</w:t>
      </w:r>
      <w:r w:rsidR="003D292B">
        <w:rPr>
          <w:szCs w:val="23"/>
        </w:rPr>
        <w:t xml:space="preserve"> moderních</w:t>
      </w:r>
      <w:r w:rsidRPr="00D32659">
        <w:rPr>
          <w:szCs w:val="23"/>
        </w:rPr>
        <w:t xml:space="preserve"> technologií přišel pochopitelně i další rozvoj finanční analýzy až do doby, jak j</w:t>
      </w:r>
      <w:r w:rsidR="003D292B">
        <w:rPr>
          <w:szCs w:val="23"/>
        </w:rPr>
        <w:t>i</w:t>
      </w:r>
      <w:r w:rsidRPr="00D32659">
        <w:rPr>
          <w:szCs w:val="23"/>
        </w:rPr>
        <w:t xml:space="preserve"> známa dnes.</w:t>
      </w:r>
    </w:p>
    <w:p w:rsidR="009C2941" w:rsidRPr="00D32659" w:rsidRDefault="003D292B" w:rsidP="008015B2">
      <w:pPr>
        <w:jc w:val="both"/>
        <w:rPr>
          <w:szCs w:val="23"/>
        </w:rPr>
      </w:pPr>
      <w:r>
        <w:rPr>
          <w:szCs w:val="23"/>
        </w:rPr>
        <w:t>Cílem</w:t>
      </w:r>
      <w:r w:rsidR="009C2941" w:rsidRPr="00D32659">
        <w:rPr>
          <w:szCs w:val="23"/>
        </w:rPr>
        <w:t xml:space="preserve"> bakalářské práce je poso</w:t>
      </w:r>
      <w:r>
        <w:rPr>
          <w:szCs w:val="23"/>
        </w:rPr>
        <w:t>udit finanční zdraví vybraného</w:t>
      </w:r>
      <w:r w:rsidR="009C2941" w:rsidRPr="00D32659">
        <w:rPr>
          <w:szCs w:val="23"/>
        </w:rPr>
        <w:t xml:space="preserve"> podniku, zhodnotit jeho výkonnost a po vyhodnocení jeho silných a slabých stránek, navrhnout možnosti a způsoby pro zlepšení budoucí finanční způsobilosti podniku. K naplnění cílů této práce budou použity metody finanční analýzy. </w:t>
      </w:r>
    </w:p>
    <w:p w:rsidR="009C2941" w:rsidRPr="00D32659" w:rsidRDefault="009C2941" w:rsidP="008015B2">
      <w:pPr>
        <w:jc w:val="both"/>
        <w:rPr>
          <w:szCs w:val="23"/>
        </w:rPr>
      </w:pPr>
      <w:r w:rsidRPr="00D32659">
        <w:rPr>
          <w:szCs w:val="23"/>
        </w:rPr>
        <w:t>V rámci této bakalářské práce byly definovány následující hypotézy, které pomohou k dosažení stanoveného cíle.</w:t>
      </w:r>
    </w:p>
    <w:p w:rsidR="009C2941" w:rsidRPr="00D32659" w:rsidRDefault="009C2941" w:rsidP="008015B2">
      <w:pPr>
        <w:jc w:val="both"/>
        <w:rPr>
          <w:i/>
          <w:szCs w:val="23"/>
        </w:rPr>
      </w:pPr>
      <w:r w:rsidRPr="00D32659">
        <w:rPr>
          <w:i/>
          <w:szCs w:val="23"/>
        </w:rPr>
        <w:t>Hypotéza č. 1: Rentabilita celkového kapit</w:t>
      </w:r>
      <w:r w:rsidR="003D292B">
        <w:rPr>
          <w:i/>
          <w:szCs w:val="23"/>
        </w:rPr>
        <w:t>álu podniku v daném období rosla</w:t>
      </w:r>
      <w:r w:rsidRPr="00D32659">
        <w:rPr>
          <w:i/>
          <w:szCs w:val="23"/>
        </w:rPr>
        <w:t>.</w:t>
      </w:r>
    </w:p>
    <w:p w:rsidR="009C2941" w:rsidRPr="00D32659" w:rsidRDefault="009C2941" w:rsidP="008015B2">
      <w:pPr>
        <w:jc w:val="both"/>
        <w:rPr>
          <w:szCs w:val="23"/>
        </w:rPr>
      </w:pPr>
      <w:r w:rsidRPr="00D32659">
        <w:rPr>
          <w:szCs w:val="23"/>
        </w:rPr>
        <w:t>Tato hypotéza bude hodnocena na základě hodnot dvou poměrových ukazatelů, a to ukazatele rentability vlastního kapitálu a rentability aktiv. Pokud budou hodnoty těchto parametrů vykazovat růstový trend, pak bude hypotéza potvrzena.</w:t>
      </w:r>
    </w:p>
    <w:p w:rsidR="009C2941" w:rsidRPr="00D32659" w:rsidRDefault="009C2941" w:rsidP="008015B2">
      <w:pPr>
        <w:jc w:val="both"/>
        <w:rPr>
          <w:i/>
          <w:szCs w:val="23"/>
        </w:rPr>
      </w:pPr>
      <w:r w:rsidRPr="00D32659">
        <w:rPr>
          <w:i/>
          <w:szCs w:val="23"/>
        </w:rPr>
        <w:t>Hypotéza č. 2: Sledovaný podnik je dlouhodobě schopen dostát svým závazkům.</w:t>
      </w:r>
    </w:p>
    <w:p w:rsidR="009C2941" w:rsidRPr="00D32659" w:rsidRDefault="009C2941" w:rsidP="008015B2">
      <w:pPr>
        <w:jc w:val="both"/>
        <w:rPr>
          <w:szCs w:val="23"/>
        </w:rPr>
      </w:pPr>
      <w:r w:rsidRPr="00D32659">
        <w:rPr>
          <w:szCs w:val="23"/>
        </w:rPr>
        <w:t xml:space="preserve">Druhá hypotéza by mohla být rozdělena do dvou </w:t>
      </w:r>
      <w:r w:rsidR="0085613C" w:rsidRPr="00D32659">
        <w:rPr>
          <w:szCs w:val="23"/>
        </w:rPr>
        <w:t xml:space="preserve">tzv. </w:t>
      </w:r>
      <w:r w:rsidR="00571511" w:rsidRPr="00D32659">
        <w:rPr>
          <w:szCs w:val="23"/>
        </w:rPr>
        <w:t>podhypotéz</w:t>
      </w:r>
      <w:r w:rsidRPr="00D32659">
        <w:rPr>
          <w:szCs w:val="23"/>
        </w:rPr>
        <w:t>. Zaprvé, hodnoty ukazatele likvidity budou ve sledovaném období vyšší než průměr v odvětví a zadruhé, hodnota ukazatele čistého pracovního kapitálu byla záporná.</w:t>
      </w:r>
    </w:p>
    <w:p w:rsidR="009C2941" w:rsidRPr="00D32659" w:rsidRDefault="009C2941" w:rsidP="008015B2">
      <w:pPr>
        <w:jc w:val="both"/>
        <w:rPr>
          <w:i/>
          <w:szCs w:val="23"/>
        </w:rPr>
      </w:pPr>
      <w:r w:rsidRPr="00D32659">
        <w:rPr>
          <w:i/>
          <w:szCs w:val="23"/>
        </w:rPr>
        <w:t>Hypotéza č. 3: Sledovaný podnik v daném období nebyl ohrožen bankrotem.</w:t>
      </w:r>
    </w:p>
    <w:p w:rsidR="009C2941" w:rsidRPr="00D32659" w:rsidRDefault="009C2941" w:rsidP="008015B2">
      <w:pPr>
        <w:jc w:val="both"/>
        <w:rPr>
          <w:szCs w:val="23"/>
        </w:rPr>
      </w:pPr>
      <w:r w:rsidRPr="00D32659">
        <w:rPr>
          <w:szCs w:val="23"/>
        </w:rPr>
        <w:t>Poslední hypotéza bude testo</w:t>
      </w:r>
      <w:r w:rsidR="003D292B">
        <w:rPr>
          <w:szCs w:val="23"/>
        </w:rPr>
        <w:t>vána pomocí bankrotního modelu, a to konkrétně</w:t>
      </w:r>
      <w:r w:rsidRPr="00D32659">
        <w:rPr>
          <w:szCs w:val="23"/>
        </w:rPr>
        <w:t xml:space="preserve"> Taflerovým modelem.</w:t>
      </w:r>
    </w:p>
    <w:p w:rsidR="009C2941" w:rsidRPr="00D32659" w:rsidRDefault="009C2941" w:rsidP="008015B2">
      <w:pPr>
        <w:jc w:val="both"/>
        <w:rPr>
          <w:szCs w:val="23"/>
        </w:rPr>
      </w:pPr>
      <w:r w:rsidRPr="00D32659">
        <w:rPr>
          <w:szCs w:val="23"/>
        </w:rPr>
        <w:t>Práce je rozdělena do dvou částí. Tou první je teoretická část, ve které bude nejprve specifikováno, co je to finanční</w:t>
      </w:r>
      <w:r w:rsidR="003D292B">
        <w:rPr>
          <w:szCs w:val="23"/>
        </w:rPr>
        <w:t xml:space="preserve"> analýza, kteří lidé a instituce</w:t>
      </w:r>
      <w:r w:rsidRPr="00D32659">
        <w:rPr>
          <w:szCs w:val="23"/>
        </w:rPr>
        <w:t xml:space="preserve"> finanční analýzu využívají a k čemu ji využívají. Posléze budou blíže popsány vybrané metody finanční analýzy. V této </w:t>
      </w:r>
      <w:r w:rsidRPr="00D32659">
        <w:rPr>
          <w:szCs w:val="23"/>
        </w:rPr>
        <w:lastRenderedPageBreak/>
        <w:t xml:space="preserve">práci se bude konkrétně jednat o analýzu absolutních ukazatelů, analýzu poměrových ukazatelů, analýzu rozdílových ukazatelů a analýzu soustav ukazatelů. </w:t>
      </w:r>
    </w:p>
    <w:p w:rsidR="009C2941" w:rsidRPr="00D32659" w:rsidRDefault="009C2941" w:rsidP="008015B2">
      <w:pPr>
        <w:jc w:val="both"/>
        <w:rPr>
          <w:szCs w:val="23"/>
        </w:rPr>
      </w:pPr>
      <w:r w:rsidRPr="00D32659">
        <w:rPr>
          <w:szCs w:val="23"/>
        </w:rPr>
        <w:t>Druhá část bude částí praktickou, ve které budou aplikovány</w:t>
      </w:r>
      <w:r w:rsidR="003D292B">
        <w:rPr>
          <w:szCs w:val="23"/>
        </w:rPr>
        <w:t xml:space="preserve"> již zmíněné </w:t>
      </w:r>
      <w:r w:rsidRPr="00D32659">
        <w:rPr>
          <w:szCs w:val="23"/>
        </w:rPr>
        <w:t>metody finanční analýzy, které byly blíže definovány v části teoretické, na společnosti FOCAM, spol. s.r.o. Data pro finanční analýzu tohoto podniku budou čerpány z poskytnutý</w:t>
      </w:r>
      <w:r w:rsidR="003D292B">
        <w:rPr>
          <w:szCs w:val="23"/>
        </w:rPr>
        <w:t xml:space="preserve">ch finančních výkazů z let 2009 až </w:t>
      </w:r>
      <w:r w:rsidRPr="00D32659">
        <w:rPr>
          <w:szCs w:val="23"/>
        </w:rPr>
        <w:t xml:space="preserve">2013. </w:t>
      </w:r>
    </w:p>
    <w:p w:rsidR="009C2941" w:rsidRPr="00D32659" w:rsidRDefault="009C2941" w:rsidP="008015B2">
      <w:pPr>
        <w:jc w:val="both"/>
        <w:rPr>
          <w:szCs w:val="23"/>
        </w:rPr>
      </w:pPr>
      <w:r w:rsidRPr="00D32659">
        <w:rPr>
          <w:szCs w:val="23"/>
        </w:rPr>
        <w:t>V závěru práce budou shrnuty a popsány výsledky provedených analýz, budou potvrzeny popřípadě vyvráceny stanovené hypotézy a budou</w:t>
      </w:r>
      <w:r w:rsidR="00476703" w:rsidRPr="00D32659">
        <w:rPr>
          <w:szCs w:val="23"/>
        </w:rPr>
        <w:t xml:space="preserve"> prezentovány návrhy na vylepšení</w:t>
      </w:r>
      <w:r w:rsidRPr="00D32659">
        <w:rPr>
          <w:szCs w:val="23"/>
        </w:rPr>
        <w:t xml:space="preserve"> budoucí finanční situaci sledovaného podniku. Práce může posloužit jako podklad pro strategické rozhodování manažerů dané společnosti.</w:t>
      </w:r>
    </w:p>
    <w:p w:rsidR="00EC711D" w:rsidRPr="00BE14DE" w:rsidRDefault="00BE14DE" w:rsidP="00BE14DE">
      <w:pPr>
        <w:rPr>
          <w:sz w:val="22"/>
        </w:rPr>
      </w:pPr>
      <w:r>
        <w:br w:type="page"/>
      </w:r>
    </w:p>
    <w:p w:rsidR="00F73EC2" w:rsidRPr="00D32659" w:rsidRDefault="00F73EC2" w:rsidP="008015B2">
      <w:pPr>
        <w:pStyle w:val="Nadpis1"/>
        <w:numPr>
          <w:ilvl w:val="0"/>
          <w:numId w:val="0"/>
        </w:numPr>
        <w:ind w:left="432" w:hanging="432"/>
        <w:jc w:val="both"/>
      </w:pPr>
      <w:bookmarkStart w:id="2" w:name="_Toc417564140"/>
      <w:r w:rsidRPr="00D32659">
        <w:lastRenderedPageBreak/>
        <w:t>TEORETICKÁ ČÁST</w:t>
      </w:r>
      <w:bookmarkEnd w:id="2"/>
    </w:p>
    <w:p w:rsidR="00F73EC2" w:rsidRPr="00D32659" w:rsidRDefault="00F73EC2" w:rsidP="008015B2">
      <w:pPr>
        <w:spacing w:after="0" w:line="240" w:lineRule="auto"/>
        <w:jc w:val="both"/>
      </w:pPr>
    </w:p>
    <w:p w:rsidR="00F73EC2" w:rsidRPr="00D32659" w:rsidRDefault="00F73EC2" w:rsidP="008015B2">
      <w:pPr>
        <w:pStyle w:val="Nadpis1"/>
        <w:jc w:val="both"/>
        <w:rPr>
          <w:sz w:val="28"/>
        </w:rPr>
      </w:pPr>
      <w:bookmarkStart w:id="3" w:name="_Toc417564141"/>
      <w:r w:rsidRPr="00D32659">
        <w:t>Finanční analýza</w:t>
      </w:r>
      <w:bookmarkEnd w:id="3"/>
    </w:p>
    <w:p w:rsidR="00F73EC2" w:rsidRPr="00D32659" w:rsidRDefault="00F73EC2" w:rsidP="008015B2">
      <w:pPr>
        <w:pStyle w:val="Bezmezer"/>
        <w:jc w:val="both"/>
        <w:rPr>
          <w:lang w:val="cs-CZ"/>
        </w:rPr>
      </w:pPr>
      <w:r w:rsidRPr="00D32659">
        <w:rPr>
          <w:lang w:val="cs-CZ"/>
        </w:rPr>
        <w:t>Finanční analýza je v dnešní turbulentní době velice důležitým nástrojem, který by měl každý manažer ne jen znát, ale hlavně jej efektivně využívat k dalšímu rozvoji firmy. Finanční analýza nemá jednotnou definici, ale v podstatě jde o analýzu finančních dat, které se získají hlavně z účetních výkazů a díky kterým si manažer udělá obraz o současném a minulém stavu společnosti a získá podklady pro budoucí rozhodování v podniku.</w:t>
      </w:r>
    </w:p>
    <w:p w:rsidR="00F73EC2" w:rsidRPr="00D32659" w:rsidRDefault="00F73EC2" w:rsidP="008015B2">
      <w:pPr>
        <w:pStyle w:val="Bezmezer"/>
        <w:jc w:val="both"/>
        <w:rPr>
          <w:lang w:val="cs-CZ"/>
        </w:rPr>
      </w:pPr>
    </w:p>
    <w:p w:rsidR="00F73EC2" w:rsidRPr="00D32659" w:rsidRDefault="00F73EC2" w:rsidP="008015B2">
      <w:pPr>
        <w:pStyle w:val="Nadpis2"/>
        <w:jc w:val="both"/>
      </w:pPr>
      <w:bookmarkStart w:id="4" w:name="_Toc417564142"/>
      <w:r w:rsidRPr="00D32659">
        <w:t>Informační zdroje</w:t>
      </w:r>
      <w:bookmarkEnd w:id="4"/>
    </w:p>
    <w:p w:rsidR="00F73EC2" w:rsidRPr="00D32659" w:rsidRDefault="00F73EC2" w:rsidP="008015B2">
      <w:pPr>
        <w:pStyle w:val="Nadpis3"/>
        <w:jc w:val="both"/>
      </w:pPr>
      <w:bookmarkStart w:id="5" w:name="_Toc417564143"/>
      <w:r w:rsidRPr="00D32659">
        <w:t>Interní informace</w:t>
      </w:r>
      <w:bookmarkEnd w:id="5"/>
    </w:p>
    <w:p w:rsidR="00F73EC2" w:rsidRPr="00D32659" w:rsidRDefault="00F73EC2" w:rsidP="008015B2">
      <w:pPr>
        <w:pStyle w:val="Bezmezer"/>
        <w:jc w:val="both"/>
        <w:rPr>
          <w:lang w:val="cs-CZ"/>
        </w:rPr>
      </w:pPr>
    </w:p>
    <w:p w:rsidR="00F73EC2" w:rsidRPr="00D32659" w:rsidRDefault="00F73EC2" w:rsidP="008015B2">
      <w:pPr>
        <w:jc w:val="both"/>
      </w:pPr>
      <w:r w:rsidRPr="00D32659">
        <w:t>Do této kategorie spadají informace, které přímo souvisí s danou organizací. Nejdůležitější jsou informace z účetní závěrky, které upravují závazné předpisy. Tyto údaje bývají, hlavně u velkých společností, veřejně dostupné. Mezi interní informace patří také data z vnitropodnikového účetnictví, které nejsou upraveny žádným zvláštním předpisem, ale poskytují nezbytné informace ke správnému vedení firmy. Ve vnitropodnikovém účetnictví se sledují hlavně: nákladové účetnictví, rozpočetnictví, podnikové statistiky atd.</w:t>
      </w:r>
    </w:p>
    <w:p w:rsidR="00F73EC2" w:rsidRPr="00D32659" w:rsidRDefault="00F73EC2" w:rsidP="008015B2">
      <w:pPr>
        <w:pStyle w:val="Nadpis3"/>
        <w:jc w:val="both"/>
      </w:pPr>
      <w:bookmarkStart w:id="6" w:name="_Toc417564144"/>
      <w:r w:rsidRPr="00D32659">
        <w:t>Externí informace</w:t>
      </w:r>
      <w:bookmarkEnd w:id="6"/>
    </w:p>
    <w:p w:rsidR="00F73EC2" w:rsidRPr="00D32659" w:rsidRDefault="00F73EC2" w:rsidP="008015B2">
      <w:pPr>
        <w:pStyle w:val="Nadpis3"/>
        <w:numPr>
          <w:ilvl w:val="0"/>
          <w:numId w:val="0"/>
        </w:numPr>
        <w:ind w:left="720"/>
        <w:jc w:val="both"/>
      </w:pPr>
    </w:p>
    <w:p w:rsidR="00F73EC2" w:rsidRPr="00D32659" w:rsidRDefault="00F73EC2" w:rsidP="008015B2">
      <w:pPr>
        <w:jc w:val="both"/>
      </w:pPr>
      <w:r w:rsidRPr="00D32659">
        <w:t>Mezi externí informace patří např.: mezinárodní analýzy, analýzy národního hospodářství, informace z oficiálních statistik nebo postavení na trhu, konkurence, opatření vlády atd.</w:t>
      </w:r>
      <w:r w:rsidRPr="00D32659">
        <w:rPr>
          <w:rStyle w:val="Znakapoznpodarou"/>
        </w:rPr>
        <w:footnoteReference w:id="1"/>
      </w:r>
    </w:p>
    <w:p w:rsidR="00F73EC2" w:rsidRPr="00D32659" w:rsidRDefault="00F73EC2" w:rsidP="008015B2">
      <w:pPr>
        <w:pStyle w:val="Nadpis2"/>
        <w:jc w:val="both"/>
      </w:pPr>
      <w:bookmarkStart w:id="7" w:name="_Toc417564145"/>
      <w:r w:rsidRPr="00D32659">
        <w:t>Uživatelé finanční analýzy</w:t>
      </w:r>
      <w:bookmarkEnd w:id="7"/>
    </w:p>
    <w:p w:rsidR="00F73EC2" w:rsidRPr="00D32659" w:rsidRDefault="00F73EC2" w:rsidP="008015B2">
      <w:pPr>
        <w:pStyle w:val="Bezmezer"/>
        <w:jc w:val="both"/>
        <w:rPr>
          <w:lang w:val="cs-CZ"/>
        </w:rPr>
      </w:pPr>
    </w:p>
    <w:p w:rsidR="00F73EC2" w:rsidRPr="00D32659" w:rsidRDefault="00F73EC2" w:rsidP="008015B2">
      <w:pPr>
        <w:pStyle w:val="Nadpis3"/>
        <w:jc w:val="both"/>
      </w:pPr>
      <w:bookmarkStart w:id="8" w:name="_Toc417564146"/>
      <w:r w:rsidRPr="00D32659">
        <w:t>Externí uživatelé</w:t>
      </w:r>
      <w:bookmarkEnd w:id="8"/>
      <w:r w:rsidRPr="00D32659">
        <w:t xml:space="preserve"> </w:t>
      </w:r>
    </w:p>
    <w:p w:rsidR="00F73EC2" w:rsidRPr="00D32659" w:rsidRDefault="00F73EC2" w:rsidP="008015B2">
      <w:pPr>
        <w:pStyle w:val="Bezmezer"/>
        <w:jc w:val="both"/>
        <w:rPr>
          <w:lang w:val="cs-CZ"/>
        </w:rPr>
      </w:pPr>
    </w:p>
    <w:p w:rsidR="00F73EC2" w:rsidRPr="00D32659" w:rsidRDefault="00F73EC2" w:rsidP="008015B2">
      <w:pPr>
        <w:jc w:val="both"/>
      </w:pPr>
      <w:r w:rsidRPr="00D32659">
        <w:t>Mezi externí uživatele řadí Kislingerová</w:t>
      </w:r>
      <w:r w:rsidRPr="00D32659">
        <w:rPr>
          <w:rStyle w:val="Znakapoznpodarou"/>
        </w:rPr>
        <w:footnoteReference w:id="2"/>
      </w:r>
      <w:r w:rsidRPr="00D32659">
        <w:t xml:space="preserve"> investory, banky a jiné věřitele, stát a jeho orgány, obchodní partnery, konkurenci apod. </w:t>
      </w:r>
    </w:p>
    <w:p w:rsidR="00F73EC2" w:rsidRPr="00D32659" w:rsidRDefault="00F73EC2" w:rsidP="008015B2">
      <w:pPr>
        <w:jc w:val="both"/>
      </w:pPr>
      <w:r w:rsidRPr="00D32659">
        <w:t>Investoři mají zájem sledovat, jak se vyvíjí finanční situace společnosti a to hned ze dvou důvodů. Za prvé musí znát finanční stav podniku, do kterého by mohli potencionálně investovat, zda to nebude moc velký risk. A za druhé, pokud již své peníze investovali, mají logický zájem vědět, jak je s nimi nakládáno. Je důležité zmínit, že není nikdy zaručeno, že zájmy investora (akcionáře) a manažera se budou vždy shodovat.</w:t>
      </w:r>
    </w:p>
    <w:p w:rsidR="00F73EC2" w:rsidRPr="00D32659" w:rsidRDefault="00F73EC2" w:rsidP="008015B2">
      <w:pPr>
        <w:jc w:val="both"/>
      </w:pPr>
      <w:r w:rsidRPr="00D32659">
        <w:t xml:space="preserve">Banky a ostatní věřitelé využívají finanční analýzu k prověření svých současných a potencionálně budoucích dlužníků. Na základě finančního zdraví se rozhodují za jakých podmínek a kolik jsou ochotni poskytnout danému subjektu peněžních prostředků. </w:t>
      </w:r>
    </w:p>
    <w:p w:rsidR="00F73EC2" w:rsidRPr="00D32659" w:rsidRDefault="00F73EC2" w:rsidP="008015B2">
      <w:pPr>
        <w:jc w:val="both"/>
      </w:pPr>
      <w:r w:rsidRPr="00D32659">
        <w:t xml:space="preserve">Stát a jeho orgány využívají analýzy hned z několika důvodů, a to pro kontrolu správnosti vykázaných daní. Využívá informace pro různá statistická šetření, kontrolu podniků se státní </w:t>
      </w:r>
      <w:r w:rsidRPr="00D32659">
        <w:lastRenderedPageBreak/>
        <w:t>majetkovou účastí, rozdělování finančních výpomocí a získávání přehledu o finančním stavu podniků, kterým byli v rámci veřejné soutěže svěřeny státní zakázky.</w:t>
      </w:r>
    </w:p>
    <w:p w:rsidR="00F73EC2" w:rsidRPr="00D32659" w:rsidRDefault="00F73EC2" w:rsidP="008015B2">
      <w:pPr>
        <w:jc w:val="both"/>
      </w:pPr>
      <w:r w:rsidRPr="00D32659">
        <w:t xml:space="preserve">Zájmy obchodních partnerů se různí, a to podle toho zda se jedná o dodavatele nebo odběratele. Dodavatelé sledují podobně jako věřitelé, zda je podnik schopen dostát svým závazkům. Finanční stabilita podniku je důležitá taky pro odběratele, a hlavně pro ty, kteří jsou „závislí“ na pravidelných dodávkách a bylo by pro ně složité sehnat nového dodavatele. </w:t>
      </w:r>
    </w:p>
    <w:p w:rsidR="00F73EC2" w:rsidRPr="00D32659" w:rsidRDefault="00F73EC2" w:rsidP="008015B2">
      <w:pPr>
        <w:pStyle w:val="Nadpis3"/>
        <w:jc w:val="both"/>
      </w:pPr>
      <w:bookmarkStart w:id="9" w:name="_Toc417564147"/>
      <w:r w:rsidRPr="00D32659">
        <w:t>Interní uživatelé</w:t>
      </w:r>
      <w:bookmarkEnd w:id="9"/>
    </w:p>
    <w:p w:rsidR="00F73EC2" w:rsidRPr="00D32659" w:rsidRDefault="00F73EC2" w:rsidP="008015B2">
      <w:pPr>
        <w:pStyle w:val="Bezmezer"/>
        <w:jc w:val="both"/>
        <w:rPr>
          <w:lang w:val="cs-CZ"/>
        </w:rPr>
      </w:pPr>
    </w:p>
    <w:p w:rsidR="00F73EC2" w:rsidRPr="00D32659" w:rsidRDefault="00F73EC2" w:rsidP="008015B2">
      <w:pPr>
        <w:jc w:val="both"/>
      </w:pPr>
      <w:r w:rsidRPr="00D32659">
        <w:t>K interním uživatelům Kislingerová</w:t>
      </w:r>
      <w:r w:rsidRPr="00D32659">
        <w:rPr>
          <w:rStyle w:val="Znakapoznpodarou"/>
        </w:rPr>
        <w:footnoteReference w:id="3"/>
      </w:r>
      <w:r w:rsidRPr="00D32659">
        <w:t xml:space="preserve"> řadí manažery, odboráře a zaměstnance.</w:t>
      </w:r>
    </w:p>
    <w:p w:rsidR="00F73EC2" w:rsidRPr="00D32659" w:rsidRDefault="00F73EC2" w:rsidP="008015B2">
      <w:pPr>
        <w:jc w:val="both"/>
      </w:pPr>
      <w:r w:rsidRPr="00D32659">
        <w:t>Pro manažery je finanční analýza důležitá, pro správné řízení podniku a to jak strategické tak i operativní. Manažer má tu výhodu, že zná přesný obraz společnosti, protože má naprosto všechny dostupné informace, i ty, které třeba nejsou ostatním uživatelům zcela zpřístupněny.</w:t>
      </w:r>
    </w:p>
    <w:p w:rsidR="00F73EC2" w:rsidRPr="00D32659" w:rsidRDefault="00F73EC2" w:rsidP="008015B2">
      <w:pPr>
        <w:jc w:val="both"/>
      </w:pPr>
      <w:r w:rsidRPr="00D32659">
        <w:t>Zaměstnanci mají naprosto pochopitelný zájem na finanční stabilitě a prosperitě podniku, který jim zajišťuje jisté zaměstnání a mzdové zajištění.</w:t>
      </w:r>
    </w:p>
    <w:p w:rsidR="00F73EC2" w:rsidRPr="00D32659" w:rsidRDefault="00F73EC2" w:rsidP="008015B2">
      <w:pPr>
        <w:pStyle w:val="Nadpis2"/>
        <w:jc w:val="both"/>
      </w:pPr>
      <w:bookmarkStart w:id="10" w:name="_Toc417564148"/>
      <w:r w:rsidRPr="00D32659">
        <w:t>Zdroje dat</w:t>
      </w:r>
      <w:bookmarkEnd w:id="10"/>
    </w:p>
    <w:p w:rsidR="00F73EC2" w:rsidRPr="00D32659" w:rsidRDefault="00F73EC2" w:rsidP="008015B2">
      <w:pPr>
        <w:pStyle w:val="Bezmezer"/>
        <w:jc w:val="both"/>
        <w:rPr>
          <w:lang w:val="cs-CZ"/>
        </w:rPr>
      </w:pPr>
    </w:p>
    <w:p w:rsidR="00F73EC2" w:rsidRPr="00D32659" w:rsidRDefault="00F73EC2" w:rsidP="008015B2">
      <w:pPr>
        <w:spacing w:after="0" w:line="240" w:lineRule="auto"/>
        <w:jc w:val="both"/>
      </w:pPr>
      <w:r w:rsidRPr="00D32659">
        <w:t>Ke správnému vypracování jakékoli analýzy je zapotřebí získat detailní a hlavně relevantní podklady. Ve finanční analýze se využívá interních informací a tedy účetní závěrky a vnitropodnikového účetnictví. V této části bud věnovat pozornost informacím, které jsou zachyceny v rozvaze a výkazu zisku a ztrát podniku.</w:t>
      </w:r>
    </w:p>
    <w:p w:rsidR="00F73EC2" w:rsidRPr="00D32659" w:rsidRDefault="00F73EC2" w:rsidP="008015B2">
      <w:pPr>
        <w:spacing w:after="0" w:line="240" w:lineRule="auto"/>
        <w:jc w:val="both"/>
      </w:pPr>
    </w:p>
    <w:p w:rsidR="00F73EC2" w:rsidRPr="00D32659" w:rsidRDefault="00F73EC2" w:rsidP="008015B2">
      <w:pPr>
        <w:pStyle w:val="Nadpis3"/>
        <w:jc w:val="both"/>
      </w:pPr>
      <w:bookmarkStart w:id="11" w:name="_Toc417564149"/>
      <w:r w:rsidRPr="00D32659">
        <w:t>Rozvaha</w:t>
      </w:r>
      <w:bookmarkEnd w:id="11"/>
    </w:p>
    <w:p w:rsidR="00F73EC2" w:rsidRPr="00D32659" w:rsidRDefault="00F73EC2" w:rsidP="008015B2">
      <w:pPr>
        <w:pStyle w:val="Bezmezer"/>
        <w:jc w:val="both"/>
        <w:rPr>
          <w:lang w:val="cs-CZ"/>
        </w:rPr>
      </w:pPr>
    </w:p>
    <w:p w:rsidR="00F73EC2" w:rsidRPr="00D32659" w:rsidRDefault="00F73EC2" w:rsidP="008015B2">
      <w:pPr>
        <w:jc w:val="both"/>
      </w:pPr>
      <w:r w:rsidRPr="00D32659">
        <w:t xml:space="preserve">Účetní rozvaha ukazuje stav aktiv a pasiv, k určitému dni a musí vždy splňovat požadavek bilanční rovnice, jinými slovy suma aktiv a suma pasiv se musí vždy rovnat. </w:t>
      </w:r>
    </w:p>
    <w:p w:rsidR="00F73EC2" w:rsidRPr="00D32659" w:rsidRDefault="00F73EC2" w:rsidP="008015B2">
      <w:pPr>
        <w:pStyle w:val="Bezmezer"/>
        <w:jc w:val="both"/>
        <w:rPr>
          <w:b/>
          <w:lang w:val="cs-CZ"/>
        </w:rPr>
      </w:pPr>
      <w:r w:rsidRPr="00D32659">
        <w:rPr>
          <w:b/>
          <w:lang w:val="cs-CZ"/>
        </w:rPr>
        <w:t>Schéma č. 1: Zjednodušené schéma rozvahy</w:t>
      </w:r>
    </w:p>
    <w:p w:rsidR="00F73EC2" w:rsidRPr="00D32659" w:rsidRDefault="00F73EC2" w:rsidP="008015B2">
      <w:pPr>
        <w:pStyle w:val="Bezmezer"/>
        <w:jc w:val="both"/>
        <w:rPr>
          <w:b/>
          <w:lang w:val="cs-CZ"/>
        </w:rPr>
      </w:pPr>
      <w:r w:rsidRPr="00D32659">
        <w:rPr>
          <w:lang w:val="cs-CZ"/>
        </w:rPr>
        <w:tab/>
      </w:r>
      <w:r w:rsidRPr="00D32659">
        <w:rPr>
          <w:lang w:val="cs-CZ"/>
        </w:rPr>
        <w:tab/>
      </w:r>
      <w:r w:rsidRPr="00D32659">
        <w:rPr>
          <w:lang w:val="cs-CZ"/>
        </w:rPr>
        <w:tab/>
      </w:r>
      <w:r w:rsidRPr="00D32659">
        <w:rPr>
          <w:lang w:val="cs-CZ"/>
        </w:rPr>
        <w:tab/>
      </w:r>
      <w:r w:rsidRPr="00D32659">
        <w:rPr>
          <w:b/>
          <w:lang w:val="cs-CZ"/>
        </w:rPr>
        <w:t>ROZVAHA</w:t>
      </w:r>
    </w:p>
    <w:p w:rsidR="00F73EC2" w:rsidRPr="00D32659" w:rsidRDefault="00F73EC2" w:rsidP="008015B2">
      <w:pPr>
        <w:pStyle w:val="Bezmezer"/>
        <w:jc w:val="both"/>
        <w:rPr>
          <w:lang w:val="cs-CZ"/>
        </w:rPr>
      </w:pPr>
      <w:r w:rsidRPr="00D32659">
        <w:rPr>
          <w:noProof/>
          <w:lang w:val="cs-CZ" w:eastAsia="cs-CZ"/>
        </w:rPr>
        <mc:AlternateContent>
          <mc:Choice Requires="wps">
            <w:drawing>
              <wp:anchor distT="0" distB="0" distL="114300" distR="114300" simplePos="0" relativeHeight="251659264" behindDoc="0" locked="0" layoutInCell="1" allowOverlap="1" wp14:anchorId="595AE48C" wp14:editId="0EFEBC7C">
                <wp:simplePos x="0" y="0"/>
                <wp:positionH relativeFrom="column">
                  <wp:posOffset>2515878</wp:posOffset>
                </wp:positionH>
                <wp:positionV relativeFrom="paragraph">
                  <wp:posOffset>113063</wp:posOffset>
                </wp:positionV>
                <wp:extent cx="0" cy="2090057"/>
                <wp:effectExtent l="0" t="0" r="19050" b="24765"/>
                <wp:wrapNone/>
                <wp:docPr id="2"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00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1pt,8.9pt" to="198.1pt,1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CoJEgIAACkEAAAOAAAAZHJzL2Uyb0RvYy54bWysU9uO2yAQfa/Uf0C8J76sk02sOKvKTvqy&#10;7Uba7QcQwDEqBgQkTlT13zuQizbtS1XVD3iAmTNnZg6Lp2Mv0YFbJ7SqcDZOMeKKaibUrsLf3taj&#10;GUbOE8WI1IpX+MQdflp+/LAYTMlz3WnJuEUAolw5mAp33psySRzteE/cWBuu4LLVticetnaXMEsG&#10;QO9lkqfpNBm0ZcZqyp2D0+Z8iZcRv2059S9t67hHssLAzcfVxnUb1mS5IOXOEtMJeqFB/oFFT4SC&#10;pDeohniC9lb8AdULarXTrR9T3Se6bQXlsQaoJkt/q+a1I4bHWqA5ztza5P4fLP162FgkWIVzjBTp&#10;YUTPQnFUPITWDMaV4FGrjQ3F0aN6Nc+afndI6bojascjxbeTgbgsRCR3IWHjDCTYDl80Ax+y9zr2&#10;6djaPkBCB9AxjuN0Gwc/ekTPhxRO83SeppPHiE7Ka6Cxzn/mukfBqLAE0hGYHJ6dD0RIeXUJeZRe&#10;CynjtKVCQ4Xnk3wSA5yWgoXL4ObsbltLiw4k6CV+l7x3blbvFYtgHSdsdbE9EfJsQ3KpAh6UAnQu&#10;1lkQP+bpfDVbzYpRkU9XoyJtmtGndV2MpuvscdI8NHXdZD8DtawoO8EYV4HdVZxZ8XfDvzyTs6xu&#10;8ry1IblHj/0Cstd/JB1nGcZ3FsJWs9PGXmcMeozOl7cTBP9+D/b7F778BQAA//8DAFBLAwQUAAYA&#10;CAAAACEA6z+ieN0AAAAKAQAADwAAAGRycy9kb3ducmV2LnhtbEyPQU/DMAyF70j8h8hIXCaW0qHC&#10;StMJAb1x2QBx9RrTVjRO12Rb4ddjxAFutt/T8/eK1eR6daAxdJ4NXM4TUMS1tx03Bl6eq4sbUCEi&#10;W+w9k4FPCrAqT08KzK0/8poOm9goCeGQo4E2xiHXOtQtOQxzPxCL9u5Hh1HWsdF2xKOEu16nSZJp&#10;hx3LhxYHum+p/tjsnYFQvdKu+prVs+Rt0XhKdw9Pj2jM+dl0dwsq0hT/zPCDL+hQCtPW79kG1RtY&#10;LLNUrCJcSwUx/B62MlxlS9Blof9XKL8BAAD//wMAUEsBAi0AFAAGAAgAAAAhALaDOJL+AAAA4QEA&#10;ABMAAAAAAAAAAAAAAAAAAAAAAFtDb250ZW50X1R5cGVzXS54bWxQSwECLQAUAAYACAAAACEAOP0h&#10;/9YAAACUAQAACwAAAAAAAAAAAAAAAAAvAQAAX3JlbHMvLnJlbHNQSwECLQAUAAYACAAAACEABpgq&#10;CRICAAApBAAADgAAAAAAAAAAAAAAAAAuAgAAZHJzL2Uyb0RvYy54bWxQSwECLQAUAAYACAAAACEA&#10;6z+ieN0AAAAKAQAADwAAAAAAAAAAAAAAAABsBAAAZHJzL2Rvd25yZXYueG1sUEsFBgAAAAAEAAQA&#10;8wAAAHYFAAAAAA==&#10;"/>
            </w:pict>
          </mc:Fallback>
        </mc:AlternateContent>
      </w:r>
      <w:r w:rsidRPr="00D32659">
        <w:rPr>
          <w:lang w:val="cs-CZ"/>
        </w:rPr>
        <w:t>AKTIVA</w:t>
      </w:r>
      <w:r w:rsidRPr="00D32659">
        <w:rPr>
          <w:lang w:val="cs-CZ"/>
        </w:rPr>
        <w:tab/>
      </w:r>
      <w:r w:rsidRPr="00D32659">
        <w:rPr>
          <w:lang w:val="cs-CZ"/>
        </w:rPr>
        <w:tab/>
      </w:r>
      <w:r w:rsidRPr="00D32659">
        <w:rPr>
          <w:lang w:val="cs-CZ"/>
        </w:rPr>
        <w:tab/>
      </w:r>
      <w:r w:rsidRPr="00D32659">
        <w:rPr>
          <w:lang w:val="cs-CZ"/>
        </w:rPr>
        <w:tab/>
      </w:r>
      <w:r w:rsidRPr="00D32659">
        <w:rPr>
          <w:lang w:val="cs-CZ"/>
        </w:rPr>
        <w:tab/>
      </w:r>
      <w:r w:rsidRPr="00D32659">
        <w:rPr>
          <w:lang w:val="cs-CZ"/>
        </w:rPr>
        <w:tab/>
        <w:t>PASIVA</w:t>
      </w:r>
    </w:p>
    <w:p w:rsidR="00F73EC2" w:rsidRPr="00D32659" w:rsidRDefault="00F73EC2" w:rsidP="008015B2">
      <w:pPr>
        <w:pStyle w:val="Bezmezer"/>
        <w:jc w:val="both"/>
        <w:rPr>
          <w:b/>
          <w:lang w:val="cs-CZ"/>
        </w:rPr>
      </w:pPr>
      <w:r w:rsidRPr="00D32659">
        <w:rPr>
          <w:b/>
          <w:lang w:val="cs-CZ"/>
        </w:rPr>
        <w:t xml:space="preserve"> 1. Dlouhodobý majetek</w:t>
      </w:r>
      <w:r w:rsidRPr="00D32659">
        <w:rPr>
          <w:b/>
          <w:lang w:val="cs-CZ"/>
        </w:rPr>
        <w:tab/>
      </w:r>
      <w:r w:rsidRPr="00D32659">
        <w:rPr>
          <w:b/>
          <w:lang w:val="cs-CZ"/>
        </w:rPr>
        <w:tab/>
      </w:r>
      <w:r w:rsidRPr="00D32659">
        <w:rPr>
          <w:b/>
          <w:lang w:val="cs-CZ"/>
        </w:rPr>
        <w:tab/>
        <w:t>1. Vlastní kapitál</w:t>
      </w:r>
    </w:p>
    <w:p w:rsidR="00F73EC2" w:rsidRPr="00D32659" w:rsidRDefault="00F73EC2" w:rsidP="008015B2">
      <w:pPr>
        <w:pStyle w:val="Bezmezer"/>
        <w:tabs>
          <w:tab w:val="left" w:pos="4395"/>
        </w:tabs>
        <w:jc w:val="both"/>
        <w:rPr>
          <w:lang w:val="cs-CZ"/>
        </w:rPr>
      </w:pPr>
      <w:r w:rsidRPr="00D32659">
        <w:rPr>
          <w:lang w:val="cs-CZ"/>
        </w:rPr>
        <w:t xml:space="preserve">     Dlouhodobý hmotný majetek                       </w:t>
      </w:r>
      <w:r w:rsidRPr="00D32659">
        <w:rPr>
          <w:lang w:val="cs-CZ"/>
        </w:rPr>
        <w:tab/>
        <w:t>Základní kapitál</w:t>
      </w:r>
    </w:p>
    <w:p w:rsidR="00F73EC2" w:rsidRPr="00D32659" w:rsidRDefault="00F73EC2" w:rsidP="008015B2">
      <w:pPr>
        <w:pStyle w:val="Bezmezer"/>
        <w:tabs>
          <w:tab w:val="left" w:pos="4395"/>
        </w:tabs>
        <w:jc w:val="both"/>
        <w:rPr>
          <w:lang w:val="cs-CZ"/>
        </w:rPr>
      </w:pPr>
      <w:r w:rsidRPr="00D32659">
        <w:rPr>
          <w:lang w:val="cs-CZ"/>
        </w:rPr>
        <w:t xml:space="preserve">     Dlouhodobý nehmotný majetek                  </w:t>
      </w:r>
      <w:r w:rsidRPr="00D32659">
        <w:rPr>
          <w:lang w:val="cs-CZ"/>
        </w:rPr>
        <w:tab/>
        <w:t>Fondy</w:t>
      </w:r>
    </w:p>
    <w:p w:rsidR="00F73EC2" w:rsidRPr="00D32659" w:rsidRDefault="00F73EC2" w:rsidP="008015B2">
      <w:pPr>
        <w:pStyle w:val="Bezmezer"/>
        <w:tabs>
          <w:tab w:val="left" w:pos="4395"/>
        </w:tabs>
        <w:jc w:val="both"/>
        <w:rPr>
          <w:lang w:val="cs-CZ"/>
        </w:rPr>
      </w:pPr>
      <w:r w:rsidRPr="00D32659">
        <w:rPr>
          <w:lang w:val="cs-CZ"/>
        </w:rPr>
        <w:t xml:space="preserve">     Dlouhodobý finanční majetek                      </w:t>
      </w:r>
      <w:r w:rsidRPr="00D32659">
        <w:rPr>
          <w:lang w:val="cs-CZ"/>
        </w:rPr>
        <w:tab/>
        <w:t>Nerozdělený zisk minulých let</w:t>
      </w:r>
    </w:p>
    <w:p w:rsidR="00F73EC2" w:rsidRPr="00D32659" w:rsidRDefault="00F73EC2" w:rsidP="008015B2">
      <w:pPr>
        <w:pStyle w:val="Bezmezer"/>
        <w:tabs>
          <w:tab w:val="left" w:pos="4395"/>
        </w:tabs>
        <w:jc w:val="both"/>
        <w:rPr>
          <w:lang w:val="cs-CZ"/>
        </w:rPr>
      </w:pPr>
      <w:r w:rsidRPr="00D32659">
        <w:rPr>
          <w:lang w:val="cs-CZ"/>
        </w:rPr>
        <w:t xml:space="preserve">                                                                           </w:t>
      </w:r>
      <w:r w:rsidRPr="00D32659">
        <w:rPr>
          <w:lang w:val="cs-CZ"/>
        </w:rPr>
        <w:tab/>
        <w:t>Hospodářský výsledek</w:t>
      </w:r>
    </w:p>
    <w:p w:rsidR="00F73EC2" w:rsidRPr="00D32659" w:rsidRDefault="00F73EC2" w:rsidP="008015B2">
      <w:pPr>
        <w:pStyle w:val="Bezmezer"/>
        <w:jc w:val="both"/>
        <w:rPr>
          <w:b/>
          <w:lang w:val="cs-CZ"/>
        </w:rPr>
      </w:pPr>
      <w:r w:rsidRPr="00D32659">
        <w:rPr>
          <w:b/>
          <w:lang w:val="cs-CZ"/>
        </w:rPr>
        <w:t xml:space="preserve"> 2. Oběžný majetek                     </w:t>
      </w:r>
    </w:p>
    <w:p w:rsidR="00F73EC2" w:rsidRPr="00D32659" w:rsidRDefault="00F73EC2" w:rsidP="008015B2">
      <w:pPr>
        <w:pStyle w:val="Bezmezer"/>
        <w:jc w:val="both"/>
        <w:rPr>
          <w:lang w:val="cs-CZ"/>
        </w:rPr>
      </w:pPr>
      <w:r w:rsidRPr="00D32659">
        <w:rPr>
          <w:lang w:val="cs-CZ"/>
        </w:rPr>
        <w:t xml:space="preserve">     Zásoby                                                    </w:t>
      </w:r>
      <w:r w:rsidRPr="00D32659">
        <w:rPr>
          <w:lang w:val="cs-CZ"/>
        </w:rPr>
        <w:tab/>
      </w:r>
      <w:r w:rsidRPr="00D32659">
        <w:rPr>
          <w:b/>
          <w:lang w:val="cs-CZ"/>
        </w:rPr>
        <w:t>2. Cizí kapitál</w:t>
      </w:r>
    </w:p>
    <w:p w:rsidR="00F73EC2" w:rsidRPr="00D32659" w:rsidRDefault="00F73EC2" w:rsidP="008015B2">
      <w:pPr>
        <w:pStyle w:val="Bezmezer"/>
        <w:tabs>
          <w:tab w:val="left" w:pos="4395"/>
        </w:tabs>
        <w:jc w:val="both"/>
        <w:rPr>
          <w:lang w:val="cs-CZ"/>
        </w:rPr>
      </w:pPr>
      <w:r w:rsidRPr="00D32659">
        <w:rPr>
          <w:lang w:val="cs-CZ"/>
        </w:rPr>
        <w:t xml:space="preserve">     Pohledávky                        </w:t>
      </w:r>
      <w:r w:rsidRPr="00D32659">
        <w:rPr>
          <w:lang w:val="cs-CZ"/>
        </w:rPr>
        <w:tab/>
        <w:t>Rezervy</w:t>
      </w:r>
    </w:p>
    <w:p w:rsidR="00F73EC2" w:rsidRPr="00D32659" w:rsidRDefault="00F73EC2" w:rsidP="008015B2">
      <w:pPr>
        <w:pStyle w:val="Bezmezer"/>
        <w:tabs>
          <w:tab w:val="left" w:pos="4395"/>
        </w:tabs>
        <w:jc w:val="both"/>
        <w:rPr>
          <w:lang w:val="cs-CZ"/>
        </w:rPr>
      </w:pPr>
      <w:r w:rsidRPr="00D32659">
        <w:rPr>
          <w:lang w:val="cs-CZ"/>
        </w:rPr>
        <w:t xml:space="preserve">     Krátkodobý finanční majetek</w:t>
      </w:r>
      <w:r w:rsidRPr="00D32659">
        <w:rPr>
          <w:lang w:val="cs-CZ"/>
        </w:rPr>
        <w:tab/>
        <w:t>Dlouhodobé závazky a úvěry</w:t>
      </w:r>
    </w:p>
    <w:p w:rsidR="00F73EC2" w:rsidRPr="00D32659" w:rsidRDefault="00F73EC2" w:rsidP="008015B2">
      <w:pPr>
        <w:pStyle w:val="Bezmezer"/>
        <w:tabs>
          <w:tab w:val="left" w:pos="4395"/>
        </w:tabs>
        <w:jc w:val="both"/>
        <w:rPr>
          <w:lang w:val="cs-CZ"/>
        </w:rPr>
      </w:pPr>
      <w:r w:rsidRPr="00D32659">
        <w:rPr>
          <w:lang w:val="cs-CZ"/>
        </w:rPr>
        <w:tab/>
        <w:t>Krátkodobé závazky a úvěry</w:t>
      </w:r>
    </w:p>
    <w:p w:rsidR="00F73EC2" w:rsidRPr="00D32659" w:rsidRDefault="00F73EC2" w:rsidP="008015B2">
      <w:pPr>
        <w:pStyle w:val="Bezmezer"/>
        <w:jc w:val="both"/>
        <w:rPr>
          <w:b/>
          <w:lang w:val="cs-CZ"/>
        </w:rPr>
      </w:pPr>
      <w:r w:rsidRPr="00D32659">
        <w:rPr>
          <w:b/>
          <w:lang w:val="cs-CZ"/>
        </w:rPr>
        <w:t xml:space="preserve"> 3. Ostatní aktiva</w:t>
      </w:r>
      <w:r w:rsidRPr="00D32659">
        <w:rPr>
          <w:b/>
          <w:lang w:val="cs-CZ"/>
        </w:rPr>
        <w:tab/>
      </w:r>
      <w:r w:rsidRPr="00D32659">
        <w:rPr>
          <w:b/>
          <w:lang w:val="cs-CZ"/>
        </w:rPr>
        <w:tab/>
      </w:r>
      <w:r w:rsidRPr="00D32659">
        <w:rPr>
          <w:b/>
          <w:lang w:val="cs-CZ"/>
        </w:rPr>
        <w:tab/>
        <w:t xml:space="preserve">          </w:t>
      </w:r>
    </w:p>
    <w:p w:rsidR="00F73EC2" w:rsidRPr="00D32659" w:rsidRDefault="00F73EC2" w:rsidP="008015B2">
      <w:pPr>
        <w:pStyle w:val="Bezmezer"/>
        <w:tabs>
          <w:tab w:val="left" w:pos="4253"/>
        </w:tabs>
        <w:jc w:val="both"/>
        <w:rPr>
          <w:lang w:val="cs-CZ"/>
        </w:rPr>
      </w:pPr>
      <w:r w:rsidRPr="00D32659">
        <w:rPr>
          <w:lang w:val="cs-CZ"/>
        </w:rPr>
        <w:t xml:space="preserve">     Časové rozlišení</w:t>
      </w:r>
      <w:r w:rsidRPr="00D32659">
        <w:rPr>
          <w:lang w:val="cs-CZ"/>
        </w:rPr>
        <w:tab/>
      </w:r>
      <w:r w:rsidRPr="00D32659">
        <w:rPr>
          <w:b/>
          <w:lang w:val="cs-CZ"/>
        </w:rPr>
        <w:t xml:space="preserve">3. Ostatní pasiva  </w:t>
      </w:r>
    </w:p>
    <w:p w:rsidR="00F73EC2" w:rsidRPr="00D32659" w:rsidRDefault="00F73EC2" w:rsidP="008015B2">
      <w:pPr>
        <w:pStyle w:val="Bezmezer"/>
        <w:tabs>
          <w:tab w:val="left" w:pos="4395"/>
        </w:tabs>
        <w:jc w:val="both"/>
        <w:rPr>
          <w:lang w:val="cs-CZ"/>
        </w:rPr>
      </w:pPr>
      <w:r w:rsidRPr="00D32659">
        <w:rPr>
          <w:lang w:val="cs-CZ"/>
        </w:rPr>
        <w:t xml:space="preserve">                                                                         </w:t>
      </w:r>
      <w:r w:rsidRPr="00D32659">
        <w:rPr>
          <w:lang w:val="cs-CZ"/>
        </w:rPr>
        <w:tab/>
        <w:t>Časové rozlišení</w:t>
      </w:r>
    </w:p>
    <w:p w:rsidR="00F73EC2" w:rsidRPr="00012D2D" w:rsidRDefault="00F73EC2" w:rsidP="008015B2">
      <w:pPr>
        <w:jc w:val="both"/>
        <w:rPr>
          <w:i/>
          <w:sz w:val="20"/>
          <w:szCs w:val="20"/>
        </w:rPr>
      </w:pPr>
      <w:r w:rsidRPr="00012D2D">
        <w:rPr>
          <w:i/>
          <w:sz w:val="20"/>
          <w:szCs w:val="20"/>
        </w:rPr>
        <w:t xml:space="preserve">Pramen: Vlastní zpracování na základě </w:t>
      </w:r>
      <w:r w:rsidRPr="00012D2D">
        <w:rPr>
          <w:i/>
          <w:sz w:val="20"/>
          <w:szCs w:val="20"/>
          <w:shd w:val="clear" w:color="auto" w:fill="FFFFFF"/>
        </w:rPr>
        <w:t>GRÜNWALD, Rolf a Jaroslava HOLEČKOVÁ.</w:t>
      </w:r>
      <w:r w:rsidRPr="00012D2D">
        <w:rPr>
          <w:rStyle w:val="apple-converted-space"/>
          <w:i/>
          <w:sz w:val="20"/>
          <w:szCs w:val="20"/>
          <w:shd w:val="clear" w:color="auto" w:fill="FFFFFF"/>
        </w:rPr>
        <w:t> </w:t>
      </w:r>
      <w:r w:rsidRPr="00012D2D">
        <w:rPr>
          <w:i/>
          <w:iCs/>
          <w:sz w:val="20"/>
          <w:szCs w:val="20"/>
          <w:shd w:val="clear" w:color="auto" w:fill="FFFFFF"/>
        </w:rPr>
        <w:t>Finanční analýza a plánování podniku</w:t>
      </w:r>
    </w:p>
    <w:p w:rsidR="00F73EC2" w:rsidRPr="00D32659" w:rsidRDefault="00BC12C0" w:rsidP="008015B2">
      <w:pPr>
        <w:jc w:val="both"/>
      </w:pPr>
      <w:r w:rsidRPr="00D32659">
        <w:rPr>
          <w:b/>
        </w:rPr>
        <w:br w:type="page"/>
      </w:r>
      <w:r w:rsidR="00F73EC2" w:rsidRPr="00D32659">
        <w:rPr>
          <w:b/>
        </w:rPr>
        <w:lastRenderedPageBreak/>
        <w:t>Aktiva</w:t>
      </w:r>
      <w:r w:rsidR="00F73EC2" w:rsidRPr="00D32659">
        <w:t xml:space="preserve"> představují majetek podniku. V rozvaze jsou zpravidla řazena podle likvidity, od nejméně likvidních po ty nejvíce likviditní. Aktiva musí přinést účetní jednotce budoucí ekonomický prospěch a to buď přímo, přeměnou na hotovost, nebo nepřímo postupným přeměňováním na výrobky a následným zhodnocením</w:t>
      </w:r>
      <w:r w:rsidR="00F73EC2" w:rsidRPr="00D32659">
        <w:rPr>
          <w:rStyle w:val="Znakapoznpodarou"/>
        </w:rPr>
        <w:footnoteReference w:id="4"/>
      </w:r>
      <w:r w:rsidR="00F73EC2" w:rsidRPr="00D32659">
        <w:t>. Aktiva se v rozvaze zpravidla dělí na dlouhodobý majetek a oběžná aktiva, ale mohou se dále dělit i na dlouhodobá aktiva a krátkodobá aktiva. Důležité je si uvědomit, že aktivum, které je oběžné, ještě nemusí nutně být i krátkodobé např. pohledávky mohou být dlouhodobé, ale pořád jsou to oběžná aktiva.</w:t>
      </w:r>
      <w:r w:rsidR="000F7258" w:rsidRPr="00D32659">
        <w:rPr>
          <w:rStyle w:val="Znakapoznpodarou"/>
        </w:rPr>
        <w:footnoteReference w:id="5"/>
      </w:r>
    </w:p>
    <w:p w:rsidR="00F73EC2" w:rsidRPr="00D32659" w:rsidRDefault="00F73EC2" w:rsidP="008015B2">
      <w:pPr>
        <w:jc w:val="both"/>
      </w:pPr>
      <w:r w:rsidRPr="00D32659">
        <w:t>Dlouhodobý majetek se dále dělí na hmotný, nehmotný a finanční majetek. Do dlouhodobého nehmotného majetku řadíme např. software, licence, patenty atd. obecně se sem můžou zařadit aktiva s životností delší než jeden rok, ale zároveň musí být jejich pořizovací cena vyšší než 60 tisíc. Dlouhodobý hmotný majetek, který firma vlastní musí mít taktéž životnost nad jeden rok a jejich pořizovací cena v tomto případě musí přesáhnout částku 40 tisíc korun. A jsou to např. stavby, pozemky, samostatné movité věci apod. Dlouhodobý finanční majetek zahrnuje majetkové účasti, realizovatelné cenné papíry, dlužné cenně papíry atd.</w:t>
      </w:r>
    </w:p>
    <w:p w:rsidR="00F73EC2" w:rsidRPr="00D32659" w:rsidRDefault="00F73EC2" w:rsidP="008015B2">
      <w:pPr>
        <w:jc w:val="both"/>
      </w:pPr>
      <w:r w:rsidRPr="00D32659">
        <w:t xml:space="preserve">Oběžná aktiva je obecně majetek se splatností do jednoho roku. Můžeme sem zařadit zásoby, dlouhodobé i krátkodobé pohledávky, krátkodobý finanční majetek. </w:t>
      </w:r>
      <w:r w:rsidRPr="00D32659">
        <w:rPr>
          <w:rStyle w:val="Znakapoznpodarou"/>
        </w:rPr>
        <w:footnoteReference w:id="6"/>
      </w:r>
    </w:p>
    <w:p w:rsidR="00F73EC2" w:rsidRPr="00D32659" w:rsidRDefault="00F73EC2" w:rsidP="008015B2">
      <w:pPr>
        <w:jc w:val="both"/>
      </w:pPr>
      <w:r w:rsidRPr="00D32659">
        <w:t>Rozsah podnikových výkonů, stupeň využití celkového majetku a cena majetku jsou tři faktory, které mají největší vliv na výši celkového majetku. Rozsah podnikových výkonů ovlivňuje rozsah majetku, pokud podnik začne provádět výkonů víc, požadavky na velikost majetku budou také vyšší. Při efektivnějším využití majetku nebude na majetek kladen takový nárok a dojde k jeho snižování. Cena logicky ovlivňuje majetek okamžitě.</w:t>
      </w:r>
      <w:r w:rsidRPr="00D32659">
        <w:rPr>
          <w:rStyle w:val="Znakapoznpodarou"/>
        </w:rPr>
        <w:footnoteReference w:id="7"/>
      </w:r>
    </w:p>
    <w:p w:rsidR="00F73EC2" w:rsidRPr="00D32659" w:rsidRDefault="00F73EC2" w:rsidP="008015B2">
      <w:pPr>
        <w:jc w:val="both"/>
      </w:pPr>
      <w:r w:rsidRPr="00D32659">
        <w:rPr>
          <w:b/>
        </w:rPr>
        <w:t>Pasiva</w:t>
      </w:r>
      <w:r w:rsidRPr="00D32659">
        <w:t xml:space="preserve"> představují zdroje krytí majetku (aktiv). V rozvaze se řadí podle hlediska vlastnictví, dle kterého se i dělí a to na vlastní kapitál a cizí zdroje. Stejně jako aktiva se mohou dělit i na dlouhodobá (s dobou splatnosti nad jeden rok) a krátkodobá (s dobou splatnosti do jednoho roku). Nakonec se ještě dají dělit na externí (ne ze své vlastní činnosti) a interní (ze své vlastní činnosti).</w:t>
      </w:r>
      <w:r w:rsidRPr="00D32659">
        <w:rPr>
          <w:rStyle w:val="Znakapoznpodarou"/>
        </w:rPr>
        <w:footnoteReference w:id="8"/>
      </w:r>
      <w:r w:rsidRPr="00D32659">
        <w:t xml:space="preserve"> Do vlastního kapitálu patří položka základního kapitálu, což jsou vklady společníků, které najdeme vždy v obchodním rejstříku. Dále jsou to kapitálové fondy, fondy ze zisku, výsledek hospodaření minulých let a za běžné období. Cizí zdroje zahrnují rezervy, dluhy, krátkodobé a dlouhodobé závazky. Obecně řečeno z cizích zdrojů můžeme vyčíst dluh podniku.</w:t>
      </w:r>
      <w:r w:rsidRPr="00D32659">
        <w:rPr>
          <w:rStyle w:val="Znakapoznpodarou"/>
        </w:rPr>
        <w:footnoteReference w:id="9"/>
      </w:r>
    </w:p>
    <w:p w:rsidR="00115E95" w:rsidRDefault="00115E95">
      <w:pPr>
        <w:rPr>
          <w:rFonts w:eastAsia="Times New Roman"/>
          <w:b/>
          <w:bCs/>
          <w:szCs w:val="27"/>
          <w:lang w:eastAsia="cs-CZ"/>
        </w:rPr>
      </w:pPr>
      <w:r>
        <w:br w:type="page"/>
      </w:r>
    </w:p>
    <w:p w:rsidR="00F73EC2" w:rsidRPr="00D32659" w:rsidRDefault="00F73EC2" w:rsidP="008015B2">
      <w:pPr>
        <w:pStyle w:val="Nadpis3"/>
        <w:jc w:val="both"/>
      </w:pPr>
      <w:bookmarkStart w:id="12" w:name="_Toc417564150"/>
      <w:r w:rsidRPr="00D32659">
        <w:lastRenderedPageBreak/>
        <w:t>Výkaz zisku a ztrát</w:t>
      </w:r>
      <w:bookmarkEnd w:id="12"/>
    </w:p>
    <w:p w:rsidR="00F73EC2" w:rsidRPr="00D32659" w:rsidRDefault="00F73EC2" w:rsidP="008015B2">
      <w:pPr>
        <w:pStyle w:val="Bezmezer"/>
        <w:jc w:val="both"/>
        <w:rPr>
          <w:lang w:val="cs-CZ"/>
        </w:rPr>
      </w:pPr>
    </w:p>
    <w:p w:rsidR="00F73EC2" w:rsidRPr="00D32659" w:rsidRDefault="00F73EC2" w:rsidP="008015B2">
      <w:pPr>
        <w:jc w:val="both"/>
      </w:pPr>
      <w:r w:rsidRPr="00D32659">
        <w:t xml:space="preserve">Výkaz zisku a ztrát poskytuje informace o nákladech, výnosech a výsledku hospodaření. Existuje propojení výkazu zisku a ztrát s rozvahou a najdeme ho právě v položce výsledek hospodaření. V rozvaze ho najdeme na straně pasiv ve vlastním kapitálu. Při sestavování výkazu zisku a ztrát je potřeba dodržovat tzv. akruální princip, což znamená, že náklady a výnosy účtujeme do období, se kterými věcně a časově souvisí. </w:t>
      </w:r>
      <w:r w:rsidRPr="00D32659">
        <w:rPr>
          <w:rStyle w:val="Znakapoznpodarou"/>
        </w:rPr>
        <w:footnoteReference w:id="10"/>
      </w:r>
    </w:p>
    <w:p w:rsidR="00F73EC2" w:rsidRPr="00D32659" w:rsidRDefault="00F73EC2" w:rsidP="008015B2">
      <w:pPr>
        <w:jc w:val="both"/>
      </w:pPr>
      <w:r w:rsidRPr="00D32659">
        <w:t xml:space="preserve">Výkaz zisku a ztrát se člení na sedm částí: </w:t>
      </w:r>
    </w:p>
    <w:p w:rsidR="00F73EC2" w:rsidRPr="00D32659" w:rsidRDefault="00F73EC2" w:rsidP="008015B2">
      <w:pPr>
        <w:pStyle w:val="Odstavecseseznamem"/>
        <w:numPr>
          <w:ilvl w:val="0"/>
          <w:numId w:val="20"/>
        </w:numPr>
        <w:jc w:val="both"/>
      </w:pPr>
      <w:r w:rsidRPr="00D32659">
        <w:rPr>
          <w:u w:val="single"/>
        </w:rPr>
        <w:t>Obchodní marže</w:t>
      </w:r>
      <w:r w:rsidRPr="00D32659">
        <w:t xml:space="preserve">, která se vypočítá jako rozdíl tržeb a nákladů, které souvisí s prodejem zboží. </w:t>
      </w:r>
    </w:p>
    <w:p w:rsidR="00F73EC2" w:rsidRPr="00D32659" w:rsidRDefault="00F73EC2" w:rsidP="008015B2">
      <w:pPr>
        <w:pStyle w:val="Odstavecseseznamem"/>
        <w:numPr>
          <w:ilvl w:val="0"/>
          <w:numId w:val="20"/>
        </w:numPr>
        <w:jc w:val="both"/>
      </w:pPr>
      <w:r w:rsidRPr="00D32659">
        <w:rPr>
          <w:u w:val="single"/>
        </w:rPr>
        <w:t>Přidaná hodnota</w:t>
      </w:r>
      <w:r w:rsidRPr="00D32659">
        <w:t xml:space="preserve">, do které započítáváme tržby z prodeje vlastních výrobků a služeb, změnu stavu zásob z vlastní činnosti, aktivaci, výkonovou spotřebu a obchodní marži. </w:t>
      </w:r>
    </w:p>
    <w:p w:rsidR="00F73EC2" w:rsidRPr="00D32659" w:rsidRDefault="00F73EC2" w:rsidP="008015B2">
      <w:pPr>
        <w:pStyle w:val="Odstavecseseznamem"/>
        <w:numPr>
          <w:ilvl w:val="0"/>
          <w:numId w:val="20"/>
        </w:numPr>
        <w:jc w:val="both"/>
      </w:pPr>
      <w:r w:rsidRPr="00D32659">
        <w:rPr>
          <w:u w:val="single"/>
        </w:rPr>
        <w:t>Provozní výsledek hospodaření</w:t>
      </w:r>
      <w:r w:rsidRPr="00D32659">
        <w:t xml:space="preserve"> je součet přidané hodnoty, osobních nákladů, daní a poplatků, odpisů z dlouhodobého majetku a ostatních provozních výnosů a nákladů. </w:t>
      </w:r>
    </w:p>
    <w:p w:rsidR="00F73EC2" w:rsidRPr="00D32659" w:rsidRDefault="00F73EC2" w:rsidP="008015B2">
      <w:pPr>
        <w:pStyle w:val="Odstavecseseznamem"/>
        <w:numPr>
          <w:ilvl w:val="0"/>
          <w:numId w:val="20"/>
        </w:numPr>
        <w:jc w:val="both"/>
      </w:pPr>
      <w:r w:rsidRPr="00D32659">
        <w:rPr>
          <w:u w:val="single"/>
        </w:rPr>
        <w:t>Finanční výsledek hospodaření</w:t>
      </w:r>
      <w:r w:rsidRPr="00D32659">
        <w:t xml:space="preserve"> je rozdíl finančních výnosů a nákladů. </w:t>
      </w:r>
    </w:p>
    <w:p w:rsidR="00F73EC2" w:rsidRPr="00D32659" w:rsidRDefault="00F73EC2" w:rsidP="008015B2">
      <w:pPr>
        <w:pStyle w:val="Odstavecseseznamem"/>
        <w:numPr>
          <w:ilvl w:val="0"/>
          <w:numId w:val="20"/>
        </w:numPr>
        <w:jc w:val="both"/>
      </w:pPr>
      <w:r w:rsidRPr="00D32659">
        <w:rPr>
          <w:u w:val="single"/>
        </w:rPr>
        <w:t>Výsledek hospodaření za běžnou činnost</w:t>
      </w:r>
      <w:r w:rsidRPr="00D32659">
        <w:t xml:space="preserve">, což je součet provozního a finančního výsledku hospodaření a zároveň musí být odečtena i daň za běžnou činnost. </w:t>
      </w:r>
    </w:p>
    <w:p w:rsidR="00F73EC2" w:rsidRPr="00D32659" w:rsidRDefault="00F73EC2" w:rsidP="008015B2">
      <w:pPr>
        <w:pStyle w:val="Odstavecseseznamem"/>
        <w:numPr>
          <w:ilvl w:val="0"/>
          <w:numId w:val="20"/>
        </w:numPr>
        <w:jc w:val="both"/>
      </w:pPr>
      <w:r w:rsidRPr="00D32659">
        <w:rPr>
          <w:u w:val="single"/>
        </w:rPr>
        <w:t>Mimořádný výsledek hospodaření</w:t>
      </w:r>
      <w:r w:rsidRPr="00D32659">
        <w:t xml:space="preserve">, kde se započítávají náklady a výnosy z mimořádně činnosti a opět zde musí být započtena daň, tentokrát z mimořádné činnosti. </w:t>
      </w:r>
    </w:p>
    <w:p w:rsidR="00F73EC2" w:rsidRPr="00D32659" w:rsidRDefault="00F73EC2" w:rsidP="008015B2">
      <w:pPr>
        <w:pStyle w:val="Odstavecseseznamem"/>
        <w:numPr>
          <w:ilvl w:val="0"/>
          <w:numId w:val="20"/>
        </w:numPr>
        <w:jc w:val="both"/>
      </w:pPr>
      <w:r w:rsidRPr="00D32659">
        <w:rPr>
          <w:u w:val="single"/>
        </w:rPr>
        <w:t>Výsledek hospodaření za účetní období</w:t>
      </w:r>
      <w:r w:rsidRPr="00D32659">
        <w:t>, který je roven součtu výsledku hospodaření za běžnou činnost a mimořádnému výsledku hospodaření.</w:t>
      </w:r>
    </w:p>
    <w:p w:rsidR="00F73EC2" w:rsidRPr="00D32659" w:rsidRDefault="00F73EC2" w:rsidP="008015B2">
      <w:pPr>
        <w:jc w:val="both"/>
      </w:pPr>
    </w:p>
    <w:p w:rsidR="00F73EC2" w:rsidRPr="00D32659" w:rsidRDefault="00F73EC2" w:rsidP="008015B2">
      <w:pPr>
        <w:spacing w:after="0" w:line="240" w:lineRule="auto"/>
        <w:jc w:val="both"/>
        <w:rPr>
          <w:rFonts w:eastAsiaTheme="majorEastAsia" w:cstheme="majorBidi"/>
          <w:b/>
          <w:bCs/>
          <w:kern w:val="32"/>
          <w:sz w:val="32"/>
          <w:szCs w:val="32"/>
        </w:rPr>
      </w:pPr>
      <w:r w:rsidRPr="00D32659">
        <w:br w:type="page"/>
      </w:r>
    </w:p>
    <w:p w:rsidR="00F73EC2" w:rsidRPr="00D32659" w:rsidRDefault="00F73EC2" w:rsidP="008015B2">
      <w:pPr>
        <w:pStyle w:val="Nadpis1"/>
        <w:jc w:val="both"/>
      </w:pPr>
      <w:bookmarkStart w:id="13" w:name="_Toc417564151"/>
      <w:r w:rsidRPr="00D32659">
        <w:lastRenderedPageBreak/>
        <w:t>Metody finanční analýzy</w:t>
      </w:r>
      <w:bookmarkEnd w:id="13"/>
    </w:p>
    <w:p w:rsidR="00F73EC2" w:rsidRPr="00D32659" w:rsidRDefault="00F73EC2" w:rsidP="008015B2">
      <w:pPr>
        <w:pStyle w:val="Bezmezer"/>
        <w:jc w:val="both"/>
        <w:rPr>
          <w:lang w:val="cs-CZ"/>
        </w:rPr>
      </w:pPr>
    </w:p>
    <w:p w:rsidR="00F73EC2" w:rsidRPr="00D32659" w:rsidRDefault="00F73EC2" w:rsidP="008015B2">
      <w:pPr>
        <w:jc w:val="both"/>
      </w:pPr>
      <w:r w:rsidRPr="00D32659">
        <w:t>Podle Sedláčka</w:t>
      </w:r>
      <w:r w:rsidRPr="00D32659">
        <w:rPr>
          <w:rStyle w:val="Znakapoznpodarou"/>
        </w:rPr>
        <w:footnoteReference w:id="11"/>
      </w:r>
      <w:r w:rsidRPr="00D32659">
        <w:t xml:space="preserve"> obsahuje klasická finanční analýza dvě navzájem propojené části:</w:t>
      </w:r>
    </w:p>
    <w:p w:rsidR="00F73EC2" w:rsidRPr="00D32659" w:rsidRDefault="00F73EC2" w:rsidP="008015B2">
      <w:pPr>
        <w:pStyle w:val="Odstavecseseznamem"/>
        <w:numPr>
          <w:ilvl w:val="0"/>
          <w:numId w:val="18"/>
        </w:numPr>
        <w:jc w:val="both"/>
        <w:rPr>
          <w:b/>
        </w:rPr>
      </w:pPr>
      <w:r w:rsidRPr="00D32659">
        <w:rPr>
          <w:b/>
        </w:rPr>
        <w:t>Kvalitativní, tzv. fundamentální analýzu</w:t>
      </w:r>
      <w:r w:rsidRPr="00D32659">
        <w:t>, která vychází ze znalosti ekonomických a mimoekonomických jevů. Spoléhá se na subjektivní odhady a znalosti odborníků, nepoužívá matematických metod a jejím obvyklým výstupem je jakési určení nebo označení prostředí, ve kterém se podnik pohybuje.</w:t>
      </w:r>
    </w:p>
    <w:p w:rsidR="00F73EC2" w:rsidRPr="00D32659" w:rsidRDefault="00F73EC2" w:rsidP="008015B2">
      <w:pPr>
        <w:pStyle w:val="Odstavecseseznamem"/>
        <w:jc w:val="both"/>
      </w:pPr>
    </w:p>
    <w:p w:rsidR="00F73EC2" w:rsidRPr="00D32659" w:rsidRDefault="00F73EC2" w:rsidP="008015B2">
      <w:pPr>
        <w:pStyle w:val="Odstavecseseznamem"/>
        <w:numPr>
          <w:ilvl w:val="0"/>
          <w:numId w:val="18"/>
        </w:numPr>
        <w:jc w:val="both"/>
      </w:pPr>
      <w:r w:rsidRPr="00D32659">
        <w:rPr>
          <w:b/>
        </w:rPr>
        <w:t>Kvantitativní, tzv. technická analýzu</w:t>
      </w:r>
      <w:r w:rsidRPr="00D32659">
        <w:t>, která ke zpracování ekonomických dat používá právě matematické a statistické metody. A děli se podle účelu, ke kterému je analýza za potřebí a podle použitých dat na:</w:t>
      </w:r>
    </w:p>
    <w:p w:rsidR="00F73EC2" w:rsidRPr="00D32659" w:rsidRDefault="00F73EC2" w:rsidP="008015B2">
      <w:pPr>
        <w:pStyle w:val="Odstavecseseznamem"/>
        <w:jc w:val="both"/>
      </w:pPr>
    </w:p>
    <w:p w:rsidR="00F73EC2" w:rsidRPr="00D32659" w:rsidRDefault="00F73EC2" w:rsidP="008015B2">
      <w:pPr>
        <w:pStyle w:val="Odstavecseseznamem"/>
        <w:numPr>
          <w:ilvl w:val="1"/>
          <w:numId w:val="18"/>
        </w:numPr>
        <w:jc w:val="both"/>
      </w:pPr>
      <w:r w:rsidRPr="00D32659">
        <w:t>Analýzu absolutních dat</w:t>
      </w:r>
    </w:p>
    <w:p w:rsidR="00F73EC2" w:rsidRPr="00D32659" w:rsidRDefault="00F73EC2" w:rsidP="008015B2">
      <w:pPr>
        <w:pStyle w:val="Odstavecseseznamem"/>
        <w:numPr>
          <w:ilvl w:val="1"/>
          <w:numId w:val="18"/>
        </w:numPr>
        <w:jc w:val="both"/>
      </w:pPr>
      <w:r w:rsidRPr="00D32659">
        <w:t>Analýzu poměrových ukazatelů</w:t>
      </w:r>
    </w:p>
    <w:p w:rsidR="00F73EC2" w:rsidRPr="00D32659" w:rsidRDefault="00F73EC2" w:rsidP="008015B2">
      <w:pPr>
        <w:pStyle w:val="Odstavecseseznamem"/>
        <w:numPr>
          <w:ilvl w:val="1"/>
          <w:numId w:val="18"/>
        </w:numPr>
        <w:jc w:val="both"/>
      </w:pPr>
      <w:r w:rsidRPr="00D32659">
        <w:t>Analýzu rozdílových ukazatelů</w:t>
      </w:r>
    </w:p>
    <w:p w:rsidR="00F73EC2" w:rsidRPr="00D32659" w:rsidRDefault="00F73EC2" w:rsidP="008015B2">
      <w:pPr>
        <w:pStyle w:val="Odstavecseseznamem"/>
        <w:numPr>
          <w:ilvl w:val="1"/>
          <w:numId w:val="18"/>
        </w:numPr>
        <w:jc w:val="both"/>
      </w:pPr>
      <w:r w:rsidRPr="00D32659">
        <w:t>Analýzu soustav ukazatelů</w:t>
      </w:r>
    </w:p>
    <w:p w:rsidR="00F73EC2" w:rsidRPr="00D32659" w:rsidRDefault="00F73EC2" w:rsidP="008015B2">
      <w:pPr>
        <w:jc w:val="both"/>
      </w:pPr>
      <w:r w:rsidRPr="00D32659">
        <w:t>V této práci budu věnovat prostor právě kvantitativní analýze, kterou následně využiji i v praktické části.</w:t>
      </w:r>
    </w:p>
    <w:p w:rsidR="00F73EC2" w:rsidRPr="00D32659" w:rsidRDefault="00F73EC2" w:rsidP="008015B2">
      <w:pPr>
        <w:pStyle w:val="Nadpis2"/>
        <w:jc w:val="both"/>
      </w:pPr>
      <w:bookmarkStart w:id="14" w:name="_Toc417564152"/>
      <w:r w:rsidRPr="00D32659">
        <w:t>Analýza absolutních ukazatelů</w:t>
      </w:r>
      <w:bookmarkEnd w:id="14"/>
    </w:p>
    <w:p w:rsidR="00F73EC2" w:rsidRPr="00D32659" w:rsidRDefault="00F73EC2" w:rsidP="008015B2">
      <w:pPr>
        <w:pStyle w:val="Bezmezer"/>
        <w:jc w:val="both"/>
        <w:rPr>
          <w:lang w:val="cs-CZ"/>
        </w:rPr>
      </w:pPr>
    </w:p>
    <w:p w:rsidR="00F73EC2" w:rsidRPr="00D32659" w:rsidRDefault="00F73EC2" w:rsidP="008015B2">
      <w:pPr>
        <w:jc w:val="both"/>
      </w:pPr>
      <w:r w:rsidRPr="00D32659">
        <w:t>Nejdůležitějším zdroje informací pro analýzu absolutních ukazatelů jsou účetní výkazy. Není ovšem možné pracovat pouze s výkazy za jedno účetní období (např. konkrétně v této práci budu analyzovat období pět). Ukazatele musíme chápat v souvislostech. V souvislostech proto, abychom z analýzy minulosti dokázali do určité míry odhadnout, jak si podnik povede v budoucnosti. K tomu nám dopomohou i podnikové výroční zprávy, které jasně zachycují, co, proč a jak se v podniku událo.</w:t>
      </w:r>
      <w:r w:rsidRPr="00D32659">
        <w:rPr>
          <w:rStyle w:val="Znakapoznpodarou"/>
        </w:rPr>
        <w:footnoteReference w:id="12"/>
      </w:r>
    </w:p>
    <w:p w:rsidR="00F73EC2" w:rsidRPr="00D32659" w:rsidRDefault="00F73EC2" w:rsidP="008015B2">
      <w:pPr>
        <w:pStyle w:val="Nadpis3"/>
        <w:jc w:val="both"/>
        <w:rPr>
          <w:rFonts w:eastAsia="Calibri"/>
        </w:rPr>
      </w:pPr>
      <w:bookmarkStart w:id="15" w:name="_Toc417564153"/>
      <w:r w:rsidRPr="00D32659">
        <w:rPr>
          <w:rFonts w:eastAsia="Calibri"/>
        </w:rPr>
        <w:t>Horizontální analýza</w:t>
      </w:r>
      <w:bookmarkEnd w:id="15"/>
    </w:p>
    <w:p w:rsidR="00F73EC2" w:rsidRPr="00D32659" w:rsidRDefault="00F73EC2" w:rsidP="008015B2">
      <w:pPr>
        <w:pStyle w:val="Bezmezer"/>
        <w:jc w:val="both"/>
        <w:rPr>
          <w:lang w:val="cs-CZ"/>
        </w:rPr>
      </w:pPr>
    </w:p>
    <w:p w:rsidR="00F73EC2" w:rsidRPr="00D32659" w:rsidRDefault="00F73EC2" w:rsidP="008015B2">
      <w:pPr>
        <w:jc w:val="both"/>
      </w:pPr>
      <w:r w:rsidRPr="00D32659">
        <w:t>Název horizontální analýza vychází z metody porovnávání dat, která se v v této analýze uplatňuje a to poměření všech informací v řádcích, tedy horizontálně. Tato analýza vzchází z informací zahrnutých v rozvaze podniku a výkazu zisku a ztrát. Zaměřuje se na změny jednotlivých položek těchto výkazů v čase. Sleduje změny jak absolutní tak i procentní.</w:t>
      </w:r>
      <w:r w:rsidRPr="00D32659">
        <w:rPr>
          <w:rStyle w:val="Znakapoznpodarou"/>
        </w:rPr>
        <w:footnoteReference w:id="13"/>
      </w:r>
    </w:p>
    <w:p w:rsidR="00F73EC2" w:rsidRPr="00D32659" w:rsidRDefault="00F73EC2" w:rsidP="008015B2">
      <w:pPr>
        <w:jc w:val="both"/>
      </w:pPr>
      <m:oMathPara>
        <m:oMath>
          <m:r>
            <w:rPr>
              <w:rFonts w:ascii="Cambria Math" w:hAnsi="Cambria Math"/>
            </w:rPr>
            <m:t>absolutní změna=běžné období-předchozí období</m:t>
          </m:r>
        </m:oMath>
      </m:oMathPara>
    </w:p>
    <w:p w:rsidR="00F73EC2" w:rsidRPr="00D32659" w:rsidRDefault="00F73EC2" w:rsidP="008015B2">
      <w:pPr>
        <w:jc w:val="both"/>
      </w:pPr>
      <m:oMathPara>
        <m:oMath>
          <m:r>
            <w:rPr>
              <w:rFonts w:ascii="Cambria Math" w:hAnsi="Cambria Math"/>
            </w:rPr>
            <m:t xml:space="preserve">změna v %= </m:t>
          </m:r>
          <m:f>
            <m:fPr>
              <m:ctrlPr>
                <w:rPr>
                  <w:rFonts w:ascii="Cambria Math" w:hAnsi="Cambria Math"/>
                  <w:i/>
                </w:rPr>
              </m:ctrlPr>
            </m:fPr>
            <m:num>
              <m:r>
                <w:rPr>
                  <w:rFonts w:ascii="Cambria Math" w:hAnsi="Cambria Math"/>
                </w:rPr>
                <m:t>absolutní změna</m:t>
              </m:r>
            </m:num>
            <m:den>
              <m:r>
                <w:rPr>
                  <w:rFonts w:ascii="Cambria Math" w:hAnsi="Cambria Math"/>
                </w:rPr>
                <m:t>předchozí období</m:t>
              </m:r>
            </m:den>
          </m:f>
          <m:r>
            <w:rPr>
              <w:rFonts w:ascii="Cambria Math" w:hAnsi="Cambria Math"/>
            </w:rPr>
            <m:t>*100</m:t>
          </m:r>
        </m:oMath>
      </m:oMathPara>
    </w:p>
    <w:p w:rsidR="00F73EC2" w:rsidRPr="00D32659" w:rsidRDefault="00F73EC2" w:rsidP="008015B2">
      <w:pPr>
        <w:pStyle w:val="Nadpis3"/>
        <w:numPr>
          <w:ilvl w:val="0"/>
          <w:numId w:val="0"/>
        </w:numPr>
        <w:ind w:left="720"/>
        <w:jc w:val="both"/>
        <w:rPr>
          <w:rFonts w:eastAsia="Calibri"/>
        </w:rPr>
      </w:pPr>
    </w:p>
    <w:p w:rsidR="00F73EC2" w:rsidRPr="00D32659" w:rsidRDefault="00F73EC2" w:rsidP="008015B2">
      <w:pPr>
        <w:pStyle w:val="Nadpis3"/>
        <w:jc w:val="both"/>
        <w:rPr>
          <w:rFonts w:eastAsia="Calibri"/>
        </w:rPr>
      </w:pPr>
      <w:bookmarkStart w:id="16" w:name="_Toc417564154"/>
      <w:r w:rsidRPr="00D32659">
        <w:rPr>
          <w:rFonts w:eastAsia="Calibri"/>
        </w:rPr>
        <w:t>Vertikální analýza</w:t>
      </w:r>
      <w:bookmarkEnd w:id="16"/>
    </w:p>
    <w:p w:rsidR="00F73EC2" w:rsidRPr="00D32659" w:rsidRDefault="00F73EC2" w:rsidP="008015B2">
      <w:pPr>
        <w:pStyle w:val="Bezmezer"/>
        <w:jc w:val="both"/>
        <w:rPr>
          <w:lang w:val="cs-CZ"/>
        </w:rPr>
      </w:pPr>
    </w:p>
    <w:p w:rsidR="00F73EC2" w:rsidRPr="00D32659" w:rsidRDefault="00F73EC2" w:rsidP="008015B2">
      <w:pPr>
        <w:jc w:val="both"/>
      </w:pPr>
      <w:r w:rsidRPr="00D32659">
        <w:t xml:space="preserve">Principem vertikální analýzy je porovnávání jednotlivých položek s nějakou předem danou veličinou. Pokud analyzujeme rozvahu, pak položky většinou porovnáváme s bilanční sumou, ale není to pravidlo. Můžeme i analyzovat jen části rozvahy např. položky cizích zdrojů, pak bychom na ně mohli pohlížet pouze vzhledem k celkovým cizím zdrojům. </w:t>
      </w:r>
    </w:p>
    <w:p w:rsidR="00F73EC2" w:rsidRPr="00D32659" w:rsidRDefault="00F73EC2" w:rsidP="008015B2">
      <w:pPr>
        <w:jc w:val="both"/>
      </w:pPr>
      <w:r w:rsidRPr="00D32659">
        <w:t>Výpočty vertikální analýzy se dají vyjádřit jednoduchým vztahem:</w:t>
      </w:r>
    </w:p>
    <w:p w:rsidR="00F73EC2" w:rsidRPr="00D32659" w:rsidRDefault="00FA2E31" w:rsidP="008015B2">
      <w:pPr>
        <w:jc w:val="both"/>
      </w:pPr>
      <m:oMathPara>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i</m:t>
                  </m:r>
                </m:sub>
              </m:sSub>
            </m:num>
            <m:den>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B</m:t>
                      </m:r>
                    </m:e>
                    <m:sub>
                      <m:r>
                        <w:rPr>
                          <w:rFonts w:ascii="Cambria Math" w:hAnsi="Cambria Math"/>
                        </w:rPr>
                        <m:t>i</m:t>
                      </m:r>
                    </m:sub>
                  </m:sSub>
                </m:e>
              </m:nary>
            </m:den>
          </m:f>
        </m:oMath>
      </m:oMathPara>
    </w:p>
    <w:p w:rsidR="00F73EC2" w:rsidRPr="00D32659" w:rsidRDefault="00F73EC2" w:rsidP="008015B2">
      <w:pPr>
        <w:jc w:val="both"/>
      </w:pPr>
      <w:r w:rsidRPr="00D32659">
        <w:t>Kde P</w:t>
      </w:r>
      <w:r w:rsidRPr="00D32659">
        <w:rPr>
          <w:vertAlign w:val="subscript"/>
        </w:rPr>
        <w:t>i</w:t>
      </w:r>
      <w:r w:rsidRPr="00D32659">
        <w:t xml:space="preserve"> nám udává výsledný poměr a za B</w:t>
      </w:r>
      <w:r w:rsidRPr="00D32659">
        <w:rPr>
          <w:vertAlign w:val="subscript"/>
        </w:rPr>
        <w:t>i</w:t>
      </w:r>
      <w:r w:rsidRPr="00D32659">
        <w:t xml:space="preserve"> dosazujeme hodnotu položky z rozvahy nebo výkazu zisku a ztrát. </w:t>
      </w:r>
      <w:r w:rsidRPr="00D32659">
        <w:rPr>
          <w:rStyle w:val="Znakapoznpodarou"/>
        </w:rPr>
        <w:footnoteReference w:id="14"/>
      </w:r>
      <w:r w:rsidRPr="00D32659">
        <w:t xml:space="preserve"> </w:t>
      </w:r>
    </w:p>
    <w:p w:rsidR="00F73EC2" w:rsidRPr="00D32659" w:rsidRDefault="00F73EC2" w:rsidP="008015B2">
      <w:pPr>
        <w:pStyle w:val="Nadpis2"/>
        <w:jc w:val="both"/>
      </w:pPr>
      <w:bookmarkStart w:id="17" w:name="_Toc417564155"/>
      <w:r w:rsidRPr="00D32659">
        <w:t>Analýza poměrových ukazatelů</w:t>
      </w:r>
      <w:bookmarkEnd w:id="17"/>
    </w:p>
    <w:p w:rsidR="00F73EC2" w:rsidRPr="00D32659" w:rsidRDefault="00F73EC2" w:rsidP="008015B2">
      <w:pPr>
        <w:pStyle w:val="Bezmezer"/>
        <w:jc w:val="both"/>
        <w:rPr>
          <w:lang w:val="cs-CZ"/>
        </w:rPr>
      </w:pPr>
    </w:p>
    <w:p w:rsidR="00F73EC2" w:rsidRPr="00D32659" w:rsidRDefault="00F73EC2" w:rsidP="008015B2">
      <w:pPr>
        <w:jc w:val="both"/>
      </w:pPr>
      <w:r w:rsidRPr="00D32659">
        <w:t>Jak už je z názvu analýzy patrné hlavní je stanovit poměrové ukazatele, které získáme jednoduchým podílem absolutních ukazatelů. Za pomoci již známých poměrových ukazatelů, můžeme porovnávat analyzovaný podnik s jinými podniky nebo s odvětvovým průměrem. Při řádné analýze musíme samozřejmě brát v úvahu i ekonomické okolí podniku.</w:t>
      </w:r>
    </w:p>
    <w:p w:rsidR="00F73EC2" w:rsidRPr="00D32659" w:rsidRDefault="00F73EC2" w:rsidP="008015B2">
      <w:pPr>
        <w:pStyle w:val="Nadpis3"/>
        <w:jc w:val="both"/>
      </w:pPr>
      <w:bookmarkStart w:id="18" w:name="_Toc417564156"/>
      <w:r w:rsidRPr="00D32659">
        <w:t>Ukazatel likvidity</w:t>
      </w:r>
      <w:bookmarkEnd w:id="18"/>
    </w:p>
    <w:p w:rsidR="00F73EC2" w:rsidRPr="00D32659" w:rsidRDefault="00F73EC2" w:rsidP="008015B2">
      <w:pPr>
        <w:pStyle w:val="Bezmezer"/>
        <w:jc w:val="both"/>
        <w:rPr>
          <w:lang w:val="cs-CZ"/>
        </w:rPr>
      </w:pPr>
    </w:p>
    <w:p w:rsidR="00F73EC2" w:rsidRPr="00D32659" w:rsidRDefault="00F73EC2" w:rsidP="008015B2">
      <w:pPr>
        <w:jc w:val="both"/>
      </w:pPr>
      <w:r w:rsidRPr="00D32659">
        <w:t>Likvidita, je obecně rychlost, s jakou dokážeme přeměnit aktivum na hotovost. Čím rychleji jsme schopni dané aktivum přeměnit na peníze, tím je likvidnější. Ve finanční analýze je likvidita brána spíše jako schopnost uhradit v momentě všechny své závazky. Díky ukazateli likvidity tedy firma zjistí, jestli je schopna splácet své dluhy.</w:t>
      </w:r>
    </w:p>
    <w:p w:rsidR="00F73EC2" w:rsidRPr="00D32659" w:rsidRDefault="00F73EC2" w:rsidP="008015B2">
      <w:pPr>
        <w:jc w:val="both"/>
        <w:rPr>
          <w:b/>
        </w:rPr>
      </w:pPr>
      <w:r w:rsidRPr="00D32659">
        <w:rPr>
          <w:b/>
        </w:rPr>
        <w:t>Běžná likvidita (current ratio)</w:t>
      </w:r>
    </w:p>
    <w:p w:rsidR="00F73EC2" w:rsidRPr="00D32659" w:rsidRDefault="00F73EC2" w:rsidP="008015B2">
      <w:pPr>
        <w:jc w:val="both"/>
      </w:pPr>
      <m:oMathPara>
        <m:oMath>
          <m:r>
            <w:rPr>
              <w:rFonts w:ascii="Cambria Math" w:hAnsi="Cambria Math"/>
            </w:rPr>
            <m:t>běžná likvidita=</m:t>
          </m:r>
          <m:f>
            <m:fPr>
              <m:ctrlPr>
                <w:rPr>
                  <w:rFonts w:ascii="Cambria Math" w:hAnsi="Cambria Math"/>
                  <w:i/>
                </w:rPr>
              </m:ctrlPr>
            </m:fPr>
            <m:num>
              <m:r>
                <w:rPr>
                  <w:rFonts w:ascii="Cambria Math" w:hAnsi="Cambria Math"/>
                </w:rPr>
                <m:t>oběžná aktiva</m:t>
              </m:r>
            </m:num>
            <m:den>
              <m:r>
                <w:rPr>
                  <w:rFonts w:ascii="Cambria Math" w:hAnsi="Cambria Math"/>
                </w:rPr>
                <m:t>krátkodobé závazky</m:t>
              </m:r>
            </m:den>
          </m:f>
        </m:oMath>
      </m:oMathPara>
    </w:p>
    <w:p w:rsidR="00F73EC2" w:rsidRPr="00D32659" w:rsidRDefault="00F73EC2" w:rsidP="008015B2">
      <w:pPr>
        <w:jc w:val="both"/>
      </w:pPr>
      <w:r w:rsidRPr="00D32659">
        <w:t>Ukazatel běžné likvidity je poměr veškerých oběžných aktiv a závazků se splatností do jednoho roku. Tento ukazatel nemusí být vždy naprosto přesný, ale je velice populární díky své snadnosti. Pokud se analyzovaný podnik pohybuje v rozmezí 1,5 – 2,5 pak můžeme říct, že je v přijatelné rovině. Obecně čím vyšší hodnota ukazatele, tím větší pravděpodobnost, že bude podnik solventní.</w:t>
      </w:r>
      <w:r w:rsidRPr="00D32659">
        <w:rPr>
          <w:rStyle w:val="Znakapoznpodarou"/>
        </w:rPr>
        <w:footnoteReference w:id="15"/>
      </w:r>
      <w:r w:rsidRPr="00D32659">
        <w:t xml:space="preserve"> </w:t>
      </w:r>
    </w:p>
    <w:p w:rsidR="00115E95" w:rsidRDefault="00115E95">
      <w:pPr>
        <w:rPr>
          <w:b/>
        </w:rPr>
      </w:pPr>
      <w:r>
        <w:rPr>
          <w:b/>
        </w:rPr>
        <w:br w:type="page"/>
      </w:r>
    </w:p>
    <w:p w:rsidR="00F73EC2" w:rsidRPr="00D32659" w:rsidRDefault="00F73EC2" w:rsidP="008015B2">
      <w:pPr>
        <w:jc w:val="both"/>
        <w:rPr>
          <w:b/>
        </w:rPr>
      </w:pPr>
      <w:r w:rsidRPr="00D32659">
        <w:rPr>
          <w:b/>
        </w:rPr>
        <w:lastRenderedPageBreak/>
        <w:t xml:space="preserve">Pohotová likvidita </w:t>
      </w:r>
    </w:p>
    <w:p w:rsidR="00F73EC2" w:rsidRPr="00D32659" w:rsidRDefault="00F73EC2" w:rsidP="008015B2">
      <w:pPr>
        <w:jc w:val="both"/>
      </w:pPr>
      <w:r w:rsidRPr="00D32659">
        <w:t xml:space="preserve">Zachycuje schopnost podniku splatit své závazky, pokud nebereme v úvahu nejméně likvidní aktiva, která by podnik musel nejprve prodat, aby z nich mohl dluhy zaplatit, a to zásoby. </w:t>
      </w:r>
      <w:r w:rsidRPr="00D32659">
        <w:rPr>
          <w:rStyle w:val="Znakapoznpodarou"/>
        </w:rPr>
        <w:footnoteReference w:id="16"/>
      </w:r>
    </w:p>
    <w:p w:rsidR="00F73EC2" w:rsidRPr="00D32659" w:rsidRDefault="00F73EC2" w:rsidP="008015B2">
      <w:pPr>
        <w:jc w:val="both"/>
      </w:pPr>
      <m:oMathPara>
        <m:oMath>
          <m:r>
            <w:rPr>
              <w:rFonts w:ascii="Cambria Math" w:hAnsi="Cambria Math"/>
            </w:rPr>
            <m:t xml:space="preserve">pohotová likvidita= </m:t>
          </m:r>
          <m:f>
            <m:fPr>
              <m:ctrlPr>
                <w:rPr>
                  <w:rFonts w:ascii="Cambria Math" w:hAnsi="Cambria Math"/>
                  <w:i/>
                </w:rPr>
              </m:ctrlPr>
            </m:fPr>
            <m:num>
              <m:r>
                <w:rPr>
                  <w:rFonts w:ascii="Cambria Math" w:hAnsi="Cambria Math"/>
                </w:rPr>
                <m:t>oběžná aktiva-zásoby</m:t>
              </m:r>
            </m:num>
            <m:den>
              <m:r>
                <w:rPr>
                  <w:rFonts w:ascii="Cambria Math" w:hAnsi="Cambria Math"/>
                </w:rPr>
                <m:t>krátkodobé závazky</m:t>
              </m:r>
            </m:den>
          </m:f>
        </m:oMath>
      </m:oMathPara>
    </w:p>
    <w:p w:rsidR="00F73EC2" w:rsidRPr="00D32659" w:rsidRDefault="00F73EC2" w:rsidP="008015B2">
      <w:pPr>
        <w:jc w:val="both"/>
        <w:rPr>
          <w:b/>
        </w:rPr>
      </w:pPr>
      <w:r w:rsidRPr="00D32659">
        <w:rPr>
          <w:b/>
        </w:rPr>
        <w:t>Peněžní likvidita</w:t>
      </w:r>
    </w:p>
    <w:p w:rsidR="00F73EC2" w:rsidRPr="00D32659" w:rsidRDefault="00F73EC2" w:rsidP="008015B2">
      <w:pPr>
        <w:jc w:val="both"/>
      </w:pPr>
      <w:r w:rsidRPr="00D32659">
        <w:t>Počítá s tím, že své závazky logicky dokážeme hradit pouze z nejvíce likvidních zdrojů, což jsou zdroje finanční.</w:t>
      </w:r>
      <w:r w:rsidRPr="00D32659">
        <w:rPr>
          <w:rStyle w:val="Znakapoznpodarou"/>
        </w:rPr>
        <w:footnoteReference w:id="17"/>
      </w:r>
    </w:p>
    <w:p w:rsidR="00F73EC2" w:rsidRPr="00D32659" w:rsidRDefault="00F73EC2" w:rsidP="008015B2">
      <w:pPr>
        <w:jc w:val="both"/>
      </w:pPr>
      <m:oMathPara>
        <m:oMath>
          <m:r>
            <w:rPr>
              <w:rFonts w:ascii="Cambria Math" w:hAnsi="Cambria Math"/>
            </w:rPr>
            <m:t xml:space="preserve">penění likvidita= </m:t>
          </m:r>
          <m:f>
            <m:fPr>
              <m:ctrlPr>
                <w:rPr>
                  <w:rFonts w:ascii="Cambria Math" w:hAnsi="Cambria Math"/>
                  <w:i/>
                </w:rPr>
              </m:ctrlPr>
            </m:fPr>
            <m:num>
              <m:r>
                <w:rPr>
                  <w:rFonts w:ascii="Cambria Math" w:hAnsi="Cambria Math"/>
                </w:rPr>
                <m:t>finanční majetek</m:t>
              </m:r>
            </m:num>
            <m:den>
              <m:r>
                <w:rPr>
                  <w:rFonts w:ascii="Cambria Math" w:hAnsi="Cambria Math"/>
                </w:rPr>
                <m:t>celkové krátkodobé závazky</m:t>
              </m:r>
            </m:den>
          </m:f>
        </m:oMath>
      </m:oMathPara>
    </w:p>
    <w:p w:rsidR="00F73EC2" w:rsidRPr="00D32659" w:rsidRDefault="00F73EC2" w:rsidP="008015B2">
      <w:pPr>
        <w:pStyle w:val="Nadpis3"/>
        <w:numPr>
          <w:ilvl w:val="0"/>
          <w:numId w:val="0"/>
        </w:numPr>
        <w:jc w:val="both"/>
      </w:pPr>
    </w:p>
    <w:p w:rsidR="00F73EC2" w:rsidRPr="00D32659" w:rsidRDefault="00F73EC2" w:rsidP="008015B2">
      <w:pPr>
        <w:pStyle w:val="Nadpis3"/>
        <w:jc w:val="both"/>
      </w:pPr>
      <w:bookmarkStart w:id="19" w:name="_Toc417564157"/>
      <w:r w:rsidRPr="00D32659">
        <w:t>Ukazatel rentability</w:t>
      </w:r>
      <w:bookmarkEnd w:id="19"/>
    </w:p>
    <w:p w:rsidR="00F73EC2" w:rsidRPr="00D32659" w:rsidRDefault="00F73EC2" w:rsidP="008015B2">
      <w:pPr>
        <w:pStyle w:val="Bezmezer"/>
        <w:jc w:val="both"/>
        <w:rPr>
          <w:lang w:val="cs-CZ"/>
        </w:rPr>
      </w:pPr>
    </w:p>
    <w:p w:rsidR="00F73EC2" w:rsidRPr="00D32659" w:rsidRDefault="00F73EC2" w:rsidP="008015B2">
      <w:pPr>
        <w:jc w:val="both"/>
        <w:rPr>
          <w:i/>
        </w:rPr>
      </w:pPr>
      <w:r w:rsidRPr="00D32659">
        <w:t>Rentabilita, v některých literaturách označována jako výnosnost, je v dnešní době stále důležitější a to hlavně proto, že častěji zasahuje do rozhodovacího procesu podniku. „</w:t>
      </w:r>
      <w:r w:rsidRPr="00D32659">
        <w:rPr>
          <w:i/>
        </w:rPr>
        <w:t xml:space="preserve">Rentabilita vloženého kapitálu je měřítkem schopnosti podniku vytvářet nové zdroje, dosahovat zisku použitím investovaného kapitálu. Je formou vyjádření míry zisku, ziskovost, která v tržní ekonomice slouží jako hlavní kritérium pro alokaci kapitálu.“ </w:t>
      </w:r>
      <w:r w:rsidRPr="00D32659">
        <w:rPr>
          <w:b/>
          <w:i/>
        </w:rPr>
        <w:t>Jaroslava Holečková</w:t>
      </w:r>
      <w:r w:rsidRPr="00D32659">
        <w:rPr>
          <w:i/>
        </w:rPr>
        <w:t xml:space="preserve"> </w:t>
      </w:r>
    </w:p>
    <w:p w:rsidR="00F73EC2" w:rsidRPr="00D32659" w:rsidRDefault="00F73EC2" w:rsidP="008015B2">
      <w:pPr>
        <w:jc w:val="both"/>
      </w:pPr>
      <w:r w:rsidRPr="00D32659">
        <w:t>Rentabilitu můžeme vyjádřit jako poměr zisku a vloženého kapitálu. Přičemž finanční analýza zná a rozlišuje více druhů zisku. Podle Holečkové</w:t>
      </w:r>
      <w:r w:rsidRPr="00D32659">
        <w:rPr>
          <w:rStyle w:val="Znakapoznpodarou"/>
        </w:rPr>
        <w:footnoteReference w:id="18"/>
      </w:r>
      <w:r w:rsidRPr="00D32659">
        <w:t xml:space="preserve"> se rozděluje takto:</w:t>
      </w:r>
    </w:p>
    <w:p w:rsidR="00F73EC2" w:rsidRPr="00D32659" w:rsidRDefault="00F73EC2" w:rsidP="008015B2">
      <w:pPr>
        <w:pStyle w:val="Bezmezer"/>
        <w:jc w:val="both"/>
        <w:rPr>
          <w:sz w:val="23"/>
          <w:szCs w:val="23"/>
          <w:lang w:val="cs-CZ"/>
        </w:rPr>
      </w:pPr>
      <w:r w:rsidRPr="00D32659">
        <w:rPr>
          <w:b/>
          <w:i/>
          <w:sz w:val="23"/>
          <w:szCs w:val="23"/>
          <w:lang w:val="cs-CZ"/>
        </w:rPr>
        <w:t>EAT – earnings after tax</w:t>
      </w:r>
      <w:r w:rsidRPr="00D32659">
        <w:rPr>
          <w:sz w:val="23"/>
          <w:szCs w:val="23"/>
          <w:lang w:val="cs-CZ"/>
        </w:rPr>
        <w:t xml:space="preserve"> (Z – zisk po zdanění) = výsledek hospodaření za účetní období, čistý zisk</w:t>
      </w:r>
    </w:p>
    <w:p w:rsidR="00F73EC2" w:rsidRPr="00D32659" w:rsidRDefault="00F73EC2" w:rsidP="008015B2">
      <w:pPr>
        <w:pStyle w:val="Bezmezer"/>
        <w:jc w:val="both"/>
        <w:rPr>
          <w:sz w:val="23"/>
          <w:szCs w:val="23"/>
          <w:lang w:val="cs-CZ"/>
        </w:rPr>
      </w:pPr>
      <w:r w:rsidRPr="00D32659">
        <w:rPr>
          <w:b/>
          <w:i/>
          <w:sz w:val="23"/>
          <w:szCs w:val="23"/>
          <w:lang w:val="cs-CZ"/>
        </w:rPr>
        <w:t>EBT – earings before tax</w:t>
      </w:r>
      <w:r w:rsidRPr="00D32659">
        <w:rPr>
          <w:sz w:val="23"/>
          <w:szCs w:val="23"/>
          <w:lang w:val="cs-CZ"/>
        </w:rPr>
        <w:t xml:space="preserve"> (ZD – zisk před zdaněním = EAT zvýšený o daň z příjmů za běžnou činnost a daň z příjmů za mimořádnou činnost</w:t>
      </w:r>
    </w:p>
    <w:p w:rsidR="00F73EC2" w:rsidRPr="00D32659" w:rsidRDefault="00F73EC2" w:rsidP="008015B2">
      <w:pPr>
        <w:pStyle w:val="Bezmezer"/>
        <w:jc w:val="both"/>
        <w:rPr>
          <w:sz w:val="23"/>
          <w:szCs w:val="23"/>
          <w:lang w:val="cs-CZ"/>
        </w:rPr>
      </w:pPr>
      <w:r w:rsidRPr="00D32659">
        <w:rPr>
          <w:b/>
          <w:i/>
          <w:sz w:val="23"/>
          <w:szCs w:val="23"/>
          <w:lang w:val="cs-CZ"/>
        </w:rPr>
        <w:t>EBIT – earnings before interest and tax</w:t>
      </w:r>
      <w:r w:rsidRPr="00D32659">
        <w:rPr>
          <w:sz w:val="23"/>
          <w:szCs w:val="23"/>
          <w:lang w:val="cs-CZ"/>
        </w:rPr>
        <w:t xml:space="preserve"> (ZUD – zisk před úroky a zdaněním) = EBT zvýšený o nákladové úroky, provozní zisk.</w:t>
      </w:r>
    </w:p>
    <w:p w:rsidR="00F73EC2" w:rsidRPr="00D32659" w:rsidRDefault="00F73EC2" w:rsidP="008015B2">
      <w:pPr>
        <w:pStyle w:val="Bezmezer"/>
        <w:jc w:val="both"/>
        <w:rPr>
          <w:lang w:val="cs-CZ"/>
        </w:rPr>
      </w:pPr>
    </w:p>
    <w:p w:rsidR="00F73EC2" w:rsidRPr="00D32659" w:rsidRDefault="00F73EC2" w:rsidP="008015B2">
      <w:pPr>
        <w:pStyle w:val="Bezmezer"/>
        <w:jc w:val="both"/>
        <w:rPr>
          <w:b/>
          <w:lang w:val="cs-CZ"/>
        </w:rPr>
      </w:pPr>
      <w:r w:rsidRPr="00D32659">
        <w:rPr>
          <w:b/>
          <w:lang w:val="cs-CZ"/>
        </w:rPr>
        <w:t>Schéma č. 2: Používané kategorie zisku</w:t>
      </w:r>
    </w:p>
    <w:tbl>
      <w:tblPr>
        <w:tblStyle w:val="Mkatabulky"/>
        <w:tblW w:w="0" w:type="auto"/>
        <w:tblLook w:val="04A0" w:firstRow="1" w:lastRow="0" w:firstColumn="1" w:lastColumn="0" w:noHBand="0" w:noVBand="1"/>
      </w:tblPr>
      <w:tblGrid>
        <w:gridCol w:w="4989"/>
      </w:tblGrid>
      <w:tr w:rsidR="00F73EC2" w:rsidRPr="00D32659" w:rsidTr="004328B3">
        <w:trPr>
          <w:trHeight w:val="266"/>
        </w:trPr>
        <w:tc>
          <w:tcPr>
            <w:tcW w:w="4989" w:type="dxa"/>
            <w:shd w:val="clear" w:color="auto" w:fill="8DB3E2" w:themeFill="text2" w:themeFillTint="66"/>
            <w:vAlign w:val="center"/>
          </w:tcPr>
          <w:p w:rsidR="00F73EC2" w:rsidRPr="00D32659" w:rsidRDefault="00F73EC2" w:rsidP="008015B2">
            <w:pPr>
              <w:jc w:val="both"/>
              <w:rPr>
                <w:b/>
                <w:szCs w:val="24"/>
              </w:rPr>
            </w:pPr>
            <w:r w:rsidRPr="00D32659">
              <w:rPr>
                <w:b/>
                <w:szCs w:val="24"/>
              </w:rPr>
              <w:t>ZISK</w:t>
            </w:r>
          </w:p>
        </w:tc>
      </w:tr>
      <w:tr w:rsidR="00F73EC2" w:rsidRPr="00D32659" w:rsidTr="004328B3">
        <w:trPr>
          <w:trHeight w:val="266"/>
        </w:trPr>
        <w:tc>
          <w:tcPr>
            <w:tcW w:w="4989" w:type="dxa"/>
            <w:shd w:val="clear" w:color="auto" w:fill="C6D9F1" w:themeFill="text2" w:themeFillTint="33"/>
          </w:tcPr>
          <w:p w:rsidR="00F73EC2" w:rsidRPr="00D32659" w:rsidRDefault="00F73EC2" w:rsidP="008015B2">
            <w:pPr>
              <w:jc w:val="both"/>
              <w:rPr>
                <w:b/>
                <w:szCs w:val="24"/>
              </w:rPr>
            </w:pPr>
            <w:r w:rsidRPr="00D32659">
              <w:rPr>
                <w:b/>
                <w:szCs w:val="24"/>
              </w:rPr>
              <w:t>Zisk po zdanění (Z – EAT)</w:t>
            </w:r>
          </w:p>
        </w:tc>
      </w:tr>
      <w:tr w:rsidR="00F73EC2" w:rsidRPr="00D32659" w:rsidTr="004328B3">
        <w:trPr>
          <w:trHeight w:val="266"/>
        </w:trPr>
        <w:tc>
          <w:tcPr>
            <w:tcW w:w="4989" w:type="dxa"/>
          </w:tcPr>
          <w:p w:rsidR="00F73EC2" w:rsidRPr="00D32659" w:rsidRDefault="00F73EC2" w:rsidP="008015B2">
            <w:pPr>
              <w:jc w:val="both"/>
              <w:rPr>
                <w:szCs w:val="24"/>
              </w:rPr>
            </w:pPr>
            <w:r w:rsidRPr="00D32659">
              <w:rPr>
                <w:szCs w:val="24"/>
              </w:rPr>
              <w:t>+ daň z příjmů za mimořádnou činnost</w:t>
            </w:r>
          </w:p>
        </w:tc>
      </w:tr>
      <w:tr w:rsidR="00F73EC2" w:rsidRPr="00D32659" w:rsidTr="004328B3">
        <w:trPr>
          <w:trHeight w:val="266"/>
        </w:trPr>
        <w:tc>
          <w:tcPr>
            <w:tcW w:w="4989" w:type="dxa"/>
          </w:tcPr>
          <w:p w:rsidR="00F73EC2" w:rsidRPr="00D32659" w:rsidRDefault="00F73EC2" w:rsidP="008015B2">
            <w:pPr>
              <w:jc w:val="both"/>
              <w:rPr>
                <w:szCs w:val="24"/>
              </w:rPr>
            </w:pPr>
            <w:r w:rsidRPr="00D32659">
              <w:rPr>
                <w:szCs w:val="24"/>
              </w:rPr>
              <w:t>+ daň z příjmů za běžnou činnost</w:t>
            </w:r>
          </w:p>
        </w:tc>
      </w:tr>
      <w:tr w:rsidR="00F73EC2" w:rsidRPr="00D32659" w:rsidTr="004328B3">
        <w:trPr>
          <w:trHeight w:val="266"/>
        </w:trPr>
        <w:tc>
          <w:tcPr>
            <w:tcW w:w="4989" w:type="dxa"/>
            <w:shd w:val="clear" w:color="auto" w:fill="C6D9F1" w:themeFill="text2" w:themeFillTint="33"/>
          </w:tcPr>
          <w:p w:rsidR="00F73EC2" w:rsidRPr="00D32659" w:rsidRDefault="00F73EC2" w:rsidP="008015B2">
            <w:pPr>
              <w:jc w:val="both"/>
              <w:rPr>
                <w:b/>
                <w:szCs w:val="24"/>
              </w:rPr>
            </w:pPr>
            <w:r w:rsidRPr="00D32659">
              <w:rPr>
                <w:b/>
                <w:szCs w:val="24"/>
              </w:rPr>
              <w:t>= Zisk před zdaněním (ZD – EBIT)</w:t>
            </w:r>
          </w:p>
        </w:tc>
      </w:tr>
      <w:tr w:rsidR="00F73EC2" w:rsidRPr="00D32659" w:rsidTr="004328B3">
        <w:trPr>
          <w:trHeight w:val="266"/>
        </w:trPr>
        <w:tc>
          <w:tcPr>
            <w:tcW w:w="4989" w:type="dxa"/>
          </w:tcPr>
          <w:p w:rsidR="00F73EC2" w:rsidRPr="00D32659" w:rsidRDefault="00F73EC2" w:rsidP="008015B2">
            <w:pPr>
              <w:jc w:val="both"/>
              <w:rPr>
                <w:szCs w:val="24"/>
              </w:rPr>
            </w:pPr>
            <w:r w:rsidRPr="00D32659">
              <w:rPr>
                <w:szCs w:val="24"/>
              </w:rPr>
              <w:t>+ nákladové úroky</w:t>
            </w:r>
          </w:p>
        </w:tc>
      </w:tr>
      <w:tr w:rsidR="00F73EC2" w:rsidRPr="00D32659" w:rsidTr="004328B3">
        <w:trPr>
          <w:trHeight w:val="266"/>
        </w:trPr>
        <w:tc>
          <w:tcPr>
            <w:tcW w:w="4989" w:type="dxa"/>
            <w:shd w:val="clear" w:color="auto" w:fill="C6D9F1" w:themeFill="text2" w:themeFillTint="33"/>
          </w:tcPr>
          <w:p w:rsidR="00F73EC2" w:rsidRPr="00D32659" w:rsidRDefault="00F73EC2" w:rsidP="008015B2">
            <w:pPr>
              <w:jc w:val="both"/>
              <w:rPr>
                <w:b/>
                <w:szCs w:val="24"/>
              </w:rPr>
            </w:pPr>
            <w:r w:rsidRPr="00D32659">
              <w:rPr>
                <w:b/>
                <w:szCs w:val="24"/>
              </w:rPr>
              <w:t>= Zisk před úroky a zdaněním (ZUD – EBIT)</w:t>
            </w:r>
          </w:p>
        </w:tc>
      </w:tr>
    </w:tbl>
    <w:p w:rsidR="00F73EC2" w:rsidRPr="00D32659" w:rsidRDefault="00F73EC2" w:rsidP="008015B2">
      <w:pPr>
        <w:jc w:val="both"/>
        <w:rPr>
          <w:i/>
          <w:sz w:val="20"/>
          <w:szCs w:val="20"/>
        </w:rPr>
      </w:pPr>
      <w:r w:rsidRPr="00D32659">
        <w:rPr>
          <w:i/>
          <w:sz w:val="20"/>
          <w:szCs w:val="20"/>
        </w:rPr>
        <w:t xml:space="preserve">Pramen: vlastní zpracování na základě </w:t>
      </w:r>
      <w:r w:rsidRPr="00D32659">
        <w:rPr>
          <w:i/>
          <w:sz w:val="20"/>
          <w:szCs w:val="20"/>
          <w:shd w:val="clear" w:color="auto" w:fill="FFFFFF"/>
        </w:rPr>
        <w:t>HOLEČKOVÁ, Jaroslava.</w:t>
      </w:r>
      <w:r w:rsidRPr="00D32659">
        <w:rPr>
          <w:rStyle w:val="apple-converted-space"/>
          <w:i/>
          <w:sz w:val="20"/>
          <w:szCs w:val="20"/>
          <w:shd w:val="clear" w:color="auto" w:fill="FFFFFF"/>
        </w:rPr>
        <w:t> </w:t>
      </w:r>
      <w:r w:rsidRPr="00D32659">
        <w:rPr>
          <w:i/>
          <w:iCs/>
          <w:sz w:val="20"/>
          <w:szCs w:val="20"/>
          <w:shd w:val="clear" w:color="auto" w:fill="FFFFFF"/>
        </w:rPr>
        <w:t>Finanční analýza firmy</w:t>
      </w:r>
      <w:r w:rsidR="00570FAA" w:rsidRPr="00D32659">
        <w:rPr>
          <w:i/>
          <w:sz w:val="20"/>
          <w:szCs w:val="20"/>
        </w:rPr>
        <w:t>, s. 60</w:t>
      </w:r>
    </w:p>
    <w:p w:rsidR="00F73EC2" w:rsidRPr="00D32659" w:rsidRDefault="00F73EC2" w:rsidP="008015B2">
      <w:pPr>
        <w:jc w:val="both"/>
      </w:pPr>
      <w:r w:rsidRPr="00D32659">
        <w:rPr>
          <w:b/>
        </w:rPr>
        <w:lastRenderedPageBreak/>
        <w:t>Rentabilita celkového vloženého kapitálu = ROA (return on assets)</w:t>
      </w:r>
    </w:p>
    <w:p w:rsidR="00F73EC2" w:rsidRPr="00D32659" w:rsidRDefault="00F73EC2" w:rsidP="008015B2">
      <w:pPr>
        <w:jc w:val="both"/>
      </w:pPr>
      <w:r w:rsidRPr="00D32659">
        <w:t>Jinými slovy by se tento ukazatel mohl nazývat ukazatelem míry zisku. Podává informace o efektivnosti podniku a o produkčních schopnostech, o zvládnutí dosažení tržeb a o celkové výnosnosti kapitálu podniku bez ohledu na jeho financování.</w:t>
      </w:r>
    </w:p>
    <w:p w:rsidR="00F73EC2" w:rsidRPr="00D32659" w:rsidRDefault="00F73EC2" w:rsidP="008015B2">
      <w:pPr>
        <w:jc w:val="both"/>
      </w:pPr>
      <w:r w:rsidRPr="00D32659">
        <w:t>Celkovým vloženým kapitálem se rozumí celková aktiva. U zisku není tak jasná definice, pokud za zisk dosadíme EBIT pak je ukazatel vhodný pro srovnání s podniky s rozdílným daňovým prostředím, pokud dosadíme EAT (před vyplacením dividend) pak se jedná o klasickou interpretaci rentability.</w:t>
      </w:r>
    </w:p>
    <w:p w:rsidR="00F73EC2" w:rsidRPr="00D32659" w:rsidRDefault="00F73EC2" w:rsidP="008015B2">
      <w:pPr>
        <w:jc w:val="both"/>
      </w:pPr>
      <m:oMathPara>
        <m:oMath>
          <m:r>
            <w:rPr>
              <w:rFonts w:ascii="Cambria Math" w:hAnsi="Cambria Math"/>
            </w:rPr>
            <m:t xml:space="preserve">ROA= </m:t>
          </m:r>
          <m:f>
            <m:fPr>
              <m:ctrlPr>
                <w:rPr>
                  <w:rFonts w:ascii="Cambria Math" w:hAnsi="Cambria Math"/>
                  <w:i/>
                </w:rPr>
              </m:ctrlPr>
            </m:fPr>
            <m:num>
              <m:r>
                <w:rPr>
                  <w:rFonts w:ascii="Cambria Math" w:hAnsi="Cambria Math"/>
                </w:rPr>
                <m:t>zisk</m:t>
              </m:r>
            </m:num>
            <m:den>
              <m:r>
                <w:rPr>
                  <w:rFonts w:ascii="Cambria Math" w:hAnsi="Cambria Math"/>
                </w:rPr>
                <m:t>celkový vložený kapitál</m:t>
              </m:r>
            </m:den>
          </m:f>
        </m:oMath>
      </m:oMathPara>
    </w:p>
    <w:p w:rsidR="00F73EC2" w:rsidRPr="00D32659" w:rsidRDefault="00F73EC2" w:rsidP="008015B2">
      <w:pPr>
        <w:jc w:val="both"/>
        <w:rPr>
          <w:b/>
        </w:rPr>
      </w:pPr>
      <w:r w:rsidRPr="00D32659">
        <w:rPr>
          <w:b/>
        </w:rPr>
        <w:t>Rentabilita celkového investovaného kapitálu = ROCE (return on capital employed)</w:t>
      </w:r>
    </w:p>
    <w:p w:rsidR="00F73EC2" w:rsidRPr="00D32659" w:rsidRDefault="00F73EC2" w:rsidP="008015B2">
      <w:pPr>
        <w:jc w:val="both"/>
      </w:pPr>
      <w:r w:rsidRPr="00D32659">
        <w:t>ROCE zachybuje efektivitu, s jakou společnost dokáže hospodařit. Tento ukazatel pohlíží na problém z hlediska pasiv. Do vzorce vstupují dlouhodobé závazky a vlastní kapitál.</w:t>
      </w:r>
      <w:r w:rsidRPr="00D32659">
        <w:rPr>
          <w:rStyle w:val="Znakapoznpodarou"/>
        </w:rPr>
        <w:footnoteReference w:id="19"/>
      </w:r>
      <w:r w:rsidRPr="00D32659">
        <w:t xml:space="preserve"> Toto kritérium je často používáno pro porovnání a zhodnocení monopolních veřejně prospěšných společností.</w:t>
      </w:r>
      <w:r w:rsidRPr="00D32659">
        <w:rPr>
          <w:rStyle w:val="Znakapoznpodarou"/>
        </w:rPr>
        <w:footnoteReference w:id="20"/>
      </w:r>
      <w:r w:rsidRPr="00D32659">
        <w:t xml:space="preserve"> ???</w:t>
      </w:r>
    </w:p>
    <w:p w:rsidR="00F73EC2" w:rsidRPr="00D32659" w:rsidRDefault="00F73EC2" w:rsidP="008015B2">
      <w:pPr>
        <w:jc w:val="both"/>
      </w:pPr>
      <m:oMathPara>
        <m:oMath>
          <m:r>
            <w:rPr>
              <w:rFonts w:ascii="Cambria Math" w:hAnsi="Cambria Math"/>
            </w:rPr>
            <m:t xml:space="preserve">ROCE= </m:t>
          </m:r>
          <m:f>
            <m:fPr>
              <m:ctrlPr>
                <w:rPr>
                  <w:rFonts w:ascii="Cambria Math" w:hAnsi="Cambria Math"/>
                  <w:i/>
                </w:rPr>
              </m:ctrlPr>
            </m:fPr>
            <m:num>
              <m:r>
                <w:rPr>
                  <w:rFonts w:ascii="Cambria Math" w:hAnsi="Cambria Math"/>
                </w:rPr>
                <m:t>zisk</m:t>
              </m:r>
            </m:num>
            <m:den>
              <m:r>
                <w:rPr>
                  <w:rFonts w:ascii="Cambria Math" w:hAnsi="Cambria Math"/>
                </w:rPr>
                <m:t>(dlouhodobé dluhy+vlastní kapitál)</m:t>
              </m:r>
            </m:den>
          </m:f>
        </m:oMath>
      </m:oMathPara>
    </w:p>
    <w:p w:rsidR="00F73EC2" w:rsidRPr="00D32659" w:rsidRDefault="00F73EC2" w:rsidP="008015B2">
      <w:pPr>
        <w:jc w:val="both"/>
        <w:rPr>
          <w:b/>
        </w:rPr>
      </w:pPr>
      <w:r w:rsidRPr="00D32659">
        <w:rPr>
          <w:b/>
        </w:rPr>
        <w:t>Rentabilita vlastního kapitálu = ROE (return on equity)</w:t>
      </w:r>
    </w:p>
    <w:p w:rsidR="00F73EC2" w:rsidRPr="00D32659" w:rsidRDefault="00F73EC2" w:rsidP="008015B2">
      <w:pPr>
        <w:jc w:val="both"/>
      </w:pPr>
      <w:r w:rsidRPr="00D32659">
        <w:t>Pokud je ukazatel nízký (nižší než výnosnost CP garantovaných státem) pak podnik spěje k bankrotu. Tento ukazatel je důležitý hlavně pro investory, jelikož na jeho základě zjišťují, jestli se jejich investice vyplácí, jestli je výnos dostatečný při porovnání s podstupovaným rizikem</w:t>
      </w:r>
      <w:r w:rsidRPr="00D32659">
        <w:rPr>
          <w:rStyle w:val="Znakapoznpodarou"/>
        </w:rPr>
        <w:footnoteReference w:id="21"/>
      </w:r>
      <w:r w:rsidRPr="00D32659">
        <w:t>. Investor má zájem na tom, aby ukazatel ROE byl vyšší než úroky, které by mohl dostat při jiné formě investování.</w:t>
      </w:r>
      <w:r w:rsidRPr="00D32659">
        <w:rPr>
          <w:rStyle w:val="Znakapoznpodarou"/>
        </w:rPr>
        <w:footnoteReference w:id="22"/>
      </w:r>
    </w:p>
    <w:p w:rsidR="00F73EC2" w:rsidRPr="00D32659" w:rsidRDefault="00F73EC2" w:rsidP="008015B2">
      <w:pPr>
        <w:jc w:val="both"/>
      </w:pPr>
      <m:oMathPara>
        <m:oMath>
          <m:r>
            <w:rPr>
              <w:rFonts w:ascii="Cambria Math" w:hAnsi="Cambria Math"/>
            </w:rPr>
            <m:t xml:space="preserve">ROE= </m:t>
          </m:r>
          <m:f>
            <m:fPr>
              <m:ctrlPr>
                <w:rPr>
                  <w:rFonts w:ascii="Cambria Math" w:hAnsi="Cambria Math"/>
                  <w:i/>
                </w:rPr>
              </m:ctrlPr>
            </m:fPr>
            <m:num>
              <m:r>
                <w:rPr>
                  <w:rFonts w:ascii="Cambria Math" w:hAnsi="Cambria Math"/>
                </w:rPr>
                <m:t>zisk</m:t>
              </m:r>
            </m:num>
            <m:den>
              <m:r>
                <w:rPr>
                  <w:rFonts w:ascii="Cambria Math" w:hAnsi="Cambria Math"/>
                </w:rPr>
                <m:t>vlastní kapitál</m:t>
              </m:r>
            </m:den>
          </m:f>
        </m:oMath>
      </m:oMathPara>
    </w:p>
    <w:p w:rsidR="00115E95" w:rsidRDefault="00115E95">
      <w:pPr>
        <w:rPr>
          <w:b/>
        </w:rPr>
      </w:pPr>
      <w:r>
        <w:rPr>
          <w:b/>
        </w:rPr>
        <w:br w:type="page"/>
      </w:r>
    </w:p>
    <w:p w:rsidR="00F73EC2" w:rsidRPr="00D32659" w:rsidRDefault="00F73EC2" w:rsidP="008015B2">
      <w:pPr>
        <w:jc w:val="both"/>
        <w:rPr>
          <w:b/>
        </w:rPr>
      </w:pPr>
      <w:r w:rsidRPr="00D32659">
        <w:rPr>
          <w:b/>
        </w:rPr>
        <w:lastRenderedPageBreak/>
        <w:t>Rentabilita tržeb = ROS (return on sales)</w:t>
      </w:r>
    </w:p>
    <w:p w:rsidR="00F73EC2" w:rsidRPr="00D32659" w:rsidRDefault="00F73EC2" w:rsidP="008015B2">
      <w:pPr>
        <w:jc w:val="both"/>
      </w:pPr>
      <w:r w:rsidRPr="00D32659">
        <w:t>Ukazatel rentability tržeb udává, jak je společnost efektivní. Podle Kislingerové</w:t>
      </w:r>
      <w:r w:rsidRPr="00D32659">
        <w:rPr>
          <w:rStyle w:val="Znakapoznpodarou"/>
        </w:rPr>
        <w:footnoteReference w:id="23"/>
      </w:r>
      <w:r w:rsidRPr="00D32659">
        <w:t>, pokud tento ukazatel naznačí, že by v podniku mohly být nějaké problémy, pak je pravděpodobné, že je bude mít i v jiných oblastech. Někdy se při této analýze místo tržeb počítá s výnosy.</w:t>
      </w:r>
    </w:p>
    <w:p w:rsidR="00F73EC2" w:rsidRPr="00D32659" w:rsidRDefault="00F73EC2" w:rsidP="008015B2">
      <w:pPr>
        <w:jc w:val="both"/>
      </w:pPr>
      <m:oMathPara>
        <m:oMath>
          <m:r>
            <w:rPr>
              <w:rFonts w:ascii="Cambria Math" w:hAnsi="Cambria Math"/>
            </w:rPr>
            <m:t>ROS</m:t>
          </m:r>
          <m:r>
            <m:rPr>
              <m:sty m:val="p"/>
            </m:rPr>
            <w:rPr>
              <w:rFonts w:ascii="Cambria Math" w:hAnsi="Cambria Math"/>
            </w:rPr>
            <m:t xml:space="preserve">= </m:t>
          </m:r>
          <m:f>
            <m:fPr>
              <m:ctrlPr>
                <w:rPr>
                  <w:rFonts w:ascii="Cambria Math" w:eastAsia="Times New Roman" w:hAnsi="Cambria Math"/>
                  <w:bCs/>
                  <w:szCs w:val="27"/>
                  <w:lang w:eastAsia="cs-CZ"/>
                </w:rPr>
              </m:ctrlPr>
            </m:fPr>
            <m:num>
              <m:r>
                <w:rPr>
                  <w:rFonts w:ascii="Cambria Math" w:hAnsi="Cambria Math"/>
                </w:rPr>
                <m:t>zisk</m:t>
              </m:r>
            </m:num>
            <m:den>
              <m:r>
                <m:rPr>
                  <m:sty m:val="p"/>
                </m:rPr>
                <w:rPr>
                  <w:rFonts w:ascii="Cambria Math" w:hAnsi="Cambria Math"/>
                </w:rPr>
                <m:t>(</m:t>
              </m:r>
              <m:r>
                <w:rPr>
                  <w:rFonts w:ascii="Cambria Math" w:hAnsi="Cambria Math"/>
                </w:rPr>
                <m:t>tr</m:t>
              </m:r>
              <m:r>
                <m:rPr>
                  <m:sty m:val="p"/>
                </m:rPr>
                <w:rPr>
                  <w:rFonts w:ascii="Cambria Math" w:hAnsi="Cambria Math"/>
                </w:rPr>
                <m:t>ž</m:t>
              </m:r>
              <m:r>
                <w:rPr>
                  <w:rFonts w:ascii="Cambria Math" w:hAnsi="Cambria Math"/>
                </w:rPr>
                <m:t>by</m:t>
              </m:r>
              <m:r>
                <m:rPr>
                  <m:sty m:val="p"/>
                </m:rPr>
                <w:rPr>
                  <w:rFonts w:ascii="Cambria Math" w:hAnsi="Cambria Math"/>
                </w:rPr>
                <m:t xml:space="preserve"> </m:t>
              </m:r>
              <m:r>
                <w:rPr>
                  <w:rFonts w:ascii="Cambria Math" w:hAnsi="Cambria Math"/>
                </w:rPr>
                <m:t>z</m:t>
              </m:r>
              <m:r>
                <m:rPr>
                  <m:sty m:val="p"/>
                </m:rPr>
                <w:rPr>
                  <w:rFonts w:ascii="Cambria Math" w:hAnsi="Cambria Math"/>
                </w:rPr>
                <m:t xml:space="preserve"> </m:t>
              </m:r>
              <m:r>
                <w:rPr>
                  <w:rFonts w:ascii="Cambria Math" w:hAnsi="Cambria Math"/>
                </w:rPr>
                <m:t>prodeje</m:t>
              </m:r>
              <m:r>
                <m:rPr>
                  <m:sty m:val="p"/>
                </m:rPr>
                <w:rPr>
                  <w:rFonts w:ascii="Cambria Math" w:hAnsi="Cambria Math"/>
                </w:rPr>
                <m:t xml:space="preserve"> </m:t>
              </m:r>
              <m:r>
                <w:rPr>
                  <w:rFonts w:ascii="Cambria Math" w:hAnsi="Cambria Math"/>
                </w:rPr>
                <m:t>vlastn</m:t>
              </m:r>
              <m:r>
                <m:rPr>
                  <m:sty m:val="p"/>
                </m:rPr>
                <w:rPr>
                  <w:rFonts w:ascii="Cambria Math" w:hAnsi="Cambria Math"/>
                </w:rPr>
                <m:t>í</m:t>
              </m:r>
              <m:r>
                <w:rPr>
                  <w:rFonts w:ascii="Cambria Math" w:hAnsi="Cambria Math"/>
                </w:rPr>
                <m:t>ch</m:t>
              </m:r>
              <m:r>
                <m:rPr>
                  <m:sty m:val="p"/>
                </m:rPr>
                <w:rPr>
                  <w:rFonts w:ascii="Cambria Math" w:hAnsi="Cambria Math"/>
                </w:rPr>
                <m:t xml:space="preserve"> </m:t>
              </m:r>
              <m:r>
                <w:rPr>
                  <w:rFonts w:ascii="Cambria Math" w:hAnsi="Cambria Math"/>
                </w:rPr>
                <m:t>v</m:t>
              </m:r>
              <m:r>
                <m:rPr>
                  <m:sty m:val="p"/>
                </m:rPr>
                <w:rPr>
                  <w:rFonts w:ascii="Cambria Math" w:hAnsi="Cambria Math"/>
                </w:rPr>
                <m:t>ý</m:t>
              </m:r>
              <m:r>
                <w:rPr>
                  <w:rFonts w:ascii="Cambria Math" w:hAnsi="Cambria Math"/>
                </w:rPr>
                <m:t>robk</m:t>
              </m:r>
              <m:r>
                <m:rPr>
                  <m:sty m:val="p"/>
                </m:rPr>
                <w:rPr>
                  <w:rFonts w:ascii="Cambria Math" w:hAnsi="Cambria Math"/>
                </w:rPr>
                <m:t xml:space="preserve">ů </m:t>
              </m:r>
              <m:r>
                <w:rPr>
                  <w:rFonts w:ascii="Cambria Math" w:hAnsi="Cambria Math"/>
                </w:rPr>
                <m:t>a</m:t>
              </m:r>
              <m:r>
                <m:rPr>
                  <m:sty m:val="p"/>
                </m:rPr>
                <w:rPr>
                  <w:rFonts w:ascii="Cambria Math" w:hAnsi="Cambria Math"/>
                </w:rPr>
                <m:t xml:space="preserve"> </m:t>
              </m:r>
              <m:r>
                <w:rPr>
                  <w:rFonts w:ascii="Cambria Math" w:hAnsi="Cambria Math"/>
                </w:rPr>
                <m:t>slu</m:t>
              </m:r>
              <m:r>
                <m:rPr>
                  <m:sty m:val="p"/>
                </m:rPr>
                <w:rPr>
                  <w:rFonts w:ascii="Cambria Math" w:hAnsi="Cambria Math"/>
                </w:rPr>
                <m:t>ž</m:t>
              </m:r>
              <m:r>
                <w:rPr>
                  <w:rFonts w:ascii="Cambria Math" w:hAnsi="Cambria Math"/>
                </w:rPr>
                <m:t>eb</m:t>
              </m:r>
              <m:r>
                <m:rPr>
                  <m:sty m:val="p"/>
                </m:rPr>
                <w:rPr>
                  <w:rFonts w:ascii="Cambria Math" w:hAnsi="Cambria Math"/>
                </w:rPr>
                <m:t>+</m:t>
              </m:r>
              <m:r>
                <w:rPr>
                  <w:rFonts w:ascii="Cambria Math" w:hAnsi="Cambria Math"/>
                </w:rPr>
                <m:t>tr</m:t>
              </m:r>
              <m:r>
                <m:rPr>
                  <m:sty m:val="p"/>
                </m:rPr>
                <w:rPr>
                  <w:rFonts w:ascii="Cambria Math" w:hAnsi="Cambria Math"/>
                </w:rPr>
                <m:t>ž</m:t>
              </m:r>
              <m:r>
                <w:rPr>
                  <w:rFonts w:ascii="Cambria Math" w:hAnsi="Cambria Math"/>
                </w:rPr>
                <m:t>by</m:t>
              </m:r>
              <m:r>
                <m:rPr>
                  <m:sty m:val="p"/>
                </m:rPr>
                <w:rPr>
                  <w:rFonts w:ascii="Cambria Math" w:hAnsi="Cambria Math"/>
                </w:rPr>
                <m:t xml:space="preserve"> </m:t>
              </m:r>
              <m:r>
                <w:rPr>
                  <w:rFonts w:ascii="Cambria Math" w:hAnsi="Cambria Math"/>
                </w:rPr>
                <m:t>z</m:t>
              </m:r>
              <m:r>
                <m:rPr>
                  <m:sty m:val="p"/>
                </m:rPr>
                <w:rPr>
                  <w:rFonts w:ascii="Cambria Math" w:hAnsi="Cambria Math"/>
                </w:rPr>
                <m:t xml:space="preserve"> </m:t>
              </m:r>
              <m:r>
                <w:rPr>
                  <w:rFonts w:ascii="Cambria Math" w:hAnsi="Cambria Math"/>
                </w:rPr>
                <m:t>prodeje</m:t>
              </m:r>
              <m:r>
                <m:rPr>
                  <m:sty m:val="p"/>
                </m:rPr>
                <w:rPr>
                  <w:rFonts w:ascii="Cambria Math" w:hAnsi="Cambria Math"/>
                </w:rPr>
                <m:t xml:space="preserve"> </m:t>
              </m:r>
              <m:r>
                <w:rPr>
                  <w:rFonts w:ascii="Cambria Math" w:hAnsi="Cambria Math"/>
                </w:rPr>
                <m:t>zbo</m:t>
              </m:r>
              <m:r>
                <m:rPr>
                  <m:sty m:val="p"/>
                </m:rPr>
                <w:rPr>
                  <w:rFonts w:ascii="Cambria Math" w:hAnsi="Cambria Math"/>
                </w:rPr>
                <m:t>ží)</m:t>
              </m:r>
            </m:den>
          </m:f>
        </m:oMath>
      </m:oMathPara>
    </w:p>
    <w:p w:rsidR="00F73EC2" w:rsidRPr="00D32659" w:rsidRDefault="00F73EC2" w:rsidP="008015B2">
      <w:pPr>
        <w:pStyle w:val="Nadpis3"/>
        <w:numPr>
          <w:ilvl w:val="0"/>
          <w:numId w:val="0"/>
        </w:numPr>
        <w:jc w:val="both"/>
      </w:pPr>
    </w:p>
    <w:p w:rsidR="00F73EC2" w:rsidRPr="00D32659" w:rsidRDefault="00F73EC2" w:rsidP="008015B2">
      <w:pPr>
        <w:pStyle w:val="Nadpis3"/>
        <w:jc w:val="both"/>
      </w:pPr>
      <w:bookmarkStart w:id="20" w:name="_Toc417564158"/>
      <w:r w:rsidRPr="00D32659">
        <w:t>Ukazatel aktivity (řízení)</w:t>
      </w:r>
      <w:bookmarkEnd w:id="20"/>
    </w:p>
    <w:p w:rsidR="00F73EC2" w:rsidRPr="00D32659" w:rsidRDefault="00F73EC2" w:rsidP="008015B2">
      <w:pPr>
        <w:jc w:val="both"/>
      </w:pPr>
      <w:r w:rsidRPr="00D32659">
        <w:t xml:space="preserve">Ukazatel řízení neboli ukazatel aktivity, poskytuje firmě informace o tom, zda své aktiva využívá maximálně efektivně, zda nepřichází o potencionální tržby nebo naopak není s majetkem spojeno zbytečně moc nákladů. Pro jednotlivá aktiva poskytuje finanční analýza různé ukazatele. </w:t>
      </w:r>
      <w:r w:rsidRPr="00D32659">
        <w:rPr>
          <w:rStyle w:val="Znakapoznpodarou"/>
        </w:rPr>
        <w:footnoteReference w:id="24"/>
      </w:r>
    </w:p>
    <w:p w:rsidR="00F73EC2" w:rsidRPr="00D32659" w:rsidRDefault="00F73EC2" w:rsidP="008015B2">
      <w:pPr>
        <w:jc w:val="both"/>
        <w:rPr>
          <w:b/>
        </w:rPr>
      </w:pPr>
      <w:r w:rsidRPr="00D32659">
        <w:rPr>
          <w:b/>
        </w:rPr>
        <w:t>Obrat aktiv (Total assets turnover ratio)</w:t>
      </w:r>
    </w:p>
    <w:p w:rsidR="00F73EC2" w:rsidRPr="00D32659" w:rsidRDefault="00F73EC2" w:rsidP="008015B2">
      <w:pPr>
        <w:jc w:val="both"/>
      </w:pPr>
      <w:r w:rsidRPr="00D32659">
        <w:t>Ukazatel obratu aktiv udává, kolikrát se aktiva obrátí za jeden rok. Tento ukazatel by se měl porovnávat s odvětvovými průměry, ale pokud tuto informaci nemá společnost k dispozici, potom je obecně dáno, že by se měl rovnat minimálně jedné.</w:t>
      </w:r>
      <w:r w:rsidRPr="00D32659">
        <w:rPr>
          <w:rStyle w:val="Znakapoznpodarou"/>
        </w:rPr>
        <w:footnoteReference w:id="25"/>
      </w:r>
      <w:r w:rsidRPr="00D32659">
        <w:t xml:space="preserve"> Pokud hodnota ukazatele klesne pod průměr (popř. hodnota bude menší než jedna), manažeři podniku by měli buď snížit počet aktiv, nebo navýšit tržby. </w:t>
      </w:r>
      <w:r w:rsidRPr="00D32659">
        <w:rPr>
          <w:rStyle w:val="Znakapoznpodarou"/>
        </w:rPr>
        <w:footnoteReference w:id="26"/>
      </w:r>
      <w:r w:rsidR="00146B39" w:rsidRPr="00D32659">
        <w:t xml:space="preserve"> Čím je hodnota ukazatele obratu aktiv větší, tím je i vyšší efektivita využívání majetku.</w:t>
      </w:r>
      <w:r w:rsidR="00146B39" w:rsidRPr="00D32659">
        <w:rPr>
          <w:rStyle w:val="Znakapoznpodarou"/>
        </w:rPr>
        <w:footnoteReference w:id="27"/>
      </w:r>
    </w:p>
    <w:p w:rsidR="00F73EC2" w:rsidRPr="00D32659" w:rsidRDefault="00F73EC2" w:rsidP="008015B2">
      <w:pPr>
        <w:jc w:val="both"/>
      </w:pPr>
      <m:oMathPara>
        <m:oMath>
          <m:r>
            <w:rPr>
              <w:rFonts w:ascii="Cambria Math" w:hAnsi="Cambria Math"/>
            </w:rPr>
            <m:t xml:space="preserve">obrat aktiv= </m:t>
          </m:r>
          <m:f>
            <m:fPr>
              <m:ctrlPr>
                <w:rPr>
                  <w:rFonts w:ascii="Cambria Math" w:hAnsi="Cambria Math"/>
                  <w:i/>
                </w:rPr>
              </m:ctrlPr>
            </m:fPr>
            <m:num>
              <m:r>
                <w:rPr>
                  <w:rFonts w:ascii="Cambria Math" w:hAnsi="Cambria Math"/>
                </w:rPr>
                <m:t>tržby</m:t>
              </m:r>
            </m:num>
            <m:den>
              <m:r>
                <w:rPr>
                  <w:rFonts w:ascii="Cambria Math" w:hAnsi="Cambria Math"/>
                </w:rPr>
                <m:t>aktiva celkem</m:t>
              </m:r>
            </m:den>
          </m:f>
        </m:oMath>
      </m:oMathPara>
    </w:p>
    <w:p w:rsidR="00F73EC2" w:rsidRPr="00D32659" w:rsidRDefault="00F73EC2" w:rsidP="008015B2">
      <w:pPr>
        <w:jc w:val="both"/>
        <w:rPr>
          <w:b/>
        </w:rPr>
      </w:pPr>
      <w:r w:rsidRPr="00D32659">
        <w:rPr>
          <w:b/>
        </w:rPr>
        <w:t>Obrat zásob (Inventory turnover ratio)</w:t>
      </w:r>
    </w:p>
    <w:p w:rsidR="00F73EC2" w:rsidRPr="00D32659" w:rsidRDefault="00F73EC2" w:rsidP="008015B2">
      <w:pPr>
        <w:jc w:val="both"/>
      </w:pPr>
      <m:oMathPara>
        <m:oMath>
          <m:r>
            <w:rPr>
              <w:rFonts w:ascii="Cambria Math" w:hAnsi="Cambria Math"/>
            </w:rPr>
            <m:t xml:space="preserve">obrat zásob= </m:t>
          </m:r>
          <m:f>
            <m:fPr>
              <m:ctrlPr>
                <w:rPr>
                  <w:rFonts w:ascii="Cambria Math" w:hAnsi="Cambria Math"/>
                  <w:i/>
                </w:rPr>
              </m:ctrlPr>
            </m:fPr>
            <m:num>
              <m:r>
                <w:rPr>
                  <w:rFonts w:ascii="Cambria Math" w:hAnsi="Cambria Math"/>
                </w:rPr>
                <m:t xml:space="preserve">tržby </m:t>
              </m:r>
            </m:num>
            <m:den>
              <m:r>
                <w:rPr>
                  <w:rFonts w:ascii="Cambria Math" w:hAnsi="Cambria Math"/>
                </w:rPr>
                <m:t>zásoby</m:t>
              </m:r>
            </m:den>
          </m:f>
        </m:oMath>
      </m:oMathPara>
    </w:p>
    <w:p w:rsidR="00F73EC2" w:rsidRPr="00D32659" w:rsidRDefault="00F73EC2" w:rsidP="008015B2">
      <w:pPr>
        <w:jc w:val="both"/>
      </w:pPr>
      <w:r w:rsidRPr="00D32659">
        <w:t>Ukazatel obratu zásob udává, kolikrát byly položky zásob prodány a následně znovu uskladněny. Jinými slovy, kolikrát se aktiva obrátí za jeden rok. Vyjadřuje s jakou efektivitou je celkových aktiv využíváno.</w:t>
      </w:r>
    </w:p>
    <w:p w:rsidR="00115E95" w:rsidRDefault="00115E95">
      <w:pPr>
        <w:rPr>
          <w:b/>
        </w:rPr>
      </w:pPr>
      <w:r>
        <w:rPr>
          <w:b/>
        </w:rPr>
        <w:br w:type="page"/>
      </w:r>
    </w:p>
    <w:p w:rsidR="00F73EC2" w:rsidRPr="00D32659" w:rsidRDefault="00F73EC2" w:rsidP="008015B2">
      <w:pPr>
        <w:jc w:val="both"/>
        <w:rPr>
          <w:b/>
        </w:rPr>
      </w:pPr>
      <w:r w:rsidRPr="00D32659">
        <w:rPr>
          <w:b/>
        </w:rPr>
        <w:lastRenderedPageBreak/>
        <w:t>Doba obratu zásob (Inventory turnover)</w:t>
      </w:r>
    </w:p>
    <w:p w:rsidR="00F73EC2" w:rsidRPr="00D32659" w:rsidRDefault="00F73EC2" w:rsidP="008015B2">
      <w:pPr>
        <w:jc w:val="both"/>
      </w:pPr>
      <w:r w:rsidRPr="00D32659">
        <w:t xml:space="preserve">Doba obratu zásob udává, po kolik dní jsou zásoby uskladněny v podniku do té doby, než jsou nějakým způsob spotřebovány nebo prodány. </w:t>
      </w:r>
    </w:p>
    <w:p w:rsidR="00F73EC2" w:rsidRPr="00D32659" w:rsidRDefault="00F73EC2" w:rsidP="008015B2">
      <w:pPr>
        <w:jc w:val="both"/>
      </w:pPr>
      <m:oMathPara>
        <m:oMath>
          <m:r>
            <w:rPr>
              <w:rFonts w:ascii="Cambria Math" w:hAnsi="Cambria Math"/>
            </w:rPr>
            <m:t xml:space="preserve">doba obratu zásob= </m:t>
          </m:r>
          <m:f>
            <m:fPr>
              <m:ctrlPr>
                <w:rPr>
                  <w:rFonts w:ascii="Cambria Math" w:hAnsi="Cambria Math"/>
                  <w:i/>
                </w:rPr>
              </m:ctrlPr>
            </m:fPr>
            <m:num>
              <m:r>
                <w:rPr>
                  <w:rFonts w:ascii="Cambria Math" w:hAnsi="Cambria Math"/>
                </w:rPr>
                <m:t>zásoby</m:t>
              </m:r>
            </m:num>
            <m:den>
              <m:r>
                <w:rPr>
                  <w:rFonts w:ascii="Cambria Math" w:hAnsi="Cambria Math"/>
                </w:rPr>
                <m:t>tržby/360</m:t>
              </m:r>
            </m:den>
          </m:f>
          <m:r>
            <w:rPr>
              <w:rFonts w:ascii="Cambria Math" w:hAnsi="Cambria Math"/>
            </w:rPr>
            <m:t xml:space="preserve"> </m:t>
          </m:r>
        </m:oMath>
      </m:oMathPara>
    </w:p>
    <w:p w:rsidR="00F73EC2" w:rsidRPr="00D32659" w:rsidRDefault="00F73EC2" w:rsidP="008015B2">
      <w:pPr>
        <w:jc w:val="both"/>
      </w:pPr>
      <w:r w:rsidRPr="00D32659">
        <w:t>Existuje souvislost mezi obratem a dobou obratu zásob. A to taková, že v situaci, kdy se obratovost zvyšuje a doba obratu zrychluje, je na tom podnik dobře.</w:t>
      </w:r>
      <w:r w:rsidRPr="00D32659">
        <w:rPr>
          <w:rStyle w:val="Znakapoznpodarou"/>
        </w:rPr>
        <w:footnoteReference w:id="28"/>
      </w:r>
    </w:p>
    <w:p w:rsidR="00F73EC2" w:rsidRPr="00D32659" w:rsidRDefault="00F73EC2" w:rsidP="008015B2">
      <w:pPr>
        <w:jc w:val="both"/>
        <w:rPr>
          <w:b/>
        </w:rPr>
      </w:pPr>
    </w:p>
    <w:p w:rsidR="00F73EC2" w:rsidRPr="00D32659" w:rsidRDefault="00F73EC2" w:rsidP="008015B2">
      <w:pPr>
        <w:jc w:val="both"/>
        <w:rPr>
          <w:b/>
        </w:rPr>
      </w:pPr>
      <w:r w:rsidRPr="00D32659">
        <w:rPr>
          <w:b/>
        </w:rPr>
        <w:t>Průměrná doba inkasa (Average collection period)</w:t>
      </w:r>
    </w:p>
    <w:p w:rsidR="00F73EC2" w:rsidRPr="00D32659" w:rsidRDefault="00F73EC2" w:rsidP="008015B2">
      <w:pPr>
        <w:jc w:val="both"/>
      </w:pPr>
      <w:r w:rsidRPr="00D32659">
        <w:t>Průměrná doba inkasa se v jiných literaturách často jmenuje doba splatnosti pohledávek, a to z toho důvodu, že tento ukazatel vystihuje dobu, kterou podnik musí čekat, než odběratel uhradí svůj závazek vůči firmě. Doba splátky závisí i na jiných faktorech, např. na úvěrové politice podniku, a trendem v této oblasti je dobu inkasa prodlužovat.</w:t>
      </w:r>
      <w:r w:rsidRPr="00D32659">
        <w:rPr>
          <w:rStyle w:val="Znakapoznpodarou"/>
        </w:rPr>
        <w:footnoteReference w:id="29"/>
      </w:r>
    </w:p>
    <w:p w:rsidR="00F73EC2" w:rsidRPr="00D32659" w:rsidRDefault="00F73EC2" w:rsidP="008015B2">
      <w:pPr>
        <w:jc w:val="both"/>
      </w:pPr>
      <m:oMathPara>
        <m:oMath>
          <m:r>
            <w:rPr>
              <w:rFonts w:ascii="Cambria Math" w:hAnsi="Cambria Math"/>
            </w:rPr>
            <m:t xml:space="preserve">průměrná doba inkasa= </m:t>
          </m:r>
          <m:f>
            <m:fPr>
              <m:ctrlPr>
                <w:rPr>
                  <w:rFonts w:ascii="Cambria Math" w:hAnsi="Cambria Math"/>
                  <w:i/>
                </w:rPr>
              </m:ctrlPr>
            </m:fPr>
            <m:num>
              <m:r>
                <w:rPr>
                  <w:rFonts w:ascii="Cambria Math" w:hAnsi="Cambria Math"/>
                </w:rPr>
                <m:t>pohledávky</m:t>
              </m:r>
            </m:num>
            <m:den>
              <m:r>
                <w:rPr>
                  <w:rFonts w:ascii="Cambria Math" w:hAnsi="Cambria Math"/>
                </w:rPr>
                <m:t>roční tržby/360</m:t>
              </m:r>
            </m:den>
          </m:f>
        </m:oMath>
      </m:oMathPara>
    </w:p>
    <w:p w:rsidR="00F73EC2" w:rsidRPr="00D32659" w:rsidRDefault="00F73EC2" w:rsidP="008015B2">
      <w:pPr>
        <w:jc w:val="both"/>
        <w:rPr>
          <w:b/>
        </w:rPr>
      </w:pPr>
    </w:p>
    <w:p w:rsidR="00F73EC2" w:rsidRPr="00D32659" w:rsidRDefault="00F73EC2" w:rsidP="008015B2">
      <w:pPr>
        <w:jc w:val="both"/>
        <w:rPr>
          <w:b/>
        </w:rPr>
      </w:pPr>
      <w:r w:rsidRPr="00D32659">
        <w:rPr>
          <w:b/>
        </w:rPr>
        <w:t>Doba obratu závazků (payables turnover ratio)</w:t>
      </w:r>
    </w:p>
    <w:p w:rsidR="00F73EC2" w:rsidRPr="00D32659" w:rsidRDefault="00F73EC2" w:rsidP="008015B2">
      <w:pPr>
        <w:jc w:val="both"/>
      </w:pPr>
      <w:r w:rsidRPr="00D32659">
        <w:t>Dobu obratu závazků bychom podle Sedláčka mohli také nazvat jako průměrnou dobu odkladu plateb, což jasně vystihuje podstatu ukazatele. Ukazatel udává dobu mezi vznikem závazku a jeho zaplacením.</w:t>
      </w:r>
      <w:r w:rsidRPr="00D32659">
        <w:rPr>
          <w:rStyle w:val="Znakapoznpodarou"/>
        </w:rPr>
        <w:footnoteReference w:id="30"/>
      </w:r>
      <w:r w:rsidRPr="00D32659">
        <w:t xml:space="preserve"> </w:t>
      </w:r>
    </w:p>
    <w:p w:rsidR="00F73EC2" w:rsidRPr="00D32659" w:rsidRDefault="00F73EC2" w:rsidP="008015B2">
      <w:pPr>
        <w:jc w:val="both"/>
      </w:pPr>
      <m:oMathPara>
        <m:oMath>
          <m:r>
            <w:rPr>
              <w:rFonts w:ascii="Cambria Math" w:hAnsi="Cambria Math"/>
            </w:rPr>
            <m:t xml:space="preserve">doba obratu závazků= </m:t>
          </m:r>
          <m:f>
            <m:fPr>
              <m:ctrlPr>
                <w:rPr>
                  <w:rFonts w:ascii="Cambria Math" w:hAnsi="Cambria Math"/>
                  <w:i/>
                </w:rPr>
              </m:ctrlPr>
            </m:fPr>
            <m:num>
              <m:r>
                <w:rPr>
                  <w:rFonts w:ascii="Cambria Math" w:hAnsi="Cambria Math"/>
                </w:rPr>
                <m:t>závazky</m:t>
              </m:r>
            </m:num>
            <m:den>
              <m:r>
                <w:rPr>
                  <w:rFonts w:ascii="Cambria Math" w:hAnsi="Cambria Math"/>
                </w:rPr>
                <m:t>tržby/360</m:t>
              </m:r>
            </m:den>
          </m:f>
        </m:oMath>
      </m:oMathPara>
    </w:p>
    <w:p w:rsidR="00F73EC2" w:rsidRPr="00D32659" w:rsidRDefault="00F73EC2" w:rsidP="008015B2">
      <w:pPr>
        <w:jc w:val="both"/>
        <w:rPr>
          <w:b/>
        </w:rPr>
      </w:pPr>
      <w:r w:rsidRPr="00D32659">
        <w:rPr>
          <w:b/>
        </w:rPr>
        <w:t>Obchodní deficit</w:t>
      </w:r>
    </w:p>
    <w:p w:rsidR="00F73EC2" w:rsidRPr="00D32659" w:rsidRDefault="00F73EC2" w:rsidP="008015B2">
      <w:pPr>
        <w:jc w:val="both"/>
      </w:pPr>
      <w:r w:rsidRPr="00D32659">
        <w:t>Obchodní deficit je rozdíl mezi dobou obratu pohledávek a dobou obratu závazků. Pokud je jeho hodnota kladná, pak se dá říct, že společnosti tzv. poskytuje úvěr svým odběratelům, ale pokud je hodnota ukazatele záporná, pak společnost získává úvěr od svých odběratelů.</w:t>
      </w:r>
      <w:r w:rsidRPr="00D32659">
        <w:rPr>
          <w:rStyle w:val="Znakapoznpodarou"/>
        </w:rPr>
        <w:footnoteReference w:id="31"/>
      </w:r>
    </w:p>
    <w:p w:rsidR="00F73EC2" w:rsidRPr="00D32659" w:rsidRDefault="00F73EC2" w:rsidP="008015B2">
      <w:pPr>
        <w:jc w:val="both"/>
      </w:pPr>
      <m:oMathPara>
        <m:oMath>
          <m:r>
            <w:rPr>
              <w:rFonts w:ascii="Cambria Math" w:hAnsi="Cambria Math"/>
            </w:rPr>
            <m:t>obchodní deficit=</m:t>
          </m:r>
          <m:f>
            <m:fPr>
              <m:ctrlPr>
                <w:rPr>
                  <w:rFonts w:ascii="Cambria Math" w:hAnsi="Cambria Math"/>
                  <w:i/>
                </w:rPr>
              </m:ctrlPr>
            </m:fPr>
            <m:num>
              <m:r>
                <w:rPr>
                  <w:rFonts w:ascii="Cambria Math" w:hAnsi="Cambria Math"/>
                </w:rPr>
                <m:t>pohledávky</m:t>
              </m:r>
            </m:num>
            <m:den>
              <m:r>
                <w:rPr>
                  <w:rFonts w:ascii="Cambria Math" w:hAnsi="Cambria Math"/>
                </w:rPr>
                <m:t>tržby/360</m:t>
              </m:r>
            </m:den>
          </m:f>
          <m:r>
            <w:rPr>
              <w:rFonts w:ascii="Cambria Math" w:hAnsi="Cambria Math"/>
            </w:rPr>
            <m:t xml:space="preserve">- </m:t>
          </m:r>
          <m:f>
            <m:fPr>
              <m:ctrlPr>
                <w:rPr>
                  <w:rFonts w:ascii="Cambria Math" w:hAnsi="Cambria Math"/>
                  <w:i/>
                </w:rPr>
              </m:ctrlPr>
            </m:fPr>
            <m:num>
              <m:r>
                <w:rPr>
                  <w:rFonts w:ascii="Cambria Math" w:hAnsi="Cambria Math"/>
                </w:rPr>
                <m:t>závazky</m:t>
              </m:r>
            </m:num>
            <m:den>
              <m:r>
                <w:rPr>
                  <w:rFonts w:ascii="Cambria Math" w:hAnsi="Cambria Math"/>
                </w:rPr>
                <m:t>tržby/360</m:t>
              </m:r>
            </m:den>
          </m:f>
        </m:oMath>
      </m:oMathPara>
    </w:p>
    <w:p w:rsidR="00F73EC2" w:rsidRPr="00D32659" w:rsidRDefault="00F73EC2" w:rsidP="008015B2">
      <w:pPr>
        <w:pStyle w:val="Nadpis3"/>
        <w:numPr>
          <w:ilvl w:val="0"/>
          <w:numId w:val="0"/>
        </w:numPr>
        <w:ind w:left="720"/>
        <w:jc w:val="both"/>
      </w:pPr>
    </w:p>
    <w:p w:rsidR="00F73EC2" w:rsidRPr="00D32659" w:rsidRDefault="00F73EC2" w:rsidP="008015B2">
      <w:pPr>
        <w:pStyle w:val="Nadpis3"/>
        <w:jc w:val="both"/>
      </w:pPr>
      <w:bookmarkStart w:id="21" w:name="_Toc417564159"/>
      <w:r w:rsidRPr="00D32659">
        <w:t>Ukazatel zadluženosti</w:t>
      </w:r>
      <w:bookmarkEnd w:id="21"/>
    </w:p>
    <w:p w:rsidR="00F73EC2" w:rsidRPr="00D32659" w:rsidRDefault="00F73EC2" w:rsidP="008015B2">
      <w:pPr>
        <w:pStyle w:val="Bezmezer"/>
        <w:jc w:val="both"/>
        <w:rPr>
          <w:lang w:val="cs-CZ"/>
        </w:rPr>
      </w:pPr>
    </w:p>
    <w:p w:rsidR="00F73EC2" w:rsidRPr="00115E95" w:rsidRDefault="00F73EC2" w:rsidP="008015B2">
      <w:pPr>
        <w:jc w:val="both"/>
      </w:pPr>
      <w:r w:rsidRPr="00D32659">
        <w:t>V dnešní době je nepředstavitelné, že by podnik dokázal financovat veškeré své aktivity jen za pomoci vlastního kapitálu. Není to proto, že by to podniky nedokázali, ale důvod je ten, že je to ekonomicky nevýhodné. Operovat s cizím kapitálem je levnější a vytváří nižší náklady. Nicméně podnik také nemůže spoléhat pouze na cizí zdroje.</w:t>
      </w:r>
      <w:r w:rsidRPr="00D32659">
        <w:rPr>
          <w:rStyle w:val="Znakapoznpodarou"/>
        </w:rPr>
        <w:footnoteReference w:id="32"/>
      </w:r>
      <w:r w:rsidRPr="00D32659">
        <w:t xml:space="preserve"> Obecně je zadluženost vnímána jako něco nepříznivého, ale není tomu tak vždy, zadlužit se je sice riziková záležitost, ale zároveň umožňuje firmě zvýšit svou schopnost rentability. Ukazatel zadluženosti podniku říká, jaký je poměr právě mezi jejich vlastními a cizími zdroji.</w:t>
      </w:r>
      <w:r w:rsidRPr="00D32659">
        <w:rPr>
          <w:rStyle w:val="Znakapoznpodarou"/>
        </w:rPr>
        <w:footnoteReference w:id="33"/>
      </w:r>
    </w:p>
    <w:p w:rsidR="00F73EC2" w:rsidRPr="00115E95" w:rsidRDefault="00F73EC2" w:rsidP="00115E95">
      <w:pPr>
        <w:rPr>
          <w:b/>
        </w:rPr>
      </w:pPr>
      <w:r w:rsidRPr="00D32659">
        <w:rPr>
          <w:b/>
        </w:rPr>
        <w:t>Finanční páka</w:t>
      </w:r>
    </w:p>
    <w:p w:rsidR="00F73EC2" w:rsidRPr="00D32659" w:rsidRDefault="00F73EC2" w:rsidP="008015B2">
      <w:pPr>
        <w:jc w:val="both"/>
      </w:pPr>
      <w:r w:rsidRPr="00D32659">
        <w:t>Finanční páka přesně vystihuje podstatu využívání cizího kapitálu. Podnik jej připočítá ke kapitálu vlastnímu a spoléhá na to, že cizí kapitál je levnější. Větší objem cizích zdrojů má vliv na zadluženost a na rentabilitu kapitálu. Pozitivní vliv právě na rentabilitu má ale jenom v případě, že podnik dokáže každou další korunu zhodnotit více než je úroková sazba.</w:t>
      </w:r>
    </w:p>
    <w:p w:rsidR="00F73EC2" w:rsidRPr="00D32659" w:rsidRDefault="00F73EC2" w:rsidP="008015B2">
      <w:pPr>
        <w:jc w:val="both"/>
      </w:pPr>
      <m:oMathPara>
        <m:oMath>
          <m:r>
            <w:rPr>
              <w:rFonts w:ascii="Cambria Math" w:hAnsi="Cambria Math"/>
            </w:rPr>
            <m:t xml:space="preserve">finanční páka= </m:t>
          </m:r>
          <m:f>
            <m:fPr>
              <m:ctrlPr>
                <w:rPr>
                  <w:rFonts w:ascii="Cambria Math" w:hAnsi="Cambria Math"/>
                  <w:i/>
                </w:rPr>
              </m:ctrlPr>
            </m:fPr>
            <m:num>
              <m:r>
                <w:rPr>
                  <w:rFonts w:ascii="Cambria Math" w:hAnsi="Cambria Math"/>
                </w:rPr>
                <m:t>aktiva</m:t>
              </m:r>
            </m:num>
            <m:den>
              <m:r>
                <w:rPr>
                  <w:rFonts w:ascii="Cambria Math" w:hAnsi="Cambria Math"/>
                </w:rPr>
                <m:t>vlastní kapitál</m:t>
              </m:r>
            </m:den>
          </m:f>
          <m:r>
            <w:rPr>
              <w:rFonts w:ascii="Cambria Math" w:hAnsi="Cambria Math"/>
            </w:rPr>
            <m:t xml:space="preserve">= </m:t>
          </m:r>
          <m:f>
            <m:fPr>
              <m:ctrlPr>
                <w:rPr>
                  <w:rFonts w:ascii="Cambria Math" w:hAnsi="Cambria Math"/>
                  <w:i/>
                </w:rPr>
              </m:ctrlPr>
            </m:fPr>
            <m:num>
              <m:r>
                <w:rPr>
                  <w:rFonts w:ascii="Cambria Math" w:hAnsi="Cambria Math"/>
                </w:rPr>
                <m:t>vlastní kapitál+cizí zdroje</m:t>
              </m:r>
            </m:num>
            <m:den>
              <m:r>
                <w:rPr>
                  <w:rFonts w:ascii="Cambria Math" w:hAnsi="Cambria Math"/>
                </w:rPr>
                <m:t>vlastní kapitál</m:t>
              </m:r>
            </m:den>
          </m:f>
          <m:r>
            <w:rPr>
              <w:rFonts w:ascii="Cambria Math" w:hAnsi="Cambria Math"/>
            </w:rPr>
            <m:t xml:space="preserve">=1+ </m:t>
          </m:r>
          <m:f>
            <m:fPr>
              <m:ctrlPr>
                <w:rPr>
                  <w:rFonts w:ascii="Cambria Math" w:hAnsi="Cambria Math"/>
                  <w:i/>
                </w:rPr>
              </m:ctrlPr>
            </m:fPr>
            <m:num>
              <m:r>
                <w:rPr>
                  <w:rFonts w:ascii="Cambria Math" w:hAnsi="Cambria Math"/>
                </w:rPr>
                <m:t>cizí zdroje</m:t>
              </m:r>
            </m:num>
            <m:den>
              <m:r>
                <w:rPr>
                  <w:rFonts w:ascii="Cambria Math" w:hAnsi="Cambria Math"/>
                </w:rPr>
                <m:t>vlastní kapitál</m:t>
              </m:r>
            </m:den>
          </m:f>
        </m:oMath>
      </m:oMathPara>
    </w:p>
    <w:p w:rsidR="00F73EC2" w:rsidRPr="00D32659" w:rsidRDefault="00F73EC2" w:rsidP="008015B2">
      <w:pPr>
        <w:jc w:val="both"/>
      </w:pPr>
      <w:r w:rsidRPr="00D32659">
        <w:t>Index finanční páky by měl být vždy větší než jedna. Aby měl podnik jistotu, že toho dosáhne ROA (rentabilita celkového vloženého kapitálu) musí být větší než průměrná úroková míra. Pokud tato podmínka není splněna, znamená to, že cizí kapitál nám nebude vynášet víc, než kolik za něho podnik platí. Bude to pro něj nevýhodné.</w:t>
      </w:r>
      <w:r w:rsidRPr="00D32659">
        <w:rPr>
          <w:rStyle w:val="Znakapoznpodarou"/>
        </w:rPr>
        <w:footnoteReference w:id="34"/>
      </w:r>
    </w:p>
    <w:p w:rsidR="00F73EC2" w:rsidRPr="00D32659" w:rsidRDefault="00F73EC2" w:rsidP="008015B2">
      <w:pPr>
        <w:jc w:val="both"/>
      </w:pPr>
      <m:oMathPara>
        <m:oMath>
          <m:r>
            <w:rPr>
              <w:rFonts w:ascii="Cambria Math" w:hAnsi="Cambria Math"/>
            </w:rPr>
            <m:t xml:space="preserve">index finanční páky= </m:t>
          </m:r>
          <m:f>
            <m:fPr>
              <m:ctrlPr>
                <w:rPr>
                  <w:rFonts w:ascii="Cambria Math" w:hAnsi="Cambria Math"/>
                  <w:i/>
                </w:rPr>
              </m:ctrlPr>
            </m:fPr>
            <m:num>
              <m:r>
                <w:rPr>
                  <w:rFonts w:ascii="Cambria Math" w:hAnsi="Cambria Math"/>
                </w:rPr>
                <m:t>ROE před zdaněním</m:t>
              </m:r>
            </m:num>
            <m:den>
              <m:r>
                <w:rPr>
                  <w:rFonts w:ascii="Cambria Math" w:hAnsi="Cambria Math"/>
                </w:rPr>
                <m:t>ROA</m:t>
              </m:r>
            </m:den>
          </m:f>
        </m:oMath>
      </m:oMathPara>
    </w:p>
    <w:p w:rsidR="00F73EC2" w:rsidRPr="00D32659" w:rsidRDefault="00F73EC2" w:rsidP="008015B2">
      <w:pPr>
        <w:spacing w:after="0" w:line="240" w:lineRule="auto"/>
        <w:jc w:val="both"/>
        <w:rPr>
          <w:b/>
        </w:rPr>
      </w:pPr>
      <w:r w:rsidRPr="00D32659">
        <w:rPr>
          <w:b/>
        </w:rPr>
        <w:t>Úrokové krytí</w:t>
      </w:r>
    </w:p>
    <w:p w:rsidR="00F73EC2" w:rsidRPr="00D32659" w:rsidRDefault="00F73EC2" w:rsidP="008015B2">
      <w:pPr>
        <w:spacing w:after="0" w:line="240" w:lineRule="auto"/>
        <w:jc w:val="both"/>
        <w:rPr>
          <w:b/>
        </w:rPr>
      </w:pPr>
    </w:p>
    <w:p w:rsidR="00F73EC2" w:rsidRPr="00D32659" w:rsidRDefault="00F73EC2" w:rsidP="008015B2">
      <w:pPr>
        <w:jc w:val="both"/>
      </w:pPr>
      <w:r w:rsidRPr="00D32659">
        <w:t>Z ukazatele úrokového krytí podnik pozná, kolikrát zvládne zisk pokrýt úrokové platby. Pokud hodnota tohoto ukazatele dosahuje 3 a více, pak zisk pokryl platby.</w:t>
      </w:r>
      <w:r w:rsidRPr="00D32659">
        <w:rPr>
          <w:rStyle w:val="Znakapoznpodarou"/>
        </w:rPr>
        <w:footnoteReference w:id="35"/>
      </w:r>
    </w:p>
    <w:p w:rsidR="00F73EC2" w:rsidRPr="00D32659" w:rsidRDefault="00F73EC2" w:rsidP="008015B2">
      <w:pPr>
        <w:jc w:val="both"/>
      </w:pPr>
      <m:oMathPara>
        <m:oMath>
          <m:r>
            <w:rPr>
              <w:rFonts w:ascii="Cambria Math" w:hAnsi="Cambria Math"/>
            </w:rPr>
            <m:t xml:space="preserve">úrokové krytí= </m:t>
          </m:r>
          <m:f>
            <m:fPr>
              <m:ctrlPr>
                <w:rPr>
                  <w:rFonts w:ascii="Cambria Math" w:hAnsi="Cambria Math"/>
                  <w:i/>
                </w:rPr>
              </m:ctrlPr>
            </m:fPr>
            <m:num>
              <m:r>
                <w:rPr>
                  <w:rFonts w:ascii="Cambria Math" w:hAnsi="Cambria Math"/>
                </w:rPr>
                <m:t>EBIT</m:t>
              </m:r>
            </m:num>
            <m:den>
              <m:r>
                <w:rPr>
                  <w:rFonts w:ascii="Cambria Math" w:hAnsi="Cambria Math"/>
                </w:rPr>
                <m:t>celkový nákladový úrok</m:t>
              </m:r>
            </m:den>
          </m:f>
        </m:oMath>
      </m:oMathPara>
    </w:p>
    <w:p w:rsidR="00115E95" w:rsidRDefault="00115E95">
      <w:pPr>
        <w:rPr>
          <w:b/>
        </w:rPr>
      </w:pPr>
      <w:r>
        <w:rPr>
          <w:b/>
        </w:rPr>
        <w:br w:type="page"/>
      </w:r>
    </w:p>
    <w:p w:rsidR="00F73EC2" w:rsidRPr="00D32659" w:rsidRDefault="00F73EC2" w:rsidP="008015B2">
      <w:pPr>
        <w:tabs>
          <w:tab w:val="left" w:pos="2599"/>
        </w:tabs>
        <w:jc w:val="both"/>
        <w:rPr>
          <w:b/>
        </w:rPr>
      </w:pPr>
      <w:r w:rsidRPr="00D32659">
        <w:rPr>
          <w:b/>
        </w:rPr>
        <w:lastRenderedPageBreak/>
        <w:t>Celková zadluženost</w:t>
      </w:r>
      <w:r w:rsidRPr="00D32659">
        <w:rPr>
          <w:b/>
        </w:rPr>
        <w:tab/>
      </w:r>
    </w:p>
    <w:p w:rsidR="00F73EC2" w:rsidRPr="00D32659" w:rsidRDefault="00F73EC2" w:rsidP="008015B2">
      <w:pPr>
        <w:jc w:val="both"/>
      </w:pPr>
      <w:r w:rsidRPr="00D32659">
        <w:t>Ukazatel celkové zadluženosti se dá také označit jako ukazatel věřitelského rizika. Čím je hodnota ukazatele nižší, tím menší je riziko pro věřitele, že nedostanou své finanční prostředky zpět. Obecně se udává, že celková zadluženost by se měla pohybovat mezi 30 a 60 %.</w:t>
      </w:r>
      <w:r w:rsidRPr="00D32659">
        <w:rPr>
          <w:rStyle w:val="Znakapoznpodarou"/>
        </w:rPr>
        <w:footnoteReference w:id="36"/>
      </w:r>
    </w:p>
    <w:p w:rsidR="00F73EC2" w:rsidRPr="00D32659" w:rsidRDefault="00F73EC2" w:rsidP="008015B2">
      <w:pPr>
        <w:jc w:val="both"/>
      </w:pPr>
      <m:oMathPara>
        <m:oMath>
          <m:r>
            <w:rPr>
              <w:rFonts w:ascii="Cambria Math" w:hAnsi="Cambria Math"/>
            </w:rPr>
            <m:t xml:space="preserve">celková zadluženost= </m:t>
          </m:r>
          <m:f>
            <m:fPr>
              <m:ctrlPr>
                <w:rPr>
                  <w:rFonts w:ascii="Cambria Math" w:hAnsi="Cambria Math"/>
                  <w:i/>
                </w:rPr>
              </m:ctrlPr>
            </m:fPr>
            <m:num>
              <m:r>
                <w:rPr>
                  <w:rFonts w:ascii="Cambria Math" w:hAnsi="Cambria Math"/>
                </w:rPr>
                <m:t>cizí kapitál</m:t>
              </m:r>
            </m:num>
            <m:den>
              <m:r>
                <w:rPr>
                  <w:rFonts w:ascii="Cambria Math" w:hAnsi="Cambria Math"/>
                </w:rPr>
                <m:t>celková aktiva</m:t>
              </m:r>
            </m:den>
          </m:f>
        </m:oMath>
      </m:oMathPara>
    </w:p>
    <w:p w:rsidR="00F73EC2" w:rsidRPr="00D32659" w:rsidRDefault="00F73EC2" w:rsidP="008015B2">
      <w:pPr>
        <w:pStyle w:val="Bezmezer"/>
        <w:jc w:val="both"/>
        <w:rPr>
          <w:lang w:val="cs-CZ"/>
        </w:rPr>
      </w:pPr>
    </w:p>
    <w:p w:rsidR="00F73EC2" w:rsidRPr="00D32659" w:rsidRDefault="00F73EC2" w:rsidP="008015B2">
      <w:pPr>
        <w:pStyle w:val="Nadpis2"/>
        <w:jc w:val="both"/>
      </w:pPr>
      <w:bookmarkStart w:id="22" w:name="_Toc417564160"/>
      <w:r w:rsidRPr="00D32659">
        <w:t>Analýza rozdílových ukazatelů</w:t>
      </w:r>
      <w:bookmarkEnd w:id="22"/>
    </w:p>
    <w:p w:rsidR="00F73EC2" w:rsidRPr="00D32659" w:rsidRDefault="00F73EC2" w:rsidP="008015B2">
      <w:pPr>
        <w:pStyle w:val="Bezmezer"/>
        <w:jc w:val="both"/>
        <w:rPr>
          <w:lang w:val="cs-CZ"/>
        </w:rPr>
      </w:pPr>
    </w:p>
    <w:p w:rsidR="00F73EC2" w:rsidRPr="00D32659" w:rsidRDefault="00F73EC2" w:rsidP="008015B2">
      <w:pPr>
        <w:jc w:val="both"/>
      </w:pPr>
      <w:r w:rsidRPr="00D32659">
        <w:t>Rozdílové ukazatele, bývají také označovány jako fondy finančních prostředků nebo finanční fondy.</w:t>
      </w:r>
      <w:r w:rsidRPr="00D32659">
        <w:rPr>
          <w:rStyle w:val="Znakapoznpodarou"/>
        </w:rPr>
        <w:footnoteReference w:id="37"/>
      </w:r>
      <w:r w:rsidRPr="00D32659">
        <w:t xml:space="preserve"> Fondem ve finanční analýze chápeme souhrn určitých aktiv a pasiv, a rozdíl mezi určitými aktivy a určitými pasivy.</w:t>
      </w:r>
      <w:r w:rsidRPr="00D32659">
        <w:rPr>
          <w:rStyle w:val="Znakapoznpodarou"/>
        </w:rPr>
        <w:footnoteReference w:id="38"/>
      </w:r>
    </w:p>
    <w:p w:rsidR="00F73EC2" w:rsidRPr="00D32659" w:rsidRDefault="00F73EC2" w:rsidP="008015B2">
      <w:pPr>
        <w:pStyle w:val="Nadpis3"/>
        <w:jc w:val="both"/>
      </w:pPr>
      <w:bookmarkStart w:id="23" w:name="_Toc417564161"/>
      <w:r w:rsidRPr="00D32659">
        <w:t>Čistý pracovní kapitál</w:t>
      </w:r>
      <w:bookmarkEnd w:id="23"/>
    </w:p>
    <w:p w:rsidR="00F73EC2" w:rsidRPr="00D32659" w:rsidRDefault="00F73EC2" w:rsidP="008015B2">
      <w:pPr>
        <w:pStyle w:val="Bezmezer"/>
        <w:jc w:val="both"/>
        <w:rPr>
          <w:lang w:val="cs-CZ"/>
        </w:rPr>
      </w:pPr>
    </w:p>
    <w:p w:rsidR="00F73EC2" w:rsidRPr="00D32659" w:rsidRDefault="00F73EC2" w:rsidP="008015B2">
      <w:pPr>
        <w:jc w:val="both"/>
      </w:pPr>
      <w:r w:rsidRPr="00D32659">
        <w:t>Čistý pracovní kapitál, také označovaný jako provozní nebo provozovací kapitál, se vypočítá jako rozdíl oběžných aktiv a krátkodobých pasiv.</w:t>
      </w:r>
    </w:p>
    <w:p w:rsidR="00F73EC2" w:rsidRPr="00D32659" w:rsidRDefault="00F73EC2" w:rsidP="008015B2">
      <w:pPr>
        <w:jc w:val="both"/>
      </w:pPr>
      <m:oMathPara>
        <m:oMath>
          <m:r>
            <w:rPr>
              <w:rFonts w:ascii="Cambria Math" w:hAnsi="Cambria Math"/>
            </w:rPr>
            <m:t>čistý pracovní kapitál= oběžná aktiva-krátkodobá pasiva</m:t>
          </m:r>
        </m:oMath>
      </m:oMathPara>
    </w:p>
    <w:p w:rsidR="00F73EC2" w:rsidRPr="00D32659" w:rsidRDefault="00F73EC2" w:rsidP="008015B2">
      <w:pPr>
        <w:jc w:val="both"/>
      </w:pPr>
      <w:r w:rsidRPr="00D32659">
        <w:t xml:space="preserve">K čistému pracovnímu kapitálu má blízko běžný ukazatel likvidity. Je nutné, pokud by společnost chtěla tyto dva ukazatele porovnat, zachovat jednotnou metodiku zařazování položek. </w:t>
      </w:r>
      <w:r w:rsidRPr="00D32659">
        <w:rPr>
          <w:rStyle w:val="Znakapoznpodarou"/>
        </w:rPr>
        <w:footnoteReference w:id="39"/>
      </w:r>
    </w:p>
    <w:p w:rsidR="00F73EC2" w:rsidRPr="00D32659" w:rsidRDefault="00F73EC2" w:rsidP="008015B2">
      <w:pPr>
        <w:jc w:val="both"/>
      </w:pPr>
      <w:r w:rsidRPr="00D32659">
        <w:t xml:space="preserve">Čistý pracovní kapitál je část oběžného majetku, která je financována dlouhodobým kapitálem. Jeho velikost je také přímo úměrná ke schopnosti platit své závazky. Pokud se hodnota čistého pracovního kapitálu dostane do mínusu, pak se jedná o tzv. nekrytý dluh. </w:t>
      </w:r>
      <w:r w:rsidRPr="00D32659">
        <w:rPr>
          <w:rStyle w:val="Znakapoznpodarou"/>
        </w:rPr>
        <w:footnoteReference w:id="40"/>
      </w:r>
    </w:p>
    <w:p w:rsidR="00F73EC2" w:rsidRPr="00D32659" w:rsidRDefault="00F73EC2" w:rsidP="008015B2">
      <w:pPr>
        <w:pStyle w:val="Nadpis2"/>
        <w:jc w:val="both"/>
      </w:pPr>
      <w:bookmarkStart w:id="24" w:name="_Toc417564162"/>
      <w:r w:rsidRPr="00D32659">
        <w:t>Analýza soustav ukazatelů</w:t>
      </w:r>
      <w:bookmarkEnd w:id="24"/>
    </w:p>
    <w:p w:rsidR="00F73EC2" w:rsidRPr="00D32659" w:rsidRDefault="00F73EC2" w:rsidP="008015B2">
      <w:pPr>
        <w:pStyle w:val="Bezmezer"/>
        <w:jc w:val="both"/>
        <w:rPr>
          <w:lang w:val="cs-CZ"/>
        </w:rPr>
      </w:pPr>
    </w:p>
    <w:p w:rsidR="00F73EC2" w:rsidRPr="00D32659" w:rsidRDefault="00F73EC2" w:rsidP="008015B2">
      <w:pPr>
        <w:jc w:val="both"/>
      </w:pPr>
      <w:r w:rsidRPr="00D32659">
        <w:t xml:space="preserve">Za pomoci rozdílových a poměrových ukazatelů jsme schopni analyzovat finanční zdraví podniku. Potíž je ale v tom, že tyto ukazatele nejsou komplexně vypovídající. Soustředí se vždy na nějakou část v podniku, ale nedávají ji do souvislosti s částmi ostatními. Proto je zapotřebí využít různé soustavy ukazatelů, které poskytují komplexnější pohled na věc. V úvahu musí být brán i počet ukazatelů v jednom systému. Při přehnaném objemu indikátorů </w:t>
      </w:r>
      <w:r w:rsidRPr="00D32659">
        <w:lastRenderedPageBreak/>
        <w:t>by mohla být analýza až nepřehledná, proto máme k dispozici jak modely s vyšším počtem ukazatelů, tak modely, které mají ve výslednici hodnotu jediného čísla.</w:t>
      </w:r>
    </w:p>
    <w:p w:rsidR="00F73EC2" w:rsidRPr="00D32659" w:rsidRDefault="00F73EC2" w:rsidP="008015B2">
      <w:pPr>
        <w:jc w:val="both"/>
      </w:pPr>
      <w:r w:rsidRPr="00D32659">
        <w:t>Soustavy ukazatelů se dělí na:</w:t>
      </w:r>
    </w:p>
    <w:p w:rsidR="00F73EC2" w:rsidRPr="00D32659" w:rsidRDefault="00F73EC2" w:rsidP="008015B2">
      <w:pPr>
        <w:pStyle w:val="Odstavecseseznamem"/>
        <w:numPr>
          <w:ilvl w:val="0"/>
          <w:numId w:val="21"/>
        </w:numPr>
        <w:jc w:val="both"/>
      </w:pPr>
      <w:r w:rsidRPr="00D32659">
        <w:rPr>
          <w:b/>
        </w:rPr>
        <w:t>Soustavy hierarchicky uspořádaných ukazatelů</w:t>
      </w:r>
      <w:r w:rsidRPr="00D32659">
        <w:t xml:space="preserve"> (hledání logických a ekonomických vazeb mezi ukazateli)</w:t>
      </w:r>
    </w:p>
    <w:p w:rsidR="00F73EC2" w:rsidRPr="00D32659" w:rsidRDefault="00F73EC2" w:rsidP="008015B2">
      <w:pPr>
        <w:pStyle w:val="Odstavecseseznamem"/>
        <w:numPr>
          <w:ilvl w:val="0"/>
          <w:numId w:val="21"/>
        </w:numPr>
        <w:jc w:val="both"/>
      </w:pPr>
      <w:r w:rsidRPr="00D32659">
        <w:rPr>
          <w:b/>
        </w:rPr>
        <w:t>Účelové výběry ukazatelů</w:t>
      </w:r>
      <w:r w:rsidRPr="00D32659">
        <w:t xml:space="preserve"> (diagnostika finanční situace, popř. predikce dalšího vývoje)</w:t>
      </w:r>
    </w:p>
    <w:p w:rsidR="00F73EC2" w:rsidRPr="00D32659" w:rsidRDefault="00F73EC2" w:rsidP="008015B2">
      <w:pPr>
        <w:pStyle w:val="Odstavecseseznamem"/>
        <w:numPr>
          <w:ilvl w:val="1"/>
          <w:numId w:val="21"/>
        </w:numPr>
        <w:jc w:val="both"/>
      </w:pPr>
      <w:r w:rsidRPr="00D32659">
        <w:t>Bonitní (diagnostické) modely</w:t>
      </w:r>
    </w:p>
    <w:p w:rsidR="00F73EC2" w:rsidRPr="00D32659" w:rsidRDefault="00F73EC2" w:rsidP="008015B2">
      <w:pPr>
        <w:pStyle w:val="Odstavecseseznamem"/>
        <w:numPr>
          <w:ilvl w:val="1"/>
          <w:numId w:val="21"/>
        </w:numPr>
        <w:jc w:val="both"/>
      </w:pPr>
      <w:r w:rsidRPr="00D32659">
        <w:t>Bankrotní (predikční) modely</w:t>
      </w:r>
      <w:r w:rsidRPr="00D32659">
        <w:rPr>
          <w:rStyle w:val="Znakapoznpodarou"/>
        </w:rPr>
        <w:footnoteReference w:id="41"/>
      </w:r>
    </w:p>
    <w:p w:rsidR="00F73EC2" w:rsidRPr="00D32659" w:rsidRDefault="00F73EC2" w:rsidP="008015B2">
      <w:pPr>
        <w:pStyle w:val="Nadpis3"/>
        <w:jc w:val="both"/>
      </w:pPr>
      <w:bookmarkStart w:id="25" w:name="_Toc417564163"/>
      <w:r w:rsidRPr="00D32659">
        <w:t>Pyramidový rozklad rentability vlastního kapitálu</w:t>
      </w:r>
      <w:bookmarkEnd w:id="25"/>
    </w:p>
    <w:p w:rsidR="00F73EC2" w:rsidRPr="00D32659" w:rsidRDefault="00F73EC2" w:rsidP="008015B2">
      <w:pPr>
        <w:jc w:val="both"/>
      </w:pPr>
      <w:r w:rsidRPr="00D32659">
        <w:t>Pyramidová soustava ukazatelů vzniká rozkladem vrcholového ukazatele za účelem popsání vzájemné závislosti dílčích ukazatelů a pochopení vazeb a vztahů, které mezi nimi panují. Tento typ analýzy je spojen se společností Du Pont de Nomeurs, kde byl poprvé použit. Pyramidový rozklad je nejčastěji používán k rozkladu rentability vlastního kapitálu.</w:t>
      </w:r>
      <w:r w:rsidRPr="00D32659">
        <w:rPr>
          <w:rStyle w:val="Znakapoznpodarou"/>
        </w:rPr>
        <w:footnoteReference w:id="42"/>
      </w:r>
    </w:p>
    <w:p w:rsidR="003B7A28" w:rsidRPr="00D32659" w:rsidRDefault="00F73EC2" w:rsidP="008015B2">
      <w:pPr>
        <w:jc w:val="both"/>
      </w:pPr>
      <m:oMathPara>
        <m:oMath>
          <m:r>
            <w:rPr>
              <w:rFonts w:ascii="Cambria Math" w:hAnsi="Cambria Math"/>
            </w:rPr>
            <m:t xml:space="preserve">ROE= </m:t>
          </m:r>
          <m:f>
            <m:fPr>
              <m:ctrlPr>
                <w:rPr>
                  <w:rFonts w:ascii="Cambria Math" w:hAnsi="Cambria Math"/>
                  <w:i/>
                </w:rPr>
              </m:ctrlPr>
            </m:fPr>
            <m:num>
              <m:r>
                <w:rPr>
                  <w:rFonts w:ascii="Cambria Math" w:hAnsi="Cambria Math"/>
                </w:rPr>
                <m:t>čistý zisk</m:t>
              </m:r>
            </m:num>
            <m:den>
              <m:r>
                <w:rPr>
                  <w:rFonts w:ascii="Cambria Math" w:hAnsi="Cambria Math"/>
                </w:rPr>
                <m:t>vlastní kapitál</m:t>
              </m:r>
            </m:den>
          </m:f>
          <m:r>
            <w:rPr>
              <w:rFonts w:ascii="Cambria Math" w:hAnsi="Cambria Math"/>
            </w:rPr>
            <m:t>=</m:t>
          </m:r>
          <m:f>
            <m:fPr>
              <m:ctrlPr>
                <w:rPr>
                  <w:rFonts w:ascii="Cambria Math" w:hAnsi="Cambria Math"/>
                  <w:i/>
                </w:rPr>
              </m:ctrlPr>
            </m:fPr>
            <m:num>
              <m:r>
                <w:rPr>
                  <w:rFonts w:ascii="Cambria Math" w:hAnsi="Cambria Math"/>
                </w:rPr>
                <m:t>čistý zisk</m:t>
              </m:r>
            </m:num>
            <m:den>
              <m:r>
                <w:rPr>
                  <w:rFonts w:ascii="Cambria Math" w:hAnsi="Cambria Math"/>
                </w:rPr>
                <m:t>tržby</m:t>
              </m:r>
            </m:den>
          </m:f>
          <m:r>
            <w:rPr>
              <w:rFonts w:ascii="Cambria Math" w:hAnsi="Cambria Math"/>
            </w:rPr>
            <m:t>*</m:t>
          </m:r>
          <m:f>
            <m:fPr>
              <m:ctrlPr>
                <w:rPr>
                  <w:rFonts w:ascii="Cambria Math" w:hAnsi="Cambria Math"/>
                  <w:i/>
                </w:rPr>
              </m:ctrlPr>
            </m:fPr>
            <m:num>
              <m:r>
                <w:rPr>
                  <w:rFonts w:ascii="Cambria Math" w:hAnsi="Cambria Math"/>
                </w:rPr>
                <m:t>tržby</m:t>
              </m:r>
            </m:num>
            <m:den>
              <m:r>
                <w:rPr>
                  <w:rFonts w:ascii="Cambria Math" w:hAnsi="Cambria Math"/>
                </w:rPr>
                <m:t>aktiva</m:t>
              </m:r>
            </m:den>
          </m:f>
          <m:r>
            <w:rPr>
              <w:rFonts w:ascii="Cambria Math" w:hAnsi="Cambria Math"/>
            </w:rPr>
            <m:t>*</m:t>
          </m:r>
          <m:f>
            <m:fPr>
              <m:ctrlPr>
                <w:rPr>
                  <w:rFonts w:ascii="Cambria Math" w:hAnsi="Cambria Math"/>
                  <w:i/>
                </w:rPr>
              </m:ctrlPr>
            </m:fPr>
            <m:num>
              <m:r>
                <w:rPr>
                  <w:rFonts w:ascii="Cambria Math" w:hAnsi="Cambria Math"/>
                </w:rPr>
                <m:t>aktiva</m:t>
              </m:r>
            </m:num>
            <m:den>
              <m:r>
                <w:rPr>
                  <w:rFonts w:ascii="Cambria Math" w:hAnsi="Cambria Math"/>
                </w:rPr>
                <m:t>vlastní kapitál</m:t>
              </m:r>
            </m:den>
          </m:f>
          <m:r>
            <w:rPr>
              <w:rFonts w:ascii="Cambria Math" w:hAnsi="Cambria Math"/>
            </w:rPr>
            <m:t xml:space="preserve"> </m:t>
          </m:r>
          <m:r>
            <m:rPr>
              <m:sty m:val="p"/>
            </m:rPr>
            <w:rPr>
              <w:rStyle w:val="Znakapoznpodarou"/>
              <w:rFonts w:ascii="Cambria Math" w:hAnsi="Cambria Math"/>
            </w:rPr>
            <w:footnoteReference w:id="43"/>
          </m:r>
        </m:oMath>
      </m:oMathPara>
    </w:p>
    <w:p w:rsidR="00F73EC2" w:rsidRPr="00D32659" w:rsidRDefault="00F73EC2" w:rsidP="003B7A28">
      <w:r w:rsidRPr="00D32659">
        <w:rPr>
          <w:b/>
        </w:rPr>
        <w:t>Schéma č. 3: Pyramidový rozklad ROE</w:t>
      </w:r>
    </w:p>
    <w:p w:rsidR="00F73EC2" w:rsidRPr="00D32659" w:rsidRDefault="00F73EC2" w:rsidP="008015B2">
      <w:pPr>
        <w:keepNext/>
        <w:jc w:val="both"/>
      </w:pPr>
      <w:r w:rsidRPr="00D32659">
        <w:rPr>
          <w:noProof/>
          <w:lang w:eastAsia="cs-CZ"/>
        </w:rPr>
        <w:drawing>
          <wp:inline distT="0" distB="0" distL="0" distR="0" wp14:anchorId="2F528692" wp14:editId="0C016788">
            <wp:extent cx="5415280" cy="250571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5280" cy="2505710"/>
                    </a:xfrm>
                    <a:prstGeom prst="rect">
                      <a:avLst/>
                    </a:prstGeom>
                    <a:noFill/>
                    <a:ln>
                      <a:noFill/>
                    </a:ln>
                  </pic:spPr>
                </pic:pic>
              </a:graphicData>
            </a:graphic>
          </wp:inline>
        </w:drawing>
      </w:r>
    </w:p>
    <w:p w:rsidR="00F73EC2" w:rsidRPr="00D32659" w:rsidRDefault="00F73EC2" w:rsidP="008015B2">
      <w:pPr>
        <w:pStyle w:val="Titulek"/>
        <w:jc w:val="both"/>
        <w:rPr>
          <w:b w:val="0"/>
          <w:i/>
          <w:color w:val="auto"/>
          <w:sz w:val="23"/>
          <w:szCs w:val="23"/>
        </w:rPr>
      </w:pPr>
      <w:r w:rsidRPr="00D32659">
        <w:rPr>
          <w:b w:val="0"/>
          <w:i/>
          <w:color w:val="auto"/>
          <w:sz w:val="23"/>
          <w:szCs w:val="23"/>
        </w:rPr>
        <w:t>Pramen: vlastní zpracování na základě KISLINGEROVÁ, Eva a Jiří HNILICA. Finanční analýza: krok za krokem., s. 55.</w:t>
      </w:r>
    </w:p>
    <w:p w:rsidR="00115E95" w:rsidRDefault="00115E95">
      <w:pPr>
        <w:rPr>
          <w:lang w:eastAsia="cs-CZ"/>
        </w:rPr>
      </w:pPr>
      <w:r>
        <w:rPr>
          <w:lang w:eastAsia="cs-CZ"/>
        </w:rPr>
        <w:br w:type="page"/>
      </w:r>
    </w:p>
    <w:p w:rsidR="00F73EC2" w:rsidRPr="00D32659" w:rsidRDefault="00F73EC2" w:rsidP="008015B2">
      <w:pPr>
        <w:jc w:val="both"/>
        <w:rPr>
          <w:lang w:eastAsia="cs-CZ"/>
        </w:rPr>
      </w:pPr>
      <w:r w:rsidRPr="00D32659">
        <w:rPr>
          <w:lang w:eastAsia="cs-CZ"/>
        </w:rPr>
        <w:lastRenderedPageBreak/>
        <w:t>Způsoby vypočítání jednotlivých položek, které jsou obsaženy v pyramidovém rozkladu ROE:</w:t>
      </w:r>
    </w:p>
    <w:p w:rsidR="00F73EC2" w:rsidRPr="00D32659" w:rsidRDefault="00F73EC2" w:rsidP="008015B2">
      <w:pPr>
        <w:jc w:val="both"/>
        <w:rPr>
          <w:lang w:eastAsia="cs-CZ"/>
        </w:rPr>
      </w:pPr>
      <m:oMathPara>
        <m:oMath>
          <m:r>
            <w:rPr>
              <w:rFonts w:ascii="Cambria Math" w:hAnsi="Cambria Math"/>
              <w:lang w:eastAsia="cs-CZ"/>
            </w:rPr>
            <m:t>ROE=</m:t>
          </m:r>
          <m:f>
            <m:fPr>
              <m:ctrlPr>
                <w:rPr>
                  <w:rFonts w:ascii="Cambria Math" w:hAnsi="Cambria Math"/>
                  <w:i/>
                  <w:lang w:eastAsia="cs-CZ"/>
                </w:rPr>
              </m:ctrlPr>
            </m:fPr>
            <m:num>
              <m:r>
                <w:rPr>
                  <w:rFonts w:ascii="Cambria Math" w:hAnsi="Cambria Math"/>
                  <w:lang w:eastAsia="cs-CZ"/>
                </w:rPr>
                <m:t>EAT</m:t>
              </m:r>
            </m:num>
            <m:den>
              <m:r>
                <w:rPr>
                  <w:rFonts w:ascii="Cambria Math" w:hAnsi="Cambria Math"/>
                  <w:lang w:eastAsia="cs-CZ"/>
                </w:rPr>
                <m:t>vlastní kapitál</m:t>
              </m:r>
            </m:den>
          </m:f>
        </m:oMath>
      </m:oMathPara>
    </w:p>
    <w:p w:rsidR="00F73EC2" w:rsidRPr="00D32659" w:rsidRDefault="00F73EC2" w:rsidP="008015B2">
      <w:pPr>
        <w:jc w:val="both"/>
        <w:rPr>
          <w:lang w:eastAsia="cs-CZ"/>
        </w:rPr>
      </w:pPr>
      <m:oMath>
        <m:r>
          <w:rPr>
            <w:rFonts w:ascii="Cambria Math" w:hAnsi="Cambria Math"/>
            <w:lang w:eastAsia="cs-CZ"/>
          </w:rPr>
          <m:t xml:space="preserve">daňové břemeno= </m:t>
        </m:r>
        <m:f>
          <m:fPr>
            <m:ctrlPr>
              <w:rPr>
                <w:rFonts w:ascii="Cambria Math" w:hAnsi="Cambria Math"/>
                <w:i/>
                <w:lang w:eastAsia="cs-CZ"/>
              </w:rPr>
            </m:ctrlPr>
          </m:fPr>
          <m:num>
            <m:r>
              <w:rPr>
                <w:rFonts w:ascii="Cambria Math" w:hAnsi="Cambria Math"/>
                <w:lang w:eastAsia="cs-CZ"/>
              </w:rPr>
              <m:t>EAT</m:t>
            </m:r>
          </m:num>
          <m:den>
            <m:r>
              <w:rPr>
                <w:rFonts w:ascii="Cambria Math" w:hAnsi="Cambria Math"/>
                <w:lang w:eastAsia="cs-CZ"/>
              </w:rPr>
              <m:t>EBT</m:t>
            </m:r>
          </m:den>
        </m:f>
      </m:oMath>
      <w:r w:rsidRPr="00D32659">
        <w:rPr>
          <w:lang w:eastAsia="cs-CZ"/>
        </w:rPr>
        <w:t xml:space="preserve">   ;</w:t>
      </w:r>
    </w:p>
    <w:p w:rsidR="00F73EC2" w:rsidRPr="00D32659" w:rsidRDefault="00F73EC2" w:rsidP="008015B2">
      <w:pPr>
        <w:jc w:val="both"/>
        <w:rPr>
          <w:lang w:eastAsia="cs-CZ"/>
        </w:rPr>
      </w:pPr>
      <m:oMath>
        <m:r>
          <w:rPr>
            <w:rFonts w:ascii="Cambria Math" w:hAnsi="Cambria Math"/>
            <w:lang w:eastAsia="cs-CZ"/>
          </w:rPr>
          <m:t xml:space="preserve">rentabilita aktiv= zisková marže*obrat aktiv = </m:t>
        </m:r>
        <m:f>
          <m:fPr>
            <m:ctrlPr>
              <w:rPr>
                <w:rFonts w:ascii="Cambria Math" w:hAnsi="Cambria Math"/>
                <w:i/>
                <w:lang w:eastAsia="cs-CZ"/>
              </w:rPr>
            </m:ctrlPr>
          </m:fPr>
          <m:num>
            <m:r>
              <w:rPr>
                <w:rFonts w:ascii="Cambria Math" w:hAnsi="Cambria Math"/>
                <w:lang w:eastAsia="cs-CZ"/>
              </w:rPr>
              <m:t>EBIT</m:t>
            </m:r>
          </m:num>
          <m:den>
            <m:r>
              <w:rPr>
                <w:rFonts w:ascii="Cambria Math" w:hAnsi="Cambria Math"/>
                <w:lang w:eastAsia="cs-CZ"/>
              </w:rPr>
              <m:t>tržby</m:t>
            </m:r>
          </m:den>
        </m:f>
        <m:r>
          <m:rPr>
            <m:sty m:val="p"/>
          </m:rPr>
          <w:rPr>
            <w:rFonts w:ascii="Cambria Math" w:hAnsi="Cambria Math"/>
            <w:lang w:eastAsia="cs-CZ"/>
          </w:rPr>
          <m:t xml:space="preserve">* </m:t>
        </m:r>
        <m:f>
          <m:fPr>
            <m:ctrlPr>
              <w:rPr>
                <w:rFonts w:ascii="Cambria Math" w:hAnsi="Cambria Math"/>
                <w:i/>
                <w:lang w:eastAsia="cs-CZ"/>
              </w:rPr>
            </m:ctrlPr>
          </m:fPr>
          <m:num>
            <m:r>
              <w:rPr>
                <w:rFonts w:ascii="Cambria Math" w:hAnsi="Cambria Math"/>
                <w:lang w:eastAsia="cs-CZ"/>
              </w:rPr>
              <m:t>tržby</m:t>
            </m:r>
          </m:num>
          <m:den>
            <m:r>
              <w:rPr>
                <w:rFonts w:ascii="Cambria Math" w:hAnsi="Cambria Math"/>
                <w:lang w:eastAsia="cs-CZ"/>
              </w:rPr>
              <m:t>aktiva</m:t>
            </m:r>
          </m:den>
        </m:f>
        <m:r>
          <m:rPr>
            <m:sty m:val="p"/>
          </m:rPr>
          <w:rPr>
            <w:rFonts w:ascii="Cambria Math" w:hAnsi="Cambria Math"/>
            <w:lang w:eastAsia="cs-CZ"/>
          </w:rPr>
          <m:t xml:space="preserve">   </m:t>
        </m:r>
      </m:oMath>
      <w:r w:rsidRPr="00D32659">
        <w:rPr>
          <w:lang w:eastAsia="cs-CZ"/>
        </w:rPr>
        <w:t xml:space="preserve">;  </w:t>
      </w:r>
    </w:p>
    <w:p w:rsidR="00F73EC2" w:rsidRPr="00D32659" w:rsidRDefault="00F73EC2" w:rsidP="008015B2">
      <w:pPr>
        <w:jc w:val="both"/>
        <w:rPr>
          <w:lang w:eastAsia="cs-CZ"/>
        </w:rPr>
      </w:pPr>
      <w:r w:rsidRPr="00D32659">
        <w:rPr>
          <w:lang w:eastAsia="cs-CZ"/>
        </w:rPr>
        <w:t xml:space="preserve"> </w:t>
      </w:r>
      <m:oMath>
        <m:r>
          <w:rPr>
            <w:rFonts w:ascii="Cambria Math" w:hAnsi="Cambria Math"/>
            <w:lang w:eastAsia="cs-CZ"/>
          </w:rPr>
          <m:t xml:space="preserve">složená finanční páka= úrokové břemeno* finanční páka= </m:t>
        </m:r>
        <m:f>
          <m:fPr>
            <m:ctrlPr>
              <w:rPr>
                <w:rFonts w:ascii="Cambria Math" w:hAnsi="Cambria Math"/>
                <w:i/>
                <w:lang w:eastAsia="cs-CZ"/>
              </w:rPr>
            </m:ctrlPr>
          </m:fPr>
          <m:num>
            <m:r>
              <w:rPr>
                <w:rFonts w:ascii="Cambria Math" w:hAnsi="Cambria Math"/>
                <w:lang w:eastAsia="cs-CZ"/>
              </w:rPr>
              <m:t>EBT</m:t>
            </m:r>
          </m:num>
          <m:den>
            <m:r>
              <w:rPr>
                <w:rFonts w:ascii="Cambria Math" w:hAnsi="Cambria Math"/>
                <w:lang w:eastAsia="cs-CZ"/>
              </w:rPr>
              <m:t>EBIT</m:t>
            </m:r>
          </m:den>
        </m:f>
        <m:r>
          <w:rPr>
            <w:rFonts w:ascii="Cambria Math" w:hAnsi="Cambria Math"/>
            <w:lang w:eastAsia="cs-CZ"/>
          </w:rPr>
          <m:t xml:space="preserve">* </m:t>
        </m:r>
        <m:f>
          <m:fPr>
            <m:ctrlPr>
              <w:rPr>
                <w:rFonts w:ascii="Cambria Math" w:hAnsi="Cambria Math"/>
                <w:i/>
                <w:lang w:eastAsia="cs-CZ"/>
              </w:rPr>
            </m:ctrlPr>
          </m:fPr>
          <m:num>
            <m:r>
              <w:rPr>
                <w:rFonts w:ascii="Cambria Math" w:hAnsi="Cambria Math"/>
                <w:lang w:eastAsia="cs-CZ"/>
              </w:rPr>
              <m:t>aktiva</m:t>
            </m:r>
          </m:num>
          <m:den>
            <m:r>
              <w:rPr>
                <w:rFonts w:ascii="Cambria Math" w:hAnsi="Cambria Math"/>
                <w:lang w:eastAsia="cs-CZ"/>
              </w:rPr>
              <m:t>vlastní kapitál</m:t>
            </m:r>
          </m:den>
        </m:f>
      </m:oMath>
      <w:r w:rsidRPr="00D32659">
        <w:rPr>
          <w:lang w:eastAsia="cs-CZ"/>
        </w:rPr>
        <w:t xml:space="preserve">  ;  </w:t>
      </w:r>
    </w:p>
    <w:p w:rsidR="00F73EC2" w:rsidRPr="00D32659" w:rsidRDefault="00F73EC2" w:rsidP="008015B2">
      <w:pPr>
        <w:spacing w:after="0" w:line="240" w:lineRule="auto"/>
        <w:jc w:val="both"/>
        <w:rPr>
          <w:rFonts w:eastAsia="Times New Roman"/>
          <w:b/>
          <w:bCs/>
          <w:szCs w:val="27"/>
          <w:lang w:eastAsia="cs-CZ"/>
        </w:rPr>
      </w:pPr>
    </w:p>
    <w:p w:rsidR="00F73EC2" w:rsidRPr="00D32659" w:rsidRDefault="00F73EC2" w:rsidP="008015B2">
      <w:pPr>
        <w:pStyle w:val="Nadpis3"/>
        <w:jc w:val="both"/>
      </w:pPr>
      <w:bookmarkStart w:id="26" w:name="_Toc417564164"/>
      <w:r w:rsidRPr="00D32659">
        <w:t>Bankrotní modely</w:t>
      </w:r>
      <w:bookmarkEnd w:id="26"/>
    </w:p>
    <w:p w:rsidR="00F73EC2" w:rsidRPr="00D32659" w:rsidRDefault="00F73EC2" w:rsidP="008015B2">
      <w:pPr>
        <w:pStyle w:val="Bezmezer"/>
        <w:jc w:val="both"/>
        <w:rPr>
          <w:lang w:val="cs-CZ"/>
        </w:rPr>
      </w:pPr>
    </w:p>
    <w:p w:rsidR="00F73EC2" w:rsidRPr="00D32659" w:rsidRDefault="00F73EC2" w:rsidP="008015B2">
      <w:pPr>
        <w:jc w:val="both"/>
      </w:pPr>
      <w:r w:rsidRPr="00D32659">
        <w:t>Hlavním úkolem bankrotních modelů je zjistit, zda nehrozí podniku bankrot. Model vychází z předpokladu, že nějakou dobu před tím, než je firma nucena vyhlásit bankrot, se budoucí problémy již projevují.</w:t>
      </w:r>
      <w:r w:rsidRPr="00D32659">
        <w:rPr>
          <w:rStyle w:val="Znakapoznpodarou"/>
        </w:rPr>
        <w:footnoteReference w:id="44"/>
      </w:r>
    </w:p>
    <w:p w:rsidR="00F73EC2" w:rsidRPr="00D32659" w:rsidRDefault="00F73EC2" w:rsidP="008015B2">
      <w:pPr>
        <w:jc w:val="both"/>
        <w:rPr>
          <w:b/>
        </w:rPr>
      </w:pPr>
      <w:r w:rsidRPr="00D32659">
        <w:rPr>
          <w:b/>
        </w:rPr>
        <w:t>Taflerův model</w:t>
      </w:r>
    </w:p>
    <w:p w:rsidR="00F73EC2" w:rsidRPr="00D32659" w:rsidRDefault="00F73EC2" w:rsidP="008015B2">
      <w:pPr>
        <w:jc w:val="both"/>
      </w:pPr>
      <w:r w:rsidRPr="00D32659">
        <w:t>Stejně jako ostatní bankrotní modely, má Taflerův bankrotní model určit, zda se sledovaný podnik blíží k bankrotu. Taflerův model k výpočtu využívá čtyř ukazatelů, které se po vypočítání dosadí do diskriminační rovnice.</w:t>
      </w:r>
    </w:p>
    <w:p w:rsidR="00F73EC2" w:rsidRPr="00D32659" w:rsidRDefault="00F73EC2" w:rsidP="008015B2">
      <w:pPr>
        <w:jc w:val="both"/>
      </w:pPr>
      <m:oMathPara>
        <m:oMathParaPr>
          <m:jc m:val="left"/>
        </m:oMathParaPr>
        <m:oMath>
          <m:r>
            <w:rPr>
              <w:rFonts w:ascii="Cambria Math" w:hAnsi="Cambria Math"/>
            </w:rPr>
            <m:t xml:space="preserve">R1= </m:t>
          </m:r>
          <m:f>
            <m:fPr>
              <m:ctrlPr>
                <w:rPr>
                  <w:rFonts w:ascii="Cambria Math" w:hAnsi="Cambria Math"/>
                  <w:i/>
                </w:rPr>
              </m:ctrlPr>
            </m:fPr>
            <m:num>
              <m:r>
                <w:rPr>
                  <w:rFonts w:ascii="Cambria Math" w:hAnsi="Cambria Math"/>
                </w:rPr>
                <m:t>EBT</m:t>
              </m:r>
            </m:num>
            <m:den>
              <m:r>
                <w:rPr>
                  <w:rFonts w:ascii="Cambria Math" w:hAnsi="Cambria Math"/>
                </w:rPr>
                <m:t>krátkodobé závazky</m:t>
              </m:r>
            </m:den>
          </m:f>
        </m:oMath>
      </m:oMathPara>
    </w:p>
    <w:p w:rsidR="00F73EC2" w:rsidRPr="00D32659" w:rsidRDefault="00F73EC2" w:rsidP="008015B2">
      <w:pPr>
        <w:jc w:val="both"/>
      </w:pPr>
      <m:oMathPara>
        <m:oMathParaPr>
          <m:jc m:val="left"/>
        </m:oMathParaPr>
        <m:oMath>
          <m:r>
            <w:rPr>
              <w:rFonts w:ascii="Cambria Math" w:hAnsi="Cambria Math"/>
            </w:rPr>
            <m:t xml:space="preserve">R2= </m:t>
          </m:r>
          <m:f>
            <m:fPr>
              <m:ctrlPr>
                <w:rPr>
                  <w:rFonts w:ascii="Cambria Math" w:hAnsi="Cambria Math"/>
                  <w:i/>
                </w:rPr>
              </m:ctrlPr>
            </m:fPr>
            <m:num>
              <m:r>
                <w:rPr>
                  <w:rFonts w:ascii="Cambria Math" w:hAnsi="Cambria Math"/>
                </w:rPr>
                <m:t>oběžná aktiva</m:t>
              </m:r>
            </m:num>
            <m:den>
              <m:r>
                <w:rPr>
                  <w:rFonts w:ascii="Cambria Math" w:hAnsi="Cambria Math"/>
                </w:rPr>
                <m:t>cizí zdroje</m:t>
              </m:r>
            </m:den>
          </m:f>
        </m:oMath>
      </m:oMathPara>
    </w:p>
    <w:p w:rsidR="00F73EC2" w:rsidRPr="00D32659" w:rsidRDefault="00F73EC2" w:rsidP="008015B2">
      <w:pPr>
        <w:jc w:val="both"/>
      </w:pPr>
      <m:oMathPara>
        <m:oMathParaPr>
          <m:jc m:val="left"/>
        </m:oMathParaPr>
        <m:oMath>
          <m:r>
            <w:rPr>
              <w:rFonts w:ascii="Cambria Math" w:hAnsi="Cambria Math"/>
            </w:rPr>
            <m:t xml:space="preserve">R3= </m:t>
          </m:r>
          <m:f>
            <m:fPr>
              <m:ctrlPr>
                <w:rPr>
                  <w:rFonts w:ascii="Cambria Math" w:hAnsi="Cambria Math"/>
                  <w:i/>
                </w:rPr>
              </m:ctrlPr>
            </m:fPr>
            <m:num>
              <m:r>
                <w:rPr>
                  <w:rFonts w:ascii="Cambria Math" w:hAnsi="Cambria Math"/>
                </w:rPr>
                <m:t>krátkodobé závazky</m:t>
              </m:r>
            </m:num>
            <m:den>
              <m:r>
                <w:rPr>
                  <w:rFonts w:ascii="Cambria Math" w:hAnsi="Cambria Math"/>
                </w:rPr>
                <m:t>celková aktiva</m:t>
              </m:r>
            </m:den>
          </m:f>
        </m:oMath>
      </m:oMathPara>
    </w:p>
    <w:p w:rsidR="00F73EC2" w:rsidRPr="00D32659" w:rsidRDefault="00F73EC2" w:rsidP="008015B2">
      <w:pPr>
        <w:jc w:val="both"/>
      </w:pPr>
      <m:oMathPara>
        <m:oMathParaPr>
          <m:jc m:val="left"/>
        </m:oMathParaPr>
        <m:oMath>
          <m:r>
            <w:rPr>
              <w:rFonts w:ascii="Cambria Math" w:hAnsi="Cambria Math"/>
            </w:rPr>
            <m:t xml:space="preserve">R4= </m:t>
          </m:r>
          <m:f>
            <m:fPr>
              <m:ctrlPr>
                <w:rPr>
                  <w:rFonts w:ascii="Cambria Math" w:hAnsi="Cambria Math"/>
                  <w:i/>
                </w:rPr>
              </m:ctrlPr>
            </m:fPr>
            <m:num>
              <m:r>
                <w:rPr>
                  <w:rFonts w:ascii="Cambria Math" w:hAnsi="Cambria Math"/>
                </w:rPr>
                <m:t>tržby celkem</m:t>
              </m:r>
            </m:num>
            <m:den>
              <m:r>
                <w:rPr>
                  <w:rFonts w:ascii="Cambria Math" w:hAnsi="Cambria Math"/>
                </w:rPr>
                <m:t>celková aktiva</m:t>
              </m:r>
            </m:den>
          </m:f>
        </m:oMath>
      </m:oMathPara>
    </w:p>
    <w:p w:rsidR="00F73EC2" w:rsidRPr="00D32659" w:rsidRDefault="00F73EC2" w:rsidP="008015B2">
      <w:pPr>
        <w:jc w:val="both"/>
      </w:pPr>
      <w:r w:rsidRPr="00D32659">
        <w:t>Vypočtené hodnoty se dosadí do Taflerovy diskriminační rovnice.</w:t>
      </w:r>
    </w:p>
    <w:p w:rsidR="00F73EC2" w:rsidRPr="00D32659" w:rsidRDefault="00F73EC2" w:rsidP="008015B2">
      <w:pPr>
        <w:jc w:val="both"/>
      </w:pPr>
      <m:oMathPara>
        <m:oMath>
          <m:r>
            <w:rPr>
              <w:rFonts w:ascii="Cambria Math" w:hAnsi="Cambria Math"/>
            </w:rPr>
            <m:t>Z=0,53 R1+0,13 R2+0,18 R3+0,16 R4</m:t>
          </m:r>
        </m:oMath>
      </m:oMathPara>
    </w:p>
    <w:p w:rsidR="00F73EC2" w:rsidRPr="00D32659" w:rsidRDefault="00F73EC2" w:rsidP="008015B2">
      <w:pPr>
        <w:jc w:val="both"/>
      </w:pPr>
      <w:r w:rsidRPr="00D32659">
        <w:t>Pokud hodnota Z bude větší než 0,3, pak je nepravděpodobné, že by společnost spěla k bankrotu, ale pokud bude hodnota Z menší jak 0,2, podnik s vysokou pravděpodobností brzy zbankrotuje.</w:t>
      </w:r>
      <w:r w:rsidRPr="00D32659">
        <w:rPr>
          <w:rStyle w:val="Znakapoznpodarou"/>
        </w:rPr>
        <w:footnoteReference w:id="45"/>
      </w:r>
    </w:p>
    <w:p w:rsidR="00F73EC2" w:rsidRPr="00D32659" w:rsidRDefault="00F73EC2" w:rsidP="008015B2">
      <w:pPr>
        <w:pStyle w:val="Nadpis3"/>
        <w:numPr>
          <w:ilvl w:val="0"/>
          <w:numId w:val="0"/>
        </w:numPr>
        <w:jc w:val="both"/>
      </w:pPr>
    </w:p>
    <w:p w:rsidR="00F73EC2" w:rsidRPr="00D32659" w:rsidRDefault="00F73EC2" w:rsidP="008015B2">
      <w:pPr>
        <w:pStyle w:val="Nadpis3"/>
        <w:jc w:val="both"/>
      </w:pPr>
      <w:bookmarkStart w:id="27" w:name="_Toc417564165"/>
      <w:r w:rsidRPr="00D32659">
        <w:t>Bonitní model</w:t>
      </w:r>
      <w:bookmarkEnd w:id="27"/>
    </w:p>
    <w:p w:rsidR="00F73EC2" w:rsidRPr="00D32659" w:rsidRDefault="00F73EC2" w:rsidP="008015B2">
      <w:pPr>
        <w:pStyle w:val="Bezmezer"/>
        <w:jc w:val="both"/>
        <w:rPr>
          <w:lang w:val="cs-CZ"/>
        </w:rPr>
      </w:pPr>
    </w:p>
    <w:p w:rsidR="00F73EC2" w:rsidRPr="00D32659" w:rsidRDefault="00F73EC2" w:rsidP="008015B2">
      <w:pPr>
        <w:jc w:val="both"/>
      </w:pPr>
      <w:r w:rsidRPr="00D32659">
        <w:t xml:space="preserve">Bonitní modely jsou sestavovány za účelem posouzení finanční situace podniku. O úroveň bonity, tedy o schopnost platit v budoucnu své závazky, se zajímají např. banky, aby posoudily, zda zapůjčit peníze, popř. za kolik. </w:t>
      </w:r>
      <w:r w:rsidRPr="00D32659">
        <w:rPr>
          <w:rStyle w:val="Znakapoznpodarou"/>
        </w:rPr>
        <w:footnoteReference w:id="46"/>
      </w:r>
    </w:p>
    <w:p w:rsidR="00F73EC2" w:rsidRPr="00D32659" w:rsidRDefault="00F73EC2" w:rsidP="008015B2">
      <w:pPr>
        <w:jc w:val="both"/>
        <w:rPr>
          <w:b/>
        </w:rPr>
      </w:pPr>
      <w:r w:rsidRPr="00D32659">
        <w:rPr>
          <w:b/>
        </w:rPr>
        <w:t>Kralicekův quicktest</w:t>
      </w:r>
    </w:p>
    <w:p w:rsidR="00F73EC2" w:rsidRPr="00D32659" w:rsidRDefault="00F73EC2" w:rsidP="008015B2">
      <w:pPr>
        <w:jc w:val="both"/>
      </w:pPr>
      <w:r w:rsidRPr="00D32659">
        <w:t xml:space="preserve">Kralicekův quicktest je jedním z nejvýznamnějších scoringových bonitních modelů. Jeho čtyři ukazatele jsou zvoleny tak, aby obsáhly všechna důležitá odvětví související s finančním zdravím podniku. Dále je tento modle schopen srovnání výsledků bez ohledu na odvětví. </w:t>
      </w:r>
    </w:p>
    <w:p w:rsidR="00F73EC2" w:rsidRPr="00D32659" w:rsidRDefault="00F73EC2" w:rsidP="008015B2">
      <w:pPr>
        <w:pStyle w:val="Bezmezer"/>
        <w:jc w:val="both"/>
        <w:rPr>
          <w:lang w:val="cs-CZ"/>
        </w:rPr>
      </w:pPr>
      <w:r w:rsidRPr="00D32659">
        <w:rPr>
          <w:lang w:val="cs-CZ"/>
        </w:rPr>
        <w:t>R1…ukazatel zadluženosti</w:t>
      </w:r>
    </w:p>
    <w:p w:rsidR="00F73EC2" w:rsidRPr="00D32659" w:rsidRDefault="00F73EC2" w:rsidP="008015B2">
      <w:pPr>
        <w:pStyle w:val="Bezmezer"/>
        <w:jc w:val="both"/>
        <w:rPr>
          <w:lang w:val="cs-CZ"/>
        </w:rPr>
      </w:pPr>
      <w:r w:rsidRPr="00D32659">
        <w:rPr>
          <w:lang w:val="cs-CZ"/>
        </w:rPr>
        <w:t>R2…ukazatel solventnosti</w:t>
      </w:r>
    </w:p>
    <w:p w:rsidR="00F73EC2" w:rsidRPr="00D32659" w:rsidRDefault="00F73EC2" w:rsidP="008015B2">
      <w:pPr>
        <w:pStyle w:val="Bezmezer"/>
        <w:jc w:val="both"/>
        <w:rPr>
          <w:lang w:val="cs-CZ"/>
        </w:rPr>
      </w:pPr>
      <w:r w:rsidRPr="00D32659">
        <w:rPr>
          <w:lang w:val="cs-CZ"/>
        </w:rPr>
        <w:t>R3…ukazatel rentability</w:t>
      </w:r>
    </w:p>
    <w:p w:rsidR="00F73EC2" w:rsidRPr="00D32659" w:rsidRDefault="00F73EC2" w:rsidP="008015B2">
      <w:pPr>
        <w:pStyle w:val="Bezmezer"/>
        <w:jc w:val="both"/>
        <w:rPr>
          <w:lang w:val="cs-CZ"/>
        </w:rPr>
      </w:pPr>
      <w:r w:rsidRPr="00D32659">
        <w:rPr>
          <w:lang w:val="cs-CZ"/>
        </w:rPr>
        <w:t>R4…ukazatel likvidity</w:t>
      </w:r>
      <w:r w:rsidRPr="00D32659">
        <w:rPr>
          <w:rStyle w:val="Znakapoznpodarou"/>
          <w:lang w:val="cs-CZ"/>
        </w:rPr>
        <w:footnoteReference w:id="47"/>
      </w:r>
    </w:p>
    <w:p w:rsidR="00F73EC2" w:rsidRPr="00D32659" w:rsidRDefault="00F73EC2" w:rsidP="008015B2">
      <w:pPr>
        <w:spacing w:after="0" w:line="240" w:lineRule="auto"/>
        <w:jc w:val="both"/>
      </w:pPr>
    </w:p>
    <w:p w:rsidR="00F73EC2" w:rsidRPr="00D32659" w:rsidRDefault="00F73EC2" w:rsidP="00115E95">
      <w:pPr>
        <w:rPr>
          <w:b/>
          <w:szCs w:val="23"/>
        </w:rPr>
      </w:pPr>
      <w:r w:rsidRPr="00D32659">
        <w:rPr>
          <w:b/>
          <w:szCs w:val="23"/>
        </w:rPr>
        <w:t>Schéma č. 5: Kralicekův quicktest</w:t>
      </w:r>
    </w:p>
    <w:tbl>
      <w:tblPr>
        <w:tblW w:w="7780" w:type="dxa"/>
        <w:tblInd w:w="55" w:type="dxa"/>
        <w:tblCellMar>
          <w:left w:w="70" w:type="dxa"/>
          <w:right w:w="70" w:type="dxa"/>
        </w:tblCellMar>
        <w:tblLook w:val="04A0" w:firstRow="1" w:lastRow="0" w:firstColumn="1" w:lastColumn="0" w:noHBand="0" w:noVBand="1"/>
      </w:tblPr>
      <w:tblGrid>
        <w:gridCol w:w="1047"/>
        <w:gridCol w:w="2460"/>
        <w:gridCol w:w="2120"/>
        <w:gridCol w:w="1487"/>
        <w:gridCol w:w="760"/>
      </w:tblGrid>
      <w:tr w:rsidR="00F73EC2" w:rsidRPr="00D32659" w:rsidTr="004328B3">
        <w:trPr>
          <w:trHeight w:val="615"/>
        </w:trPr>
        <w:tc>
          <w:tcPr>
            <w:tcW w:w="100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73EC2" w:rsidRPr="00D32659" w:rsidRDefault="00F73EC2" w:rsidP="008015B2">
            <w:pPr>
              <w:spacing w:after="0" w:line="240" w:lineRule="auto"/>
              <w:jc w:val="both"/>
              <w:rPr>
                <w:rFonts w:eastAsia="Times New Roman"/>
                <w:b/>
                <w:bCs/>
                <w:lang w:eastAsia="cs-CZ"/>
              </w:rPr>
            </w:pPr>
            <w:r w:rsidRPr="00D32659">
              <w:br w:type="page"/>
            </w:r>
            <w:r w:rsidRPr="00D32659">
              <w:rPr>
                <w:rFonts w:eastAsia="Times New Roman"/>
                <w:b/>
                <w:bCs/>
                <w:lang w:eastAsia="cs-CZ"/>
              </w:rPr>
              <w:t>Ukazatel</w:t>
            </w:r>
          </w:p>
        </w:tc>
        <w:tc>
          <w:tcPr>
            <w:tcW w:w="2460" w:type="dxa"/>
            <w:tcBorders>
              <w:top w:val="single" w:sz="8" w:space="0" w:color="auto"/>
              <w:left w:val="nil"/>
              <w:bottom w:val="single" w:sz="8" w:space="0" w:color="auto"/>
              <w:right w:val="single" w:sz="4" w:space="0" w:color="auto"/>
            </w:tcBorders>
            <w:shd w:val="clear" w:color="auto" w:fill="auto"/>
            <w:noWrap/>
            <w:vAlign w:val="center"/>
            <w:hideMark/>
          </w:tcPr>
          <w:p w:rsidR="00F73EC2" w:rsidRPr="00D32659" w:rsidRDefault="00F73EC2" w:rsidP="008015B2">
            <w:pPr>
              <w:spacing w:after="0" w:line="240" w:lineRule="auto"/>
              <w:jc w:val="both"/>
              <w:rPr>
                <w:rFonts w:eastAsia="Times New Roman"/>
                <w:b/>
                <w:bCs/>
                <w:lang w:eastAsia="cs-CZ"/>
              </w:rPr>
            </w:pPr>
            <w:r w:rsidRPr="00D32659">
              <w:rPr>
                <w:rFonts w:eastAsia="Times New Roman"/>
                <w:b/>
                <w:bCs/>
                <w:lang w:eastAsia="cs-CZ"/>
              </w:rPr>
              <w:t>Název ukazatele</w:t>
            </w:r>
          </w:p>
        </w:tc>
        <w:tc>
          <w:tcPr>
            <w:tcW w:w="2120" w:type="dxa"/>
            <w:tcBorders>
              <w:top w:val="single" w:sz="8" w:space="0" w:color="auto"/>
              <w:left w:val="nil"/>
              <w:bottom w:val="single" w:sz="8" w:space="0" w:color="auto"/>
              <w:right w:val="single" w:sz="4" w:space="0" w:color="auto"/>
            </w:tcBorders>
            <w:shd w:val="clear" w:color="auto" w:fill="auto"/>
            <w:noWrap/>
            <w:vAlign w:val="center"/>
            <w:hideMark/>
          </w:tcPr>
          <w:p w:rsidR="00F73EC2" w:rsidRPr="00D32659" w:rsidRDefault="00F73EC2" w:rsidP="008015B2">
            <w:pPr>
              <w:spacing w:after="0" w:line="240" w:lineRule="auto"/>
              <w:jc w:val="both"/>
              <w:rPr>
                <w:rFonts w:eastAsia="Times New Roman"/>
                <w:b/>
                <w:bCs/>
                <w:lang w:eastAsia="cs-CZ"/>
              </w:rPr>
            </w:pPr>
            <w:r w:rsidRPr="00D32659">
              <w:rPr>
                <w:rFonts w:eastAsia="Times New Roman"/>
                <w:b/>
                <w:bCs/>
                <w:lang w:eastAsia="cs-CZ"/>
              </w:rPr>
              <w:t>Konstrukce ukazatele</w:t>
            </w:r>
          </w:p>
        </w:tc>
        <w:tc>
          <w:tcPr>
            <w:tcW w:w="1431" w:type="dxa"/>
            <w:tcBorders>
              <w:top w:val="single" w:sz="8" w:space="0" w:color="auto"/>
              <w:left w:val="nil"/>
              <w:bottom w:val="single" w:sz="8" w:space="0" w:color="auto"/>
              <w:right w:val="single" w:sz="4" w:space="0" w:color="auto"/>
            </w:tcBorders>
            <w:shd w:val="clear" w:color="auto" w:fill="auto"/>
            <w:noWrap/>
            <w:vAlign w:val="center"/>
            <w:hideMark/>
          </w:tcPr>
          <w:p w:rsidR="00F73EC2" w:rsidRPr="00D32659" w:rsidRDefault="00F73EC2" w:rsidP="008015B2">
            <w:pPr>
              <w:spacing w:after="0" w:line="240" w:lineRule="auto"/>
              <w:jc w:val="both"/>
              <w:rPr>
                <w:rFonts w:eastAsia="Times New Roman"/>
                <w:b/>
                <w:bCs/>
                <w:lang w:eastAsia="cs-CZ"/>
              </w:rPr>
            </w:pPr>
            <w:r w:rsidRPr="00D32659">
              <w:rPr>
                <w:rFonts w:eastAsia="Times New Roman"/>
                <w:b/>
                <w:bCs/>
                <w:lang w:eastAsia="cs-CZ"/>
              </w:rPr>
              <w:t>Vyhodnocení</w:t>
            </w:r>
          </w:p>
        </w:tc>
        <w:tc>
          <w:tcPr>
            <w:tcW w:w="760" w:type="dxa"/>
            <w:tcBorders>
              <w:top w:val="single" w:sz="8" w:space="0" w:color="auto"/>
              <w:left w:val="nil"/>
              <w:bottom w:val="single" w:sz="8" w:space="0" w:color="auto"/>
              <w:right w:val="single" w:sz="8" w:space="0" w:color="auto"/>
            </w:tcBorders>
            <w:shd w:val="clear" w:color="auto" w:fill="auto"/>
            <w:vAlign w:val="center"/>
            <w:hideMark/>
          </w:tcPr>
          <w:p w:rsidR="00F73EC2" w:rsidRPr="00D32659" w:rsidRDefault="00F73EC2" w:rsidP="008015B2">
            <w:pPr>
              <w:spacing w:after="0" w:line="240" w:lineRule="auto"/>
              <w:jc w:val="both"/>
              <w:rPr>
                <w:rFonts w:eastAsia="Times New Roman"/>
                <w:b/>
                <w:bCs/>
                <w:lang w:eastAsia="cs-CZ"/>
              </w:rPr>
            </w:pPr>
            <w:r w:rsidRPr="00D32659">
              <w:rPr>
                <w:rFonts w:eastAsia="Times New Roman"/>
                <w:b/>
                <w:bCs/>
                <w:lang w:eastAsia="cs-CZ"/>
              </w:rPr>
              <w:t>Počet bodů</w:t>
            </w:r>
          </w:p>
        </w:tc>
      </w:tr>
      <w:tr w:rsidR="00F73EC2" w:rsidRPr="00D32659" w:rsidTr="004328B3">
        <w:trPr>
          <w:trHeight w:val="300"/>
        </w:trPr>
        <w:tc>
          <w:tcPr>
            <w:tcW w:w="1009"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F73EC2" w:rsidRPr="00D32659" w:rsidRDefault="00F73EC2" w:rsidP="008015B2">
            <w:pPr>
              <w:spacing w:after="0" w:line="240" w:lineRule="auto"/>
              <w:jc w:val="both"/>
              <w:rPr>
                <w:rFonts w:eastAsia="Times New Roman"/>
                <w:b/>
                <w:bCs/>
                <w:lang w:eastAsia="cs-CZ"/>
              </w:rPr>
            </w:pPr>
            <w:r w:rsidRPr="00D32659">
              <w:rPr>
                <w:rFonts w:eastAsia="Times New Roman"/>
                <w:b/>
                <w:bCs/>
                <w:lang w:eastAsia="cs-CZ"/>
              </w:rPr>
              <w:t>R1</w:t>
            </w:r>
          </w:p>
        </w:tc>
        <w:tc>
          <w:tcPr>
            <w:tcW w:w="2460" w:type="dxa"/>
            <w:vMerge w:val="restart"/>
            <w:tcBorders>
              <w:top w:val="nil"/>
              <w:left w:val="single" w:sz="4" w:space="0" w:color="auto"/>
              <w:bottom w:val="single" w:sz="4" w:space="0" w:color="auto"/>
              <w:right w:val="single" w:sz="4" w:space="0" w:color="auto"/>
            </w:tcBorders>
            <w:shd w:val="clear" w:color="auto" w:fill="auto"/>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Kvóta vlastního kapitálu (ukazatel zadluženosti)</w:t>
            </w:r>
          </w:p>
        </w:tc>
        <w:tc>
          <w:tcPr>
            <w:tcW w:w="2120" w:type="dxa"/>
            <w:vMerge w:val="restart"/>
            <w:tcBorders>
              <w:top w:val="nil"/>
              <w:left w:val="single" w:sz="4" w:space="0" w:color="auto"/>
              <w:bottom w:val="single" w:sz="4" w:space="0" w:color="auto"/>
              <w:right w:val="single" w:sz="4" w:space="0" w:color="auto"/>
            </w:tcBorders>
            <w:shd w:val="clear" w:color="auto" w:fill="auto"/>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vlastní kapitál/aktiva</w:t>
            </w: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0,3 a více</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4</w:t>
            </w:r>
          </w:p>
        </w:tc>
      </w:tr>
      <w:tr w:rsidR="00F73EC2" w:rsidRPr="00D32659" w:rsidTr="004328B3">
        <w:trPr>
          <w:trHeight w:val="300"/>
        </w:trPr>
        <w:tc>
          <w:tcPr>
            <w:tcW w:w="1009" w:type="dxa"/>
            <w:vMerge/>
            <w:tcBorders>
              <w:top w:val="nil"/>
              <w:left w:val="single" w:sz="8"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0,2-0,3</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3</w:t>
            </w:r>
          </w:p>
        </w:tc>
      </w:tr>
      <w:tr w:rsidR="00F73EC2" w:rsidRPr="00D32659" w:rsidTr="004328B3">
        <w:trPr>
          <w:trHeight w:val="300"/>
        </w:trPr>
        <w:tc>
          <w:tcPr>
            <w:tcW w:w="1009" w:type="dxa"/>
            <w:vMerge/>
            <w:tcBorders>
              <w:top w:val="nil"/>
              <w:left w:val="single" w:sz="8"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0,1-0,2</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2</w:t>
            </w:r>
          </w:p>
        </w:tc>
      </w:tr>
      <w:tr w:rsidR="00F73EC2" w:rsidRPr="00D32659" w:rsidTr="004328B3">
        <w:trPr>
          <w:trHeight w:val="300"/>
        </w:trPr>
        <w:tc>
          <w:tcPr>
            <w:tcW w:w="1009" w:type="dxa"/>
            <w:vMerge/>
            <w:tcBorders>
              <w:top w:val="nil"/>
              <w:left w:val="single" w:sz="8"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0,0-0,1</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1</w:t>
            </w:r>
          </w:p>
        </w:tc>
      </w:tr>
      <w:tr w:rsidR="00F73EC2" w:rsidRPr="00D32659" w:rsidTr="004328B3">
        <w:trPr>
          <w:trHeight w:val="300"/>
        </w:trPr>
        <w:tc>
          <w:tcPr>
            <w:tcW w:w="1009" w:type="dxa"/>
            <w:vMerge/>
            <w:tcBorders>
              <w:top w:val="nil"/>
              <w:left w:val="single" w:sz="8"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0,0 a méně</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w:t>
            </w:r>
          </w:p>
        </w:tc>
      </w:tr>
      <w:tr w:rsidR="00F73EC2" w:rsidRPr="00D32659" w:rsidTr="004328B3">
        <w:trPr>
          <w:trHeight w:val="300"/>
        </w:trPr>
        <w:tc>
          <w:tcPr>
            <w:tcW w:w="1009"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F73EC2" w:rsidRPr="00D32659" w:rsidRDefault="00F73EC2" w:rsidP="008015B2">
            <w:pPr>
              <w:spacing w:after="0" w:line="240" w:lineRule="auto"/>
              <w:jc w:val="both"/>
              <w:rPr>
                <w:rFonts w:eastAsia="Times New Roman"/>
                <w:b/>
                <w:bCs/>
                <w:lang w:eastAsia="cs-CZ"/>
              </w:rPr>
            </w:pPr>
            <w:r w:rsidRPr="00D32659">
              <w:rPr>
                <w:rFonts w:eastAsia="Times New Roman"/>
                <w:b/>
                <w:bCs/>
                <w:lang w:eastAsia="cs-CZ"/>
              </w:rPr>
              <w:t>R2</w:t>
            </w:r>
          </w:p>
        </w:tc>
        <w:tc>
          <w:tcPr>
            <w:tcW w:w="2460" w:type="dxa"/>
            <w:vMerge w:val="restart"/>
            <w:tcBorders>
              <w:top w:val="nil"/>
              <w:left w:val="single" w:sz="4" w:space="0" w:color="auto"/>
              <w:bottom w:val="single" w:sz="4" w:space="0" w:color="auto"/>
              <w:right w:val="single" w:sz="4" w:space="0" w:color="auto"/>
            </w:tcBorders>
            <w:shd w:val="clear" w:color="auto" w:fill="auto"/>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Doba splácení dluhu z cash flow (ukazatel solventnosti)</w:t>
            </w:r>
          </w:p>
        </w:tc>
        <w:tc>
          <w:tcPr>
            <w:tcW w:w="2120" w:type="dxa"/>
            <w:vMerge w:val="restart"/>
            <w:tcBorders>
              <w:top w:val="nil"/>
              <w:left w:val="single" w:sz="4" w:space="0" w:color="auto"/>
              <w:bottom w:val="single" w:sz="4" w:space="0" w:color="auto"/>
              <w:right w:val="single" w:sz="4" w:space="0" w:color="auto"/>
            </w:tcBorders>
            <w:shd w:val="clear" w:color="auto" w:fill="auto"/>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(dluhy - krátkodobý finanční majetek)/nezdaněný Cash Flow</w:t>
            </w: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3 a méně</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4</w:t>
            </w:r>
          </w:p>
        </w:tc>
      </w:tr>
      <w:tr w:rsidR="00F73EC2" w:rsidRPr="00D32659" w:rsidTr="004328B3">
        <w:trPr>
          <w:trHeight w:val="300"/>
        </w:trPr>
        <w:tc>
          <w:tcPr>
            <w:tcW w:w="1009" w:type="dxa"/>
            <w:vMerge/>
            <w:tcBorders>
              <w:top w:val="nil"/>
              <w:left w:val="single" w:sz="8"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3-5</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3</w:t>
            </w:r>
          </w:p>
        </w:tc>
      </w:tr>
      <w:tr w:rsidR="00F73EC2" w:rsidRPr="00D32659" w:rsidTr="004328B3">
        <w:trPr>
          <w:trHeight w:val="300"/>
        </w:trPr>
        <w:tc>
          <w:tcPr>
            <w:tcW w:w="1009" w:type="dxa"/>
            <w:vMerge/>
            <w:tcBorders>
              <w:top w:val="nil"/>
              <w:left w:val="single" w:sz="8"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5-12</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2</w:t>
            </w:r>
          </w:p>
        </w:tc>
      </w:tr>
      <w:tr w:rsidR="00F73EC2" w:rsidRPr="00D32659" w:rsidTr="004328B3">
        <w:trPr>
          <w:trHeight w:val="300"/>
        </w:trPr>
        <w:tc>
          <w:tcPr>
            <w:tcW w:w="1009" w:type="dxa"/>
            <w:vMerge/>
            <w:tcBorders>
              <w:top w:val="nil"/>
              <w:left w:val="single" w:sz="8"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12-30</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1</w:t>
            </w:r>
          </w:p>
        </w:tc>
      </w:tr>
      <w:tr w:rsidR="00F73EC2" w:rsidRPr="00D32659" w:rsidTr="004328B3">
        <w:trPr>
          <w:trHeight w:val="300"/>
        </w:trPr>
        <w:tc>
          <w:tcPr>
            <w:tcW w:w="1009" w:type="dxa"/>
            <w:vMerge/>
            <w:tcBorders>
              <w:top w:val="nil"/>
              <w:left w:val="single" w:sz="8"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30 a více</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w:t>
            </w:r>
          </w:p>
        </w:tc>
      </w:tr>
      <w:tr w:rsidR="00F73EC2" w:rsidRPr="00D32659" w:rsidTr="004328B3">
        <w:trPr>
          <w:trHeight w:val="300"/>
        </w:trPr>
        <w:tc>
          <w:tcPr>
            <w:tcW w:w="1009"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F73EC2" w:rsidRPr="00D32659" w:rsidRDefault="00F73EC2" w:rsidP="008015B2">
            <w:pPr>
              <w:spacing w:after="0" w:line="240" w:lineRule="auto"/>
              <w:jc w:val="both"/>
              <w:rPr>
                <w:rFonts w:eastAsia="Times New Roman"/>
                <w:b/>
                <w:bCs/>
                <w:lang w:eastAsia="cs-CZ"/>
              </w:rPr>
            </w:pPr>
            <w:r w:rsidRPr="00D32659">
              <w:rPr>
                <w:rFonts w:eastAsia="Times New Roman"/>
                <w:b/>
                <w:bCs/>
                <w:lang w:eastAsia="cs-CZ"/>
              </w:rPr>
              <w:t>R3</w:t>
            </w:r>
          </w:p>
        </w:tc>
        <w:tc>
          <w:tcPr>
            <w:tcW w:w="2460" w:type="dxa"/>
            <w:vMerge w:val="restart"/>
            <w:tcBorders>
              <w:top w:val="nil"/>
              <w:left w:val="single" w:sz="4" w:space="0" w:color="auto"/>
              <w:bottom w:val="single" w:sz="4" w:space="0" w:color="auto"/>
              <w:right w:val="single" w:sz="4" w:space="0" w:color="auto"/>
            </w:tcBorders>
            <w:shd w:val="clear" w:color="auto" w:fill="auto"/>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Rentabilita celkového kapitálu (ukazatel rentability)</w:t>
            </w:r>
          </w:p>
        </w:tc>
        <w:tc>
          <w:tcPr>
            <w:tcW w:w="2120" w:type="dxa"/>
            <w:vMerge w:val="restart"/>
            <w:tcBorders>
              <w:top w:val="nil"/>
              <w:left w:val="single" w:sz="4" w:space="0" w:color="auto"/>
              <w:bottom w:val="single" w:sz="4" w:space="0" w:color="auto"/>
              <w:right w:val="single" w:sz="4" w:space="0" w:color="auto"/>
            </w:tcBorders>
            <w:shd w:val="clear" w:color="auto" w:fill="auto"/>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EBIT/aktiva</w:t>
            </w: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0,15 a více</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4</w:t>
            </w:r>
          </w:p>
        </w:tc>
      </w:tr>
      <w:tr w:rsidR="00F73EC2" w:rsidRPr="00D32659" w:rsidTr="004328B3">
        <w:trPr>
          <w:trHeight w:val="300"/>
        </w:trPr>
        <w:tc>
          <w:tcPr>
            <w:tcW w:w="1009" w:type="dxa"/>
            <w:vMerge/>
            <w:tcBorders>
              <w:top w:val="nil"/>
              <w:left w:val="single" w:sz="8"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0,12-0,15</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3</w:t>
            </w:r>
          </w:p>
        </w:tc>
      </w:tr>
      <w:tr w:rsidR="00F73EC2" w:rsidRPr="00D32659" w:rsidTr="004328B3">
        <w:trPr>
          <w:trHeight w:val="300"/>
        </w:trPr>
        <w:tc>
          <w:tcPr>
            <w:tcW w:w="1009" w:type="dxa"/>
            <w:vMerge/>
            <w:tcBorders>
              <w:top w:val="nil"/>
              <w:left w:val="single" w:sz="8"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0,08-0,12</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2</w:t>
            </w:r>
          </w:p>
        </w:tc>
      </w:tr>
      <w:tr w:rsidR="00F73EC2" w:rsidRPr="00D32659" w:rsidTr="004328B3">
        <w:trPr>
          <w:trHeight w:val="300"/>
        </w:trPr>
        <w:tc>
          <w:tcPr>
            <w:tcW w:w="1009" w:type="dxa"/>
            <w:vMerge/>
            <w:tcBorders>
              <w:top w:val="nil"/>
              <w:left w:val="single" w:sz="8"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0,00-0,08</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1</w:t>
            </w:r>
          </w:p>
        </w:tc>
      </w:tr>
      <w:tr w:rsidR="00F73EC2" w:rsidRPr="00D32659" w:rsidTr="004328B3">
        <w:trPr>
          <w:trHeight w:val="300"/>
        </w:trPr>
        <w:tc>
          <w:tcPr>
            <w:tcW w:w="1009" w:type="dxa"/>
            <w:vMerge/>
            <w:tcBorders>
              <w:top w:val="nil"/>
              <w:left w:val="single" w:sz="8"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4" w:space="0" w:color="auto"/>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0,00 a méně</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w:t>
            </w:r>
          </w:p>
        </w:tc>
      </w:tr>
      <w:tr w:rsidR="00F73EC2" w:rsidRPr="00D32659" w:rsidTr="004328B3">
        <w:trPr>
          <w:trHeight w:val="300"/>
        </w:trPr>
        <w:tc>
          <w:tcPr>
            <w:tcW w:w="1009"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F73EC2" w:rsidRPr="00D32659" w:rsidRDefault="00F73EC2" w:rsidP="008015B2">
            <w:pPr>
              <w:spacing w:after="0" w:line="240" w:lineRule="auto"/>
              <w:jc w:val="both"/>
              <w:rPr>
                <w:rFonts w:eastAsia="Times New Roman"/>
                <w:b/>
                <w:bCs/>
                <w:lang w:eastAsia="cs-CZ"/>
              </w:rPr>
            </w:pPr>
            <w:r w:rsidRPr="00D32659">
              <w:rPr>
                <w:rFonts w:eastAsia="Times New Roman"/>
                <w:b/>
                <w:bCs/>
                <w:lang w:eastAsia="cs-CZ"/>
              </w:rPr>
              <w:t>R4</w:t>
            </w:r>
          </w:p>
        </w:tc>
        <w:tc>
          <w:tcPr>
            <w:tcW w:w="2460" w:type="dxa"/>
            <w:vMerge w:val="restart"/>
            <w:tcBorders>
              <w:top w:val="nil"/>
              <w:left w:val="single" w:sz="4" w:space="0" w:color="auto"/>
              <w:bottom w:val="single" w:sz="8" w:space="0" w:color="000000"/>
              <w:right w:val="single" w:sz="4" w:space="0" w:color="auto"/>
            </w:tcBorders>
            <w:shd w:val="clear" w:color="auto" w:fill="auto"/>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Ukazatel cash provozní výkonn</w:t>
            </w:r>
            <w:r w:rsidR="00A16B36" w:rsidRPr="00D32659">
              <w:rPr>
                <w:rFonts w:eastAsia="Times New Roman"/>
                <w:lang w:eastAsia="cs-CZ"/>
              </w:rPr>
              <w:t>o</w:t>
            </w:r>
            <w:r w:rsidRPr="00D32659">
              <w:rPr>
                <w:rFonts w:eastAsia="Times New Roman"/>
                <w:lang w:eastAsia="cs-CZ"/>
              </w:rPr>
              <w:t>sti (ukazatel likvidity)</w:t>
            </w:r>
          </w:p>
        </w:tc>
        <w:tc>
          <w:tcPr>
            <w:tcW w:w="2120" w:type="dxa"/>
            <w:vMerge w:val="restart"/>
            <w:tcBorders>
              <w:top w:val="nil"/>
              <w:left w:val="single" w:sz="4" w:space="0" w:color="auto"/>
              <w:bottom w:val="single" w:sz="8" w:space="0" w:color="000000"/>
              <w:right w:val="single" w:sz="4" w:space="0" w:color="auto"/>
            </w:tcBorders>
            <w:shd w:val="clear" w:color="auto" w:fill="auto"/>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nezdaněný Cash Flow/provozní výnosy</w:t>
            </w: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0,1 a více</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4</w:t>
            </w:r>
          </w:p>
        </w:tc>
      </w:tr>
      <w:tr w:rsidR="00F73EC2" w:rsidRPr="00D32659" w:rsidTr="004328B3">
        <w:trPr>
          <w:trHeight w:val="300"/>
        </w:trPr>
        <w:tc>
          <w:tcPr>
            <w:tcW w:w="1009" w:type="dxa"/>
            <w:vMerge/>
            <w:tcBorders>
              <w:top w:val="nil"/>
              <w:left w:val="single" w:sz="8" w:space="0" w:color="auto"/>
              <w:bottom w:val="single" w:sz="8" w:space="0" w:color="000000"/>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8" w:space="0" w:color="000000"/>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8" w:space="0" w:color="000000"/>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0,08-0,1</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3</w:t>
            </w:r>
          </w:p>
        </w:tc>
      </w:tr>
      <w:tr w:rsidR="00F73EC2" w:rsidRPr="00D32659" w:rsidTr="004328B3">
        <w:trPr>
          <w:trHeight w:val="300"/>
        </w:trPr>
        <w:tc>
          <w:tcPr>
            <w:tcW w:w="1009" w:type="dxa"/>
            <w:vMerge/>
            <w:tcBorders>
              <w:top w:val="nil"/>
              <w:left w:val="single" w:sz="8" w:space="0" w:color="auto"/>
              <w:bottom w:val="single" w:sz="8" w:space="0" w:color="000000"/>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8" w:space="0" w:color="000000"/>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8" w:space="0" w:color="000000"/>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0,05-0,08</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2</w:t>
            </w:r>
          </w:p>
        </w:tc>
      </w:tr>
      <w:tr w:rsidR="00F73EC2" w:rsidRPr="00D32659" w:rsidTr="004328B3">
        <w:trPr>
          <w:trHeight w:val="300"/>
        </w:trPr>
        <w:tc>
          <w:tcPr>
            <w:tcW w:w="1009" w:type="dxa"/>
            <w:vMerge/>
            <w:tcBorders>
              <w:top w:val="nil"/>
              <w:left w:val="single" w:sz="8" w:space="0" w:color="auto"/>
              <w:bottom w:val="single" w:sz="8" w:space="0" w:color="000000"/>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8" w:space="0" w:color="000000"/>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8" w:space="0" w:color="000000"/>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4"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0,00-0,05</w:t>
            </w:r>
          </w:p>
        </w:tc>
        <w:tc>
          <w:tcPr>
            <w:tcW w:w="760" w:type="dxa"/>
            <w:tcBorders>
              <w:top w:val="nil"/>
              <w:left w:val="nil"/>
              <w:bottom w:val="single" w:sz="4"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1</w:t>
            </w:r>
          </w:p>
        </w:tc>
      </w:tr>
      <w:tr w:rsidR="00F73EC2" w:rsidRPr="00D32659" w:rsidTr="004328B3">
        <w:trPr>
          <w:trHeight w:val="315"/>
        </w:trPr>
        <w:tc>
          <w:tcPr>
            <w:tcW w:w="1009" w:type="dxa"/>
            <w:vMerge/>
            <w:tcBorders>
              <w:top w:val="nil"/>
              <w:left w:val="single" w:sz="8" w:space="0" w:color="auto"/>
              <w:bottom w:val="single" w:sz="8" w:space="0" w:color="000000"/>
              <w:right w:val="single" w:sz="4" w:space="0" w:color="auto"/>
            </w:tcBorders>
            <w:vAlign w:val="center"/>
            <w:hideMark/>
          </w:tcPr>
          <w:p w:rsidR="00F73EC2" w:rsidRPr="00D32659" w:rsidRDefault="00F73EC2" w:rsidP="008015B2">
            <w:pPr>
              <w:spacing w:after="0" w:line="240" w:lineRule="auto"/>
              <w:jc w:val="both"/>
              <w:rPr>
                <w:rFonts w:eastAsia="Times New Roman"/>
                <w:b/>
                <w:bCs/>
                <w:lang w:eastAsia="cs-CZ"/>
              </w:rPr>
            </w:pPr>
          </w:p>
        </w:tc>
        <w:tc>
          <w:tcPr>
            <w:tcW w:w="2460" w:type="dxa"/>
            <w:vMerge/>
            <w:tcBorders>
              <w:top w:val="nil"/>
              <w:left w:val="single" w:sz="4" w:space="0" w:color="auto"/>
              <w:bottom w:val="single" w:sz="8" w:space="0" w:color="000000"/>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2120" w:type="dxa"/>
            <w:vMerge/>
            <w:tcBorders>
              <w:top w:val="nil"/>
              <w:left w:val="single" w:sz="4" w:space="0" w:color="auto"/>
              <w:bottom w:val="single" w:sz="8" w:space="0" w:color="000000"/>
              <w:right w:val="single" w:sz="4" w:space="0" w:color="auto"/>
            </w:tcBorders>
            <w:vAlign w:val="center"/>
            <w:hideMark/>
          </w:tcPr>
          <w:p w:rsidR="00F73EC2" w:rsidRPr="00D32659" w:rsidRDefault="00F73EC2" w:rsidP="008015B2">
            <w:pPr>
              <w:spacing w:after="0" w:line="240" w:lineRule="auto"/>
              <w:jc w:val="both"/>
              <w:rPr>
                <w:rFonts w:eastAsia="Times New Roman"/>
                <w:lang w:eastAsia="cs-CZ"/>
              </w:rPr>
            </w:pPr>
          </w:p>
        </w:tc>
        <w:tc>
          <w:tcPr>
            <w:tcW w:w="1431" w:type="dxa"/>
            <w:tcBorders>
              <w:top w:val="nil"/>
              <w:left w:val="nil"/>
              <w:bottom w:val="single" w:sz="8" w:space="0" w:color="auto"/>
              <w:right w:val="single" w:sz="4" w:space="0" w:color="auto"/>
            </w:tcBorders>
            <w:shd w:val="clear" w:color="auto" w:fill="auto"/>
            <w:noWrap/>
            <w:vAlign w:val="bottom"/>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0,00 a méně</w:t>
            </w:r>
          </w:p>
        </w:tc>
        <w:tc>
          <w:tcPr>
            <w:tcW w:w="760" w:type="dxa"/>
            <w:tcBorders>
              <w:top w:val="nil"/>
              <w:left w:val="nil"/>
              <w:bottom w:val="single" w:sz="8" w:space="0" w:color="auto"/>
              <w:right w:val="single" w:sz="8" w:space="0" w:color="auto"/>
            </w:tcBorders>
            <w:shd w:val="clear" w:color="auto" w:fill="auto"/>
            <w:noWrap/>
            <w:vAlign w:val="center"/>
            <w:hideMark/>
          </w:tcPr>
          <w:p w:rsidR="00F73EC2" w:rsidRPr="00D32659" w:rsidRDefault="00F73EC2" w:rsidP="008015B2">
            <w:pPr>
              <w:spacing w:after="0" w:line="240" w:lineRule="auto"/>
              <w:jc w:val="both"/>
              <w:rPr>
                <w:rFonts w:eastAsia="Times New Roman"/>
                <w:lang w:eastAsia="cs-CZ"/>
              </w:rPr>
            </w:pPr>
            <w:r w:rsidRPr="00D32659">
              <w:rPr>
                <w:rFonts w:eastAsia="Times New Roman"/>
                <w:lang w:eastAsia="cs-CZ"/>
              </w:rPr>
              <w:t>0</w:t>
            </w:r>
          </w:p>
        </w:tc>
      </w:tr>
    </w:tbl>
    <w:p w:rsidR="00F73EC2" w:rsidRPr="00D32659" w:rsidRDefault="00F73EC2" w:rsidP="008015B2">
      <w:pPr>
        <w:pStyle w:val="Default"/>
        <w:jc w:val="both"/>
        <w:rPr>
          <w:i/>
          <w:iCs/>
          <w:color w:val="auto"/>
          <w:sz w:val="23"/>
          <w:szCs w:val="23"/>
        </w:rPr>
      </w:pPr>
      <w:r w:rsidRPr="00D32659">
        <w:rPr>
          <w:i/>
          <w:color w:val="auto"/>
          <w:sz w:val="23"/>
          <w:szCs w:val="23"/>
        </w:rPr>
        <w:t xml:space="preserve">Pramen: vlastní zpracování na základě </w:t>
      </w:r>
      <w:r w:rsidRPr="00D32659">
        <w:rPr>
          <w:i/>
          <w:iCs/>
          <w:color w:val="auto"/>
          <w:sz w:val="23"/>
          <w:szCs w:val="23"/>
        </w:rPr>
        <w:t>Holečková, J. Finanční analýza firmy, str. 200</w:t>
      </w:r>
    </w:p>
    <w:p w:rsidR="00F73EC2" w:rsidRPr="00D32659" w:rsidRDefault="00F73EC2" w:rsidP="008015B2">
      <w:pPr>
        <w:pStyle w:val="Default"/>
        <w:jc w:val="both"/>
        <w:rPr>
          <w:color w:val="auto"/>
        </w:rPr>
      </w:pPr>
    </w:p>
    <w:p w:rsidR="00F73EC2" w:rsidRPr="00D32659" w:rsidRDefault="00F73EC2" w:rsidP="008015B2">
      <w:pPr>
        <w:jc w:val="both"/>
      </w:pPr>
      <w:r w:rsidRPr="00D32659">
        <w:lastRenderedPageBreak/>
        <w:t>Pomocí ukazatelů, které tato analýza využívá, můžeme zhodnotit finanční stabilitu a výnosnost podniku.</w:t>
      </w:r>
      <w:r w:rsidRPr="00D32659">
        <w:rPr>
          <w:rStyle w:val="Znakapoznpodarou"/>
        </w:rPr>
        <w:footnoteReference w:id="48"/>
      </w:r>
    </w:p>
    <w:p w:rsidR="00F73EC2" w:rsidRPr="00D32659" w:rsidRDefault="00F73EC2" w:rsidP="008015B2">
      <w:pPr>
        <w:jc w:val="both"/>
      </w:pPr>
      <m:oMathPara>
        <m:oMath>
          <m:r>
            <w:rPr>
              <w:rFonts w:ascii="Cambria Math" w:hAnsi="Cambria Math"/>
            </w:rPr>
            <m:t xml:space="preserve">hodnocení finanční stability= </m:t>
          </m:r>
          <m:f>
            <m:fPr>
              <m:ctrlPr>
                <w:rPr>
                  <w:rFonts w:ascii="Cambria Math" w:hAnsi="Cambria Math"/>
                  <w:i/>
                </w:rPr>
              </m:ctrlPr>
            </m:fPr>
            <m:num>
              <m:r>
                <w:rPr>
                  <w:rFonts w:ascii="Cambria Math" w:hAnsi="Cambria Math"/>
                </w:rPr>
                <m:t>R1+R2</m:t>
              </m:r>
            </m:num>
            <m:den>
              <m:r>
                <w:rPr>
                  <w:rFonts w:ascii="Cambria Math" w:hAnsi="Cambria Math"/>
                </w:rPr>
                <m:t>2</m:t>
              </m:r>
            </m:den>
          </m:f>
        </m:oMath>
      </m:oMathPara>
    </w:p>
    <w:p w:rsidR="00F73EC2" w:rsidRPr="00D32659" w:rsidRDefault="00F73EC2" w:rsidP="008015B2">
      <w:pPr>
        <w:jc w:val="both"/>
      </w:pPr>
      <m:oMathPara>
        <m:oMath>
          <m:r>
            <w:rPr>
              <w:rFonts w:ascii="Cambria Math" w:hAnsi="Cambria Math"/>
            </w:rPr>
            <m:t xml:space="preserve">hodnocení výnosové situace= </m:t>
          </m:r>
          <m:f>
            <m:fPr>
              <m:ctrlPr>
                <w:rPr>
                  <w:rFonts w:ascii="Cambria Math" w:hAnsi="Cambria Math"/>
                  <w:i/>
                </w:rPr>
              </m:ctrlPr>
            </m:fPr>
            <m:num>
              <m:r>
                <w:rPr>
                  <w:rFonts w:ascii="Cambria Math" w:hAnsi="Cambria Math"/>
                </w:rPr>
                <m:t>R3+R4</m:t>
              </m:r>
            </m:num>
            <m:den>
              <m:r>
                <w:rPr>
                  <w:rFonts w:ascii="Cambria Math" w:hAnsi="Cambria Math"/>
                </w:rPr>
                <m:t>2</m:t>
              </m:r>
            </m:den>
          </m:f>
        </m:oMath>
      </m:oMathPara>
    </w:p>
    <w:p w:rsidR="00F73EC2" w:rsidRPr="00D32659" w:rsidRDefault="00F73EC2" w:rsidP="008015B2">
      <w:pPr>
        <w:jc w:val="both"/>
      </w:pPr>
      <w:r w:rsidRPr="00D32659">
        <w:t>Celkovou finanční situaci podniku zjistíme pomocí vzorce:</w:t>
      </w:r>
    </w:p>
    <w:p w:rsidR="00F73EC2" w:rsidRPr="00D32659" w:rsidRDefault="00F73EC2" w:rsidP="008015B2">
      <w:pPr>
        <w:jc w:val="both"/>
      </w:pPr>
      <m:oMathPara>
        <m:oMath>
          <m:r>
            <w:rPr>
              <w:rFonts w:ascii="Cambria Math" w:hAnsi="Cambria Math"/>
            </w:rPr>
            <m:t xml:space="preserve">Hodnocení finanční situace podniku = </m:t>
          </m:r>
          <m:f>
            <m:fPr>
              <m:ctrlPr>
                <w:rPr>
                  <w:rFonts w:ascii="Cambria Math" w:hAnsi="Cambria Math"/>
                  <w:i/>
                </w:rPr>
              </m:ctrlPr>
            </m:fPr>
            <m:num>
              <m:r>
                <w:rPr>
                  <w:rFonts w:ascii="Cambria Math" w:hAnsi="Cambria Math"/>
                </w:rPr>
                <m:t>R1+R2+R3+R4</m:t>
              </m:r>
            </m:num>
            <m:den>
              <m:r>
                <w:rPr>
                  <w:rFonts w:ascii="Cambria Math" w:hAnsi="Cambria Math"/>
                </w:rPr>
                <m:t>4</m:t>
              </m:r>
            </m:den>
          </m:f>
        </m:oMath>
      </m:oMathPara>
    </w:p>
    <w:p w:rsidR="00F73EC2" w:rsidRPr="00D32659" w:rsidRDefault="00F73EC2" w:rsidP="008015B2">
      <w:pPr>
        <w:pStyle w:val="Bezmezer"/>
        <w:jc w:val="both"/>
        <w:rPr>
          <w:lang w:val="cs-CZ"/>
        </w:rPr>
      </w:pPr>
      <w:r w:rsidRPr="00D32659">
        <w:rPr>
          <w:lang w:val="cs-CZ"/>
        </w:rPr>
        <w:t>Pokud podnik dosahuje tří a vice bodů, pak je jeho situace velice dobrá, pokud ovšem dosahuje jen jednoho bodu nebo dokonce i méně jedná se o podnik, který má velké potíže s hospodařením.</w:t>
      </w:r>
      <w:r w:rsidRPr="00D32659">
        <w:rPr>
          <w:rStyle w:val="Znakapoznpodarou"/>
          <w:lang w:val="cs-CZ"/>
        </w:rPr>
        <w:footnoteReference w:id="49"/>
      </w:r>
    </w:p>
    <w:p w:rsidR="00F73EC2" w:rsidRPr="00D32659" w:rsidRDefault="00F73EC2" w:rsidP="008015B2">
      <w:pPr>
        <w:spacing w:after="0" w:line="240" w:lineRule="auto"/>
        <w:jc w:val="both"/>
        <w:rPr>
          <w:rFonts w:eastAsia="Times New Roman"/>
          <w:b/>
          <w:bCs/>
          <w:szCs w:val="27"/>
          <w:lang w:eastAsia="cs-CZ"/>
        </w:rPr>
      </w:pPr>
      <w:r w:rsidRPr="00D32659">
        <w:rPr>
          <w:rFonts w:eastAsia="Times New Roman"/>
          <w:szCs w:val="27"/>
          <w:lang w:eastAsia="cs-CZ"/>
        </w:rPr>
        <w:br w:type="page"/>
      </w:r>
    </w:p>
    <w:p w:rsidR="00F73EC2" w:rsidRPr="00D32659" w:rsidRDefault="00F73EC2" w:rsidP="008015B2">
      <w:pPr>
        <w:pStyle w:val="Nadpis1"/>
        <w:numPr>
          <w:ilvl w:val="0"/>
          <w:numId w:val="0"/>
        </w:numPr>
        <w:spacing w:after="120"/>
        <w:ind w:firstLine="431"/>
        <w:jc w:val="both"/>
      </w:pPr>
      <w:bookmarkStart w:id="28" w:name="_Toc417564166"/>
      <w:r w:rsidRPr="00D32659">
        <w:lastRenderedPageBreak/>
        <w:t>PRAKTICKÁ ČÁST</w:t>
      </w:r>
      <w:bookmarkEnd w:id="28"/>
    </w:p>
    <w:p w:rsidR="00F73EC2" w:rsidRPr="00D32659" w:rsidRDefault="00F73EC2" w:rsidP="008015B2">
      <w:pPr>
        <w:pStyle w:val="Nadpis1"/>
        <w:spacing w:after="120"/>
        <w:ind w:left="431"/>
        <w:jc w:val="both"/>
      </w:pPr>
      <w:bookmarkStart w:id="29" w:name="_Toc417564167"/>
      <w:r w:rsidRPr="00D32659">
        <w:rPr>
          <w:noProof/>
          <w:lang w:eastAsia="cs-CZ"/>
        </w:rPr>
        <w:drawing>
          <wp:anchor distT="0" distB="0" distL="114300" distR="114300" simplePos="0" relativeHeight="251660288" behindDoc="1" locked="0" layoutInCell="1" allowOverlap="1" wp14:anchorId="0F035C0D" wp14:editId="0EEF27C8">
            <wp:simplePos x="0" y="0"/>
            <wp:positionH relativeFrom="column">
              <wp:posOffset>4308475</wp:posOffset>
            </wp:positionH>
            <wp:positionV relativeFrom="paragraph">
              <wp:posOffset>112395</wp:posOffset>
            </wp:positionV>
            <wp:extent cx="1449070" cy="558165"/>
            <wp:effectExtent l="0" t="0" r="0" b="0"/>
            <wp:wrapThrough wrapText="bothSides">
              <wp:wrapPolygon edited="0">
                <wp:start x="0" y="0"/>
                <wp:lineTo x="0" y="20642"/>
                <wp:lineTo x="21297" y="20642"/>
                <wp:lineTo x="21297" y="0"/>
                <wp:lineTo x="0" y="0"/>
              </wp:wrapPolygon>
            </wp:wrapThrough>
            <wp:docPr id="1" name="Obrázek 1" descr="C:\Users\Vendula\AppData\Local\Microsoft\Windows\INetCache\Content.Word\focam_439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endula\AppData\Local\Microsoft\Windows\INetCache\Content.Word\focam_439557.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9070"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2659">
        <w:t>O společnosti FOCAM, spol. s. r. o.</w:t>
      </w:r>
      <w:bookmarkEnd w:id="29"/>
      <w:r w:rsidRPr="00D32659">
        <w:tab/>
      </w:r>
      <w:r w:rsidRPr="00D32659">
        <w:tab/>
      </w:r>
    </w:p>
    <w:p w:rsidR="00F73EC2" w:rsidRPr="00D32659" w:rsidRDefault="00F73EC2" w:rsidP="008015B2">
      <w:pPr>
        <w:spacing w:after="0" w:line="240" w:lineRule="auto"/>
        <w:jc w:val="both"/>
        <w:rPr>
          <w:b/>
          <w:u w:val="single"/>
        </w:rPr>
      </w:pPr>
    </w:p>
    <w:p w:rsidR="00F73EC2" w:rsidRPr="00D32659" w:rsidRDefault="00F73EC2" w:rsidP="008015B2">
      <w:pPr>
        <w:spacing w:after="0" w:line="240" w:lineRule="auto"/>
        <w:jc w:val="both"/>
        <w:rPr>
          <w:b/>
          <w:u w:val="single"/>
        </w:rPr>
      </w:pPr>
      <w:r w:rsidRPr="00D32659">
        <w:rPr>
          <w:b/>
          <w:u w:val="single"/>
        </w:rPr>
        <w:t>Výpis z obchodního rejstříku:</w:t>
      </w:r>
    </w:p>
    <w:p w:rsidR="00F73EC2" w:rsidRPr="00D32659" w:rsidRDefault="00F73EC2" w:rsidP="008015B2">
      <w:pPr>
        <w:spacing w:after="0" w:line="240" w:lineRule="auto"/>
        <w:jc w:val="both"/>
        <w:rPr>
          <w:b/>
          <w:u w:val="single"/>
        </w:rPr>
      </w:pPr>
    </w:p>
    <w:p w:rsidR="00F73EC2" w:rsidRPr="00D32659" w:rsidRDefault="00F73EC2" w:rsidP="008015B2">
      <w:pPr>
        <w:tabs>
          <w:tab w:val="left" w:pos="2552"/>
        </w:tabs>
        <w:spacing w:after="60" w:line="240" w:lineRule="auto"/>
        <w:jc w:val="both"/>
      </w:pPr>
      <w:r w:rsidRPr="00D32659">
        <w:rPr>
          <w:b/>
        </w:rPr>
        <w:t xml:space="preserve">Název subjektu: </w:t>
      </w:r>
      <w:r w:rsidRPr="00D32659">
        <w:tab/>
        <w:t>FOCAM, spol. s.r.o.</w:t>
      </w:r>
    </w:p>
    <w:p w:rsidR="00F73EC2" w:rsidRPr="00D32659" w:rsidRDefault="00F73EC2" w:rsidP="008015B2">
      <w:pPr>
        <w:tabs>
          <w:tab w:val="left" w:pos="2552"/>
        </w:tabs>
        <w:spacing w:after="60" w:line="240" w:lineRule="auto"/>
        <w:jc w:val="both"/>
      </w:pPr>
      <w:r w:rsidRPr="00D32659">
        <w:rPr>
          <w:b/>
        </w:rPr>
        <w:t>IČO:</w:t>
      </w:r>
      <w:r w:rsidRPr="00D32659">
        <w:tab/>
        <w:t>439 62 696</w:t>
      </w:r>
    </w:p>
    <w:p w:rsidR="00F73EC2" w:rsidRPr="00D32659" w:rsidRDefault="00F73EC2" w:rsidP="008015B2">
      <w:pPr>
        <w:tabs>
          <w:tab w:val="left" w:pos="2552"/>
        </w:tabs>
        <w:spacing w:after="60" w:line="240" w:lineRule="auto"/>
        <w:jc w:val="both"/>
      </w:pPr>
      <w:r w:rsidRPr="00D32659">
        <w:rPr>
          <w:b/>
        </w:rPr>
        <w:t>Sídlo</w:t>
      </w:r>
      <w:r w:rsidRPr="00D32659">
        <w:t xml:space="preserve">: </w:t>
      </w:r>
      <w:r w:rsidRPr="00D32659">
        <w:tab/>
        <w:t>Olomouc, Řepčínská 86, PSČ 77900</w:t>
      </w:r>
    </w:p>
    <w:p w:rsidR="00F73EC2" w:rsidRPr="00D32659" w:rsidRDefault="00F73EC2" w:rsidP="008015B2">
      <w:pPr>
        <w:tabs>
          <w:tab w:val="left" w:pos="2552"/>
        </w:tabs>
        <w:spacing w:after="60" w:line="240" w:lineRule="auto"/>
        <w:jc w:val="both"/>
      </w:pPr>
      <w:r w:rsidRPr="00D32659">
        <w:rPr>
          <w:b/>
        </w:rPr>
        <w:t>Datum vzniku:</w:t>
      </w:r>
      <w:r w:rsidRPr="00D32659">
        <w:rPr>
          <w:b/>
        </w:rPr>
        <w:tab/>
      </w:r>
      <w:r w:rsidRPr="00D32659">
        <w:t>28. Listopadu 1991</w:t>
      </w:r>
    </w:p>
    <w:p w:rsidR="00F73EC2" w:rsidRPr="00D32659" w:rsidRDefault="00F73EC2" w:rsidP="008015B2">
      <w:pPr>
        <w:tabs>
          <w:tab w:val="left" w:pos="2552"/>
        </w:tabs>
        <w:spacing w:after="60" w:line="240" w:lineRule="auto"/>
        <w:jc w:val="both"/>
      </w:pPr>
      <w:r w:rsidRPr="00D32659">
        <w:rPr>
          <w:b/>
        </w:rPr>
        <w:t xml:space="preserve">Právní forma: </w:t>
      </w:r>
      <w:r w:rsidRPr="00D32659">
        <w:tab/>
        <w:t>Společnost s ručením omezeným</w:t>
      </w:r>
    </w:p>
    <w:p w:rsidR="00F73EC2" w:rsidRPr="00D32659" w:rsidRDefault="00F73EC2" w:rsidP="008015B2">
      <w:pPr>
        <w:tabs>
          <w:tab w:val="left" w:pos="2552"/>
        </w:tabs>
        <w:spacing w:after="60" w:line="240" w:lineRule="auto"/>
        <w:jc w:val="both"/>
      </w:pPr>
      <w:r w:rsidRPr="00D32659">
        <w:rPr>
          <w:b/>
        </w:rPr>
        <w:t>Předmět podnikání:</w:t>
      </w:r>
      <w:r w:rsidRPr="00D32659">
        <w:tab/>
        <w:t>- výroba a prodej strojírenských součástí</w:t>
      </w:r>
    </w:p>
    <w:p w:rsidR="00F73EC2" w:rsidRPr="00D32659" w:rsidRDefault="00F73EC2" w:rsidP="008015B2">
      <w:pPr>
        <w:tabs>
          <w:tab w:val="left" w:pos="2552"/>
        </w:tabs>
        <w:spacing w:after="60" w:line="240" w:lineRule="auto"/>
        <w:jc w:val="both"/>
      </w:pPr>
      <w:r w:rsidRPr="00D32659">
        <w:tab/>
        <w:t>- vývoj technologie výroby odlitků</w:t>
      </w:r>
    </w:p>
    <w:p w:rsidR="00F73EC2" w:rsidRPr="00D32659" w:rsidRDefault="00F73EC2" w:rsidP="008015B2">
      <w:pPr>
        <w:tabs>
          <w:tab w:val="left" w:pos="2552"/>
        </w:tabs>
        <w:spacing w:after="60" w:line="240" w:lineRule="auto"/>
        <w:ind w:left="2124"/>
        <w:jc w:val="both"/>
      </w:pPr>
      <w:r w:rsidRPr="00D32659">
        <w:tab/>
        <w:t xml:space="preserve">- poskytování technických informací a projektů v oblasti </w:t>
      </w:r>
    </w:p>
    <w:p w:rsidR="00F73EC2" w:rsidRPr="00D32659" w:rsidRDefault="00F73EC2" w:rsidP="008015B2">
      <w:pPr>
        <w:tabs>
          <w:tab w:val="left" w:pos="2552"/>
        </w:tabs>
        <w:spacing w:after="60" w:line="240" w:lineRule="auto"/>
        <w:ind w:left="2124"/>
        <w:jc w:val="both"/>
      </w:pPr>
      <w:r w:rsidRPr="00D32659">
        <w:t>slévárenství a strojírenství</w:t>
      </w:r>
    </w:p>
    <w:p w:rsidR="00F73EC2" w:rsidRPr="00D32659" w:rsidRDefault="00F73EC2" w:rsidP="008015B2">
      <w:pPr>
        <w:tabs>
          <w:tab w:val="left" w:pos="2552"/>
        </w:tabs>
        <w:spacing w:after="60" w:line="240" w:lineRule="auto"/>
        <w:jc w:val="both"/>
      </w:pPr>
      <w:r w:rsidRPr="00D32659">
        <w:rPr>
          <w:b/>
        </w:rPr>
        <w:t>Základní kapitál:</w:t>
      </w:r>
      <w:r w:rsidRPr="00D32659">
        <w:tab/>
        <w:t xml:space="preserve">100 000 Kč </w:t>
      </w:r>
      <w:r w:rsidRPr="00D32659">
        <w:rPr>
          <w:rStyle w:val="Znakapoznpodarou"/>
        </w:rPr>
        <w:footnoteReference w:id="50"/>
      </w:r>
    </w:p>
    <w:p w:rsidR="00F73EC2" w:rsidRPr="00D32659" w:rsidRDefault="00F73EC2" w:rsidP="008015B2">
      <w:pPr>
        <w:tabs>
          <w:tab w:val="left" w:pos="2552"/>
        </w:tabs>
        <w:spacing w:after="0" w:line="240" w:lineRule="auto"/>
        <w:jc w:val="both"/>
      </w:pPr>
    </w:p>
    <w:p w:rsidR="00F73EC2" w:rsidRPr="00D32659" w:rsidRDefault="00F73EC2" w:rsidP="008015B2">
      <w:pPr>
        <w:tabs>
          <w:tab w:val="left" w:pos="2552"/>
        </w:tabs>
        <w:spacing w:after="0" w:line="240" w:lineRule="auto"/>
        <w:jc w:val="both"/>
      </w:pPr>
    </w:p>
    <w:p w:rsidR="00F73EC2" w:rsidRPr="00D32659" w:rsidRDefault="00F73EC2" w:rsidP="008015B2">
      <w:pPr>
        <w:tabs>
          <w:tab w:val="left" w:pos="2552"/>
        </w:tabs>
        <w:spacing w:after="0" w:line="240" w:lineRule="auto"/>
        <w:jc w:val="both"/>
        <w:rPr>
          <w:b/>
          <w:u w:val="single"/>
        </w:rPr>
      </w:pPr>
      <w:r w:rsidRPr="00D32659">
        <w:rPr>
          <w:b/>
          <w:u w:val="single"/>
        </w:rPr>
        <w:t>Výpis z živnostenského rejstříku:</w:t>
      </w:r>
    </w:p>
    <w:p w:rsidR="00F73EC2" w:rsidRPr="00D32659" w:rsidRDefault="00F73EC2" w:rsidP="008015B2">
      <w:pPr>
        <w:tabs>
          <w:tab w:val="left" w:pos="2552"/>
        </w:tabs>
        <w:spacing w:after="0" w:line="240" w:lineRule="auto"/>
        <w:jc w:val="both"/>
        <w:rPr>
          <w:b/>
          <w:u w:val="single"/>
        </w:rPr>
      </w:pPr>
    </w:p>
    <w:p w:rsidR="00F73EC2" w:rsidRPr="00D32659" w:rsidRDefault="00F73EC2" w:rsidP="008015B2">
      <w:pPr>
        <w:tabs>
          <w:tab w:val="left" w:pos="2552"/>
        </w:tabs>
        <w:spacing w:after="0" w:line="240" w:lineRule="auto"/>
        <w:jc w:val="both"/>
        <w:rPr>
          <w:b/>
        </w:rPr>
      </w:pPr>
      <w:r w:rsidRPr="00D32659">
        <w:rPr>
          <w:b/>
        </w:rPr>
        <w:t>Živnostenské oprávnění č. 1:</w:t>
      </w:r>
    </w:p>
    <w:p w:rsidR="00F73EC2" w:rsidRPr="00D32659" w:rsidRDefault="00F73EC2" w:rsidP="008015B2">
      <w:pPr>
        <w:tabs>
          <w:tab w:val="left" w:pos="2552"/>
        </w:tabs>
        <w:spacing w:after="0" w:line="240" w:lineRule="auto"/>
        <w:jc w:val="both"/>
        <w:rPr>
          <w:b/>
        </w:rPr>
      </w:pPr>
    </w:p>
    <w:p w:rsidR="00F73EC2" w:rsidRPr="00D32659" w:rsidRDefault="00F73EC2" w:rsidP="008015B2">
      <w:pPr>
        <w:tabs>
          <w:tab w:val="left" w:pos="2552"/>
        </w:tabs>
        <w:spacing w:after="60" w:line="240" w:lineRule="auto"/>
        <w:jc w:val="both"/>
      </w:pPr>
      <w:r w:rsidRPr="00D32659">
        <w:t xml:space="preserve">Předmět podnikání: </w:t>
      </w:r>
      <w:r w:rsidRPr="00D32659">
        <w:tab/>
        <w:t>Slévárenství, modelářství</w:t>
      </w:r>
    </w:p>
    <w:p w:rsidR="00F73EC2" w:rsidRPr="00D32659" w:rsidRDefault="00F73EC2" w:rsidP="008015B2">
      <w:pPr>
        <w:tabs>
          <w:tab w:val="left" w:pos="2552"/>
        </w:tabs>
        <w:spacing w:after="60" w:line="240" w:lineRule="auto"/>
        <w:jc w:val="both"/>
      </w:pPr>
      <w:r w:rsidRPr="00D32659">
        <w:t>Druh živnosti:</w:t>
      </w:r>
      <w:r w:rsidRPr="00D32659">
        <w:tab/>
        <w:t>Ohlašovací řemesla</w:t>
      </w:r>
    </w:p>
    <w:p w:rsidR="00F73EC2" w:rsidRPr="00D32659" w:rsidRDefault="00F73EC2" w:rsidP="008015B2">
      <w:pPr>
        <w:tabs>
          <w:tab w:val="left" w:pos="2552"/>
        </w:tabs>
        <w:spacing w:after="60" w:line="240" w:lineRule="auto"/>
        <w:jc w:val="both"/>
      </w:pPr>
      <w:r w:rsidRPr="00D32659">
        <w:t xml:space="preserve">Vznik oprávnění: </w:t>
      </w:r>
      <w:r w:rsidRPr="00D32659">
        <w:tab/>
        <w:t>15. října 1992</w:t>
      </w:r>
    </w:p>
    <w:p w:rsidR="00F73EC2" w:rsidRPr="00D32659" w:rsidRDefault="00F73EC2" w:rsidP="008015B2">
      <w:pPr>
        <w:tabs>
          <w:tab w:val="left" w:pos="2552"/>
        </w:tabs>
        <w:spacing w:after="120" w:line="240" w:lineRule="auto"/>
        <w:jc w:val="both"/>
      </w:pPr>
    </w:p>
    <w:p w:rsidR="00F73EC2" w:rsidRPr="00D32659" w:rsidRDefault="00F73EC2" w:rsidP="008015B2">
      <w:pPr>
        <w:tabs>
          <w:tab w:val="left" w:pos="2552"/>
        </w:tabs>
        <w:spacing w:after="0" w:line="240" w:lineRule="auto"/>
        <w:jc w:val="both"/>
        <w:rPr>
          <w:b/>
        </w:rPr>
      </w:pPr>
      <w:r w:rsidRPr="00D32659">
        <w:rPr>
          <w:b/>
        </w:rPr>
        <w:t>Živnostenské oprávnění č. 1:</w:t>
      </w:r>
    </w:p>
    <w:p w:rsidR="00F73EC2" w:rsidRPr="00D32659" w:rsidRDefault="00F73EC2" w:rsidP="008015B2">
      <w:pPr>
        <w:tabs>
          <w:tab w:val="left" w:pos="2552"/>
        </w:tabs>
        <w:spacing w:after="0" w:line="240" w:lineRule="auto"/>
        <w:jc w:val="both"/>
        <w:rPr>
          <w:b/>
        </w:rPr>
      </w:pPr>
    </w:p>
    <w:p w:rsidR="00F73EC2" w:rsidRPr="00D32659" w:rsidRDefault="00F73EC2" w:rsidP="008015B2">
      <w:pPr>
        <w:tabs>
          <w:tab w:val="left" w:pos="2127"/>
          <w:tab w:val="left" w:pos="2552"/>
        </w:tabs>
        <w:spacing w:after="60" w:line="240" w:lineRule="auto"/>
        <w:ind w:left="2124" w:hanging="2124"/>
        <w:jc w:val="both"/>
      </w:pPr>
      <w:r w:rsidRPr="00D32659">
        <w:t xml:space="preserve">Předmět podnikání: </w:t>
      </w:r>
      <w:r w:rsidRPr="00D32659">
        <w:tab/>
      </w:r>
      <w:r w:rsidRPr="00D32659">
        <w:tab/>
      </w:r>
      <w:r w:rsidRPr="00D32659">
        <w:tab/>
        <w:t>Výroba, obchod a služby neuvedené v přílohách 1 až 3 živnostenského zákona.</w:t>
      </w:r>
    </w:p>
    <w:p w:rsidR="00F73EC2" w:rsidRPr="00D32659" w:rsidRDefault="00F73EC2" w:rsidP="008015B2">
      <w:pPr>
        <w:tabs>
          <w:tab w:val="left" w:pos="2552"/>
        </w:tabs>
        <w:spacing w:after="60" w:line="240" w:lineRule="auto"/>
        <w:jc w:val="both"/>
      </w:pPr>
      <w:r w:rsidRPr="00D32659">
        <w:t xml:space="preserve">Obory činnosti: </w:t>
      </w:r>
      <w:r w:rsidRPr="00D32659">
        <w:tab/>
        <w:t>zprostředkovatelská činnost v oblasti obchodu a služeb</w:t>
      </w:r>
    </w:p>
    <w:p w:rsidR="00F73EC2" w:rsidRPr="00D32659" w:rsidRDefault="00F73EC2" w:rsidP="008015B2">
      <w:pPr>
        <w:tabs>
          <w:tab w:val="left" w:pos="2552"/>
        </w:tabs>
        <w:spacing w:after="60" w:line="240" w:lineRule="auto"/>
        <w:jc w:val="both"/>
      </w:pPr>
      <w:r w:rsidRPr="00D32659">
        <w:tab/>
        <w:t>koupě zboží za účelem jeho dalšího prodeje a prodej</w:t>
      </w:r>
    </w:p>
    <w:p w:rsidR="00F73EC2" w:rsidRPr="00D32659" w:rsidRDefault="00F73EC2" w:rsidP="008015B2">
      <w:pPr>
        <w:tabs>
          <w:tab w:val="left" w:pos="2552"/>
        </w:tabs>
        <w:spacing w:after="60" w:line="240" w:lineRule="auto"/>
        <w:jc w:val="both"/>
      </w:pPr>
      <w:r w:rsidRPr="00D32659">
        <w:t xml:space="preserve">Druh živnosti: </w:t>
      </w:r>
      <w:r w:rsidRPr="00D32659">
        <w:tab/>
        <w:t>Ohlašovací volná</w:t>
      </w:r>
    </w:p>
    <w:p w:rsidR="00F73EC2" w:rsidRPr="00D32659" w:rsidRDefault="00F73EC2" w:rsidP="008015B2">
      <w:pPr>
        <w:tabs>
          <w:tab w:val="left" w:pos="2552"/>
        </w:tabs>
        <w:spacing w:after="60" w:line="240" w:lineRule="auto"/>
        <w:jc w:val="both"/>
      </w:pPr>
      <w:r w:rsidRPr="00D32659">
        <w:t>Vznik oprávnění:</w:t>
      </w:r>
      <w:r w:rsidRPr="00D32659">
        <w:tab/>
        <w:t>28. listopadu 1991</w:t>
      </w:r>
      <w:r w:rsidRPr="00D32659">
        <w:rPr>
          <w:rStyle w:val="Znakapoznpodarou"/>
        </w:rPr>
        <w:footnoteReference w:id="51"/>
      </w:r>
      <w:r w:rsidRPr="00D32659">
        <w:br/>
      </w:r>
    </w:p>
    <w:p w:rsidR="00F73EC2" w:rsidRPr="00D32659" w:rsidRDefault="00F73EC2" w:rsidP="008015B2">
      <w:pPr>
        <w:tabs>
          <w:tab w:val="left" w:pos="2552"/>
        </w:tabs>
        <w:spacing w:after="0" w:line="240" w:lineRule="auto"/>
        <w:jc w:val="both"/>
      </w:pPr>
      <w:r w:rsidRPr="00D32659">
        <w:t>Společnost FOCAM, spol. s.r.o. (dále jen pouze jako „Focam“), která byla zapsána do obchodního rejstříku již v roce 1991 a sídlí v Olomouci, navazuje na čtyřiceti letou slévárenskou tradici původní vývojové dílny. Hlavním předmětem podnikání firmy Focam je málo a středně sériová výroba odlitků (prototypy, náběhy výrob, náhradní díly). Hlavní náplní výroby jsou odlitky z tvárných, šedých a legovaných litin a oceli.</w:t>
      </w:r>
      <w:r w:rsidRPr="00D32659">
        <w:rPr>
          <w:rStyle w:val="Znakapoznpodarou"/>
        </w:rPr>
        <w:footnoteReference w:id="52"/>
      </w:r>
    </w:p>
    <w:p w:rsidR="00F73EC2" w:rsidRPr="00D32659" w:rsidRDefault="00F73EC2" w:rsidP="008015B2">
      <w:pPr>
        <w:pStyle w:val="Nadpis1"/>
        <w:jc w:val="both"/>
      </w:pPr>
      <w:bookmarkStart w:id="30" w:name="_Toc417564168"/>
      <w:r w:rsidRPr="00D32659">
        <w:lastRenderedPageBreak/>
        <w:t>Finanční analýza společnosti FOCAM, spol. s. r. o.</w:t>
      </w:r>
      <w:bookmarkEnd w:id="30"/>
    </w:p>
    <w:p w:rsidR="00F73EC2" w:rsidRPr="00D32659" w:rsidRDefault="00F73EC2" w:rsidP="008015B2">
      <w:pPr>
        <w:pStyle w:val="Nadpis2"/>
        <w:jc w:val="both"/>
      </w:pPr>
      <w:bookmarkStart w:id="31" w:name="_Toc417564169"/>
      <w:r w:rsidRPr="00D32659">
        <w:t>Analýza absolutních ukazatelů</w:t>
      </w:r>
      <w:bookmarkEnd w:id="31"/>
    </w:p>
    <w:p w:rsidR="00F73EC2" w:rsidRPr="00D32659" w:rsidRDefault="00F73EC2" w:rsidP="008015B2">
      <w:pPr>
        <w:pStyle w:val="Nadpis3"/>
        <w:jc w:val="both"/>
      </w:pPr>
      <w:bookmarkStart w:id="32" w:name="_Toc417564170"/>
      <w:r w:rsidRPr="00D32659">
        <w:t>Horizontální analýza aktiv</w:t>
      </w:r>
      <w:bookmarkEnd w:id="32"/>
    </w:p>
    <w:p w:rsidR="006A77B6" w:rsidRPr="00D32659" w:rsidRDefault="006A77B6" w:rsidP="008015B2">
      <w:pPr>
        <w:pStyle w:val="Bezmezer"/>
        <w:jc w:val="both"/>
        <w:rPr>
          <w:lang w:val="cs-CZ"/>
        </w:rPr>
      </w:pPr>
    </w:p>
    <w:p w:rsidR="00F73EC2" w:rsidRPr="00D32659" w:rsidRDefault="00F73EC2" w:rsidP="008015B2">
      <w:pPr>
        <w:pStyle w:val="Bezmezer"/>
        <w:jc w:val="both"/>
        <w:rPr>
          <w:b/>
          <w:lang w:val="cs-CZ"/>
        </w:rPr>
      </w:pPr>
      <w:r w:rsidRPr="00D32659">
        <w:rPr>
          <w:b/>
          <w:lang w:val="cs-CZ"/>
        </w:rPr>
        <w:t>Graf č. 1: Horizont</w:t>
      </w:r>
      <w:r w:rsidR="006A77B6" w:rsidRPr="00D32659">
        <w:rPr>
          <w:b/>
          <w:lang w:val="cs-CZ"/>
        </w:rPr>
        <w:t>ální analýza aktiv v roce 2009 až</w:t>
      </w:r>
      <w:r w:rsidRPr="00D32659">
        <w:rPr>
          <w:b/>
          <w:lang w:val="cs-CZ"/>
        </w:rPr>
        <w:t xml:space="preserve"> 2013</w:t>
      </w:r>
    </w:p>
    <w:p w:rsidR="006A77B6" w:rsidRPr="00D32659" w:rsidRDefault="00F73EC2" w:rsidP="008015B2">
      <w:pPr>
        <w:jc w:val="both"/>
        <w:rPr>
          <w:i/>
          <w:sz w:val="20"/>
          <w:szCs w:val="20"/>
        </w:rPr>
      </w:pPr>
      <w:r w:rsidRPr="00D32659">
        <w:rPr>
          <w:noProof/>
          <w:lang w:eastAsia="cs-CZ"/>
        </w:rPr>
        <w:drawing>
          <wp:inline distT="0" distB="0" distL="0" distR="0" wp14:anchorId="7A12C5E0" wp14:editId="3D3E1FE1">
            <wp:extent cx="5305647" cy="1892595"/>
            <wp:effectExtent l="0" t="0" r="9525" b="127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6A77B6" w:rsidRPr="00D32659">
        <w:rPr>
          <w:i/>
          <w:sz w:val="20"/>
          <w:szCs w:val="20"/>
        </w:rPr>
        <w:t xml:space="preserve"> </w:t>
      </w:r>
      <w:r w:rsidRPr="00D32659">
        <w:rPr>
          <w:i/>
          <w:sz w:val="20"/>
          <w:szCs w:val="20"/>
        </w:rPr>
        <w:t>Pramen: Vlastní zpracování na základě účetních výkazů podniku</w:t>
      </w:r>
      <w:r w:rsidR="006A77B6" w:rsidRPr="00D32659">
        <w:rPr>
          <w:i/>
          <w:sz w:val="20"/>
          <w:szCs w:val="20"/>
        </w:rPr>
        <w:t>.</w:t>
      </w:r>
    </w:p>
    <w:p w:rsidR="00F73EC2" w:rsidRPr="00D32659" w:rsidRDefault="00F73EC2" w:rsidP="008015B2">
      <w:pPr>
        <w:jc w:val="both"/>
      </w:pPr>
      <w:r w:rsidRPr="00D32659">
        <w:t>Z grafu č.</w:t>
      </w:r>
      <w:r w:rsidR="006A77B6" w:rsidRPr="00D32659">
        <w:t xml:space="preserve"> </w:t>
      </w:r>
      <w:r w:rsidRPr="00D32659">
        <w:t>1</w:t>
      </w:r>
      <w:r w:rsidR="006A77B6" w:rsidRPr="00D32659">
        <w:t>,</w:t>
      </w:r>
      <w:r w:rsidRPr="00D32659">
        <w:t xml:space="preserve"> je vidět jednoznačný trend sledovaného období ve formě meziročního poklesu hodnoty aktiv. Tento trend započal mezi lety 2010 a 2011 a to hned nejvýznamnějším s</w:t>
      </w:r>
      <w:r w:rsidR="006A77B6" w:rsidRPr="00D32659">
        <w:t>n</w:t>
      </w:r>
      <w:r w:rsidRPr="00D32659">
        <w:t>ížením o 21,2 %, což je více než 4 a půl milionu korun. V následujících letech se aktiva p</w:t>
      </w:r>
      <w:r w:rsidR="006A77B6" w:rsidRPr="00D32659">
        <w:t xml:space="preserve">odniku dále snižovala, ale již </w:t>
      </w:r>
      <w:r w:rsidRPr="00D32659">
        <w:t>s klesající tendencí.</w:t>
      </w:r>
    </w:p>
    <w:p w:rsidR="00F73EC2" w:rsidRPr="00D32659" w:rsidRDefault="00F73EC2" w:rsidP="008015B2">
      <w:pPr>
        <w:jc w:val="both"/>
      </w:pPr>
      <w:r w:rsidRPr="00D32659">
        <w:t xml:space="preserve">Hodnoty dlouhodobého hmotného majetku mezi lety 2009 a 2010 výrazně vzrostly a to hned o 105,3 %, což bylo způsobeno výstavbou nové výrobní </w:t>
      </w:r>
      <w:r w:rsidR="006A77B6" w:rsidRPr="00D32659">
        <w:t>haly.</w:t>
      </w:r>
      <w:r w:rsidRPr="00D32659">
        <w:t xml:space="preserve">  V každém dalším roce docházelo ke snižování hodnoty dlouhodobého hmotného maj</w:t>
      </w:r>
      <w:r w:rsidR="006A77B6" w:rsidRPr="00D32659">
        <w:t>etku, který je způsoben jeho odepisováním</w:t>
      </w:r>
      <w:r w:rsidRPr="00D32659">
        <w:t>. Společnost nevlastní žádný dlouhodobý nehmotný a finanční majetek.</w:t>
      </w:r>
    </w:p>
    <w:p w:rsidR="00F73EC2" w:rsidRPr="00D32659" w:rsidRDefault="00F73EC2" w:rsidP="008015B2">
      <w:pPr>
        <w:jc w:val="both"/>
      </w:pPr>
      <w:r w:rsidRPr="00D32659">
        <w:t>Oběžná aktiva, jak je opět patrné z grafu č. 1, v prvním roce sledovaného období vzrostla o 4,9 % a v následujících letech, stejně jako dlouhodobá aktiva, postupně klesala. Nejrazantnější pokles nastal mezi lety 2011 a 2012 a to o celých 14,5 %. Vývoj hodnoty zásob jen potvrzuje trend navýšení v pr</w:t>
      </w:r>
      <w:r w:rsidR="006A77B6" w:rsidRPr="00D32659">
        <w:t>v</w:t>
      </w:r>
      <w:r w:rsidRPr="00D32659">
        <w:t>ním roce a nás</w:t>
      </w:r>
      <w:r w:rsidR="006A77B6" w:rsidRPr="00D32659">
        <w:t>ledného, i když jen mírného, sni</w:t>
      </w:r>
      <w:r w:rsidRPr="00D32659">
        <w:t>žování. V prvním roce společnost zaznamenala</w:t>
      </w:r>
      <w:r w:rsidR="006A77B6" w:rsidRPr="00D32659">
        <w:t xml:space="preserve"> masivní nárůst zásob o 43,9 %. </w:t>
      </w:r>
      <w:r w:rsidR="000F7258" w:rsidRPr="00D32659">
        <w:t>V dalších</w:t>
      </w:r>
      <w:r w:rsidRPr="00D32659">
        <w:t xml:space="preserve"> letech byla hodnota zásob relativně stabilní, i když s mírnou klesající tendencí. Krátkodobé pohledávky, jako jedny z mála, zaznamenaly v prvním roce pokles o 21,3 %. Mezi roky 2010 - 2012 firma zaznamenala další snižování jejich hodnoty. Až v roce 2013 došlo k jejich navýšení o 9,6 %. Krátkodobý finanční majetek zaznamenal v prvním roce enor</w:t>
      </w:r>
      <w:r w:rsidR="006A77B6" w:rsidRPr="00D32659">
        <w:t xml:space="preserve">mní nárůst a to o 543,3 %. V </w:t>
      </w:r>
      <w:r w:rsidRPr="00D32659">
        <w:t>dalším roce hodnota finančního majetku opět vzrostla o 50 %. Mezi lety 2011-2013 jejich hodnota, klesala. Společnost nevlastní žádné dlouhodobé pohledávky.</w:t>
      </w:r>
    </w:p>
    <w:p w:rsidR="00F73EC2" w:rsidRPr="00D32659" w:rsidRDefault="00F73EC2" w:rsidP="008015B2">
      <w:pPr>
        <w:jc w:val="both"/>
      </w:pPr>
      <w:r w:rsidRPr="00D32659">
        <w:t>Položka časově rozlišených aktiv je vůči bilanční sumě zanedbatelně malá.</w:t>
      </w:r>
    </w:p>
    <w:p w:rsidR="00F73EC2" w:rsidRPr="00D32659" w:rsidRDefault="00F73EC2" w:rsidP="008015B2">
      <w:pPr>
        <w:spacing w:after="0" w:line="240" w:lineRule="auto"/>
        <w:jc w:val="both"/>
      </w:pPr>
      <w:r w:rsidRPr="00D32659">
        <w:br w:type="page"/>
      </w:r>
    </w:p>
    <w:p w:rsidR="00F73EC2" w:rsidRPr="00D32659" w:rsidRDefault="00F73EC2" w:rsidP="008015B2">
      <w:pPr>
        <w:pStyle w:val="Nadpis3"/>
        <w:jc w:val="both"/>
      </w:pPr>
      <w:bookmarkStart w:id="33" w:name="_Toc417564171"/>
      <w:r w:rsidRPr="00D32659">
        <w:lastRenderedPageBreak/>
        <w:t>Horizontální analýza pasiv</w:t>
      </w:r>
      <w:bookmarkEnd w:id="33"/>
    </w:p>
    <w:p w:rsidR="006A77B6" w:rsidRPr="00D32659" w:rsidRDefault="006A77B6" w:rsidP="008015B2">
      <w:pPr>
        <w:pStyle w:val="Bezmezer"/>
        <w:jc w:val="both"/>
        <w:rPr>
          <w:lang w:val="cs-CZ"/>
        </w:rPr>
      </w:pPr>
    </w:p>
    <w:p w:rsidR="00F73EC2" w:rsidRPr="00D32659" w:rsidRDefault="00F73EC2" w:rsidP="008015B2">
      <w:pPr>
        <w:pStyle w:val="Bezmezer"/>
        <w:jc w:val="both"/>
        <w:rPr>
          <w:b/>
          <w:lang w:val="cs-CZ"/>
        </w:rPr>
      </w:pPr>
      <w:r w:rsidRPr="00D32659">
        <w:rPr>
          <w:b/>
          <w:lang w:val="cs-CZ"/>
        </w:rPr>
        <w:t>Graf č. 2: Horizontální analýza pasiv</w:t>
      </w:r>
      <w:r w:rsidR="006A77B6" w:rsidRPr="00D32659">
        <w:rPr>
          <w:b/>
          <w:lang w:val="cs-CZ"/>
        </w:rPr>
        <w:t xml:space="preserve"> v roce 2009 až 2013</w:t>
      </w:r>
    </w:p>
    <w:p w:rsidR="006A77B6" w:rsidRPr="00D32659" w:rsidRDefault="00F73EC2" w:rsidP="008015B2">
      <w:pPr>
        <w:jc w:val="both"/>
        <w:rPr>
          <w:i/>
          <w:sz w:val="20"/>
          <w:szCs w:val="20"/>
        </w:rPr>
      </w:pPr>
      <w:r w:rsidRPr="00D32659">
        <w:rPr>
          <w:noProof/>
          <w:lang w:eastAsia="cs-CZ"/>
        </w:rPr>
        <w:drawing>
          <wp:inline distT="0" distB="0" distL="0" distR="0" wp14:anchorId="1E51F789" wp14:editId="499204C8">
            <wp:extent cx="5326912" cy="1860697"/>
            <wp:effectExtent l="0" t="0" r="26670" b="2540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6A77B6" w:rsidRPr="00D32659">
        <w:rPr>
          <w:i/>
          <w:sz w:val="20"/>
          <w:szCs w:val="20"/>
        </w:rPr>
        <w:t xml:space="preserve"> Pramen: Vlastní zpracování na základě účetních výkazů podniku.</w:t>
      </w:r>
    </w:p>
    <w:p w:rsidR="00F73EC2" w:rsidRPr="00D32659" w:rsidRDefault="00F73EC2" w:rsidP="008015B2">
      <w:pPr>
        <w:jc w:val="both"/>
      </w:pPr>
      <w:r w:rsidRPr="00D32659">
        <w:t>Jelikož bilanční rovnice vyžaduje, aby se hodnota aktiv rovnala hodnotě pasiv, je logické, že vývoj celkových pasiv ve sledovaném období bude naprosto totožný s vývojem aktiv. A proto, i jak je vidět i z grafu č. 2, se hodnota celkových pasiv nejprve zvýšila, a to o 43,9 % a v dalších letech se postupně snižovala.</w:t>
      </w:r>
    </w:p>
    <w:p w:rsidR="00F73EC2" w:rsidRPr="00D32659" w:rsidRDefault="00F73EC2" w:rsidP="008015B2">
      <w:pPr>
        <w:jc w:val="both"/>
      </w:pPr>
      <w:r w:rsidRPr="00D32659">
        <w:t>Vlastního kapitál v celém sledovaném o</w:t>
      </w:r>
      <w:r w:rsidR="006A77B6" w:rsidRPr="00D32659">
        <w:t>bdobí mírně rostl, i když s kles</w:t>
      </w:r>
      <w:r w:rsidRPr="00D32659">
        <w:t>ající tendencí. Hodnota základního kapitálu a rezervního fondu, nedělitelného fondu a ostatních fondů ze zisku se v celém sledovaném období nezměnila. V roce 2010 došlo k relativnímu nárůstu výsledku hospodaření běžného účetního období o 62,7 % a společnost dosáhla nejvyššího zisku za sledované období, a to ve výši 737 000 korun. V dalším roce 2010 klesl výsledek hospodaření o 96 tisíc koru</w:t>
      </w:r>
      <w:r w:rsidR="006A77B6" w:rsidRPr="00D32659">
        <w:t>n</w:t>
      </w:r>
      <w:r w:rsidRPr="00D32659">
        <w:t>, což je asi 13 % pokles. V roce 2011 došlo k největšímu poklesu výsledku hospodaření běžného období. Relativní pokles je roven celých 80 %</w:t>
      </w:r>
      <w:r w:rsidR="006A77B6" w:rsidRPr="00D32659">
        <w:t>, což je největší pokles v obdob</w:t>
      </w:r>
      <w:r w:rsidRPr="00D32659">
        <w:t>í, v absolutním měřítku se jedná o 509 tisíc korun na pouhých 132 tisíc. V posledním roce výsledek hospodaření opět klesl a opět šlo o dost radikální pokles o 71,9 %, V posledním roce 2013 tedy společnost vykázala výsledek hospodaření po zdanění 37 000 korun.</w:t>
      </w:r>
    </w:p>
    <w:p w:rsidR="003B7A28" w:rsidRPr="00D32659" w:rsidRDefault="00F73EC2" w:rsidP="008015B2">
      <w:pPr>
        <w:jc w:val="both"/>
      </w:pPr>
      <w:r w:rsidRPr="00D32659">
        <w:t>Cizí zdroje nejprve stouply, ale v dalších letech začaly klesat. Největší propad zaznamenaly v roce 2012, kdy došlo k relativnímu poklesu o 79,4 %. Rok 2010 byl jediným rokem, kdy cizí zdroje vzrostly a to markantně o 85,44 %, což v absolutní hodnotě znamená vzrůst o více než 5 a půl milionu korun. Krátkodobé závazky jen potvrzují trend, který pozorujeme v průběhu celé horizontální analýzy. V roce 2010 zaznamenala společnost nárůst krátkodobých závazků o 112,8 % a následný pokles jak v roce 2011, 2012, tak i v roce 2013. V průběhu období krátkodobé závazky klesaly i s</w:t>
      </w:r>
      <w:r w:rsidR="006A77B6" w:rsidRPr="00D32659">
        <w:t>toupaly, ale po srovnání začátk</w:t>
      </w:r>
      <w:r w:rsidRPr="00D32659">
        <w:t>u a konce sledovaného období, krátkodobé závazky relativně klesly j</w:t>
      </w:r>
      <w:r w:rsidR="006A77B6" w:rsidRPr="00D32659">
        <w:t>en o 0,9 %, a to ze 4 173 tis. korun na</w:t>
      </w:r>
      <w:r w:rsidRPr="00D32659">
        <w:t xml:space="preserve"> 4 137 tis. korun. </w:t>
      </w:r>
    </w:p>
    <w:p w:rsidR="00F73EC2" w:rsidRPr="00D32659" w:rsidRDefault="00F73EC2" w:rsidP="008015B2">
      <w:pPr>
        <w:jc w:val="both"/>
      </w:pPr>
      <w:r w:rsidRPr="00D32659">
        <w:t>Položk</w:t>
      </w:r>
      <w:r w:rsidR="006A77B6" w:rsidRPr="00D32659">
        <w:t>a časové rozlišení pasiv je vůči</w:t>
      </w:r>
      <w:r w:rsidRPr="00D32659">
        <w:t xml:space="preserve"> bilanční sumě zanedbatelná.</w:t>
      </w:r>
    </w:p>
    <w:p w:rsidR="00F73EC2" w:rsidRPr="00D32659" w:rsidRDefault="00F73EC2" w:rsidP="008015B2">
      <w:pPr>
        <w:spacing w:after="0" w:line="240" w:lineRule="auto"/>
        <w:jc w:val="both"/>
      </w:pPr>
      <w:r w:rsidRPr="00D32659">
        <w:br w:type="page"/>
      </w:r>
    </w:p>
    <w:p w:rsidR="00F73EC2" w:rsidRPr="00D32659" w:rsidRDefault="00F73EC2" w:rsidP="008015B2">
      <w:pPr>
        <w:pStyle w:val="Nadpis3"/>
        <w:jc w:val="both"/>
      </w:pPr>
      <w:bookmarkStart w:id="34" w:name="_Toc417564172"/>
      <w:r w:rsidRPr="00D32659">
        <w:lastRenderedPageBreak/>
        <w:t>Horizontální analýza výkazu zisku a ztrát</w:t>
      </w:r>
      <w:bookmarkEnd w:id="34"/>
    </w:p>
    <w:p w:rsidR="00F73EC2" w:rsidRPr="00D32659" w:rsidRDefault="00F73EC2" w:rsidP="008015B2">
      <w:pPr>
        <w:pStyle w:val="Nadpis3"/>
        <w:numPr>
          <w:ilvl w:val="0"/>
          <w:numId w:val="0"/>
        </w:numPr>
        <w:ind w:left="720"/>
        <w:jc w:val="both"/>
      </w:pPr>
    </w:p>
    <w:p w:rsidR="00F73EC2" w:rsidRPr="00D32659" w:rsidRDefault="00F73EC2" w:rsidP="008015B2">
      <w:pPr>
        <w:pStyle w:val="Bezmezer"/>
        <w:jc w:val="both"/>
        <w:rPr>
          <w:b/>
          <w:lang w:val="cs-CZ"/>
        </w:rPr>
      </w:pPr>
      <w:r w:rsidRPr="00D32659">
        <w:rPr>
          <w:b/>
          <w:lang w:val="cs-CZ"/>
        </w:rPr>
        <w:t xml:space="preserve">Graf č. 3: </w:t>
      </w:r>
      <w:r w:rsidR="006A77B6" w:rsidRPr="00D32659">
        <w:rPr>
          <w:b/>
          <w:lang w:val="cs-CZ"/>
        </w:rPr>
        <w:t>Horizontální analýza výkazu zisku a ztrát v roce 2009 až 2013</w:t>
      </w:r>
    </w:p>
    <w:p w:rsidR="006A77B6" w:rsidRPr="00D32659" w:rsidRDefault="00F73EC2" w:rsidP="008015B2">
      <w:pPr>
        <w:jc w:val="both"/>
      </w:pPr>
      <w:r w:rsidRPr="00D32659">
        <w:rPr>
          <w:noProof/>
          <w:lang w:eastAsia="cs-CZ"/>
        </w:rPr>
        <w:drawing>
          <wp:inline distT="0" distB="0" distL="0" distR="0" wp14:anchorId="3B96008D" wp14:editId="049FE7BC">
            <wp:extent cx="5029200" cy="2137145"/>
            <wp:effectExtent l="0" t="0" r="19050" b="1587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6A77B6" w:rsidRPr="00D32659">
        <w:t xml:space="preserve">        </w:t>
      </w:r>
      <w:r w:rsidR="006A77B6" w:rsidRPr="00D32659">
        <w:rPr>
          <w:i/>
          <w:sz w:val="20"/>
          <w:szCs w:val="20"/>
        </w:rPr>
        <w:t>Pramen: Vlastní zpracování na základě účetních výkazů podniku.</w:t>
      </w:r>
    </w:p>
    <w:p w:rsidR="00F73EC2" w:rsidRPr="00D32659" w:rsidRDefault="00F73EC2" w:rsidP="008015B2">
      <w:pPr>
        <w:jc w:val="both"/>
      </w:pPr>
      <w:r w:rsidRPr="00D32659">
        <w:t>Tržby za prodej zboží byly nejvyšší v roce 2009, kdy dosáhly výše 1 693 tis. korun a nejnižší byly hned v následujícím roce, kvůli poklesu o 39,4 % na 1 026 tis. korun. V každém dalším roce tržby stoupaly cca v průměru o 15 %. Náklady na prodané zboží se v prvních dvou letech vyvíjely stejně jako tržby. Od roku 2011 – 2013 měly náklady klesající tendenci</w:t>
      </w:r>
      <w:r w:rsidR="00476703" w:rsidRPr="00D32659">
        <w:t>,</w:t>
      </w:r>
      <w:r w:rsidRPr="00D32659">
        <w:t xml:space="preserve"> až dosáhly nejnižší hodnoty v roce 2013.</w:t>
      </w:r>
      <w:r w:rsidR="00476703" w:rsidRPr="00D32659">
        <w:t xml:space="preserve"> </w:t>
      </w:r>
      <w:r w:rsidRPr="00D32659">
        <w:t>Jelikož náklady na prodej zboží měly klesající tendenci a tržby stoupající, obchodní marže ve sledovaném období stoupala. Největší nárůst společnost zaznamenala v roce 2012, kdy oproti minulému roku vzrostla o 143,4 %.</w:t>
      </w:r>
    </w:p>
    <w:p w:rsidR="00F73EC2" w:rsidRPr="00D32659" w:rsidRDefault="00F73EC2" w:rsidP="008015B2">
      <w:pPr>
        <w:jc w:val="both"/>
      </w:pPr>
      <w:r w:rsidRPr="00D32659">
        <w:t>Výkony v celém období střídavě klesaly a rostly. Nejnižší byli v roce 2010, kdy klesly na 19 170 tis. Kč, aby v následujícím roce 2011 vzrostly o 43,8 % na svou nejvyšší hodnotu 27 422 tis. Kč. Výkonová spotř</w:t>
      </w:r>
      <w:r w:rsidR="00D14174" w:rsidRPr="00D32659">
        <w:t>eba rostla a klesala velice</w:t>
      </w:r>
      <w:r w:rsidRPr="00D32659">
        <w:t xml:space="preserve"> pod</w:t>
      </w:r>
      <w:r w:rsidR="00D14174" w:rsidRPr="00D32659">
        <w:t>o</w:t>
      </w:r>
      <w:r w:rsidRPr="00D32659">
        <w:t>bně jako výkony. Nejnižší hodnotu společnost zaznamenala stejně jako u</w:t>
      </w:r>
      <w:r w:rsidR="00D14174" w:rsidRPr="00D32659">
        <w:t xml:space="preserve"> </w:t>
      </w:r>
      <w:r w:rsidRPr="00D32659">
        <w:t>výkonů v roce 2010, kdy b</w:t>
      </w:r>
      <w:r w:rsidR="00D14174" w:rsidRPr="00D32659">
        <w:t>yla jejich hodnota na 12 560 ti</w:t>
      </w:r>
      <w:r w:rsidRPr="00D32659">
        <w:t>s. Kč a v následujícím roce opět stoupla o 51,1 %, což je v absolutním vyjádření 18 980 tis. Kč. V ostatních letech výkonová potřeba střídavě klesala a rostla.</w:t>
      </w:r>
      <w:r w:rsidRPr="00D32659">
        <w:tab/>
      </w:r>
    </w:p>
    <w:p w:rsidR="00F73EC2" w:rsidRPr="00D32659" w:rsidRDefault="00F73EC2" w:rsidP="008015B2">
      <w:pPr>
        <w:jc w:val="both"/>
      </w:pPr>
      <w:r w:rsidRPr="00D32659">
        <w:t>Přidaná hodnota byla v prvních dvou letech 2009 a 2010 relativně stabilní. V následujících letech se její hodnota střídavě snižovala a zvyšovala vždy zhruba o 25 %. Celkově se za sledované období přidaná hodnota zvýšila o 21,3 %</w:t>
      </w:r>
      <w:r w:rsidR="006A77B6" w:rsidRPr="00D32659">
        <w:t>m a to</w:t>
      </w:r>
      <w:r w:rsidRPr="00D32659">
        <w:t xml:space="preserve"> z</w:t>
      </w:r>
      <w:r w:rsidR="006A77B6" w:rsidRPr="00D32659">
        <w:t>e</w:t>
      </w:r>
      <w:r w:rsidRPr="00D32659">
        <w:t> 7 012 tis. Kč na konečných 8 503 tis. Kč.</w:t>
      </w:r>
    </w:p>
    <w:p w:rsidR="00F73EC2" w:rsidRPr="00D32659" w:rsidRDefault="00F73EC2" w:rsidP="008015B2">
      <w:pPr>
        <w:jc w:val="both"/>
      </w:pPr>
      <w:r w:rsidRPr="00D32659">
        <w:t>Osobní náklady společnosti se také v průběhu sledovaného období průběžně snižovaly a zvyšovaly a stejně jako v předchozích případech byly nejnižší v roce 2010 a následně stouply na svou nejvyšší hodnotu ve sledovaném období o 27,3 % v roce 2011. Ostatní provozní výnosy a ostatní provozní náklady se v průběhu celého období postupně snižovaly</w:t>
      </w:r>
      <w:r w:rsidR="00D14174" w:rsidRPr="00D32659">
        <w:t>, až dosáhly s</w:t>
      </w:r>
      <w:r w:rsidRPr="00D32659">
        <w:t>vého minima.</w:t>
      </w:r>
    </w:p>
    <w:p w:rsidR="00F73EC2" w:rsidRPr="00D32659" w:rsidRDefault="00F73EC2" w:rsidP="008015B2">
      <w:pPr>
        <w:jc w:val="both"/>
      </w:pPr>
      <w:r w:rsidRPr="00D32659">
        <w:t>Provozní výsledek hospodaření byl sice v každém roce kladný a v roce 2010 dokonce zaznamenal nárůst o 53,28 %, a to z</w:t>
      </w:r>
      <w:r w:rsidR="00D14174" w:rsidRPr="00D32659">
        <w:t>e</w:t>
      </w:r>
      <w:r w:rsidRPr="00D32659">
        <w:t> 717 tis. Kč na 1 099 tis. Kč, ale ve všech dalších letech sledovaného období vždy klesal. V roce 2011 klesl jen on 10 %, ale v dalších dvou letech byl propad mnohem větší, nejprve klesl o 63 % a následně o 60 % na své minimum v období, což je v absolutní hodnotě 145 tis. Kč.</w:t>
      </w:r>
    </w:p>
    <w:p w:rsidR="00F73EC2" w:rsidRPr="00D32659" w:rsidRDefault="00F73EC2" w:rsidP="008015B2">
      <w:pPr>
        <w:jc w:val="both"/>
      </w:pPr>
      <w:r w:rsidRPr="00D32659">
        <w:lastRenderedPageBreak/>
        <w:t>Jelikož finanční výnosy byly v celém sledovaném období nižší než finanční náklady, je finanční výsledek hospodaření ve všech letech záporný. Výnosy i náklady měli zároveň v celém období klesající tendenci, a proto i finanční výsledek hospodaření byl v roce 2009 nejnižší -180 tis. Kč a v posledním roce 2013 byl naopak nejvyšší, celkem činil -96 tis. Kč.</w:t>
      </w:r>
    </w:p>
    <w:p w:rsidR="00F73EC2" w:rsidRPr="00D32659" w:rsidRDefault="00F73EC2" w:rsidP="008015B2">
      <w:pPr>
        <w:jc w:val="both"/>
      </w:pPr>
      <w:r w:rsidRPr="00D32659">
        <w:t>Výsledek hospodaření za účetní období byl ve všech letech kladný, což je vidět i z grafu č. 3. V roce 2010 zaznamenala společnost velký nárůst o 62,7 % z částky 453 tis. Kč na 737 tis. Kč. To byl taky poslední nárůst výsledku hospodaření, který společnost zaznamenala. V každém dalším roc</w:t>
      </w:r>
      <w:r w:rsidR="009047F1" w:rsidRPr="00D32659">
        <w:t>e sledovaného období hospodářsk</w:t>
      </w:r>
      <w:r w:rsidRPr="00D32659">
        <w:t>ý výsledek klesal. Nejrazantnější pokles byl zaznamenán v roce 2012, kdy se výsledek hospodaření změnil o</w:t>
      </w:r>
      <w:r w:rsidR="009047F1" w:rsidRPr="00D32659">
        <w:t xml:space="preserve"> 79,6 %</w:t>
      </w:r>
      <w:r w:rsidRPr="00D32659">
        <w:t>, což je v absolutní hodnotě 623 tis. Kč. To, že výsledek hospodaření neustále klesá, není sice žádný ukazatel, ale rozhodně to podnik nestaví do nejlepšího světla.</w:t>
      </w:r>
    </w:p>
    <w:p w:rsidR="00F73EC2" w:rsidRPr="00D32659" w:rsidRDefault="00F73EC2" w:rsidP="008015B2">
      <w:pPr>
        <w:pStyle w:val="Nadpis3"/>
        <w:jc w:val="both"/>
      </w:pPr>
      <w:bookmarkStart w:id="35" w:name="_Toc417564173"/>
      <w:r w:rsidRPr="00D32659">
        <w:t>Vertikální analýza aktiv</w:t>
      </w:r>
      <w:bookmarkEnd w:id="35"/>
    </w:p>
    <w:p w:rsidR="00F73EC2" w:rsidRPr="00D32659" w:rsidRDefault="00F73EC2" w:rsidP="008015B2">
      <w:pPr>
        <w:pStyle w:val="Bezmezer"/>
        <w:jc w:val="both"/>
        <w:rPr>
          <w:lang w:val="cs-CZ"/>
        </w:rPr>
      </w:pPr>
    </w:p>
    <w:p w:rsidR="00F73EC2" w:rsidRPr="00D32659" w:rsidRDefault="00F73EC2" w:rsidP="008015B2">
      <w:pPr>
        <w:pStyle w:val="Bezmezer"/>
        <w:jc w:val="both"/>
        <w:rPr>
          <w:b/>
          <w:lang w:val="cs-CZ"/>
        </w:rPr>
      </w:pPr>
      <w:r w:rsidRPr="00D32659">
        <w:rPr>
          <w:b/>
          <w:lang w:val="cs-CZ"/>
        </w:rPr>
        <w:t xml:space="preserve">Graf č. 4: </w:t>
      </w:r>
      <w:r w:rsidR="00D14174" w:rsidRPr="00D32659">
        <w:rPr>
          <w:b/>
          <w:lang w:val="cs-CZ"/>
        </w:rPr>
        <w:t>Vertikální analýza aktiv v roce 2009 až 2013</w:t>
      </w:r>
    </w:p>
    <w:p w:rsidR="00D14174" w:rsidRPr="00D32659" w:rsidRDefault="00F73EC2" w:rsidP="008015B2">
      <w:pPr>
        <w:jc w:val="both"/>
      </w:pPr>
      <w:r w:rsidRPr="00D32659">
        <w:rPr>
          <w:noProof/>
          <w:lang w:eastAsia="cs-CZ"/>
        </w:rPr>
        <w:drawing>
          <wp:inline distT="0" distB="0" distL="0" distR="0" wp14:anchorId="51EBBE39" wp14:editId="5BED666C">
            <wp:extent cx="5156791" cy="2094614"/>
            <wp:effectExtent l="0" t="0" r="25400" b="2032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D14174" w:rsidRPr="00D32659">
        <w:t xml:space="preserve">     </w:t>
      </w:r>
      <w:r w:rsidR="00D14174" w:rsidRPr="00D32659">
        <w:rPr>
          <w:i/>
          <w:sz w:val="20"/>
          <w:szCs w:val="20"/>
        </w:rPr>
        <w:t>Pramen: Vlastní zpracování na základě účetních výkazů podniku.</w:t>
      </w:r>
    </w:p>
    <w:p w:rsidR="00F73EC2" w:rsidRPr="00D32659" w:rsidRDefault="00F73EC2" w:rsidP="008015B2">
      <w:pPr>
        <w:jc w:val="both"/>
      </w:pPr>
      <w:r w:rsidRPr="00D32659">
        <w:t>Z grafu č. 4 je patrné, že podíl dlouhodobého majetku a oběžných aktiv na celkové sumě aktiv byl zhruba stejný, kromě roku 2010 měli o pár procent větší podíl oběžná aktiva. V roce 2009 byly položkou s největší hodnotou, mezi aktivy, krátkodobé pohledávky. Jejich hodnota byla rovna 44,2 % z celkové sumy aktiv. Ve všech dalších letech měly krátkodobé pohledávky nejvyšší hodnotu jen mezi oběžnými aktivy a jejich hodnota se pohybovala mezi 24 % a 33 % bilanční sumy. Druhý největší podíl na oběžných aktivech mají zásoby. Podíl zásob na sumě aktiv v čase průběžně rostl od 15,7 % až k 20 %. Krátkodobý finanční majetek společnosti měl na bilanční s</w:t>
      </w:r>
      <w:r w:rsidR="00E515A9" w:rsidRPr="00D32659">
        <w:t>umě nejmenší podíl, co se oběžný</w:t>
      </w:r>
      <w:r w:rsidRPr="00D32659">
        <w:t>ch aktiv týče. V pr</w:t>
      </w:r>
      <w:r w:rsidR="00E515A9" w:rsidRPr="00D32659">
        <w:t>v</w:t>
      </w:r>
      <w:r w:rsidRPr="00D32659">
        <w:t>ních třech letech jeho podíl pomalu stoupal od 1 % k 8 %, ale v roce 2012 klesl na 4 % a v roce 2013 klesl dokonce až na -0,28 %. Společnost neměla v evidenci žádné dlouhodobé pohledávky.</w:t>
      </w:r>
    </w:p>
    <w:p w:rsidR="00F73EC2" w:rsidRPr="00D32659" w:rsidRDefault="00F73EC2" w:rsidP="008015B2">
      <w:pPr>
        <w:jc w:val="both"/>
      </w:pPr>
      <w:r w:rsidRPr="00D32659">
        <w:t>Z dlouhodobého majetku měl největší podíl, ve všech sledovaných letech, dlouhodobý hmotný majetek. Od roku 2010 měl dokonce největší podíl na bilanční sumě vůbec. Konk</w:t>
      </w:r>
      <w:r w:rsidR="00D14174" w:rsidRPr="00D32659">
        <w:t>r</w:t>
      </w:r>
      <w:r w:rsidRPr="00D32659">
        <w:t>étně to v roce 2010 bylo 55,5 %, což je i celková suma dlouhodobého majetku, jelikož v tomto roce společnost neeviduje žádný jiný dlouhodobý majetek. V dalších letech podíl na sumě aktiv postupně rostl, v roce 2011 byl podíl 43,</w:t>
      </w:r>
      <w:r w:rsidR="00E515A9" w:rsidRPr="00D32659">
        <w:t xml:space="preserve">5 %, v roce 2012 47 % a v roce </w:t>
      </w:r>
      <w:r w:rsidRPr="00D32659">
        <w:t xml:space="preserve">2013 46,2 %. Dlouhodobý nehmotný majetek společnost začala evidovat až v roce </w:t>
      </w:r>
      <w:r w:rsidR="00D14174" w:rsidRPr="00D32659">
        <w:t>2011.</w:t>
      </w:r>
      <w:r w:rsidRPr="00D32659">
        <w:t xml:space="preserve"> I tak podíl na </w:t>
      </w:r>
      <w:r w:rsidRPr="00D32659">
        <w:lastRenderedPageBreak/>
        <w:t>celkové sumě aktiv byl malý ve všech letech okolo 1 %. Dlouhodobý finanční majetek firma nevlastní.</w:t>
      </w:r>
    </w:p>
    <w:p w:rsidR="00F73EC2" w:rsidRPr="00D32659" w:rsidRDefault="00F73EC2" w:rsidP="008015B2">
      <w:pPr>
        <w:jc w:val="both"/>
      </w:pPr>
      <w:r w:rsidRPr="00D32659">
        <w:t>Pod časovým rozlišení</w:t>
      </w:r>
      <w:r w:rsidR="00D14174" w:rsidRPr="00D32659">
        <w:t>m</w:t>
      </w:r>
      <w:r w:rsidRPr="00D32659">
        <w:t xml:space="preserve"> aktiv společnost eviduje hlavně náklady příštích období, která ve sledovaném období měla největší podíl v roce 2012 a to celkem 0,5 %.</w:t>
      </w:r>
    </w:p>
    <w:p w:rsidR="00F73EC2" w:rsidRPr="00D32659" w:rsidRDefault="00D14174" w:rsidP="008015B2">
      <w:pPr>
        <w:pStyle w:val="Nadpis3"/>
        <w:jc w:val="both"/>
      </w:pPr>
      <w:bookmarkStart w:id="36" w:name="_Toc417564174"/>
      <w:r w:rsidRPr="00D32659">
        <w:t>Vertikální analý</w:t>
      </w:r>
      <w:r w:rsidR="00F73EC2" w:rsidRPr="00D32659">
        <w:t>za pasiv</w:t>
      </w:r>
      <w:bookmarkEnd w:id="36"/>
    </w:p>
    <w:p w:rsidR="00F73EC2" w:rsidRPr="00D32659" w:rsidRDefault="00F73EC2" w:rsidP="008015B2">
      <w:pPr>
        <w:pStyle w:val="Nadpis3"/>
        <w:numPr>
          <w:ilvl w:val="0"/>
          <w:numId w:val="0"/>
        </w:numPr>
        <w:ind w:left="720"/>
        <w:jc w:val="both"/>
      </w:pPr>
    </w:p>
    <w:p w:rsidR="00F73EC2" w:rsidRPr="00D32659" w:rsidRDefault="00F73EC2" w:rsidP="008015B2">
      <w:pPr>
        <w:pStyle w:val="Bezmezer"/>
        <w:jc w:val="both"/>
        <w:rPr>
          <w:b/>
          <w:lang w:val="cs-CZ"/>
        </w:rPr>
      </w:pPr>
      <w:r w:rsidRPr="00D32659">
        <w:rPr>
          <w:b/>
          <w:lang w:val="cs-CZ"/>
        </w:rPr>
        <w:t>Graf č.</w:t>
      </w:r>
      <w:r w:rsidR="00D14174" w:rsidRPr="00D32659">
        <w:rPr>
          <w:b/>
          <w:lang w:val="cs-CZ"/>
        </w:rPr>
        <w:t xml:space="preserve"> </w:t>
      </w:r>
      <w:r w:rsidRPr="00D32659">
        <w:rPr>
          <w:b/>
          <w:lang w:val="cs-CZ"/>
        </w:rPr>
        <w:t>5</w:t>
      </w:r>
      <w:r w:rsidR="00D14174" w:rsidRPr="00D32659">
        <w:rPr>
          <w:b/>
          <w:lang w:val="cs-CZ"/>
        </w:rPr>
        <w:t>: Vertikální analýza pasiv v roce 2009 až 2013</w:t>
      </w:r>
    </w:p>
    <w:p w:rsidR="00D14174" w:rsidRPr="00D32659" w:rsidRDefault="00F73EC2" w:rsidP="008015B2">
      <w:pPr>
        <w:jc w:val="both"/>
      </w:pPr>
      <w:r w:rsidRPr="00D32659">
        <w:rPr>
          <w:noProof/>
          <w:lang w:eastAsia="cs-CZ"/>
        </w:rPr>
        <w:drawing>
          <wp:inline distT="0" distB="0" distL="0" distR="0" wp14:anchorId="7155006E" wp14:editId="64FE6A2E">
            <wp:extent cx="5105400" cy="234315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D14174" w:rsidRPr="00D32659">
        <w:t xml:space="preserve">       </w:t>
      </w:r>
      <w:r w:rsidR="00D14174" w:rsidRPr="00D32659">
        <w:rPr>
          <w:i/>
          <w:sz w:val="20"/>
          <w:szCs w:val="20"/>
        </w:rPr>
        <w:t>Pramen: Vlastní zpracování na základě účetních výkazů podniku.</w:t>
      </w:r>
    </w:p>
    <w:p w:rsidR="00F73EC2" w:rsidRPr="00D32659" w:rsidRDefault="00F73EC2" w:rsidP="008015B2">
      <w:pPr>
        <w:jc w:val="both"/>
      </w:pPr>
      <w:r w:rsidRPr="00D32659">
        <w:t>Ve všech letech, kromě roku 2010, tvořil vlastní kapitál větší podíl na celkové sumě pasiv než cizí zdroje. Jinak řečeno, podnik kryl svůj majetek více vlastním kapitálem. Největší podíl na vlastním kapitálu tvoří výsledek hospodaření minulých let. V roce 2013 měl výsledek hospodaření minulých let podíl 55,6 % bilanční sumy, nejmenší podíl má v roce 2010, kdy podíl tvořil 27,1 %. Rezervní fondy, nedělitelný fond a ostatní fondy ze zisku se pochybují mezi 10,3 % a 15,8 %. Výsledek hospodaření běžného účetního období se na celkové sumě pasiv podílel v prvních třech letech více než 3 % a v dalších dvou byl podíl menší než 1 %. Nejmenší podíl, z vlastního kapitálu, tvořil základní kapitál, v každém roce je to zhruba 0,6 %. Společnost neeviduje žádn</w:t>
      </w:r>
      <w:r w:rsidR="00D14174" w:rsidRPr="00D32659">
        <w:t>é</w:t>
      </w:r>
      <w:r w:rsidRPr="00D32659">
        <w:t xml:space="preserve"> kapitálové fondy.</w:t>
      </w:r>
    </w:p>
    <w:p w:rsidR="00F73EC2" w:rsidRPr="00D32659" w:rsidRDefault="00F73EC2" w:rsidP="008015B2">
      <w:pPr>
        <w:jc w:val="both"/>
      </w:pPr>
      <w:r w:rsidRPr="00D32659">
        <w:t>Strukturu cizích zdrojů tvoří z největší části krátkodobé závazky. V letech 2009,11, 12 a 13 byl podíl vždy okolo 29 %. Ale v roce 2010 byl podíl navýšen</w:t>
      </w:r>
      <w:r w:rsidR="00D14174" w:rsidRPr="00D32659">
        <w:t xml:space="preserve"> na 41,7 %. Druhou položkou cizí</w:t>
      </w:r>
      <w:r w:rsidRPr="00D32659">
        <w:t>ch zdrojů jsou bankovní úvěry a výpomoci, které mají v prvních třech letech vysoký podíl od 15 % do 17 %. V roce 2012 se podíl snížil na pouhých 9,8 % a v roce 2013 se snížil ještě víc na 0,8 % bilanční sumy. Společnost neměla žádné rezervy, ani dlouhodobé závazky.</w:t>
      </w:r>
    </w:p>
    <w:p w:rsidR="00F73EC2" w:rsidRPr="00D32659" w:rsidRDefault="00F73EC2" w:rsidP="008015B2">
      <w:pPr>
        <w:jc w:val="both"/>
      </w:pPr>
      <w:r w:rsidRPr="00D32659">
        <w:t>Časové rozlišení pasiv podnik eviduje pouze v roce 2011, ve kterém s</w:t>
      </w:r>
      <w:r w:rsidR="00D14174" w:rsidRPr="00D32659">
        <w:t>e podílí</w:t>
      </w:r>
      <w:r w:rsidRPr="00D32659">
        <w:t xml:space="preserve"> na bilanční sumě 0,3 %.</w:t>
      </w:r>
    </w:p>
    <w:p w:rsidR="00F73EC2" w:rsidRPr="00D32659" w:rsidRDefault="00F73EC2" w:rsidP="008015B2">
      <w:pPr>
        <w:pStyle w:val="Nadpis3"/>
        <w:jc w:val="both"/>
      </w:pPr>
      <w:bookmarkStart w:id="37" w:name="_Toc417564175"/>
      <w:r w:rsidRPr="00D32659">
        <w:t>Vertikální analýza výkazu zisku a ztrát</w:t>
      </w:r>
      <w:bookmarkEnd w:id="37"/>
    </w:p>
    <w:p w:rsidR="00F73EC2" w:rsidRPr="00D32659" w:rsidRDefault="00F73EC2" w:rsidP="008015B2">
      <w:pPr>
        <w:pStyle w:val="Bezmezer"/>
        <w:jc w:val="both"/>
        <w:rPr>
          <w:lang w:val="cs-CZ"/>
        </w:rPr>
      </w:pPr>
    </w:p>
    <w:p w:rsidR="00F73EC2" w:rsidRPr="00D32659" w:rsidRDefault="00F73EC2" w:rsidP="008015B2">
      <w:pPr>
        <w:jc w:val="both"/>
      </w:pPr>
      <w:r w:rsidRPr="00D32659">
        <w:t xml:space="preserve">Tržby za prodej zboží se v období pohybovaly mezi 4 % až 7,3 % celkových výnosů, což nebyl nijak výrazný podíl. Náklady vynaložené na prodej zboží na to byly velice podobně a jejich podíl se pohyboval mezi 3,3 % a 6,1 %. Obchodní marže, která se spočítá jako rozdíl </w:t>
      </w:r>
      <w:r w:rsidRPr="00D32659">
        <w:lastRenderedPageBreak/>
        <w:t>mezi tržbami a náklady za prodané zboží, se pohybuje ve sledovaném období v rozmezí 0,9 % až 2,8 %.</w:t>
      </w:r>
    </w:p>
    <w:p w:rsidR="00F73EC2" w:rsidRPr="00D32659" w:rsidRDefault="00F73EC2" w:rsidP="008015B2">
      <w:pPr>
        <w:jc w:val="both"/>
      </w:pPr>
      <w:r w:rsidRPr="00D32659">
        <w:t>Výkony měly zdaleka největší podíl na celkovém výnosu. V prvních tř</w:t>
      </w:r>
      <w:r w:rsidR="00FC3C29" w:rsidRPr="00D32659">
        <w:t>ech letech se podíl zvyšoval od</w:t>
      </w:r>
      <w:r w:rsidRPr="00D32659">
        <w:t xml:space="preserve"> 92,7 % až k 96 %. V roce 2012 klesl podíl na 93,9 %, kde se udržela i v roce 2013. Výkonová spotřeba byla ve všech letech sledovaného období relativně stabilní okolo 64 % na celkovém výnosu. Přidaná hodnota byla v sledovaném období taky stabilní a pohybovala se mezi 30 % a 33 % výnosů.</w:t>
      </w:r>
    </w:p>
    <w:p w:rsidR="00F73EC2" w:rsidRPr="00D32659" w:rsidRDefault="00F73EC2" w:rsidP="008015B2">
      <w:pPr>
        <w:jc w:val="both"/>
      </w:pPr>
      <w:r w:rsidRPr="00D32659">
        <w:t xml:space="preserve">Podíl osobních nákladů za pět let nezaznamenal nijak velké výkyvy. V prvních dvou letech mírně klesal z 31,6 % na </w:t>
      </w:r>
      <w:r w:rsidR="00D14174" w:rsidRPr="00D32659">
        <w:t>29,4 % a dalších dvou naopak nep</w:t>
      </w:r>
      <w:r w:rsidRPr="00D32659">
        <w:t>atrně stoupl na 33 %. Ostatní provozní výnosy ve všech pěti letech oscilovaly okolo 7 % a nezaznamenaly nijak významný výkyv stejně jako ostatní provozní náklady, které se pohybovaly okolo 1,5 %. Provozní výsledek hospodaření od roku 2010 postupně klesal. V roce 2010 byl jeho podíl 5,4 %a klesal až do roku 2013, kdy dosahoval 0,6 % výnosů.</w:t>
      </w:r>
    </w:p>
    <w:p w:rsidR="00F73EC2" w:rsidRPr="00D32659" w:rsidRDefault="00F73EC2" w:rsidP="008015B2">
      <w:pPr>
        <w:jc w:val="both"/>
      </w:pPr>
      <w:r w:rsidRPr="00D32659">
        <w:t xml:space="preserve">Dalšími méně významnými položkami jsou ostatní finanční výnosy a náklady. Ve sledovaném období byly finanční náklady vždy o něco vyšší než finanční výnosy, z čehož vyplývá, že finanční výsledek hospodaření byl v letech 2009 až 2012 vždy záporný. Finanční výnosy, v žádném roce, nedosahovaly ani 1 % podílu, zatím co finanční náklady se pohybovaly právě okolo 1 %. Výjimkou je rok 2013, kdy společnost neevidovala žádné finanční výnosy ani náklady. </w:t>
      </w:r>
    </w:p>
    <w:p w:rsidR="00F73EC2" w:rsidRPr="00D32659" w:rsidRDefault="00F73EC2" w:rsidP="008015B2">
      <w:pPr>
        <w:jc w:val="both"/>
      </w:pPr>
      <w:r w:rsidRPr="00D32659">
        <w:t>Výsledek hospodaření za účetní období byl ve všech sledovaných letech</w:t>
      </w:r>
      <w:r w:rsidR="006A52BD" w:rsidRPr="00D32659">
        <w:t xml:space="preserve"> kladný. V roce 2010 byl jeho p</w:t>
      </w:r>
      <w:r w:rsidRPr="00D32659">
        <w:t>odíl na výnosech největší a to 3,7 % a nejnižší byl v roce 2013, kdy dosahoval 0,14 %.</w:t>
      </w:r>
    </w:p>
    <w:p w:rsidR="006A52BD" w:rsidRPr="00D32659" w:rsidRDefault="006A52BD" w:rsidP="008015B2">
      <w:pPr>
        <w:pStyle w:val="Nadpis2"/>
        <w:jc w:val="both"/>
      </w:pPr>
      <w:bookmarkStart w:id="38" w:name="_Toc417564176"/>
      <w:r w:rsidRPr="00D32659">
        <w:t>Analýza poměrových ukazatelů</w:t>
      </w:r>
      <w:bookmarkEnd w:id="38"/>
    </w:p>
    <w:p w:rsidR="006A52BD" w:rsidRPr="00D32659" w:rsidRDefault="006A52BD" w:rsidP="008015B2">
      <w:pPr>
        <w:pStyle w:val="Nadpis3"/>
        <w:jc w:val="both"/>
      </w:pPr>
      <w:bookmarkStart w:id="39" w:name="_Toc417564177"/>
      <w:r w:rsidRPr="00D32659">
        <w:t>Ukazatel likvidity</w:t>
      </w:r>
      <w:bookmarkEnd w:id="39"/>
    </w:p>
    <w:p w:rsidR="006A52BD" w:rsidRPr="00D32659" w:rsidRDefault="006A52BD" w:rsidP="008015B2">
      <w:pPr>
        <w:pStyle w:val="Bezmezer"/>
        <w:jc w:val="both"/>
        <w:rPr>
          <w:lang w:val="cs-CZ"/>
        </w:rPr>
      </w:pPr>
    </w:p>
    <w:p w:rsidR="006A52BD" w:rsidRPr="00D32659" w:rsidRDefault="006A52BD" w:rsidP="008015B2">
      <w:pPr>
        <w:pStyle w:val="Bezmezer"/>
        <w:jc w:val="both"/>
        <w:rPr>
          <w:b/>
          <w:lang w:val="cs-CZ"/>
        </w:rPr>
      </w:pPr>
      <w:r w:rsidRPr="00D32659">
        <w:rPr>
          <w:b/>
          <w:lang w:val="cs-CZ"/>
        </w:rPr>
        <w:t xml:space="preserve">Tabulka č. </w:t>
      </w:r>
      <w:r w:rsidR="00F86291" w:rsidRPr="00D32659">
        <w:rPr>
          <w:b/>
          <w:lang w:val="cs-CZ"/>
        </w:rPr>
        <w:t>1: Hodnoty ukazatele likvidity</w:t>
      </w:r>
    </w:p>
    <w:tbl>
      <w:tblPr>
        <w:tblW w:w="7920" w:type="dxa"/>
        <w:tblInd w:w="55" w:type="dxa"/>
        <w:tblCellMar>
          <w:left w:w="70" w:type="dxa"/>
          <w:right w:w="70" w:type="dxa"/>
        </w:tblCellMar>
        <w:tblLook w:val="04A0" w:firstRow="1" w:lastRow="0" w:firstColumn="1" w:lastColumn="0" w:noHBand="0" w:noVBand="1"/>
      </w:tblPr>
      <w:tblGrid>
        <w:gridCol w:w="3220"/>
        <w:gridCol w:w="940"/>
        <w:gridCol w:w="940"/>
        <w:gridCol w:w="940"/>
        <w:gridCol w:w="940"/>
        <w:gridCol w:w="940"/>
      </w:tblGrid>
      <w:tr w:rsidR="004820AC" w:rsidRPr="00D32659" w:rsidTr="004820AC">
        <w:trPr>
          <w:trHeight w:val="435"/>
        </w:trPr>
        <w:tc>
          <w:tcPr>
            <w:tcW w:w="3220" w:type="dxa"/>
            <w:tcBorders>
              <w:top w:val="single" w:sz="8" w:space="0" w:color="auto"/>
              <w:left w:val="single" w:sz="8" w:space="0" w:color="auto"/>
              <w:bottom w:val="single" w:sz="8" w:space="0" w:color="auto"/>
              <w:right w:val="single" w:sz="8" w:space="0" w:color="auto"/>
            </w:tcBorders>
            <w:shd w:val="clear" w:color="000000" w:fill="8DB4E2"/>
            <w:noWrap/>
            <w:vAlign w:val="center"/>
            <w:hideMark/>
          </w:tcPr>
          <w:p w:rsidR="004820AC" w:rsidRPr="00D32659" w:rsidRDefault="004820AC" w:rsidP="008015B2">
            <w:pPr>
              <w:spacing w:after="0" w:line="240" w:lineRule="auto"/>
              <w:jc w:val="both"/>
              <w:rPr>
                <w:rFonts w:eastAsia="Times New Roman"/>
                <w:b/>
                <w:bCs/>
                <w:szCs w:val="23"/>
                <w:lang w:eastAsia="cs-CZ"/>
              </w:rPr>
            </w:pPr>
            <w:r w:rsidRPr="00D32659">
              <w:rPr>
                <w:rFonts w:eastAsia="Times New Roman"/>
                <w:b/>
                <w:bCs/>
                <w:szCs w:val="23"/>
                <w:lang w:eastAsia="cs-CZ"/>
              </w:rPr>
              <w:t>Ukazatel likvidity</w:t>
            </w:r>
          </w:p>
        </w:tc>
        <w:tc>
          <w:tcPr>
            <w:tcW w:w="940" w:type="dxa"/>
            <w:tcBorders>
              <w:top w:val="single" w:sz="8" w:space="0" w:color="auto"/>
              <w:left w:val="nil"/>
              <w:bottom w:val="nil"/>
              <w:right w:val="single" w:sz="4" w:space="0" w:color="auto"/>
            </w:tcBorders>
            <w:shd w:val="clear" w:color="000000" w:fill="8DB4E2"/>
            <w:noWrap/>
            <w:vAlign w:val="center"/>
            <w:hideMark/>
          </w:tcPr>
          <w:p w:rsidR="004820AC" w:rsidRPr="00D32659" w:rsidRDefault="004820AC" w:rsidP="008015B2">
            <w:pPr>
              <w:spacing w:after="0" w:line="240" w:lineRule="auto"/>
              <w:jc w:val="both"/>
              <w:rPr>
                <w:rFonts w:eastAsia="Times New Roman"/>
                <w:b/>
                <w:bCs/>
                <w:szCs w:val="23"/>
                <w:lang w:eastAsia="cs-CZ"/>
              </w:rPr>
            </w:pPr>
            <w:r w:rsidRPr="00D32659">
              <w:rPr>
                <w:rFonts w:eastAsia="Times New Roman"/>
                <w:b/>
                <w:bCs/>
                <w:szCs w:val="23"/>
                <w:lang w:eastAsia="cs-CZ"/>
              </w:rPr>
              <w:t>2009</w:t>
            </w:r>
          </w:p>
        </w:tc>
        <w:tc>
          <w:tcPr>
            <w:tcW w:w="940" w:type="dxa"/>
            <w:tcBorders>
              <w:top w:val="single" w:sz="8" w:space="0" w:color="auto"/>
              <w:left w:val="nil"/>
              <w:bottom w:val="nil"/>
              <w:right w:val="single" w:sz="4" w:space="0" w:color="auto"/>
            </w:tcBorders>
            <w:shd w:val="clear" w:color="000000" w:fill="8DB4E2"/>
            <w:noWrap/>
            <w:vAlign w:val="center"/>
            <w:hideMark/>
          </w:tcPr>
          <w:p w:rsidR="004820AC" w:rsidRPr="00D32659" w:rsidRDefault="004820AC" w:rsidP="008015B2">
            <w:pPr>
              <w:spacing w:after="0" w:line="240" w:lineRule="auto"/>
              <w:jc w:val="both"/>
              <w:rPr>
                <w:rFonts w:eastAsia="Times New Roman"/>
                <w:b/>
                <w:bCs/>
                <w:szCs w:val="23"/>
                <w:lang w:eastAsia="cs-CZ"/>
              </w:rPr>
            </w:pPr>
            <w:r w:rsidRPr="00D32659">
              <w:rPr>
                <w:rFonts w:eastAsia="Times New Roman"/>
                <w:b/>
                <w:bCs/>
                <w:szCs w:val="23"/>
                <w:lang w:eastAsia="cs-CZ"/>
              </w:rPr>
              <w:t>2010</w:t>
            </w:r>
          </w:p>
        </w:tc>
        <w:tc>
          <w:tcPr>
            <w:tcW w:w="940" w:type="dxa"/>
            <w:tcBorders>
              <w:top w:val="single" w:sz="8" w:space="0" w:color="auto"/>
              <w:left w:val="nil"/>
              <w:bottom w:val="nil"/>
              <w:right w:val="single" w:sz="4" w:space="0" w:color="auto"/>
            </w:tcBorders>
            <w:shd w:val="clear" w:color="000000" w:fill="8DB4E2"/>
            <w:noWrap/>
            <w:vAlign w:val="center"/>
            <w:hideMark/>
          </w:tcPr>
          <w:p w:rsidR="004820AC" w:rsidRPr="00D32659" w:rsidRDefault="004820AC" w:rsidP="008015B2">
            <w:pPr>
              <w:spacing w:after="0" w:line="240" w:lineRule="auto"/>
              <w:jc w:val="both"/>
              <w:rPr>
                <w:rFonts w:eastAsia="Times New Roman"/>
                <w:b/>
                <w:bCs/>
                <w:szCs w:val="23"/>
                <w:lang w:eastAsia="cs-CZ"/>
              </w:rPr>
            </w:pPr>
            <w:r w:rsidRPr="00D32659">
              <w:rPr>
                <w:rFonts w:eastAsia="Times New Roman"/>
                <w:b/>
                <w:bCs/>
                <w:szCs w:val="23"/>
                <w:lang w:eastAsia="cs-CZ"/>
              </w:rPr>
              <w:t>2011</w:t>
            </w:r>
          </w:p>
        </w:tc>
        <w:tc>
          <w:tcPr>
            <w:tcW w:w="940" w:type="dxa"/>
            <w:tcBorders>
              <w:top w:val="single" w:sz="8" w:space="0" w:color="auto"/>
              <w:left w:val="nil"/>
              <w:bottom w:val="nil"/>
              <w:right w:val="single" w:sz="4" w:space="0" w:color="auto"/>
            </w:tcBorders>
            <w:shd w:val="clear" w:color="000000" w:fill="8DB4E2"/>
            <w:noWrap/>
            <w:vAlign w:val="center"/>
            <w:hideMark/>
          </w:tcPr>
          <w:p w:rsidR="004820AC" w:rsidRPr="00D32659" w:rsidRDefault="004820AC" w:rsidP="008015B2">
            <w:pPr>
              <w:spacing w:after="0" w:line="240" w:lineRule="auto"/>
              <w:jc w:val="both"/>
              <w:rPr>
                <w:rFonts w:eastAsia="Times New Roman"/>
                <w:b/>
                <w:bCs/>
                <w:szCs w:val="23"/>
                <w:lang w:eastAsia="cs-CZ"/>
              </w:rPr>
            </w:pPr>
            <w:r w:rsidRPr="00D32659">
              <w:rPr>
                <w:rFonts w:eastAsia="Times New Roman"/>
                <w:b/>
                <w:bCs/>
                <w:szCs w:val="23"/>
                <w:lang w:eastAsia="cs-CZ"/>
              </w:rPr>
              <w:t>2012</w:t>
            </w:r>
          </w:p>
        </w:tc>
        <w:tc>
          <w:tcPr>
            <w:tcW w:w="940" w:type="dxa"/>
            <w:tcBorders>
              <w:top w:val="single" w:sz="8" w:space="0" w:color="auto"/>
              <w:left w:val="nil"/>
              <w:bottom w:val="nil"/>
              <w:right w:val="single" w:sz="8" w:space="0" w:color="auto"/>
            </w:tcBorders>
            <w:shd w:val="clear" w:color="000000" w:fill="8DB4E2"/>
            <w:noWrap/>
            <w:vAlign w:val="center"/>
            <w:hideMark/>
          </w:tcPr>
          <w:p w:rsidR="004820AC" w:rsidRPr="00D32659" w:rsidRDefault="004820AC" w:rsidP="008015B2">
            <w:pPr>
              <w:spacing w:after="0" w:line="240" w:lineRule="auto"/>
              <w:jc w:val="both"/>
              <w:rPr>
                <w:rFonts w:eastAsia="Times New Roman"/>
                <w:b/>
                <w:bCs/>
                <w:szCs w:val="23"/>
                <w:lang w:eastAsia="cs-CZ"/>
              </w:rPr>
            </w:pPr>
            <w:r w:rsidRPr="00D32659">
              <w:rPr>
                <w:rFonts w:eastAsia="Times New Roman"/>
                <w:b/>
                <w:bCs/>
                <w:szCs w:val="23"/>
                <w:lang w:eastAsia="cs-CZ"/>
              </w:rPr>
              <w:t>2013</w:t>
            </w:r>
          </w:p>
        </w:tc>
      </w:tr>
      <w:tr w:rsidR="004820AC" w:rsidRPr="00D32659" w:rsidTr="004820AC">
        <w:trPr>
          <w:trHeight w:val="300"/>
        </w:trPr>
        <w:tc>
          <w:tcPr>
            <w:tcW w:w="3220" w:type="dxa"/>
            <w:tcBorders>
              <w:top w:val="nil"/>
              <w:left w:val="single" w:sz="8" w:space="0" w:color="auto"/>
              <w:bottom w:val="single" w:sz="4" w:space="0" w:color="auto"/>
              <w:right w:val="nil"/>
            </w:tcBorders>
            <w:shd w:val="clear" w:color="auto" w:fill="auto"/>
            <w:noWrap/>
            <w:vAlign w:val="bottom"/>
            <w:hideMark/>
          </w:tcPr>
          <w:p w:rsidR="004820AC" w:rsidRPr="00D32659" w:rsidRDefault="004820AC" w:rsidP="008015B2">
            <w:pPr>
              <w:spacing w:after="0" w:line="240" w:lineRule="auto"/>
              <w:jc w:val="both"/>
              <w:rPr>
                <w:rFonts w:eastAsia="Times New Roman"/>
                <w:b/>
                <w:bCs/>
                <w:szCs w:val="23"/>
                <w:lang w:eastAsia="cs-CZ"/>
              </w:rPr>
            </w:pPr>
            <w:r w:rsidRPr="00D32659">
              <w:rPr>
                <w:rFonts w:eastAsia="Times New Roman"/>
                <w:b/>
                <w:bCs/>
                <w:szCs w:val="23"/>
                <w:lang w:eastAsia="cs-CZ"/>
              </w:rPr>
              <w:t>Běžná likvidita</w:t>
            </w:r>
          </w:p>
        </w:tc>
        <w:tc>
          <w:tcPr>
            <w:tcW w:w="94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1,72</w:t>
            </w:r>
          </w:p>
        </w:tc>
        <w:tc>
          <w:tcPr>
            <w:tcW w:w="940" w:type="dxa"/>
            <w:tcBorders>
              <w:top w:val="single" w:sz="8" w:space="0" w:color="auto"/>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1,00</w:t>
            </w:r>
          </w:p>
        </w:tc>
        <w:tc>
          <w:tcPr>
            <w:tcW w:w="940" w:type="dxa"/>
            <w:tcBorders>
              <w:top w:val="single" w:sz="8" w:space="0" w:color="auto"/>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1,86</w:t>
            </w:r>
          </w:p>
        </w:tc>
        <w:tc>
          <w:tcPr>
            <w:tcW w:w="940" w:type="dxa"/>
            <w:tcBorders>
              <w:top w:val="single" w:sz="8" w:space="0" w:color="auto"/>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1,75</w:t>
            </w:r>
          </w:p>
        </w:tc>
        <w:tc>
          <w:tcPr>
            <w:tcW w:w="940" w:type="dxa"/>
            <w:tcBorders>
              <w:top w:val="single" w:sz="8" w:space="0" w:color="auto"/>
              <w:left w:val="nil"/>
              <w:bottom w:val="single" w:sz="4" w:space="0" w:color="auto"/>
              <w:right w:val="single" w:sz="8"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1,71</w:t>
            </w:r>
          </w:p>
        </w:tc>
      </w:tr>
      <w:tr w:rsidR="004820AC" w:rsidRPr="00D32659" w:rsidTr="004820AC">
        <w:trPr>
          <w:trHeight w:val="300"/>
        </w:trPr>
        <w:tc>
          <w:tcPr>
            <w:tcW w:w="3220" w:type="dxa"/>
            <w:tcBorders>
              <w:top w:val="nil"/>
              <w:left w:val="single" w:sz="8" w:space="0" w:color="auto"/>
              <w:bottom w:val="single" w:sz="4" w:space="0" w:color="auto"/>
              <w:right w:val="nil"/>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Běžná likvidita v odvětví</w:t>
            </w:r>
          </w:p>
        </w:tc>
        <w:tc>
          <w:tcPr>
            <w:tcW w:w="940" w:type="dxa"/>
            <w:tcBorders>
              <w:top w:val="nil"/>
              <w:left w:val="single" w:sz="8" w:space="0" w:color="auto"/>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2,21</w:t>
            </w:r>
          </w:p>
        </w:tc>
        <w:tc>
          <w:tcPr>
            <w:tcW w:w="940" w:type="dxa"/>
            <w:tcBorders>
              <w:top w:val="nil"/>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2,1</w:t>
            </w:r>
          </w:p>
        </w:tc>
        <w:tc>
          <w:tcPr>
            <w:tcW w:w="940" w:type="dxa"/>
            <w:tcBorders>
              <w:top w:val="nil"/>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2,17</w:t>
            </w:r>
          </w:p>
        </w:tc>
        <w:tc>
          <w:tcPr>
            <w:tcW w:w="940" w:type="dxa"/>
            <w:tcBorders>
              <w:top w:val="nil"/>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2,24</w:t>
            </w:r>
          </w:p>
        </w:tc>
        <w:tc>
          <w:tcPr>
            <w:tcW w:w="940" w:type="dxa"/>
            <w:tcBorders>
              <w:top w:val="nil"/>
              <w:left w:val="nil"/>
              <w:bottom w:val="single" w:sz="4" w:space="0" w:color="auto"/>
              <w:right w:val="single" w:sz="8"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2,06</w:t>
            </w:r>
          </w:p>
        </w:tc>
      </w:tr>
      <w:tr w:rsidR="004820AC" w:rsidRPr="00D32659" w:rsidTr="004820AC">
        <w:trPr>
          <w:trHeight w:val="300"/>
        </w:trPr>
        <w:tc>
          <w:tcPr>
            <w:tcW w:w="3220" w:type="dxa"/>
            <w:tcBorders>
              <w:top w:val="nil"/>
              <w:left w:val="single" w:sz="8" w:space="0" w:color="auto"/>
              <w:bottom w:val="single" w:sz="4" w:space="0" w:color="auto"/>
              <w:right w:val="nil"/>
            </w:tcBorders>
            <w:shd w:val="clear" w:color="auto" w:fill="auto"/>
            <w:noWrap/>
            <w:vAlign w:val="bottom"/>
            <w:hideMark/>
          </w:tcPr>
          <w:p w:rsidR="004820AC" w:rsidRPr="00D32659" w:rsidRDefault="004820AC" w:rsidP="008015B2">
            <w:pPr>
              <w:spacing w:after="0" w:line="240" w:lineRule="auto"/>
              <w:jc w:val="both"/>
              <w:rPr>
                <w:rFonts w:eastAsia="Times New Roman"/>
                <w:b/>
                <w:bCs/>
                <w:szCs w:val="23"/>
                <w:lang w:eastAsia="cs-CZ"/>
              </w:rPr>
            </w:pPr>
            <w:r w:rsidRPr="00D32659">
              <w:rPr>
                <w:rFonts w:eastAsia="Times New Roman"/>
                <w:b/>
                <w:bCs/>
                <w:szCs w:val="23"/>
                <w:lang w:eastAsia="cs-CZ"/>
              </w:rPr>
              <w:t>Pohotová likvidita</w:t>
            </w:r>
          </w:p>
        </w:tc>
        <w:tc>
          <w:tcPr>
            <w:tcW w:w="940" w:type="dxa"/>
            <w:tcBorders>
              <w:top w:val="nil"/>
              <w:left w:val="single" w:sz="8" w:space="0" w:color="auto"/>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1,28</w:t>
            </w:r>
          </w:p>
        </w:tc>
        <w:tc>
          <w:tcPr>
            <w:tcW w:w="940" w:type="dxa"/>
            <w:tcBorders>
              <w:top w:val="nil"/>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0,64</w:t>
            </w:r>
          </w:p>
        </w:tc>
        <w:tc>
          <w:tcPr>
            <w:tcW w:w="940" w:type="dxa"/>
            <w:tcBorders>
              <w:top w:val="nil"/>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1,23</w:t>
            </w:r>
          </w:p>
        </w:tc>
        <w:tc>
          <w:tcPr>
            <w:tcW w:w="940" w:type="dxa"/>
            <w:tcBorders>
              <w:top w:val="nil"/>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1,05</w:t>
            </w:r>
          </w:p>
        </w:tc>
        <w:tc>
          <w:tcPr>
            <w:tcW w:w="940" w:type="dxa"/>
            <w:tcBorders>
              <w:top w:val="nil"/>
              <w:left w:val="nil"/>
              <w:bottom w:val="single" w:sz="4" w:space="0" w:color="auto"/>
              <w:right w:val="single" w:sz="8"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1,06</w:t>
            </w:r>
          </w:p>
        </w:tc>
      </w:tr>
      <w:tr w:rsidR="004820AC" w:rsidRPr="00D32659" w:rsidTr="004820AC">
        <w:trPr>
          <w:trHeight w:val="300"/>
        </w:trPr>
        <w:tc>
          <w:tcPr>
            <w:tcW w:w="3220" w:type="dxa"/>
            <w:tcBorders>
              <w:top w:val="nil"/>
              <w:left w:val="single" w:sz="8" w:space="0" w:color="auto"/>
              <w:bottom w:val="single" w:sz="4" w:space="0" w:color="auto"/>
              <w:right w:val="nil"/>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Pohotová likvidita v odvětví</w:t>
            </w:r>
          </w:p>
        </w:tc>
        <w:tc>
          <w:tcPr>
            <w:tcW w:w="940" w:type="dxa"/>
            <w:tcBorders>
              <w:top w:val="nil"/>
              <w:left w:val="single" w:sz="8" w:space="0" w:color="auto"/>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1,52</w:t>
            </w:r>
          </w:p>
        </w:tc>
        <w:tc>
          <w:tcPr>
            <w:tcW w:w="940" w:type="dxa"/>
            <w:tcBorders>
              <w:top w:val="nil"/>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1,38</w:t>
            </w:r>
          </w:p>
        </w:tc>
        <w:tc>
          <w:tcPr>
            <w:tcW w:w="940" w:type="dxa"/>
            <w:tcBorders>
              <w:top w:val="nil"/>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1,46</w:t>
            </w:r>
          </w:p>
        </w:tc>
        <w:tc>
          <w:tcPr>
            <w:tcW w:w="940" w:type="dxa"/>
            <w:tcBorders>
              <w:top w:val="nil"/>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1,52</w:t>
            </w:r>
          </w:p>
        </w:tc>
        <w:tc>
          <w:tcPr>
            <w:tcW w:w="940" w:type="dxa"/>
            <w:tcBorders>
              <w:top w:val="nil"/>
              <w:left w:val="nil"/>
              <w:bottom w:val="single" w:sz="4" w:space="0" w:color="auto"/>
              <w:right w:val="single" w:sz="8"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1,39</w:t>
            </w:r>
          </w:p>
        </w:tc>
      </w:tr>
      <w:tr w:rsidR="004820AC" w:rsidRPr="00D32659" w:rsidTr="004820AC">
        <w:trPr>
          <w:trHeight w:val="300"/>
        </w:trPr>
        <w:tc>
          <w:tcPr>
            <w:tcW w:w="3220" w:type="dxa"/>
            <w:tcBorders>
              <w:top w:val="nil"/>
              <w:left w:val="single" w:sz="8" w:space="0" w:color="auto"/>
              <w:bottom w:val="single" w:sz="4" w:space="0" w:color="auto"/>
              <w:right w:val="nil"/>
            </w:tcBorders>
            <w:shd w:val="clear" w:color="auto" w:fill="auto"/>
            <w:noWrap/>
            <w:vAlign w:val="bottom"/>
            <w:hideMark/>
          </w:tcPr>
          <w:p w:rsidR="004820AC" w:rsidRPr="00D32659" w:rsidRDefault="004820AC" w:rsidP="008015B2">
            <w:pPr>
              <w:spacing w:after="0" w:line="240" w:lineRule="auto"/>
              <w:jc w:val="both"/>
              <w:rPr>
                <w:rFonts w:eastAsia="Times New Roman"/>
                <w:b/>
                <w:bCs/>
                <w:szCs w:val="23"/>
                <w:lang w:eastAsia="cs-CZ"/>
              </w:rPr>
            </w:pPr>
            <w:r w:rsidRPr="00D32659">
              <w:rPr>
                <w:rFonts w:eastAsia="Times New Roman"/>
                <w:b/>
                <w:bCs/>
                <w:szCs w:val="23"/>
                <w:lang w:eastAsia="cs-CZ"/>
              </w:rPr>
              <w:t>Peněžní likvidita</w:t>
            </w:r>
          </w:p>
        </w:tc>
        <w:tc>
          <w:tcPr>
            <w:tcW w:w="940" w:type="dxa"/>
            <w:tcBorders>
              <w:top w:val="nil"/>
              <w:left w:val="single" w:sz="8" w:space="0" w:color="auto"/>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0,03</w:t>
            </w:r>
          </w:p>
        </w:tc>
        <w:tc>
          <w:tcPr>
            <w:tcW w:w="940" w:type="dxa"/>
            <w:tcBorders>
              <w:top w:val="nil"/>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0,10</w:t>
            </w:r>
          </w:p>
        </w:tc>
        <w:tc>
          <w:tcPr>
            <w:tcW w:w="940" w:type="dxa"/>
            <w:tcBorders>
              <w:top w:val="nil"/>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0,28</w:t>
            </w:r>
          </w:p>
        </w:tc>
        <w:tc>
          <w:tcPr>
            <w:tcW w:w="940" w:type="dxa"/>
            <w:tcBorders>
              <w:top w:val="nil"/>
              <w:left w:val="nil"/>
              <w:bottom w:val="single" w:sz="4" w:space="0" w:color="auto"/>
              <w:right w:val="single" w:sz="4"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0,14</w:t>
            </w:r>
          </w:p>
        </w:tc>
        <w:tc>
          <w:tcPr>
            <w:tcW w:w="940" w:type="dxa"/>
            <w:tcBorders>
              <w:top w:val="nil"/>
              <w:left w:val="nil"/>
              <w:bottom w:val="single" w:sz="4" w:space="0" w:color="auto"/>
              <w:right w:val="single" w:sz="8" w:space="0" w:color="auto"/>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-0,01</w:t>
            </w:r>
          </w:p>
        </w:tc>
      </w:tr>
      <w:tr w:rsidR="004820AC" w:rsidRPr="00D32659" w:rsidTr="004820AC">
        <w:trPr>
          <w:trHeight w:val="315"/>
        </w:trPr>
        <w:tc>
          <w:tcPr>
            <w:tcW w:w="3220" w:type="dxa"/>
            <w:tcBorders>
              <w:top w:val="nil"/>
              <w:left w:val="single" w:sz="8" w:space="0" w:color="auto"/>
              <w:bottom w:val="single" w:sz="8" w:space="0" w:color="auto"/>
              <w:right w:val="nil"/>
            </w:tcBorders>
            <w:shd w:val="clear" w:color="auto" w:fill="auto"/>
            <w:noWrap/>
            <w:vAlign w:val="bottom"/>
            <w:hideMark/>
          </w:tcPr>
          <w:p w:rsidR="004820AC" w:rsidRPr="00D32659" w:rsidRDefault="004820AC" w:rsidP="008015B2">
            <w:pPr>
              <w:spacing w:after="0" w:line="240" w:lineRule="auto"/>
              <w:jc w:val="both"/>
              <w:rPr>
                <w:rFonts w:eastAsia="Times New Roman"/>
                <w:szCs w:val="23"/>
                <w:lang w:eastAsia="cs-CZ"/>
              </w:rPr>
            </w:pPr>
            <w:r w:rsidRPr="00D32659">
              <w:rPr>
                <w:rFonts w:eastAsia="Times New Roman"/>
                <w:szCs w:val="23"/>
                <w:lang w:eastAsia="cs-CZ"/>
              </w:rPr>
              <w:t>Peněžní likvidita v odvětví</w:t>
            </w:r>
          </w:p>
        </w:tc>
        <w:tc>
          <w:tcPr>
            <w:tcW w:w="940" w:type="dxa"/>
            <w:tcBorders>
              <w:top w:val="nil"/>
              <w:left w:val="single" w:sz="8" w:space="0" w:color="auto"/>
              <w:bottom w:val="single" w:sz="8" w:space="0" w:color="auto"/>
              <w:right w:val="single" w:sz="4" w:space="0" w:color="auto"/>
            </w:tcBorders>
            <w:shd w:val="clear" w:color="auto" w:fill="auto"/>
            <w:noWrap/>
            <w:vAlign w:val="bottom"/>
            <w:hideMark/>
          </w:tcPr>
          <w:p w:rsidR="004820AC" w:rsidRPr="00D32659" w:rsidRDefault="009C0308" w:rsidP="008015B2">
            <w:pPr>
              <w:spacing w:after="0" w:line="240" w:lineRule="auto"/>
              <w:jc w:val="both"/>
              <w:rPr>
                <w:rFonts w:eastAsia="Times New Roman"/>
                <w:szCs w:val="23"/>
                <w:lang w:eastAsia="cs-CZ"/>
              </w:rPr>
            </w:pPr>
            <w:r w:rsidRPr="00D32659">
              <w:rPr>
                <w:rFonts w:eastAsia="Times New Roman"/>
                <w:szCs w:val="23"/>
                <w:lang w:eastAsia="cs-CZ"/>
              </w:rPr>
              <w:t>0,54</w:t>
            </w:r>
          </w:p>
        </w:tc>
        <w:tc>
          <w:tcPr>
            <w:tcW w:w="940" w:type="dxa"/>
            <w:tcBorders>
              <w:top w:val="nil"/>
              <w:left w:val="nil"/>
              <w:bottom w:val="single" w:sz="8" w:space="0" w:color="auto"/>
              <w:right w:val="single" w:sz="4" w:space="0" w:color="auto"/>
            </w:tcBorders>
            <w:shd w:val="clear" w:color="auto" w:fill="auto"/>
            <w:noWrap/>
            <w:vAlign w:val="bottom"/>
            <w:hideMark/>
          </w:tcPr>
          <w:p w:rsidR="004820AC" w:rsidRPr="00D32659" w:rsidRDefault="009C0308" w:rsidP="008015B2">
            <w:pPr>
              <w:spacing w:after="0" w:line="240" w:lineRule="auto"/>
              <w:jc w:val="both"/>
              <w:rPr>
                <w:rFonts w:eastAsia="Times New Roman"/>
                <w:szCs w:val="23"/>
                <w:lang w:eastAsia="cs-CZ"/>
              </w:rPr>
            </w:pPr>
            <w:r w:rsidRPr="00D32659">
              <w:rPr>
                <w:rFonts w:eastAsia="Times New Roman"/>
                <w:szCs w:val="23"/>
                <w:lang w:eastAsia="cs-CZ"/>
              </w:rPr>
              <w:t>0,11</w:t>
            </w:r>
          </w:p>
        </w:tc>
        <w:tc>
          <w:tcPr>
            <w:tcW w:w="940" w:type="dxa"/>
            <w:tcBorders>
              <w:top w:val="nil"/>
              <w:left w:val="nil"/>
              <w:bottom w:val="single" w:sz="8" w:space="0" w:color="auto"/>
              <w:right w:val="single" w:sz="4" w:space="0" w:color="auto"/>
            </w:tcBorders>
            <w:shd w:val="clear" w:color="auto" w:fill="auto"/>
            <w:noWrap/>
            <w:vAlign w:val="bottom"/>
            <w:hideMark/>
          </w:tcPr>
          <w:p w:rsidR="004820AC" w:rsidRPr="00D32659" w:rsidRDefault="009C0308" w:rsidP="008015B2">
            <w:pPr>
              <w:spacing w:after="0" w:line="240" w:lineRule="auto"/>
              <w:jc w:val="both"/>
              <w:rPr>
                <w:rFonts w:eastAsia="Times New Roman"/>
                <w:szCs w:val="23"/>
                <w:lang w:eastAsia="cs-CZ"/>
              </w:rPr>
            </w:pPr>
            <w:r w:rsidRPr="00D32659">
              <w:rPr>
                <w:rFonts w:eastAsia="Times New Roman"/>
                <w:szCs w:val="23"/>
                <w:lang w:eastAsia="cs-CZ"/>
              </w:rPr>
              <w:t>0,11</w:t>
            </w:r>
          </w:p>
        </w:tc>
        <w:tc>
          <w:tcPr>
            <w:tcW w:w="940" w:type="dxa"/>
            <w:tcBorders>
              <w:top w:val="nil"/>
              <w:left w:val="nil"/>
              <w:bottom w:val="single" w:sz="8" w:space="0" w:color="auto"/>
              <w:right w:val="single" w:sz="4" w:space="0" w:color="auto"/>
            </w:tcBorders>
            <w:shd w:val="clear" w:color="auto" w:fill="auto"/>
            <w:noWrap/>
            <w:vAlign w:val="bottom"/>
            <w:hideMark/>
          </w:tcPr>
          <w:p w:rsidR="004820AC" w:rsidRPr="00D32659" w:rsidRDefault="009C0308" w:rsidP="008015B2">
            <w:pPr>
              <w:spacing w:after="0" w:line="240" w:lineRule="auto"/>
              <w:jc w:val="both"/>
              <w:rPr>
                <w:rFonts w:eastAsia="Times New Roman"/>
                <w:szCs w:val="23"/>
                <w:lang w:eastAsia="cs-CZ"/>
              </w:rPr>
            </w:pPr>
            <w:r w:rsidRPr="00D32659">
              <w:rPr>
                <w:rFonts w:eastAsia="Times New Roman"/>
                <w:szCs w:val="23"/>
                <w:lang w:eastAsia="cs-CZ"/>
              </w:rPr>
              <w:t>0,14</w:t>
            </w:r>
          </w:p>
        </w:tc>
        <w:tc>
          <w:tcPr>
            <w:tcW w:w="940" w:type="dxa"/>
            <w:tcBorders>
              <w:top w:val="nil"/>
              <w:left w:val="nil"/>
              <w:bottom w:val="single" w:sz="8" w:space="0" w:color="auto"/>
              <w:right w:val="single" w:sz="8" w:space="0" w:color="auto"/>
            </w:tcBorders>
            <w:shd w:val="clear" w:color="auto" w:fill="auto"/>
            <w:noWrap/>
            <w:vAlign w:val="bottom"/>
            <w:hideMark/>
          </w:tcPr>
          <w:p w:rsidR="004820AC" w:rsidRPr="00D32659" w:rsidRDefault="009C0308" w:rsidP="008015B2">
            <w:pPr>
              <w:spacing w:after="0" w:line="240" w:lineRule="auto"/>
              <w:jc w:val="both"/>
              <w:rPr>
                <w:rFonts w:eastAsia="Times New Roman"/>
                <w:szCs w:val="23"/>
                <w:lang w:eastAsia="cs-CZ"/>
              </w:rPr>
            </w:pPr>
            <w:r w:rsidRPr="00D32659">
              <w:rPr>
                <w:rFonts w:eastAsia="Times New Roman"/>
                <w:szCs w:val="23"/>
                <w:lang w:eastAsia="cs-CZ"/>
              </w:rPr>
              <w:t>0,6</w:t>
            </w:r>
          </w:p>
        </w:tc>
      </w:tr>
    </w:tbl>
    <w:p w:rsidR="006A52BD" w:rsidRPr="00D32659" w:rsidRDefault="006A52BD" w:rsidP="008015B2">
      <w:pPr>
        <w:jc w:val="both"/>
        <w:rPr>
          <w:i/>
          <w:sz w:val="20"/>
          <w:szCs w:val="20"/>
        </w:rPr>
      </w:pPr>
      <w:r w:rsidRPr="00D32659">
        <w:rPr>
          <w:i/>
          <w:sz w:val="20"/>
          <w:szCs w:val="20"/>
        </w:rPr>
        <w:t>Pramen: vlastní zpracování na základě účetních výkazů společno</w:t>
      </w:r>
      <w:r w:rsidR="00F17B5C" w:rsidRPr="00D32659">
        <w:rPr>
          <w:i/>
          <w:sz w:val="20"/>
          <w:szCs w:val="20"/>
        </w:rPr>
        <w:t>s</w:t>
      </w:r>
      <w:r w:rsidRPr="00D32659">
        <w:rPr>
          <w:i/>
          <w:sz w:val="20"/>
          <w:szCs w:val="20"/>
        </w:rPr>
        <w:t>ti a informací z MPO.</w:t>
      </w:r>
    </w:p>
    <w:p w:rsidR="00F86291" w:rsidRPr="00D32659" w:rsidRDefault="005C1393" w:rsidP="008015B2">
      <w:pPr>
        <w:jc w:val="both"/>
      </w:pPr>
      <w:r w:rsidRPr="00D32659">
        <w:rPr>
          <w:b/>
        </w:rPr>
        <w:t>Běžná likvidita</w:t>
      </w:r>
      <w:r w:rsidR="00F86291" w:rsidRPr="00D32659">
        <w:t>, kromě roku 2010,</w:t>
      </w:r>
      <w:r w:rsidRPr="00D32659">
        <w:t xml:space="preserve"> byla</w:t>
      </w:r>
      <w:r w:rsidR="00F86291" w:rsidRPr="00D32659">
        <w:t xml:space="preserve"> relativně stabilní</w:t>
      </w:r>
      <w:r w:rsidRPr="00D32659">
        <w:t xml:space="preserve">. Obecně se udává, že by se hodnoty ukazatele běžné likvidity měli pohybovat v rozmezí 1,5 až 2,5. V tomto rozmezí se ve sledovaném období běžná likvidita pohybovala ve všech letech, až na rok 2010. V roce 2010 společnost navýšila své krátkodobé závazky až do výše oběžných aktiv a tím na jeden rok přešla z konzervativní strategie na strategii agresivní. </w:t>
      </w:r>
      <w:r w:rsidR="00F108EA" w:rsidRPr="00D32659">
        <w:t>Následující rok ukazatel dosáhl naopak nejvyšší hodnoty 1,86</w:t>
      </w:r>
      <w:r w:rsidR="00B92C9E" w:rsidRPr="00D32659">
        <w:t xml:space="preserve">, což znamená, že se podnik rozhodl razantně se vrátit k původní konzervativní strategii. V následujících letech ukazatel mírně klesal, ale nedostal se pod 1,7. </w:t>
      </w:r>
      <w:r w:rsidR="00B92C9E" w:rsidRPr="00D32659">
        <w:lastRenderedPageBreak/>
        <w:t>Ve všech pěti letech byla hodnota ukazatele sledovaného podniku nižší než běžná likvidita v odvětví. Průměr v odvětví se v celém sledovaném období pohyboval mezí 2,06 až 2,24, čímž přesně zapadají do rozmezí doporučených hodnot pro tento ukazatel. Z tohoto se dá usoudit, že ostatní podniky v odvětví preferují spíše konzervativní strategii.</w:t>
      </w:r>
    </w:p>
    <w:p w:rsidR="00B92C9E" w:rsidRPr="00D32659" w:rsidRDefault="00B92C9E" w:rsidP="008015B2">
      <w:pPr>
        <w:jc w:val="both"/>
      </w:pPr>
      <w:r w:rsidRPr="00D32659">
        <w:rPr>
          <w:b/>
        </w:rPr>
        <w:t xml:space="preserve">Pohotová likvidita </w:t>
      </w:r>
      <w:r w:rsidRPr="00D32659">
        <w:t xml:space="preserve">by v ideálním případě měla nabývat hodnot z intervalu 1 až 1,5. </w:t>
      </w:r>
      <w:r w:rsidR="00E70853" w:rsidRPr="00D32659">
        <w:t xml:space="preserve">Tohle kritérium sledovaný podnik splňuje ve všech letech kromě 2010. To je způsobeno, stejně jako u běžné likvidity, velkým nárůstem krátkodobých závazků. Nejvyšší hodnoty ukazatel nabýval v roce 2009 a to hlavně kvůli nízkým </w:t>
      </w:r>
      <w:r w:rsidR="005A2EA6" w:rsidRPr="00D32659">
        <w:t xml:space="preserve">zásobám. </w:t>
      </w:r>
      <w:r w:rsidR="004820AC" w:rsidRPr="00D32659">
        <w:t>Ve všech sledovaných letech byla pohotová likvidita nižší než průměr v odvětví. Pohotová likvidita nevykazovala ve sledovaném období žádný jasný trend, spíše kolísala.</w:t>
      </w:r>
    </w:p>
    <w:p w:rsidR="00B92C9E" w:rsidRPr="00D32659" w:rsidRDefault="004820AC" w:rsidP="008015B2">
      <w:pPr>
        <w:jc w:val="both"/>
      </w:pPr>
      <w:r w:rsidRPr="00D32659">
        <w:rPr>
          <w:b/>
        </w:rPr>
        <w:t>Peněžní likvidita</w:t>
      </w:r>
      <w:r w:rsidR="009C0308" w:rsidRPr="00D32659">
        <w:t xml:space="preserve"> v prvních třech letech rostla, což je ideální stav, ale následně klesala až k</w:t>
      </w:r>
      <w:r w:rsidR="00B34596" w:rsidRPr="00D32659">
        <w:t> nejnižší,</w:t>
      </w:r>
      <w:r w:rsidR="009C0308" w:rsidRPr="00D32659">
        <w:t xml:space="preserve"> záporné hodnotě v roce 2013. Nejvyšší hodnoty nabývala v roce 2011 a to 0,28, což byl také jediný rok, kdy peněžní likvidita byla vyšší než průměr v odvětví. Tento nárůst byl způsobem mírným navýšením krátkodobého finančního majetku a výrazného poklesu krátkodobých závazků. </w:t>
      </w:r>
    </w:p>
    <w:p w:rsidR="006A52BD" w:rsidRPr="00D32659" w:rsidRDefault="006A52BD" w:rsidP="008015B2">
      <w:pPr>
        <w:pStyle w:val="Nadpis3"/>
        <w:jc w:val="both"/>
      </w:pPr>
      <w:bookmarkStart w:id="40" w:name="_Toc417564178"/>
      <w:r w:rsidRPr="00D32659">
        <w:t>Ukazatel rentability</w:t>
      </w:r>
      <w:bookmarkEnd w:id="40"/>
    </w:p>
    <w:p w:rsidR="00985448" w:rsidRPr="00D32659" w:rsidRDefault="00985448" w:rsidP="008015B2">
      <w:pPr>
        <w:pStyle w:val="Bezmezer"/>
        <w:jc w:val="both"/>
        <w:rPr>
          <w:lang w:val="cs-CZ"/>
        </w:rPr>
      </w:pPr>
    </w:p>
    <w:p w:rsidR="006A52BD" w:rsidRPr="00D32659" w:rsidRDefault="00985448" w:rsidP="008015B2">
      <w:pPr>
        <w:pStyle w:val="Bezmezer"/>
        <w:jc w:val="both"/>
        <w:rPr>
          <w:b/>
          <w:lang w:val="cs-CZ"/>
        </w:rPr>
      </w:pPr>
      <w:r w:rsidRPr="00D32659">
        <w:rPr>
          <w:b/>
          <w:lang w:val="cs-CZ"/>
        </w:rPr>
        <w:t>Tabulka č.</w:t>
      </w:r>
      <w:r w:rsidR="00D14174" w:rsidRPr="00D32659">
        <w:rPr>
          <w:b/>
          <w:lang w:val="cs-CZ"/>
        </w:rPr>
        <w:t xml:space="preserve"> 2: Hodnoty ukazatele rentability</w:t>
      </w:r>
    </w:p>
    <w:tbl>
      <w:tblPr>
        <w:tblW w:w="7220" w:type="dxa"/>
        <w:tblInd w:w="55" w:type="dxa"/>
        <w:tblCellMar>
          <w:left w:w="70" w:type="dxa"/>
          <w:right w:w="70" w:type="dxa"/>
        </w:tblCellMar>
        <w:tblLook w:val="04A0" w:firstRow="1" w:lastRow="0" w:firstColumn="1" w:lastColumn="0" w:noHBand="0" w:noVBand="1"/>
      </w:tblPr>
      <w:tblGrid>
        <w:gridCol w:w="2520"/>
        <w:gridCol w:w="940"/>
        <w:gridCol w:w="940"/>
        <w:gridCol w:w="940"/>
        <w:gridCol w:w="940"/>
        <w:gridCol w:w="940"/>
      </w:tblGrid>
      <w:tr w:rsidR="00485515" w:rsidRPr="00D32659" w:rsidTr="00485515">
        <w:trPr>
          <w:trHeight w:val="435"/>
        </w:trPr>
        <w:tc>
          <w:tcPr>
            <w:tcW w:w="2520" w:type="dxa"/>
            <w:tcBorders>
              <w:top w:val="single" w:sz="8" w:space="0" w:color="auto"/>
              <w:left w:val="single" w:sz="8" w:space="0" w:color="auto"/>
              <w:bottom w:val="single" w:sz="8" w:space="0" w:color="auto"/>
              <w:right w:val="single" w:sz="8" w:space="0" w:color="auto"/>
            </w:tcBorders>
            <w:shd w:val="clear" w:color="000000" w:fill="8DB4E2"/>
            <w:noWrap/>
            <w:vAlign w:val="center"/>
            <w:hideMark/>
          </w:tcPr>
          <w:p w:rsidR="00485515" w:rsidRPr="00D32659" w:rsidRDefault="00485515" w:rsidP="008015B2">
            <w:pPr>
              <w:spacing w:after="0" w:line="240" w:lineRule="auto"/>
              <w:jc w:val="both"/>
              <w:rPr>
                <w:rFonts w:eastAsia="Times New Roman"/>
                <w:b/>
                <w:bCs/>
                <w:szCs w:val="23"/>
                <w:lang w:eastAsia="cs-CZ"/>
              </w:rPr>
            </w:pPr>
            <w:r w:rsidRPr="00D32659">
              <w:rPr>
                <w:rFonts w:eastAsia="Times New Roman"/>
                <w:b/>
                <w:bCs/>
                <w:szCs w:val="23"/>
                <w:lang w:eastAsia="cs-CZ"/>
              </w:rPr>
              <w:t>Ukazatel rentability</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485515" w:rsidRPr="00D32659" w:rsidRDefault="00485515" w:rsidP="008015B2">
            <w:pPr>
              <w:spacing w:after="0" w:line="240" w:lineRule="auto"/>
              <w:jc w:val="both"/>
              <w:rPr>
                <w:rFonts w:eastAsia="Times New Roman"/>
                <w:b/>
                <w:bCs/>
                <w:szCs w:val="23"/>
                <w:lang w:eastAsia="cs-CZ"/>
              </w:rPr>
            </w:pPr>
            <w:r w:rsidRPr="00D32659">
              <w:rPr>
                <w:rFonts w:eastAsia="Times New Roman"/>
                <w:b/>
                <w:bCs/>
                <w:szCs w:val="23"/>
                <w:lang w:eastAsia="cs-CZ"/>
              </w:rPr>
              <w:t>2009</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485515" w:rsidRPr="00D32659" w:rsidRDefault="00485515" w:rsidP="008015B2">
            <w:pPr>
              <w:spacing w:after="0" w:line="240" w:lineRule="auto"/>
              <w:jc w:val="both"/>
              <w:rPr>
                <w:rFonts w:eastAsia="Times New Roman"/>
                <w:b/>
                <w:bCs/>
                <w:szCs w:val="23"/>
                <w:lang w:eastAsia="cs-CZ"/>
              </w:rPr>
            </w:pPr>
            <w:r w:rsidRPr="00D32659">
              <w:rPr>
                <w:rFonts w:eastAsia="Times New Roman"/>
                <w:b/>
                <w:bCs/>
                <w:szCs w:val="23"/>
                <w:lang w:eastAsia="cs-CZ"/>
              </w:rPr>
              <w:t>2010</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485515" w:rsidRPr="00D32659" w:rsidRDefault="00485515" w:rsidP="008015B2">
            <w:pPr>
              <w:spacing w:after="0" w:line="240" w:lineRule="auto"/>
              <w:jc w:val="both"/>
              <w:rPr>
                <w:rFonts w:eastAsia="Times New Roman"/>
                <w:b/>
                <w:bCs/>
                <w:szCs w:val="23"/>
                <w:lang w:eastAsia="cs-CZ"/>
              </w:rPr>
            </w:pPr>
            <w:r w:rsidRPr="00D32659">
              <w:rPr>
                <w:rFonts w:eastAsia="Times New Roman"/>
                <w:b/>
                <w:bCs/>
                <w:szCs w:val="23"/>
                <w:lang w:eastAsia="cs-CZ"/>
              </w:rPr>
              <w:t>2011</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485515" w:rsidRPr="00D32659" w:rsidRDefault="00485515" w:rsidP="008015B2">
            <w:pPr>
              <w:spacing w:after="0" w:line="240" w:lineRule="auto"/>
              <w:jc w:val="both"/>
              <w:rPr>
                <w:rFonts w:eastAsia="Times New Roman"/>
                <w:b/>
                <w:bCs/>
                <w:szCs w:val="23"/>
                <w:lang w:eastAsia="cs-CZ"/>
              </w:rPr>
            </w:pPr>
            <w:r w:rsidRPr="00D32659">
              <w:rPr>
                <w:rFonts w:eastAsia="Times New Roman"/>
                <w:b/>
                <w:bCs/>
                <w:szCs w:val="23"/>
                <w:lang w:eastAsia="cs-CZ"/>
              </w:rPr>
              <w:t>2012</w:t>
            </w:r>
          </w:p>
        </w:tc>
        <w:tc>
          <w:tcPr>
            <w:tcW w:w="940" w:type="dxa"/>
            <w:tcBorders>
              <w:top w:val="single" w:sz="8" w:space="0" w:color="auto"/>
              <w:left w:val="nil"/>
              <w:bottom w:val="single" w:sz="8" w:space="0" w:color="auto"/>
              <w:right w:val="single" w:sz="8" w:space="0" w:color="auto"/>
            </w:tcBorders>
            <w:shd w:val="clear" w:color="000000" w:fill="8DB4E2"/>
            <w:noWrap/>
            <w:vAlign w:val="center"/>
            <w:hideMark/>
          </w:tcPr>
          <w:p w:rsidR="00485515" w:rsidRPr="00D32659" w:rsidRDefault="00485515" w:rsidP="008015B2">
            <w:pPr>
              <w:spacing w:after="0" w:line="240" w:lineRule="auto"/>
              <w:jc w:val="both"/>
              <w:rPr>
                <w:rFonts w:eastAsia="Times New Roman"/>
                <w:b/>
                <w:bCs/>
                <w:szCs w:val="23"/>
                <w:lang w:eastAsia="cs-CZ"/>
              </w:rPr>
            </w:pPr>
            <w:r w:rsidRPr="00D32659">
              <w:rPr>
                <w:rFonts w:eastAsia="Times New Roman"/>
                <w:b/>
                <w:bCs/>
                <w:szCs w:val="23"/>
                <w:lang w:eastAsia="cs-CZ"/>
              </w:rPr>
              <w:t>2013</w:t>
            </w:r>
          </w:p>
        </w:tc>
      </w:tr>
      <w:tr w:rsidR="00485515" w:rsidRPr="00D32659" w:rsidTr="00485515">
        <w:trPr>
          <w:trHeight w:val="300"/>
        </w:trPr>
        <w:tc>
          <w:tcPr>
            <w:tcW w:w="2520" w:type="dxa"/>
            <w:tcBorders>
              <w:top w:val="nil"/>
              <w:left w:val="single" w:sz="8" w:space="0" w:color="auto"/>
              <w:bottom w:val="single" w:sz="4" w:space="0" w:color="auto"/>
              <w:right w:val="single" w:sz="8" w:space="0" w:color="auto"/>
            </w:tcBorders>
            <w:shd w:val="clear" w:color="auto" w:fill="auto"/>
            <w:noWrap/>
            <w:vAlign w:val="bottom"/>
            <w:hideMark/>
          </w:tcPr>
          <w:p w:rsidR="00485515" w:rsidRPr="00D32659" w:rsidRDefault="00485515" w:rsidP="008015B2">
            <w:pPr>
              <w:spacing w:after="0" w:line="240" w:lineRule="auto"/>
              <w:jc w:val="both"/>
              <w:rPr>
                <w:rFonts w:eastAsia="Times New Roman"/>
                <w:b/>
                <w:bCs/>
                <w:szCs w:val="23"/>
                <w:lang w:eastAsia="cs-CZ"/>
              </w:rPr>
            </w:pPr>
            <w:r w:rsidRPr="00D32659">
              <w:rPr>
                <w:rFonts w:eastAsia="Times New Roman"/>
                <w:b/>
                <w:bCs/>
                <w:szCs w:val="23"/>
                <w:lang w:eastAsia="cs-CZ"/>
              </w:rPr>
              <w:t>ROA</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3,63%</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4,20%</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4,76%</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1,13%</w:t>
            </w:r>
          </w:p>
        </w:tc>
        <w:tc>
          <w:tcPr>
            <w:tcW w:w="940" w:type="dxa"/>
            <w:tcBorders>
              <w:top w:val="nil"/>
              <w:left w:val="nil"/>
              <w:bottom w:val="single" w:sz="4" w:space="0" w:color="auto"/>
              <w:right w:val="single" w:sz="8"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0,35%</w:t>
            </w:r>
          </w:p>
        </w:tc>
      </w:tr>
      <w:tr w:rsidR="00485515" w:rsidRPr="00D32659" w:rsidTr="00485515">
        <w:trPr>
          <w:trHeight w:val="300"/>
        </w:trPr>
        <w:tc>
          <w:tcPr>
            <w:tcW w:w="2520" w:type="dxa"/>
            <w:tcBorders>
              <w:top w:val="nil"/>
              <w:left w:val="single" w:sz="8" w:space="0" w:color="auto"/>
              <w:bottom w:val="single" w:sz="4" w:space="0" w:color="auto"/>
              <w:right w:val="single" w:sz="8"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ROA v odvětví</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-1,51%</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1,44%</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2,36%</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1,76%</w:t>
            </w:r>
          </w:p>
        </w:tc>
        <w:tc>
          <w:tcPr>
            <w:tcW w:w="940" w:type="dxa"/>
            <w:tcBorders>
              <w:top w:val="nil"/>
              <w:left w:val="nil"/>
              <w:bottom w:val="single" w:sz="4" w:space="0" w:color="auto"/>
              <w:right w:val="single" w:sz="8"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2,60%</w:t>
            </w:r>
          </w:p>
        </w:tc>
      </w:tr>
      <w:tr w:rsidR="00485515" w:rsidRPr="00D32659" w:rsidTr="00485515">
        <w:trPr>
          <w:trHeight w:val="300"/>
        </w:trPr>
        <w:tc>
          <w:tcPr>
            <w:tcW w:w="2520" w:type="dxa"/>
            <w:tcBorders>
              <w:top w:val="nil"/>
              <w:left w:val="single" w:sz="8" w:space="0" w:color="auto"/>
              <w:bottom w:val="single" w:sz="4" w:space="0" w:color="auto"/>
              <w:right w:val="single" w:sz="8" w:space="0" w:color="auto"/>
            </w:tcBorders>
            <w:shd w:val="clear" w:color="auto" w:fill="auto"/>
            <w:noWrap/>
            <w:vAlign w:val="bottom"/>
            <w:hideMark/>
          </w:tcPr>
          <w:p w:rsidR="00485515" w:rsidRPr="00D32659" w:rsidRDefault="00485515" w:rsidP="008015B2">
            <w:pPr>
              <w:spacing w:after="0" w:line="240" w:lineRule="auto"/>
              <w:jc w:val="both"/>
              <w:rPr>
                <w:rFonts w:eastAsia="Times New Roman"/>
                <w:b/>
                <w:bCs/>
                <w:szCs w:val="23"/>
                <w:lang w:eastAsia="cs-CZ"/>
              </w:rPr>
            </w:pPr>
            <w:r w:rsidRPr="00D32659">
              <w:rPr>
                <w:rFonts w:eastAsia="Times New Roman"/>
                <w:b/>
                <w:bCs/>
                <w:szCs w:val="23"/>
                <w:lang w:eastAsia="cs-CZ"/>
              </w:rPr>
              <w:t>ROE</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5,61%</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8,36%</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6,78%</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1,37%</w:t>
            </w:r>
          </w:p>
        </w:tc>
        <w:tc>
          <w:tcPr>
            <w:tcW w:w="940" w:type="dxa"/>
            <w:tcBorders>
              <w:top w:val="nil"/>
              <w:left w:val="nil"/>
              <w:bottom w:val="single" w:sz="4" w:space="0" w:color="auto"/>
              <w:right w:val="single" w:sz="8"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0,38%</w:t>
            </w:r>
          </w:p>
        </w:tc>
      </w:tr>
      <w:tr w:rsidR="00485515" w:rsidRPr="00D32659" w:rsidTr="00485515">
        <w:trPr>
          <w:trHeight w:val="300"/>
        </w:trPr>
        <w:tc>
          <w:tcPr>
            <w:tcW w:w="2520" w:type="dxa"/>
            <w:tcBorders>
              <w:top w:val="nil"/>
              <w:left w:val="single" w:sz="8" w:space="0" w:color="auto"/>
              <w:bottom w:val="single" w:sz="4" w:space="0" w:color="auto"/>
              <w:right w:val="single" w:sz="8"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ROE v odvětví</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-3,59%</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1,85%</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3,01%</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2,03%</w:t>
            </w:r>
          </w:p>
        </w:tc>
        <w:tc>
          <w:tcPr>
            <w:tcW w:w="940" w:type="dxa"/>
            <w:tcBorders>
              <w:top w:val="nil"/>
              <w:left w:val="nil"/>
              <w:bottom w:val="single" w:sz="4" w:space="0" w:color="auto"/>
              <w:right w:val="single" w:sz="8"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4,15%</w:t>
            </w:r>
          </w:p>
        </w:tc>
      </w:tr>
      <w:tr w:rsidR="00485515" w:rsidRPr="00D32659" w:rsidTr="00485515">
        <w:trPr>
          <w:trHeight w:val="300"/>
        </w:trPr>
        <w:tc>
          <w:tcPr>
            <w:tcW w:w="2520" w:type="dxa"/>
            <w:tcBorders>
              <w:top w:val="nil"/>
              <w:left w:val="single" w:sz="8" w:space="0" w:color="auto"/>
              <w:bottom w:val="single" w:sz="4" w:space="0" w:color="auto"/>
              <w:right w:val="single" w:sz="8" w:space="0" w:color="auto"/>
            </w:tcBorders>
            <w:shd w:val="clear" w:color="auto" w:fill="auto"/>
            <w:noWrap/>
            <w:vAlign w:val="bottom"/>
            <w:hideMark/>
          </w:tcPr>
          <w:p w:rsidR="00485515" w:rsidRPr="00D32659" w:rsidRDefault="00485515" w:rsidP="008015B2">
            <w:pPr>
              <w:spacing w:after="0" w:line="240" w:lineRule="auto"/>
              <w:jc w:val="both"/>
              <w:rPr>
                <w:rFonts w:eastAsia="Times New Roman"/>
                <w:b/>
                <w:bCs/>
                <w:szCs w:val="23"/>
                <w:lang w:eastAsia="cs-CZ"/>
              </w:rPr>
            </w:pPr>
            <w:r w:rsidRPr="00D32659">
              <w:rPr>
                <w:rFonts w:eastAsia="Times New Roman"/>
                <w:b/>
                <w:bCs/>
                <w:szCs w:val="23"/>
                <w:lang w:eastAsia="cs-CZ"/>
              </w:rPr>
              <w:t>ROS</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2,22%</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4,54%</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2,74%</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0,80%</w:t>
            </w:r>
          </w:p>
        </w:tc>
        <w:tc>
          <w:tcPr>
            <w:tcW w:w="940" w:type="dxa"/>
            <w:tcBorders>
              <w:top w:val="nil"/>
              <w:left w:val="nil"/>
              <w:bottom w:val="single" w:sz="4" w:space="0" w:color="auto"/>
              <w:right w:val="single" w:sz="8"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0,19%</w:t>
            </w:r>
          </w:p>
        </w:tc>
      </w:tr>
      <w:tr w:rsidR="00485515" w:rsidRPr="00D32659" w:rsidTr="00485515">
        <w:trPr>
          <w:trHeight w:val="300"/>
        </w:trPr>
        <w:tc>
          <w:tcPr>
            <w:tcW w:w="2520" w:type="dxa"/>
            <w:tcBorders>
              <w:top w:val="nil"/>
              <w:left w:val="single" w:sz="8" w:space="0" w:color="auto"/>
              <w:bottom w:val="single" w:sz="4" w:space="0" w:color="auto"/>
              <w:right w:val="single" w:sz="8"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ROS v odvětví</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-1,83%</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1,82%</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1,46%</w:t>
            </w:r>
          </w:p>
        </w:tc>
        <w:tc>
          <w:tcPr>
            <w:tcW w:w="940" w:type="dxa"/>
            <w:tcBorders>
              <w:top w:val="nil"/>
              <w:left w:val="nil"/>
              <w:bottom w:val="single" w:sz="4"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1,75%</w:t>
            </w:r>
          </w:p>
        </w:tc>
        <w:tc>
          <w:tcPr>
            <w:tcW w:w="940" w:type="dxa"/>
            <w:tcBorders>
              <w:top w:val="nil"/>
              <w:left w:val="nil"/>
              <w:bottom w:val="single" w:sz="4" w:space="0" w:color="auto"/>
              <w:right w:val="single" w:sz="8"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2,66%</w:t>
            </w:r>
          </w:p>
        </w:tc>
      </w:tr>
      <w:tr w:rsidR="00485515" w:rsidRPr="00D32659" w:rsidTr="00485515">
        <w:trPr>
          <w:trHeight w:val="315"/>
        </w:trPr>
        <w:tc>
          <w:tcPr>
            <w:tcW w:w="2520" w:type="dxa"/>
            <w:tcBorders>
              <w:top w:val="nil"/>
              <w:left w:val="single" w:sz="8" w:space="0" w:color="auto"/>
              <w:bottom w:val="single" w:sz="8" w:space="0" w:color="auto"/>
              <w:right w:val="single" w:sz="8" w:space="0" w:color="auto"/>
            </w:tcBorders>
            <w:shd w:val="clear" w:color="auto" w:fill="auto"/>
            <w:noWrap/>
            <w:vAlign w:val="bottom"/>
            <w:hideMark/>
          </w:tcPr>
          <w:p w:rsidR="00485515" w:rsidRPr="00D32659" w:rsidRDefault="00485515" w:rsidP="008015B2">
            <w:pPr>
              <w:spacing w:after="0" w:line="240" w:lineRule="auto"/>
              <w:jc w:val="both"/>
              <w:rPr>
                <w:rFonts w:eastAsia="Times New Roman"/>
                <w:b/>
                <w:bCs/>
                <w:szCs w:val="23"/>
                <w:lang w:eastAsia="cs-CZ"/>
              </w:rPr>
            </w:pPr>
            <w:r w:rsidRPr="00D32659">
              <w:rPr>
                <w:rFonts w:eastAsia="Times New Roman"/>
                <w:b/>
                <w:bCs/>
                <w:szCs w:val="23"/>
                <w:lang w:eastAsia="cs-CZ"/>
              </w:rPr>
              <w:t>ROCE</w:t>
            </w:r>
          </w:p>
        </w:tc>
        <w:tc>
          <w:tcPr>
            <w:tcW w:w="940" w:type="dxa"/>
            <w:tcBorders>
              <w:top w:val="nil"/>
              <w:left w:val="nil"/>
              <w:bottom w:val="single" w:sz="8"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5,61%</w:t>
            </w:r>
          </w:p>
        </w:tc>
        <w:tc>
          <w:tcPr>
            <w:tcW w:w="940" w:type="dxa"/>
            <w:tcBorders>
              <w:top w:val="nil"/>
              <w:left w:val="nil"/>
              <w:bottom w:val="single" w:sz="8"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7,57%</w:t>
            </w:r>
          </w:p>
        </w:tc>
        <w:tc>
          <w:tcPr>
            <w:tcW w:w="940" w:type="dxa"/>
            <w:tcBorders>
              <w:top w:val="nil"/>
              <w:left w:val="nil"/>
              <w:bottom w:val="single" w:sz="8"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6,80%</w:t>
            </w:r>
          </w:p>
        </w:tc>
        <w:tc>
          <w:tcPr>
            <w:tcW w:w="940" w:type="dxa"/>
            <w:tcBorders>
              <w:top w:val="nil"/>
              <w:left w:val="nil"/>
              <w:bottom w:val="single" w:sz="8" w:space="0" w:color="auto"/>
              <w:right w:val="single" w:sz="4"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1,60%</w:t>
            </w:r>
          </w:p>
        </w:tc>
        <w:tc>
          <w:tcPr>
            <w:tcW w:w="940" w:type="dxa"/>
            <w:tcBorders>
              <w:top w:val="nil"/>
              <w:left w:val="nil"/>
              <w:bottom w:val="single" w:sz="8" w:space="0" w:color="auto"/>
              <w:right w:val="single" w:sz="8" w:space="0" w:color="auto"/>
            </w:tcBorders>
            <w:shd w:val="clear" w:color="auto" w:fill="auto"/>
            <w:noWrap/>
            <w:vAlign w:val="bottom"/>
            <w:hideMark/>
          </w:tcPr>
          <w:p w:rsidR="00485515" w:rsidRPr="00D32659" w:rsidRDefault="00485515" w:rsidP="008015B2">
            <w:pPr>
              <w:spacing w:after="0" w:line="240" w:lineRule="auto"/>
              <w:jc w:val="both"/>
              <w:rPr>
                <w:rFonts w:eastAsia="Times New Roman"/>
                <w:szCs w:val="23"/>
                <w:lang w:eastAsia="cs-CZ"/>
              </w:rPr>
            </w:pPr>
            <w:r w:rsidRPr="00D32659">
              <w:rPr>
                <w:rFonts w:eastAsia="Times New Roman"/>
                <w:szCs w:val="23"/>
                <w:lang w:eastAsia="cs-CZ"/>
              </w:rPr>
              <w:t>0,51%</w:t>
            </w:r>
          </w:p>
        </w:tc>
      </w:tr>
    </w:tbl>
    <w:p w:rsidR="00D14174" w:rsidRPr="00D32659" w:rsidRDefault="00D14174" w:rsidP="008015B2">
      <w:pPr>
        <w:jc w:val="both"/>
        <w:rPr>
          <w:i/>
          <w:sz w:val="20"/>
          <w:szCs w:val="20"/>
        </w:rPr>
      </w:pPr>
      <w:r w:rsidRPr="00D32659">
        <w:rPr>
          <w:i/>
          <w:sz w:val="20"/>
          <w:szCs w:val="20"/>
        </w:rPr>
        <w:t>Pramen: vlastní zpracování na základě účetních výkazů společnosti a informací z MPO.</w:t>
      </w:r>
    </w:p>
    <w:p w:rsidR="006A52BD" w:rsidRPr="00D32659" w:rsidRDefault="006A52BD" w:rsidP="008015B2">
      <w:pPr>
        <w:jc w:val="both"/>
      </w:pPr>
      <w:r w:rsidRPr="00D32659">
        <w:t xml:space="preserve">Ukazatel </w:t>
      </w:r>
      <w:r w:rsidRPr="00D32659">
        <w:rPr>
          <w:b/>
        </w:rPr>
        <w:t>rentability celkového vloženého kapitálu</w:t>
      </w:r>
      <w:r w:rsidR="008A056E" w:rsidRPr="00D32659">
        <w:rPr>
          <w:b/>
        </w:rPr>
        <w:t xml:space="preserve"> (ROA)</w:t>
      </w:r>
      <w:r w:rsidRPr="00D32659">
        <w:t xml:space="preserve"> se v prvních třech letech držel nad průměrem v odvětví</w:t>
      </w:r>
      <w:r w:rsidR="004A5E63" w:rsidRPr="00D32659">
        <w:t>, což je pozitivní trend</w:t>
      </w:r>
      <w:r w:rsidRPr="00D32659">
        <w:t>. V ideálním případě by ukazatel ROA měl růst, což se u sledovaného podniku neděje, naopak tento ukazatel vykazuje klesající trend. Nejvyšší hodnoty dosáhl v roce 2011 a to 4,</w:t>
      </w:r>
      <w:r w:rsidR="004A5E63" w:rsidRPr="00D32659">
        <w:t xml:space="preserve">76 %. Klesající trend způsoboval </w:t>
      </w:r>
      <w:r w:rsidRPr="00D32659">
        <w:t xml:space="preserve">hlavně poměrně dramatické snižování výsledku hospodaření. Celková aktiva se sice ve sledovaném období také </w:t>
      </w:r>
      <w:r w:rsidR="004A5E63" w:rsidRPr="00D32659">
        <w:t>postupně snižovala, ale zdaleka ne</w:t>
      </w:r>
      <w:r w:rsidRPr="00D32659">
        <w:t xml:space="preserve"> tak vážně. To vše vyvrcholilo v posledním roce, kdy ukazatel ROA dosáhl nejnižší hodnoty</w:t>
      </w:r>
      <w:r w:rsidR="004A5E63" w:rsidRPr="00D32659">
        <w:t xml:space="preserve"> 0,35 %</w:t>
      </w:r>
    </w:p>
    <w:p w:rsidR="006A52BD" w:rsidRPr="00D32659" w:rsidRDefault="008A056E" w:rsidP="008015B2">
      <w:pPr>
        <w:jc w:val="both"/>
        <w:rPr>
          <w:b/>
        </w:rPr>
      </w:pPr>
      <w:r w:rsidRPr="00D32659">
        <w:rPr>
          <w:b/>
        </w:rPr>
        <w:t>Hypotéza č. x</w:t>
      </w:r>
    </w:p>
    <w:p w:rsidR="004A5E63" w:rsidRPr="00D32659" w:rsidRDefault="006A52BD" w:rsidP="008015B2">
      <w:pPr>
        <w:jc w:val="both"/>
      </w:pPr>
      <w:r w:rsidRPr="00D32659">
        <w:t xml:space="preserve">Hodnota </w:t>
      </w:r>
      <w:r w:rsidRPr="00D32659">
        <w:rPr>
          <w:b/>
        </w:rPr>
        <w:t>rentability vlastního kapitálu</w:t>
      </w:r>
      <w:r w:rsidR="008A056E" w:rsidRPr="00D32659">
        <w:rPr>
          <w:b/>
        </w:rPr>
        <w:t xml:space="preserve"> (ROE)</w:t>
      </w:r>
      <w:r w:rsidRPr="00D32659">
        <w:t>, stejně jako rentabilita celkového vloženého kapitálu, se v prvních třech letech pohybovala výrazně nad</w:t>
      </w:r>
      <w:r w:rsidR="004A5E63" w:rsidRPr="00D32659">
        <w:t xml:space="preserve"> průměrem v odvětví. V roce 2010</w:t>
      </w:r>
      <w:r w:rsidRPr="00D32659">
        <w:t xml:space="preserve"> dosahovala nejvyšší hodnoty v</w:t>
      </w:r>
      <w:r w:rsidR="004A5E63" w:rsidRPr="00D32659">
        <w:t>e</w:t>
      </w:r>
      <w:r w:rsidRPr="00D32659">
        <w:t> sledovaném období</w:t>
      </w:r>
      <w:r w:rsidR="004A5E63" w:rsidRPr="00D32659">
        <w:t>,</w:t>
      </w:r>
      <w:r w:rsidRPr="00D32659">
        <w:t xml:space="preserve"> 8,4 %, zatím co průměr v odvětví byl jen 1,9 %. V roce 2012 a 2013 ROE výrazně klesla až pod průměr v odvětví,</w:t>
      </w:r>
      <w:r w:rsidR="004A5E63" w:rsidRPr="00D32659">
        <w:t xml:space="preserve"> který naopak postupně rostl,</w:t>
      </w:r>
      <w:r w:rsidRPr="00D32659">
        <w:t xml:space="preserve"> což bylo způsobeno hlavně neustálým snižování výsledku hospodaření před zdaněním.</w:t>
      </w:r>
    </w:p>
    <w:p w:rsidR="00F40B57" w:rsidRPr="00D32659" w:rsidRDefault="000D5CFC" w:rsidP="008015B2">
      <w:pPr>
        <w:jc w:val="both"/>
      </w:pPr>
      <w:r w:rsidRPr="00D32659">
        <w:rPr>
          <w:b/>
        </w:rPr>
        <w:lastRenderedPageBreak/>
        <w:t>Rentabilita tržeb</w:t>
      </w:r>
      <w:r w:rsidR="008A056E" w:rsidRPr="00D32659">
        <w:rPr>
          <w:b/>
        </w:rPr>
        <w:t xml:space="preserve"> (ROS)</w:t>
      </w:r>
      <w:r w:rsidRPr="00D32659">
        <w:t xml:space="preserve">, podobně jako předchozí ukazatele, nejprve rostla a poté rapidně klesala. Rozdíl je v tom, že svého vrcholu dosáhla už v roce </w:t>
      </w:r>
      <w:r w:rsidR="00F40B57" w:rsidRPr="00D32659">
        <w:t xml:space="preserve">2010 a to 4,5 %. V roce 2010 byly celkové tržby nejnižší a výsledek hospodaření nejvyšší. V následujících letech tržby stouply a výsledek hospodaření zprudka klesal. Tyto skutečnosti zapříčinily postupné klesání ukazatele rentability tržeb až k nejnižší hodnotě 0,19 %. </w:t>
      </w:r>
    </w:p>
    <w:p w:rsidR="00FC3C29" w:rsidRPr="00D32659" w:rsidRDefault="0096790E" w:rsidP="008015B2">
      <w:pPr>
        <w:jc w:val="both"/>
      </w:pPr>
      <w:r w:rsidRPr="00D32659">
        <w:rPr>
          <w:b/>
        </w:rPr>
        <w:t xml:space="preserve">Rentabilita investovaného kapitálu (ROCE) </w:t>
      </w:r>
      <w:r w:rsidRPr="00D32659">
        <w:t>stejně jako ukazatel ROE a ROS v prvních dvou letech roste a v dalších prudce klesá. Stejně jako u výše zmíněných ukazatelů je tento vývoj způsoben rapidním klesáním výsledku hospodaření.</w:t>
      </w:r>
    </w:p>
    <w:p w:rsidR="00985448" w:rsidRPr="00D32659" w:rsidRDefault="00985448" w:rsidP="008015B2">
      <w:pPr>
        <w:pStyle w:val="Nadpis3"/>
        <w:jc w:val="both"/>
      </w:pPr>
      <w:bookmarkStart w:id="41" w:name="_Toc417564179"/>
      <w:r w:rsidRPr="00D32659">
        <w:t>Ukazatel aktivity</w:t>
      </w:r>
      <w:bookmarkEnd w:id="41"/>
    </w:p>
    <w:p w:rsidR="00985448" w:rsidRPr="00D32659" w:rsidRDefault="00985448" w:rsidP="008015B2">
      <w:pPr>
        <w:pStyle w:val="Bezmezer"/>
        <w:jc w:val="both"/>
        <w:rPr>
          <w:lang w:val="cs-CZ"/>
        </w:rPr>
      </w:pPr>
    </w:p>
    <w:p w:rsidR="00985448" w:rsidRPr="00D32659" w:rsidRDefault="00E515A9" w:rsidP="008015B2">
      <w:pPr>
        <w:jc w:val="both"/>
        <w:rPr>
          <w:b/>
        </w:rPr>
      </w:pPr>
      <w:r w:rsidRPr="00D32659">
        <w:rPr>
          <w:b/>
        </w:rPr>
        <w:t>Tabulka č.</w:t>
      </w:r>
      <w:r w:rsidR="00D14174" w:rsidRPr="00D32659">
        <w:rPr>
          <w:b/>
        </w:rPr>
        <w:t xml:space="preserve"> 3: Hodnoty ukazatele aktivity</w:t>
      </w:r>
    </w:p>
    <w:tbl>
      <w:tblPr>
        <w:tblW w:w="7460" w:type="dxa"/>
        <w:tblInd w:w="55" w:type="dxa"/>
        <w:tblCellMar>
          <w:left w:w="70" w:type="dxa"/>
          <w:right w:w="70" w:type="dxa"/>
        </w:tblCellMar>
        <w:tblLook w:val="04A0" w:firstRow="1" w:lastRow="0" w:firstColumn="1" w:lastColumn="0" w:noHBand="0" w:noVBand="1"/>
      </w:tblPr>
      <w:tblGrid>
        <w:gridCol w:w="2760"/>
        <w:gridCol w:w="940"/>
        <w:gridCol w:w="940"/>
        <w:gridCol w:w="940"/>
        <w:gridCol w:w="940"/>
        <w:gridCol w:w="940"/>
      </w:tblGrid>
      <w:tr w:rsidR="000320CB" w:rsidRPr="00D32659" w:rsidTr="000320CB">
        <w:trPr>
          <w:trHeight w:val="450"/>
        </w:trPr>
        <w:tc>
          <w:tcPr>
            <w:tcW w:w="2760" w:type="dxa"/>
            <w:tcBorders>
              <w:top w:val="single" w:sz="8" w:space="0" w:color="auto"/>
              <w:left w:val="single" w:sz="8" w:space="0" w:color="auto"/>
              <w:bottom w:val="single" w:sz="8" w:space="0" w:color="auto"/>
              <w:right w:val="single" w:sz="8" w:space="0" w:color="auto"/>
            </w:tcBorders>
            <w:shd w:val="clear" w:color="000000" w:fill="8DB4E2"/>
            <w:noWrap/>
            <w:vAlign w:val="center"/>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Ukazatel aktivity</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2009</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2010</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2011</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2012</w:t>
            </w:r>
          </w:p>
        </w:tc>
        <w:tc>
          <w:tcPr>
            <w:tcW w:w="940" w:type="dxa"/>
            <w:tcBorders>
              <w:top w:val="single" w:sz="8" w:space="0" w:color="auto"/>
              <w:left w:val="nil"/>
              <w:bottom w:val="single" w:sz="8" w:space="0" w:color="auto"/>
              <w:right w:val="single" w:sz="8" w:space="0" w:color="auto"/>
            </w:tcBorders>
            <w:shd w:val="clear" w:color="000000" w:fill="8DB4E2"/>
            <w:noWrap/>
            <w:vAlign w:val="center"/>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2013</w:t>
            </w:r>
          </w:p>
        </w:tc>
      </w:tr>
      <w:tr w:rsidR="000320CB" w:rsidRPr="00D32659" w:rsidTr="000320CB">
        <w:trPr>
          <w:trHeight w:val="300"/>
        </w:trPr>
        <w:tc>
          <w:tcPr>
            <w:tcW w:w="2760" w:type="dxa"/>
            <w:tcBorders>
              <w:top w:val="nil"/>
              <w:left w:val="single" w:sz="8" w:space="0" w:color="auto"/>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Obrat aktiv</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1,63</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0,92</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1,74</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1,41</w:t>
            </w:r>
          </w:p>
        </w:tc>
        <w:tc>
          <w:tcPr>
            <w:tcW w:w="940" w:type="dxa"/>
            <w:tcBorders>
              <w:top w:val="nil"/>
              <w:left w:val="nil"/>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1,89</w:t>
            </w:r>
          </w:p>
        </w:tc>
      </w:tr>
      <w:tr w:rsidR="000320CB" w:rsidRPr="00D32659" w:rsidTr="000320CB">
        <w:trPr>
          <w:trHeight w:val="300"/>
        </w:trPr>
        <w:tc>
          <w:tcPr>
            <w:tcW w:w="2760" w:type="dxa"/>
            <w:tcBorders>
              <w:top w:val="nil"/>
              <w:left w:val="single" w:sz="8" w:space="0" w:color="auto"/>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Obrat aktiv v odvětví</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0,85</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0,97</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1,06</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1,01</w:t>
            </w:r>
          </w:p>
        </w:tc>
        <w:tc>
          <w:tcPr>
            <w:tcW w:w="940" w:type="dxa"/>
            <w:tcBorders>
              <w:top w:val="nil"/>
              <w:left w:val="nil"/>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0,98</w:t>
            </w:r>
          </w:p>
        </w:tc>
      </w:tr>
      <w:tr w:rsidR="000320CB" w:rsidRPr="00D32659" w:rsidTr="000320CB">
        <w:trPr>
          <w:trHeight w:val="300"/>
        </w:trPr>
        <w:tc>
          <w:tcPr>
            <w:tcW w:w="2760" w:type="dxa"/>
            <w:tcBorders>
              <w:top w:val="nil"/>
              <w:left w:val="single" w:sz="8" w:space="0" w:color="auto"/>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Obrat zásob</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10,39</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5,88</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9,25</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6,96</w:t>
            </w:r>
          </w:p>
        </w:tc>
        <w:tc>
          <w:tcPr>
            <w:tcW w:w="940" w:type="dxa"/>
            <w:tcBorders>
              <w:top w:val="nil"/>
              <w:left w:val="nil"/>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9,44</w:t>
            </w:r>
          </w:p>
        </w:tc>
      </w:tr>
      <w:tr w:rsidR="000320CB" w:rsidRPr="00D32659" w:rsidTr="000320CB">
        <w:trPr>
          <w:trHeight w:val="300"/>
        </w:trPr>
        <w:tc>
          <w:tcPr>
            <w:tcW w:w="2760" w:type="dxa"/>
            <w:tcBorders>
              <w:top w:val="nil"/>
              <w:left w:val="single" w:sz="8" w:space="0" w:color="auto"/>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Doba obratu zásob</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34,66</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61,18</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38,92</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51,72</w:t>
            </w:r>
          </w:p>
        </w:tc>
        <w:tc>
          <w:tcPr>
            <w:tcW w:w="940" w:type="dxa"/>
            <w:tcBorders>
              <w:top w:val="nil"/>
              <w:left w:val="nil"/>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38,14</w:t>
            </w:r>
          </w:p>
        </w:tc>
      </w:tr>
      <w:tr w:rsidR="000320CB" w:rsidRPr="00D32659" w:rsidTr="000320CB">
        <w:trPr>
          <w:trHeight w:val="300"/>
        </w:trPr>
        <w:tc>
          <w:tcPr>
            <w:tcW w:w="2760" w:type="dxa"/>
            <w:tcBorders>
              <w:top w:val="nil"/>
              <w:left w:val="single" w:sz="8" w:space="0" w:color="auto"/>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Průměrná doba inkasa</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97,51</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94,03</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58,58</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68,19</w:t>
            </w:r>
          </w:p>
        </w:tc>
        <w:tc>
          <w:tcPr>
            <w:tcW w:w="940" w:type="dxa"/>
            <w:tcBorders>
              <w:top w:val="nil"/>
              <w:left w:val="nil"/>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62,39</w:t>
            </w:r>
          </w:p>
        </w:tc>
      </w:tr>
      <w:tr w:rsidR="000320CB" w:rsidRPr="00D32659" w:rsidTr="000320CB">
        <w:trPr>
          <w:trHeight w:val="300"/>
        </w:trPr>
        <w:tc>
          <w:tcPr>
            <w:tcW w:w="2760" w:type="dxa"/>
            <w:tcBorders>
              <w:top w:val="nil"/>
              <w:left w:val="single" w:sz="8" w:space="0" w:color="auto"/>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Doba obratu závazků</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62,18</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162,23</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60,23</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72,88</w:t>
            </w:r>
          </w:p>
        </w:tc>
        <w:tc>
          <w:tcPr>
            <w:tcW w:w="940" w:type="dxa"/>
            <w:tcBorders>
              <w:top w:val="nil"/>
              <w:left w:val="nil"/>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56,79</w:t>
            </w:r>
          </w:p>
        </w:tc>
      </w:tr>
      <w:tr w:rsidR="000320CB" w:rsidRPr="00D32659" w:rsidTr="000320CB">
        <w:trPr>
          <w:trHeight w:val="315"/>
        </w:trPr>
        <w:tc>
          <w:tcPr>
            <w:tcW w:w="2760" w:type="dxa"/>
            <w:tcBorders>
              <w:top w:val="nil"/>
              <w:left w:val="single" w:sz="8" w:space="0" w:color="auto"/>
              <w:bottom w:val="single" w:sz="8"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Obchodní deficit</w:t>
            </w:r>
          </w:p>
        </w:tc>
        <w:tc>
          <w:tcPr>
            <w:tcW w:w="940" w:type="dxa"/>
            <w:tcBorders>
              <w:top w:val="nil"/>
              <w:left w:val="nil"/>
              <w:bottom w:val="single" w:sz="8"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35,33</w:t>
            </w:r>
          </w:p>
        </w:tc>
        <w:tc>
          <w:tcPr>
            <w:tcW w:w="940" w:type="dxa"/>
            <w:tcBorders>
              <w:top w:val="nil"/>
              <w:left w:val="nil"/>
              <w:bottom w:val="single" w:sz="8"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-68,20</w:t>
            </w:r>
          </w:p>
        </w:tc>
        <w:tc>
          <w:tcPr>
            <w:tcW w:w="940" w:type="dxa"/>
            <w:tcBorders>
              <w:top w:val="nil"/>
              <w:left w:val="nil"/>
              <w:bottom w:val="single" w:sz="8"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-1,66</w:t>
            </w:r>
          </w:p>
        </w:tc>
        <w:tc>
          <w:tcPr>
            <w:tcW w:w="940" w:type="dxa"/>
            <w:tcBorders>
              <w:top w:val="nil"/>
              <w:left w:val="nil"/>
              <w:bottom w:val="single" w:sz="8"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-4,69</w:t>
            </w:r>
          </w:p>
        </w:tc>
        <w:tc>
          <w:tcPr>
            <w:tcW w:w="940" w:type="dxa"/>
            <w:tcBorders>
              <w:top w:val="nil"/>
              <w:left w:val="nil"/>
              <w:bottom w:val="single" w:sz="8"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5,60</w:t>
            </w:r>
          </w:p>
        </w:tc>
      </w:tr>
    </w:tbl>
    <w:p w:rsidR="00D14174" w:rsidRPr="00D32659" w:rsidRDefault="00D14174" w:rsidP="008015B2">
      <w:pPr>
        <w:jc w:val="both"/>
        <w:rPr>
          <w:i/>
          <w:sz w:val="20"/>
          <w:szCs w:val="20"/>
        </w:rPr>
      </w:pPr>
      <w:r w:rsidRPr="00D32659">
        <w:rPr>
          <w:i/>
          <w:sz w:val="20"/>
          <w:szCs w:val="20"/>
        </w:rPr>
        <w:t>Pramen: vlastní zpracování na základě účetních výkazů společnosti a informací z MPO.</w:t>
      </w:r>
    </w:p>
    <w:p w:rsidR="00353E7E" w:rsidRPr="00D32659" w:rsidRDefault="00F545B8" w:rsidP="008015B2">
      <w:pPr>
        <w:jc w:val="both"/>
      </w:pPr>
      <w:r w:rsidRPr="00D32659">
        <w:t xml:space="preserve">Hodnota </w:t>
      </w:r>
      <w:r w:rsidRPr="00D32659">
        <w:rPr>
          <w:b/>
        </w:rPr>
        <w:t>obratu aktiv</w:t>
      </w:r>
      <w:r w:rsidRPr="00D32659">
        <w:t xml:space="preserve">, která udává, kolikrát se celková aktiva obrátí za jeden rok, by se měla rovnat alespoň jedné. </w:t>
      </w:r>
      <w:r w:rsidR="009C244A" w:rsidRPr="00D32659">
        <w:t xml:space="preserve">Ve sledovaném období se pod tuto hranici dostala společnost jen jednou a to v roce 2010, kdy hodnota celkových aktiv dosahovala 0,92. </w:t>
      </w:r>
      <w:r w:rsidR="00DA516D" w:rsidRPr="00D32659">
        <w:t xml:space="preserve">Tento stav nastal, kvůli </w:t>
      </w:r>
      <w:r w:rsidR="00353E7E" w:rsidRPr="00D32659">
        <w:t xml:space="preserve">velkému navýšení celkových aktiv. V roce 2013 byly tržby 1,89x větší než aktiva a obrat aktiv dosáhl své nejvyšší hodnoty ve sledovaném období. Ve všech obdobích, kromě roku 2010, byly hodnoty ukazatele obratu aktiv vyšší než průměr v odvětví. Z těchto dat lze usoudit, že manažeři podniku hospodaří efektivně. </w:t>
      </w:r>
    </w:p>
    <w:p w:rsidR="00431BF6" w:rsidRPr="00D32659" w:rsidRDefault="00431BF6" w:rsidP="008015B2">
      <w:pPr>
        <w:jc w:val="both"/>
      </w:pPr>
      <w:r w:rsidRPr="00D32659">
        <w:t xml:space="preserve">Ukazatel </w:t>
      </w:r>
      <w:r w:rsidRPr="00D32659">
        <w:rPr>
          <w:b/>
        </w:rPr>
        <w:t>obratu zásob</w:t>
      </w:r>
      <w:r w:rsidRPr="00D32659">
        <w:t xml:space="preserve"> udává, kolikrát se v jednom roce otočí zásoby. </w:t>
      </w:r>
      <w:r w:rsidR="00EC701E" w:rsidRPr="00D32659">
        <w:t xml:space="preserve">Hodnoty sledovaného podniku jsou poměrně vysoké a nevykazují žádný trend, spíše kolísají v čase. V tomto případě kolísají podle toho, jak se navyšují a klesají tržby, protože zásoby jsou ve sledovaném období relativně stabilní. Podobně je na tom i ukazatel </w:t>
      </w:r>
      <w:r w:rsidR="001A2753" w:rsidRPr="00D32659">
        <w:rPr>
          <w:b/>
        </w:rPr>
        <w:t>doby</w:t>
      </w:r>
      <w:r w:rsidR="00EC701E" w:rsidRPr="00D32659">
        <w:rPr>
          <w:b/>
        </w:rPr>
        <w:t xml:space="preserve"> obratu zásob</w:t>
      </w:r>
      <w:r w:rsidR="00EC701E" w:rsidRPr="00D32659">
        <w:t xml:space="preserve">, který říká, jak dlouho jsou zásoby uskladněny, než dojde k jejich spotřebování, popř. prodání. I ten pochopitelně kolísá v čase, jelikož jde také o poměr zásob a tržeb. Jeho </w:t>
      </w:r>
      <w:r w:rsidR="001A2753" w:rsidRPr="00D32659">
        <w:t>nejnižší hodnota,</w:t>
      </w:r>
      <w:r w:rsidR="00EC701E" w:rsidRPr="00D32659">
        <w:t xml:space="preserve"> v roce 2009</w:t>
      </w:r>
      <w:r w:rsidR="001A2753" w:rsidRPr="00D32659">
        <w:t xml:space="preserve">, je 34,7. V tomto roce taky společnost eviduje nejnižší množství zásob vůbec. Naopak nejvyšší hodnosty společnost dosáhla v roce 2010 a to 61,2. Tato nejvyšší hodnota je zapříčiněna nejvyššími tržbami ve sledovaném období. </w:t>
      </w:r>
    </w:p>
    <w:p w:rsidR="001A2753" w:rsidRPr="00D32659" w:rsidRDefault="001A2753" w:rsidP="008015B2">
      <w:pPr>
        <w:jc w:val="both"/>
      </w:pPr>
      <w:r w:rsidRPr="00D32659">
        <w:rPr>
          <w:b/>
        </w:rPr>
        <w:t>Průměrná doba inkasa</w:t>
      </w:r>
      <w:r w:rsidRPr="00D32659">
        <w:t xml:space="preserve"> neboli doba obratu pohledávek, říká, jak dlouho musí podnik čekat, než odběratel uhradí svůj závazek vůči nim. V </w:t>
      </w:r>
      <w:r w:rsidR="009E7117" w:rsidRPr="00D32659">
        <w:t>prvních</w:t>
      </w:r>
      <w:r w:rsidRPr="00D32659">
        <w:t xml:space="preserve"> dvou le</w:t>
      </w:r>
      <w:r w:rsidR="009E7117" w:rsidRPr="00D32659">
        <w:t>tech</w:t>
      </w:r>
      <w:r w:rsidR="00141EC1" w:rsidRPr="00D32659">
        <w:t xml:space="preserve"> byla průměrná doba inkasa nejdel</w:t>
      </w:r>
      <w:r w:rsidR="009E7117" w:rsidRPr="00D32659">
        <w:t xml:space="preserve">ší. Jeho hodnota se pohybovala mezi 97 a 94 dny. </w:t>
      </w:r>
      <w:r w:rsidR="00141EC1" w:rsidRPr="00D32659">
        <w:t xml:space="preserve">V roce 2011 klesla průměrná doba inkasa na své minimum a to 58 dni, což bylo způsobeno i velkým růstem tržeb. V dalších dvou letech se hodnota ukazatele držela nad 60 dny. </w:t>
      </w:r>
    </w:p>
    <w:p w:rsidR="00141EC1" w:rsidRPr="00D32659" w:rsidRDefault="00141EC1" w:rsidP="008015B2">
      <w:pPr>
        <w:jc w:val="both"/>
      </w:pPr>
      <w:r w:rsidRPr="00D32659">
        <w:rPr>
          <w:b/>
        </w:rPr>
        <w:lastRenderedPageBreak/>
        <w:t>Doba obratu závazků</w:t>
      </w:r>
      <w:r w:rsidRPr="00D32659">
        <w:t xml:space="preserve"> udává, kolik dnů uběhne od vzniku závazku a jeho zaplacení. V roce 2010 byla jeho hodnota velmi vysoká, a to 162 dní. V tomto roce společnost využívala obchodní úvěr a její závazky se podle horizontální analýzy navýšily až o 112 %. V ostatních letech sledovaného období se hodnota </w:t>
      </w:r>
      <w:r w:rsidR="007A1EBF" w:rsidRPr="00D32659">
        <w:t xml:space="preserve">doby </w:t>
      </w:r>
      <w:r w:rsidRPr="00D32659">
        <w:t>obratu závazků pohybovala mezi 60 až 70 dny, tedy relativně stabilní.</w:t>
      </w:r>
      <w:r w:rsidR="007A1EBF" w:rsidRPr="00D32659">
        <w:t xml:space="preserve"> Dá se říct, že společnost platí své závazky včas.</w:t>
      </w:r>
    </w:p>
    <w:p w:rsidR="007A1EBF" w:rsidRPr="00D32659" w:rsidRDefault="007A1EBF" w:rsidP="008015B2">
      <w:pPr>
        <w:jc w:val="both"/>
      </w:pPr>
      <w:r w:rsidRPr="00D32659">
        <w:rPr>
          <w:b/>
        </w:rPr>
        <w:t>Obchodní deficit</w:t>
      </w:r>
      <w:r w:rsidRPr="00D32659">
        <w:t xml:space="preserve"> je rozdíl mezi dobrou obratu pohledávek a dobou obratu závazků. Ve sledovaném období nabýval kladných hodnot v roce 2009 a 2013, což znamená, že v těchto letech byla průměrná doba inkasa vyšší než doba obratu závazků a společnost tzv. poskytovala úvěr svým odběratelům. V ostatních letech byl ukazatel vždy záporný, to znamená, že v těchto letech získávala společnost úvěr od svých dodavatelů.</w:t>
      </w:r>
    </w:p>
    <w:p w:rsidR="007A1EBF" w:rsidRPr="00D32659" w:rsidRDefault="007A1EBF" w:rsidP="008015B2">
      <w:pPr>
        <w:pStyle w:val="Nadpis3"/>
        <w:jc w:val="both"/>
      </w:pPr>
      <w:bookmarkStart w:id="42" w:name="_Toc417564180"/>
      <w:r w:rsidRPr="00D32659">
        <w:t>Ukazatel zadluženosti</w:t>
      </w:r>
      <w:bookmarkEnd w:id="42"/>
    </w:p>
    <w:p w:rsidR="007A1EBF" w:rsidRPr="00D32659" w:rsidRDefault="007A1EBF" w:rsidP="008015B2">
      <w:pPr>
        <w:pStyle w:val="Bezmezer"/>
        <w:jc w:val="both"/>
        <w:rPr>
          <w:lang w:val="cs-CZ"/>
        </w:rPr>
      </w:pPr>
    </w:p>
    <w:p w:rsidR="007A1EBF" w:rsidRPr="00D32659" w:rsidRDefault="007A1EBF" w:rsidP="008015B2">
      <w:pPr>
        <w:pStyle w:val="Bezmezer"/>
        <w:jc w:val="both"/>
        <w:rPr>
          <w:b/>
          <w:lang w:val="cs-CZ"/>
        </w:rPr>
      </w:pPr>
      <w:r w:rsidRPr="00D32659">
        <w:rPr>
          <w:b/>
          <w:lang w:val="cs-CZ"/>
        </w:rPr>
        <w:t>Tabulka č.</w:t>
      </w:r>
      <w:r w:rsidR="00D14174" w:rsidRPr="00D32659">
        <w:rPr>
          <w:b/>
          <w:lang w:val="cs-CZ"/>
        </w:rPr>
        <w:t xml:space="preserve"> Hodnoty ukazatele zadluženosti</w:t>
      </w:r>
    </w:p>
    <w:tbl>
      <w:tblPr>
        <w:tblW w:w="7744" w:type="dxa"/>
        <w:tblInd w:w="55" w:type="dxa"/>
        <w:tblCellMar>
          <w:left w:w="70" w:type="dxa"/>
          <w:right w:w="70" w:type="dxa"/>
        </w:tblCellMar>
        <w:tblLook w:val="04A0" w:firstRow="1" w:lastRow="0" w:firstColumn="1" w:lastColumn="0" w:noHBand="0" w:noVBand="1"/>
      </w:tblPr>
      <w:tblGrid>
        <w:gridCol w:w="3134"/>
        <w:gridCol w:w="880"/>
        <w:gridCol w:w="940"/>
        <w:gridCol w:w="940"/>
        <w:gridCol w:w="940"/>
        <w:gridCol w:w="940"/>
      </w:tblGrid>
      <w:tr w:rsidR="000320CB" w:rsidRPr="00D32659" w:rsidTr="00D14174">
        <w:trPr>
          <w:trHeight w:val="435"/>
        </w:trPr>
        <w:tc>
          <w:tcPr>
            <w:tcW w:w="3134" w:type="dxa"/>
            <w:tcBorders>
              <w:top w:val="single" w:sz="8" w:space="0" w:color="auto"/>
              <w:left w:val="single" w:sz="8" w:space="0" w:color="auto"/>
              <w:bottom w:val="single" w:sz="8" w:space="0" w:color="auto"/>
              <w:right w:val="single" w:sz="8" w:space="0" w:color="auto"/>
            </w:tcBorders>
            <w:shd w:val="clear" w:color="000000" w:fill="8DB4E2"/>
            <w:noWrap/>
            <w:vAlign w:val="center"/>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Ukazatel zadluženosti</w:t>
            </w:r>
          </w:p>
        </w:tc>
        <w:tc>
          <w:tcPr>
            <w:tcW w:w="850" w:type="dxa"/>
            <w:tcBorders>
              <w:top w:val="single" w:sz="8" w:space="0" w:color="auto"/>
              <w:left w:val="nil"/>
              <w:bottom w:val="single" w:sz="8" w:space="0" w:color="auto"/>
              <w:right w:val="single" w:sz="4" w:space="0" w:color="auto"/>
            </w:tcBorders>
            <w:shd w:val="clear" w:color="000000" w:fill="8DB4E2"/>
            <w:noWrap/>
            <w:vAlign w:val="center"/>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2009</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2010</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2011</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2012</w:t>
            </w:r>
          </w:p>
        </w:tc>
        <w:tc>
          <w:tcPr>
            <w:tcW w:w="940" w:type="dxa"/>
            <w:tcBorders>
              <w:top w:val="single" w:sz="8" w:space="0" w:color="auto"/>
              <w:left w:val="nil"/>
              <w:bottom w:val="single" w:sz="8" w:space="0" w:color="auto"/>
              <w:right w:val="single" w:sz="8" w:space="0" w:color="auto"/>
            </w:tcBorders>
            <w:shd w:val="clear" w:color="000000" w:fill="8DB4E2"/>
            <w:noWrap/>
            <w:vAlign w:val="center"/>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2013</w:t>
            </w:r>
          </w:p>
        </w:tc>
      </w:tr>
      <w:tr w:rsidR="000320CB" w:rsidRPr="00D32659" w:rsidTr="00D14174">
        <w:trPr>
          <w:trHeight w:val="300"/>
        </w:trPr>
        <w:tc>
          <w:tcPr>
            <w:tcW w:w="3134" w:type="dxa"/>
            <w:tcBorders>
              <w:top w:val="nil"/>
              <w:left w:val="single" w:sz="8" w:space="0" w:color="auto"/>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finanční páka</w:t>
            </w:r>
          </w:p>
        </w:tc>
        <w:tc>
          <w:tcPr>
            <w:tcW w:w="85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1,83</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2,42</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1,78</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1,62</w:t>
            </w:r>
          </w:p>
        </w:tc>
        <w:tc>
          <w:tcPr>
            <w:tcW w:w="940" w:type="dxa"/>
            <w:tcBorders>
              <w:top w:val="nil"/>
              <w:left w:val="nil"/>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1,44</w:t>
            </w:r>
          </w:p>
        </w:tc>
      </w:tr>
      <w:tr w:rsidR="000320CB" w:rsidRPr="00D32659" w:rsidTr="00D14174">
        <w:trPr>
          <w:trHeight w:val="300"/>
        </w:trPr>
        <w:tc>
          <w:tcPr>
            <w:tcW w:w="3134" w:type="dxa"/>
            <w:tcBorders>
              <w:top w:val="nil"/>
              <w:left w:val="single" w:sz="8" w:space="0" w:color="auto"/>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index finanční páky</w:t>
            </w:r>
          </w:p>
        </w:tc>
        <w:tc>
          <w:tcPr>
            <w:tcW w:w="85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2,00</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2,47</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1,78</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1,62</w:t>
            </w:r>
          </w:p>
        </w:tc>
        <w:tc>
          <w:tcPr>
            <w:tcW w:w="940" w:type="dxa"/>
            <w:tcBorders>
              <w:top w:val="nil"/>
              <w:left w:val="nil"/>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1,44</w:t>
            </w:r>
          </w:p>
        </w:tc>
      </w:tr>
      <w:tr w:rsidR="000320CB" w:rsidRPr="00D32659" w:rsidTr="00D14174">
        <w:trPr>
          <w:trHeight w:val="300"/>
        </w:trPr>
        <w:tc>
          <w:tcPr>
            <w:tcW w:w="3134" w:type="dxa"/>
            <w:tcBorders>
              <w:top w:val="nil"/>
              <w:left w:val="single" w:sz="8" w:space="0" w:color="auto"/>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b/>
                <w:bCs/>
                <w:szCs w:val="23"/>
                <w:lang w:eastAsia="cs-CZ"/>
              </w:rPr>
            </w:pPr>
            <w:r w:rsidRPr="00D32659">
              <w:rPr>
                <w:rFonts w:eastAsia="Times New Roman"/>
                <w:b/>
                <w:bCs/>
                <w:szCs w:val="23"/>
                <w:lang w:eastAsia="cs-CZ"/>
              </w:rPr>
              <w:t>celková zadluženost</w:t>
            </w:r>
          </w:p>
        </w:tc>
        <w:tc>
          <w:tcPr>
            <w:tcW w:w="85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45,49%</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58,64%</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43,42%</w:t>
            </w:r>
          </w:p>
        </w:tc>
        <w:tc>
          <w:tcPr>
            <w:tcW w:w="940" w:type="dxa"/>
            <w:tcBorders>
              <w:top w:val="nil"/>
              <w:left w:val="nil"/>
              <w:bottom w:val="single" w:sz="4"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38,27%</w:t>
            </w:r>
          </w:p>
        </w:tc>
        <w:tc>
          <w:tcPr>
            <w:tcW w:w="940" w:type="dxa"/>
            <w:tcBorders>
              <w:top w:val="nil"/>
              <w:left w:val="nil"/>
              <w:bottom w:val="single" w:sz="4"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30,65%</w:t>
            </w:r>
          </w:p>
        </w:tc>
      </w:tr>
      <w:tr w:rsidR="000320CB" w:rsidRPr="00D32659" w:rsidTr="00D14174">
        <w:trPr>
          <w:trHeight w:val="315"/>
        </w:trPr>
        <w:tc>
          <w:tcPr>
            <w:tcW w:w="3134" w:type="dxa"/>
            <w:tcBorders>
              <w:top w:val="nil"/>
              <w:left w:val="single" w:sz="8" w:space="0" w:color="auto"/>
              <w:bottom w:val="single" w:sz="8"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celková zadluženost v odvětví</w:t>
            </w:r>
          </w:p>
        </w:tc>
        <w:tc>
          <w:tcPr>
            <w:tcW w:w="850" w:type="dxa"/>
            <w:tcBorders>
              <w:top w:val="nil"/>
              <w:left w:val="nil"/>
              <w:bottom w:val="single" w:sz="8"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29,09%</w:t>
            </w:r>
          </w:p>
        </w:tc>
        <w:tc>
          <w:tcPr>
            <w:tcW w:w="940" w:type="dxa"/>
            <w:tcBorders>
              <w:top w:val="nil"/>
              <w:left w:val="nil"/>
              <w:bottom w:val="single" w:sz="8"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32,69%</w:t>
            </w:r>
          </w:p>
        </w:tc>
        <w:tc>
          <w:tcPr>
            <w:tcW w:w="940" w:type="dxa"/>
            <w:tcBorders>
              <w:top w:val="nil"/>
              <w:left w:val="nil"/>
              <w:bottom w:val="single" w:sz="8"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33,21%</w:t>
            </w:r>
          </w:p>
        </w:tc>
        <w:tc>
          <w:tcPr>
            <w:tcW w:w="940" w:type="dxa"/>
            <w:tcBorders>
              <w:top w:val="nil"/>
              <w:left w:val="nil"/>
              <w:bottom w:val="single" w:sz="8" w:space="0" w:color="auto"/>
              <w:right w:val="single" w:sz="4"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29,45%</w:t>
            </w:r>
          </w:p>
        </w:tc>
        <w:tc>
          <w:tcPr>
            <w:tcW w:w="940" w:type="dxa"/>
            <w:tcBorders>
              <w:top w:val="nil"/>
              <w:left w:val="nil"/>
              <w:bottom w:val="single" w:sz="8" w:space="0" w:color="auto"/>
              <w:right w:val="single" w:sz="8" w:space="0" w:color="auto"/>
            </w:tcBorders>
            <w:shd w:val="clear" w:color="auto" w:fill="auto"/>
            <w:noWrap/>
            <w:vAlign w:val="bottom"/>
            <w:hideMark/>
          </w:tcPr>
          <w:p w:rsidR="000320CB" w:rsidRPr="00D32659" w:rsidRDefault="000320CB" w:rsidP="008015B2">
            <w:pPr>
              <w:spacing w:after="0" w:line="240" w:lineRule="auto"/>
              <w:jc w:val="both"/>
              <w:rPr>
                <w:rFonts w:eastAsia="Times New Roman"/>
                <w:szCs w:val="23"/>
                <w:lang w:eastAsia="cs-CZ"/>
              </w:rPr>
            </w:pPr>
            <w:r w:rsidRPr="00D32659">
              <w:rPr>
                <w:rFonts w:eastAsia="Times New Roman"/>
                <w:szCs w:val="23"/>
                <w:lang w:eastAsia="cs-CZ"/>
              </w:rPr>
              <w:t>35,41%</w:t>
            </w:r>
          </w:p>
        </w:tc>
      </w:tr>
    </w:tbl>
    <w:p w:rsidR="00D14174" w:rsidRPr="00D32659" w:rsidRDefault="00D14174" w:rsidP="008015B2">
      <w:pPr>
        <w:jc w:val="both"/>
        <w:rPr>
          <w:i/>
          <w:sz w:val="20"/>
          <w:szCs w:val="20"/>
        </w:rPr>
      </w:pPr>
      <w:r w:rsidRPr="00D32659">
        <w:rPr>
          <w:i/>
          <w:sz w:val="20"/>
          <w:szCs w:val="20"/>
        </w:rPr>
        <w:t>Pramen: vlastní zpracování na základě účetních výkazů společnosti a informací z MPO.</w:t>
      </w:r>
    </w:p>
    <w:p w:rsidR="00BF0CA8" w:rsidRPr="00D32659" w:rsidRDefault="00BF0CA8" w:rsidP="008015B2">
      <w:pPr>
        <w:jc w:val="both"/>
      </w:pPr>
      <w:r w:rsidRPr="00D32659">
        <w:rPr>
          <w:b/>
        </w:rPr>
        <w:t>Finanční páka</w:t>
      </w:r>
      <w:r w:rsidRPr="00D32659">
        <w:t xml:space="preserve"> říká, jestli firma využívá více cizích nebo vlastních zdrojů. Obecně, čím je ukazatel vyšší, tím vyšší je podíl cizích zdrojů. Ve sledovaném podniku se hodnoty finanční páky pohybují mezi 1,44 až 2,42. Nejvyšší hodnoty dosáhla v roce </w:t>
      </w:r>
      <w:r w:rsidR="007D020F" w:rsidRPr="00D32659">
        <w:t xml:space="preserve">2010, protože v tomto roce společnost navýšila bankovní úvěry. V dalších letech finanční páka postupně klesala s tím, jak klesalo využívání bankovních úvěrů. </w:t>
      </w:r>
      <w:r w:rsidR="007D020F" w:rsidRPr="00D32659">
        <w:rPr>
          <w:b/>
        </w:rPr>
        <w:t>Index finanční páky</w:t>
      </w:r>
      <w:r w:rsidR="00C17827" w:rsidRPr="00D32659">
        <w:t xml:space="preserve"> by měl být vždy větší než jedna. Tohle kritérium podnik splňuje ve všech letech sledovaného období. Od roku 2010 má index klesající tend</w:t>
      </w:r>
      <w:r w:rsidR="004B689A" w:rsidRPr="00D32659">
        <w:t>enci, což znamená, že společnost stále více využívá cizího kapitálu.</w:t>
      </w:r>
    </w:p>
    <w:p w:rsidR="00F527A2" w:rsidRPr="00D32659" w:rsidRDefault="00D14174" w:rsidP="008015B2">
      <w:pPr>
        <w:pStyle w:val="Bezmezer"/>
        <w:jc w:val="both"/>
        <w:rPr>
          <w:b/>
          <w:lang w:val="cs-CZ"/>
        </w:rPr>
      </w:pPr>
      <w:r w:rsidRPr="00D32659">
        <w:rPr>
          <w:b/>
          <w:lang w:val="cs-CZ"/>
        </w:rPr>
        <w:t>Graf č. 6: Vývoj celkové zadluženosti v roce 2009-2013</w:t>
      </w:r>
    </w:p>
    <w:p w:rsidR="00D14174" w:rsidRPr="00D32659" w:rsidRDefault="000320CB" w:rsidP="008015B2">
      <w:pPr>
        <w:jc w:val="both"/>
        <w:rPr>
          <w:i/>
          <w:sz w:val="20"/>
          <w:szCs w:val="20"/>
        </w:rPr>
      </w:pPr>
      <w:r w:rsidRPr="00D32659">
        <w:rPr>
          <w:noProof/>
          <w:lang w:eastAsia="cs-CZ"/>
        </w:rPr>
        <w:drawing>
          <wp:inline distT="0" distB="0" distL="0" distR="0" wp14:anchorId="52D2FA9B" wp14:editId="02E4E913">
            <wp:extent cx="4417621" cy="2410691"/>
            <wp:effectExtent l="0" t="0" r="21590" b="2794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D14174" w:rsidRPr="00D32659">
        <w:t xml:space="preserve">                         </w:t>
      </w:r>
      <w:r w:rsidR="00D14174" w:rsidRPr="00D32659">
        <w:rPr>
          <w:i/>
          <w:sz w:val="20"/>
          <w:szCs w:val="20"/>
        </w:rPr>
        <w:t>Pramen: vlastní zpracování na základě účetních výkazů společnosti a informací z MPO.</w:t>
      </w:r>
    </w:p>
    <w:p w:rsidR="004B689A" w:rsidRPr="00D32659" w:rsidRDefault="004B689A" w:rsidP="008015B2">
      <w:pPr>
        <w:jc w:val="both"/>
      </w:pPr>
      <w:r w:rsidRPr="00D32659">
        <w:lastRenderedPageBreak/>
        <w:t xml:space="preserve">Ukazatel </w:t>
      </w:r>
      <w:r w:rsidRPr="00D32659">
        <w:rPr>
          <w:b/>
        </w:rPr>
        <w:t>celkové zadluženosti</w:t>
      </w:r>
      <w:r w:rsidRPr="00D32659">
        <w:t xml:space="preserve"> je </w:t>
      </w:r>
      <w:r w:rsidR="0005698E" w:rsidRPr="00D32659">
        <w:t>ukazatelem věřitelského rizika a jeho hodnota by se obecně měla pohybovat mezi 30 a 60 %. U sledovaného podniku je celková zadluženost přesně v tomto rozmezí, což má pozitivní dopad na rentabilitu, a zároveň je ve všech letech vyšší než průměr v odvětví. Od roku 2010 ukazatel postupně klesá, čímž se zároveň snižuje věřitelské riziko.</w:t>
      </w:r>
    </w:p>
    <w:p w:rsidR="0005698E" w:rsidRPr="00D32659" w:rsidRDefault="0005698E" w:rsidP="008015B2">
      <w:pPr>
        <w:pStyle w:val="Nadpis2"/>
        <w:jc w:val="both"/>
      </w:pPr>
      <w:bookmarkStart w:id="43" w:name="_Toc417564181"/>
      <w:r w:rsidRPr="00D32659">
        <w:t>Analýza rozdílových ukazatelů</w:t>
      </w:r>
      <w:bookmarkEnd w:id="43"/>
    </w:p>
    <w:p w:rsidR="0005698E" w:rsidRPr="00D32659" w:rsidRDefault="0005698E" w:rsidP="008015B2">
      <w:pPr>
        <w:pStyle w:val="Nadpis3"/>
        <w:jc w:val="both"/>
      </w:pPr>
      <w:bookmarkStart w:id="44" w:name="_Toc417564182"/>
      <w:r w:rsidRPr="00D32659">
        <w:t>Čistý pracovní kapitál</w:t>
      </w:r>
      <w:bookmarkEnd w:id="44"/>
    </w:p>
    <w:p w:rsidR="0005698E" w:rsidRPr="00D32659" w:rsidRDefault="0005698E" w:rsidP="008015B2">
      <w:pPr>
        <w:pStyle w:val="Bezmezer"/>
        <w:jc w:val="both"/>
        <w:rPr>
          <w:lang w:val="cs-CZ"/>
        </w:rPr>
      </w:pPr>
    </w:p>
    <w:p w:rsidR="0005698E" w:rsidRPr="00D32659" w:rsidRDefault="0005698E" w:rsidP="008015B2">
      <w:pPr>
        <w:pStyle w:val="Bezmezer"/>
        <w:jc w:val="both"/>
        <w:rPr>
          <w:b/>
          <w:lang w:val="cs-CZ"/>
        </w:rPr>
      </w:pPr>
      <w:r w:rsidRPr="00D32659">
        <w:rPr>
          <w:b/>
          <w:lang w:val="cs-CZ"/>
        </w:rPr>
        <w:t xml:space="preserve">Tabulka č. </w:t>
      </w:r>
      <w:r w:rsidR="00D14174" w:rsidRPr="00D32659">
        <w:rPr>
          <w:b/>
          <w:lang w:val="cs-CZ"/>
        </w:rPr>
        <w:t>5: Hodnoty čistého pracovního kapitálu</w:t>
      </w:r>
    </w:p>
    <w:tbl>
      <w:tblPr>
        <w:tblW w:w="7460" w:type="dxa"/>
        <w:tblInd w:w="55" w:type="dxa"/>
        <w:tblCellMar>
          <w:left w:w="70" w:type="dxa"/>
          <w:right w:w="70" w:type="dxa"/>
        </w:tblCellMar>
        <w:tblLook w:val="04A0" w:firstRow="1" w:lastRow="0" w:firstColumn="1" w:lastColumn="0" w:noHBand="0" w:noVBand="1"/>
      </w:tblPr>
      <w:tblGrid>
        <w:gridCol w:w="2760"/>
        <w:gridCol w:w="940"/>
        <w:gridCol w:w="940"/>
        <w:gridCol w:w="940"/>
        <w:gridCol w:w="940"/>
        <w:gridCol w:w="940"/>
      </w:tblGrid>
      <w:tr w:rsidR="00F527A2" w:rsidRPr="00D32659" w:rsidTr="00F527A2">
        <w:trPr>
          <w:trHeight w:val="315"/>
        </w:trPr>
        <w:tc>
          <w:tcPr>
            <w:tcW w:w="2760" w:type="dxa"/>
            <w:tcBorders>
              <w:top w:val="single" w:sz="8" w:space="0" w:color="auto"/>
              <w:left w:val="single" w:sz="8" w:space="0" w:color="auto"/>
              <w:bottom w:val="single" w:sz="8" w:space="0" w:color="auto"/>
              <w:right w:val="single" w:sz="4" w:space="0" w:color="auto"/>
            </w:tcBorders>
            <w:shd w:val="clear" w:color="000000" w:fill="8DB4E2"/>
            <w:noWrap/>
            <w:vAlign w:val="bottom"/>
            <w:hideMark/>
          </w:tcPr>
          <w:p w:rsidR="00F527A2" w:rsidRPr="00D32659" w:rsidRDefault="00F527A2" w:rsidP="008015B2">
            <w:pPr>
              <w:spacing w:after="0" w:line="240" w:lineRule="auto"/>
              <w:jc w:val="both"/>
              <w:rPr>
                <w:rFonts w:eastAsia="Times New Roman"/>
                <w:szCs w:val="23"/>
                <w:lang w:eastAsia="cs-CZ"/>
              </w:rPr>
            </w:pPr>
            <w:r w:rsidRPr="00D32659">
              <w:rPr>
                <w:rFonts w:eastAsia="Times New Roman"/>
                <w:szCs w:val="23"/>
                <w:lang w:eastAsia="cs-CZ"/>
              </w:rPr>
              <w:t> </w:t>
            </w:r>
          </w:p>
        </w:tc>
        <w:tc>
          <w:tcPr>
            <w:tcW w:w="940" w:type="dxa"/>
            <w:tcBorders>
              <w:top w:val="single" w:sz="8" w:space="0" w:color="auto"/>
              <w:left w:val="nil"/>
              <w:bottom w:val="single" w:sz="8" w:space="0" w:color="auto"/>
              <w:right w:val="single" w:sz="4" w:space="0" w:color="auto"/>
            </w:tcBorders>
            <w:shd w:val="clear" w:color="000000" w:fill="8DB4E2"/>
            <w:noWrap/>
            <w:vAlign w:val="bottom"/>
            <w:hideMark/>
          </w:tcPr>
          <w:p w:rsidR="00F527A2" w:rsidRPr="00D32659" w:rsidRDefault="00F527A2" w:rsidP="008015B2">
            <w:pPr>
              <w:spacing w:after="0" w:line="240" w:lineRule="auto"/>
              <w:jc w:val="both"/>
              <w:rPr>
                <w:rFonts w:eastAsia="Times New Roman"/>
                <w:b/>
                <w:szCs w:val="23"/>
                <w:lang w:eastAsia="cs-CZ"/>
              </w:rPr>
            </w:pPr>
            <w:r w:rsidRPr="00D32659">
              <w:rPr>
                <w:rFonts w:eastAsia="Times New Roman"/>
                <w:b/>
                <w:szCs w:val="23"/>
                <w:lang w:eastAsia="cs-CZ"/>
              </w:rPr>
              <w:t>2009</w:t>
            </w:r>
          </w:p>
        </w:tc>
        <w:tc>
          <w:tcPr>
            <w:tcW w:w="940" w:type="dxa"/>
            <w:tcBorders>
              <w:top w:val="single" w:sz="8" w:space="0" w:color="auto"/>
              <w:left w:val="nil"/>
              <w:bottom w:val="single" w:sz="8" w:space="0" w:color="auto"/>
              <w:right w:val="single" w:sz="4" w:space="0" w:color="auto"/>
            </w:tcBorders>
            <w:shd w:val="clear" w:color="000000" w:fill="8DB4E2"/>
            <w:noWrap/>
            <w:vAlign w:val="bottom"/>
            <w:hideMark/>
          </w:tcPr>
          <w:p w:rsidR="00F527A2" w:rsidRPr="00D32659" w:rsidRDefault="00F527A2" w:rsidP="008015B2">
            <w:pPr>
              <w:spacing w:after="0" w:line="240" w:lineRule="auto"/>
              <w:jc w:val="both"/>
              <w:rPr>
                <w:rFonts w:eastAsia="Times New Roman"/>
                <w:b/>
                <w:szCs w:val="23"/>
                <w:lang w:eastAsia="cs-CZ"/>
              </w:rPr>
            </w:pPr>
            <w:r w:rsidRPr="00D32659">
              <w:rPr>
                <w:rFonts w:eastAsia="Times New Roman"/>
                <w:b/>
                <w:szCs w:val="23"/>
                <w:lang w:eastAsia="cs-CZ"/>
              </w:rPr>
              <w:t>2010</w:t>
            </w:r>
          </w:p>
        </w:tc>
        <w:tc>
          <w:tcPr>
            <w:tcW w:w="940" w:type="dxa"/>
            <w:tcBorders>
              <w:top w:val="single" w:sz="8" w:space="0" w:color="auto"/>
              <w:left w:val="nil"/>
              <w:bottom w:val="single" w:sz="8" w:space="0" w:color="auto"/>
              <w:right w:val="single" w:sz="4" w:space="0" w:color="auto"/>
            </w:tcBorders>
            <w:shd w:val="clear" w:color="000000" w:fill="8DB4E2"/>
            <w:noWrap/>
            <w:vAlign w:val="bottom"/>
            <w:hideMark/>
          </w:tcPr>
          <w:p w:rsidR="00F527A2" w:rsidRPr="00D32659" w:rsidRDefault="00F527A2" w:rsidP="008015B2">
            <w:pPr>
              <w:spacing w:after="0" w:line="240" w:lineRule="auto"/>
              <w:jc w:val="both"/>
              <w:rPr>
                <w:rFonts w:eastAsia="Times New Roman"/>
                <w:b/>
                <w:szCs w:val="23"/>
                <w:lang w:eastAsia="cs-CZ"/>
              </w:rPr>
            </w:pPr>
            <w:r w:rsidRPr="00D32659">
              <w:rPr>
                <w:rFonts w:eastAsia="Times New Roman"/>
                <w:b/>
                <w:szCs w:val="23"/>
                <w:lang w:eastAsia="cs-CZ"/>
              </w:rPr>
              <w:t>2011</w:t>
            </w:r>
          </w:p>
        </w:tc>
        <w:tc>
          <w:tcPr>
            <w:tcW w:w="940" w:type="dxa"/>
            <w:tcBorders>
              <w:top w:val="single" w:sz="8" w:space="0" w:color="auto"/>
              <w:left w:val="nil"/>
              <w:bottom w:val="single" w:sz="8" w:space="0" w:color="auto"/>
              <w:right w:val="single" w:sz="4" w:space="0" w:color="auto"/>
            </w:tcBorders>
            <w:shd w:val="clear" w:color="000000" w:fill="8DB4E2"/>
            <w:noWrap/>
            <w:vAlign w:val="bottom"/>
            <w:hideMark/>
          </w:tcPr>
          <w:p w:rsidR="00F527A2" w:rsidRPr="00D32659" w:rsidRDefault="00F527A2" w:rsidP="008015B2">
            <w:pPr>
              <w:spacing w:after="0" w:line="240" w:lineRule="auto"/>
              <w:jc w:val="both"/>
              <w:rPr>
                <w:rFonts w:eastAsia="Times New Roman"/>
                <w:b/>
                <w:szCs w:val="23"/>
                <w:lang w:eastAsia="cs-CZ"/>
              </w:rPr>
            </w:pPr>
            <w:r w:rsidRPr="00D32659">
              <w:rPr>
                <w:rFonts w:eastAsia="Times New Roman"/>
                <w:b/>
                <w:szCs w:val="23"/>
                <w:lang w:eastAsia="cs-CZ"/>
              </w:rPr>
              <w:t>2012</w:t>
            </w:r>
          </w:p>
        </w:tc>
        <w:tc>
          <w:tcPr>
            <w:tcW w:w="940" w:type="dxa"/>
            <w:tcBorders>
              <w:top w:val="single" w:sz="8" w:space="0" w:color="auto"/>
              <w:left w:val="nil"/>
              <w:bottom w:val="single" w:sz="8" w:space="0" w:color="auto"/>
              <w:right w:val="single" w:sz="8" w:space="0" w:color="auto"/>
            </w:tcBorders>
            <w:shd w:val="clear" w:color="000000" w:fill="8DB4E2"/>
            <w:noWrap/>
            <w:vAlign w:val="bottom"/>
            <w:hideMark/>
          </w:tcPr>
          <w:p w:rsidR="00F527A2" w:rsidRPr="00D32659" w:rsidRDefault="00F527A2" w:rsidP="008015B2">
            <w:pPr>
              <w:spacing w:after="0" w:line="240" w:lineRule="auto"/>
              <w:jc w:val="both"/>
              <w:rPr>
                <w:rFonts w:eastAsia="Times New Roman"/>
                <w:b/>
                <w:szCs w:val="23"/>
                <w:lang w:eastAsia="cs-CZ"/>
              </w:rPr>
            </w:pPr>
            <w:r w:rsidRPr="00D32659">
              <w:rPr>
                <w:rFonts w:eastAsia="Times New Roman"/>
                <w:b/>
                <w:szCs w:val="23"/>
                <w:lang w:eastAsia="cs-CZ"/>
              </w:rPr>
              <w:t>2013</w:t>
            </w:r>
          </w:p>
        </w:tc>
      </w:tr>
      <w:tr w:rsidR="00F527A2" w:rsidRPr="00D32659" w:rsidTr="00F527A2">
        <w:trPr>
          <w:trHeight w:val="315"/>
        </w:trPr>
        <w:tc>
          <w:tcPr>
            <w:tcW w:w="2760" w:type="dxa"/>
            <w:tcBorders>
              <w:top w:val="nil"/>
              <w:left w:val="single" w:sz="8" w:space="0" w:color="auto"/>
              <w:bottom w:val="single" w:sz="8" w:space="0" w:color="auto"/>
              <w:right w:val="single" w:sz="4" w:space="0" w:color="auto"/>
            </w:tcBorders>
            <w:shd w:val="clear" w:color="auto" w:fill="auto"/>
            <w:noWrap/>
            <w:vAlign w:val="bottom"/>
            <w:hideMark/>
          </w:tcPr>
          <w:p w:rsidR="00F527A2" w:rsidRPr="00D32659" w:rsidRDefault="00F527A2" w:rsidP="008015B2">
            <w:pPr>
              <w:spacing w:after="0" w:line="240" w:lineRule="auto"/>
              <w:jc w:val="both"/>
              <w:rPr>
                <w:rFonts w:eastAsia="Times New Roman"/>
                <w:szCs w:val="23"/>
                <w:lang w:eastAsia="cs-CZ"/>
              </w:rPr>
            </w:pPr>
            <w:r w:rsidRPr="00D32659">
              <w:rPr>
                <w:rFonts w:eastAsia="Times New Roman"/>
                <w:szCs w:val="23"/>
                <w:lang w:eastAsia="cs-CZ"/>
              </w:rPr>
              <w:t>Čistý pracovní kapitál</w:t>
            </w:r>
          </w:p>
        </w:tc>
        <w:tc>
          <w:tcPr>
            <w:tcW w:w="940" w:type="dxa"/>
            <w:tcBorders>
              <w:top w:val="nil"/>
              <w:left w:val="nil"/>
              <w:bottom w:val="single" w:sz="8" w:space="0" w:color="auto"/>
              <w:right w:val="single" w:sz="4" w:space="0" w:color="auto"/>
            </w:tcBorders>
            <w:shd w:val="clear" w:color="auto" w:fill="auto"/>
            <w:noWrap/>
            <w:vAlign w:val="bottom"/>
            <w:hideMark/>
          </w:tcPr>
          <w:p w:rsidR="00F527A2" w:rsidRPr="00D32659" w:rsidRDefault="00F527A2" w:rsidP="008015B2">
            <w:pPr>
              <w:spacing w:after="0" w:line="240" w:lineRule="auto"/>
              <w:jc w:val="both"/>
              <w:rPr>
                <w:rFonts w:eastAsia="Times New Roman"/>
                <w:szCs w:val="23"/>
                <w:lang w:eastAsia="cs-CZ"/>
              </w:rPr>
            </w:pPr>
            <w:r w:rsidRPr="00D32659">
              <w:rPr>
                <w:rFonts w:eastAsia="Times New Roman"/>
                <w:szCs w:val="23"/>
                <w:lang w:eastAsia="cs-CZ"/>
              </w:rPr>
              <w:t>3782</w:t>
            </w:r>
          </w:p>
        </w:tc>
        <w:tc>
          <w:tcPr>
            <w:tcW w:w="940" w:type="dxa"/>
            <w:tcBorders>
              <w:top w:val="nil"/>
              <w:left w:val="nil"/>
              <w:bottom w:val="single" w:sz="8" w:space="0" w:color="auto"/>
              <w:right w:val="single" w:sz="4" w:space="0" w:color="auto"/>
            </w:tcBorders>
            <w:shd w:val="clear" w:color="auto" w:fill="auto"/>
            <w:noWrap/>
            <w:vAlign w:val="bottom"/>
            <w:hideMark/>
          </w:tcPr>
          <w:p w:rsidR="00F527A2" w:rsidRPr="00D32659" w:rsidRDefault="00F527A2" w:rsidP="008015B2">
            <w:pPr>
              <w:spacing w:after="0" w:line="240" w:lineRule="auto"/>
              <w:jc w:val="both"/>
              <w:rPr>
                <w:rFonts w:eastAsia="Times New Roman"/>
                <w:szCs w:val="23"/>
                <w:lang w:eastAsia="cs-CZ"/>
              </w:rPr>
            </w:pPr>
            <w:r w:rsidRPr="00D32659">
              <w:rPr>
                <w:rFonts w:eastAsia="Times New Roman"/>
                <w:szCs w:val="23"/>
                <w:lang w:eastAsia="cs-CZ"/>
              </w:rPr>
              <w:t>-34</w:t>
            </w:r>
          </w:p>
        </w:tc>
        <w:tc>
          <w:tcPr>
            <w:tcW w:w="940" w:type="dxa"/>
            <w:tcBorders>
              <w:top w:val="nil"/>
              <w:left w:val="nil"/>
              <w:bottom w:val="single" w:sz="8" w:space="0" w:color="auto"/>
              <w:right w:val="single" w:sz="4" w:space="0" w:color="auto"/>
            </w:tcBorders>
            <w:shd w:val="clear" w:color="auto" w:fill="auto"/>
            <w:noWrap/>
            <w:vAlign w:val="bottom"/>
            <w:hideMark/>
          </w:tcPr>
          <w:p w:rsidR="00F527A2" w:rsidRPr="00D32659" w:rsidRDefault="00F527A2" w:rsidP="008015B2">
            <w:pPr>
              <w:spacing w:after="0" w:line="240" w:lineRule="auto"/>
              <w:jc w:val="both"/>
              <w:rPr>
                <w:rFonts w:eastAsia="Times New Roman"/>
                <w:szCs w:val="23"/>
                <w:lang w:eastAsia="cs-CZ"/>
              </w:rPr>
            </w:pPr>
            <w:r w:rsidRPr="00D32659">
              <w:rPr>
                <w:rFonts w:eastAsia="Times New Roman"/>
                <w:szCs w:val="23"/>
                <w:lang w:eastAsia="cs-CZ"/>
              </w:rPr>
              <w:t>4288</w:t>
            </w:r>
          </w:p>
        </w:tc>
        <w:tc>
          <w:tcPr>
            <w:tcW w:w="940" w:type="dxa"/>
            <w:tcBorders>
              <w:top w:val="nil"/>
              <w:left w:val="nil"/>
              <w:bottom w:val="single" w:sz="8" w:space="0" w:color="auto"/>
              <w:right w:val="single" w:sz="4" w:space="0" w:color="auto"/>
            </w:tcBorders>
            <w:shd w:val="clear" w:color="auto" w:fill="auto"/>
            <w:noWrap/>
            <w:vAlign w:val="bottom"/>
            <w:hideMark/>
          </w:tcPr>
          <w:p w:rsidR="00F527A2" w:rsidRPr="00D32659" w:rsidRDefault="00F527A2" w:rsidP="008015B2">
            <w:pPr>
              <w:spacing w:after="0" w:line="240" w:lineRule="auto"/>
              <w:jc w:val="both"/>
              <w:rPr>
                <w:rFonts w:eastAsia="Times New Roman"/>
                <w:szCs w:val="23"/>
                <w:lang w:eastAsia="cs-CZ"/>
              </w:rPr>
            </w:pPr>
            <w:r w:rsidRPr="00D32659">
              <w:rPr>
                <w:rFonts w:eastAsia="Times New Roman"/>
                <w:szCs w:val="23"/>
                <w:lang w:eastAsia="cs-CZ"/>
              </w:rPr>
              <w:t>3389</w:t>
            </w:r>
          </w:p>
        </w:tc>
        <w:tc>
          <w:tcPr>
            <w:tcW w:w="940" w:type="dxa"/>
            <w:tcBorders>
              <w:top w:val="nil"/>
              <w:left w:val="nil"/>
              <w:bottom w:val="single" w:sz="8" w:space="0" w:color="auto"/>
              <w:right w:val="single" w:sz="8" w:space="0" w:color="auto"/>
            </w:tcBorders>
            <w:shd w:val="clear" w:color="auto" w:fill="auto"/>
            <w:noWrap/>
            <w:vAlign w:val="bottom"/>
            <w:hideMark/>
          </w:tcPr>
          <w:p w:rsidR="00F527A2" w:rsidRPr="00D32659" w:rsidRDefault="00F527A2" w:rsidP="008015B2">
            <w:pPr>
              <w:spacing w:after="0" w:line="240" w:lineRule="auto"/>
              <w:jc w:val="both"/>
              <w:rPr>
                <w:rFonts w:eastAsia="Times New Roman"/>
                <w:szCs w:val="23"/>
                <w:lang w:eastAsia="cs-CZ"/>
              </w:rPr>
            </w:pPr>
            <w:r w:rsidRPr="00D32659">
              <w:rPr>
                <w:rFonts w:eastAsia="Times New Roman"/>
                <w:szCs w:val="23"/>
                <w:lang w:eastAsia="cs-CZ"/>
              </w:rPr>
              <w:t>3032</w:t>
            </w:r>
          </w:p>
        </w:tc>
      </w:tr>
    </w:tbl>
    <w:p w:rsidR="00D14174" w:rsidRPr="00D32659" w:rsidRDefault="00D14174" w:rsidP="008015B2">
      <w:pPr>
        <w:jc w:val="both"/>
        <w:rPr>
          <w:i/>
          <w:sz w:val="20"/>
          <w:szCs w:val="20"/>
        </w:rPr>
      </w:pPr>
      <w:r w:rsidRPr="00D32659">
        <w:rPr>
          <w:i/>
          <w:sz w:val="20"/>
          <w:szCs w:val="20"/>
        </w:rPr>
        <w:t>Pramen: vlastní zpracování na základě účetních výkazů společnosti.</w:t>
      </w:r>
    </w:p>
    <w:p w:rsidR="0005698E" w:rsidRPr="00D32659" w:rsidRDefault="0005698E" w:rsidP="008015B2">
      <w:pPr>
        <w:jc w:val="both"/>
      </w:pPr>
      <w:r w:rsidRPr="00D32659">
        <w:t>Čistý prac</w:t>
      </w:r>
      <w:r w:rsidR="000320CB" w:rsidRPr="00D32659">
        <w:t xml:space="preserve">ovní kapitál byl ve většině let klasný, což znamená, že po většinu sledovaného období společnost používala konzervativní strategii. </w:t>
      </w:r>
      <w:r w:rsidR="00D35BE7" w:rsidRPr="00D32659">
        <w:t xml:space="preserve">Nejvyšší hodnoty dosáhl v roce 2011, a to díky poklesu krátkodobých závazků. Od tohoto roku ukazatel mírně klesá. </w:t>
      </w:r>
      <w:r w:rsidR="000320CB" w:rsidRPr="00D32659">
        <w:t xml:space="preserve">Jen v roce 2010 by ukazatel záporný, což znamená, že oběžná aktiva byla financována jen krátkodobým kapitálem. </w:t>
      </w:r>
    </w:p>
    <w:p w:rsidR="00115E95" w:rsidRDefault="00115E95">
      <w:pPr>
        <w:rPr>
          <w:rFonts w:eastAsia="Times New Roman"/>
          <w:b/>
          <w:bCs/>
          <w:iCs/>
          <w:sz w:val="28"/>
          <w:szCs w:val="28"/>
        </w:rPr>
      </w:pPr>
      <w:r>
        <w:br w:type="page"/>
      </w:r>
    </w:p>
    <w:p w:rsidR="00F527A2" w:rsidRPr="00D32659" w:rsidRDefault="00D35BE7" w:rsidP="008015B2">
      <w:pPr>
        <w:pStyle w:val="Nadpis2"/>
        <w:jc w:val="both"/>
      </w:pPr>
      <w:bookmarkStart w:id="45" w:name="_Toc417564183"/>
      <w:r w:rsidRPr="00D32659">
        <w:lastRenderedPageBreak/>
        <w:t>Analýza soustav ukazatelů</w:t>
      </w:r>
      <w:bookmarkEnd w:id="45"/>
    </w:p>
    <w:p w:rsidR="00D35BE7" w:rsidRPr="00D32659" w:rsidRDefault="00D35BE7" w:rsidP="008015B2">
      <w:pPr>
        <w:pStyle w:val="Nadpis3"/>
        <w:jc w:val="both"/>
      </w:pPr>
      <w:bookmarkStart w:id="46" w:name="_Toc417564184"/>
      <w:r w:rsidRPr="00D32659">
        <w:t>Pyramidový rozklad rentability vlastního kapitálu</w:t>
      </w:r>
      <w:bookmarkEnd w:id="46"/>
    </w:p>
    <w:p w:rsidR="00D35BE7" w:rsidRPr="00D32659" w:rsidRDefault="00D35BE7" w:rsidP="008015B2">
      <w:pPr>
        <w:pStyle w:val="Bezmezer"/>
        <w:jc w:val="both"/>
        <w:rPr>
          <w:lang w:val="cs-CZ"/>
        </w:rPr>
      </w:pPr>
    </w:p>
    <w:p w:rsidR="00D14174" w:rsidRDefault="00D14174" w:rsidP="008015B2">
      <w:pPr>
        <w:pStyle w:val="Bezmezer"/>
        <w:jc w:val="both"/>
        <w:rPr>
          <w:b/>
          <w:lang w:val="cs-CZ"/>
        </w:rPr>
      </w:pPr>
      <w:r w:rsidRPr="00D32659">
        <w:rPr>
          <w:b/>
          <w:lang w:val="cs-CZ"/>
        </w:rPr>
        <w:t>Schéma č. 2: Pyramidový rozklad ROE</w:t>
      </w:r>
    </w:p>
    <w:p w:rsidR="00AF3211" w:rsidRDefault="00AF3211" w:rsidP="008015B2">
      <w:pPr>
        <w:pStyle w:val="Bezmezer"/>
        <w:jc w:val="both"/>
        <w:rPr>
          <w:b/>
          <w:lang w:val="cs-CZ"/>
        </w:rPr>
      </w:pPr>
    </w:p>
    <w:tbl>
      <w:tblPr>
        <w:tblW w:w="5740" w:type="dxa"/>
        <w:tblInd w:w="70" w:type="dxa"/>
        <w:tblCellMar>
          <w:left w:w="70" w:type="dxa"/>
          <w:right w:w="70" w:type="dxa"/>
        </w:tblCellMar>
        <w:tblLook w:val="04A0" w:firstRow="1" w:lastRow="0" w:firstColumn="1" w:lastColumn="0" w:noHBand="0" w:noVBand="1"/>
      </w:tblPr>
      <w:tblGrid>
        <w:gridCol w:w="960"/>
        <w:gridCol w:w="960"/>
        <w:gridCol w:w="820"/>
        <w:gridCol w:w="820"/>
        <w:gridCol w:w="960"/>
        <w:gridCol w:w="820"/>
        <w:gridCol w:w="820"/>
      </w:tblGrid>
      <w:tr w:rsidR="00AF3211" w:rsidRPr="00AF3211" w:rsidTr="00AF3211">
        <w:trPr>
          <w:trHeight w:val="255"/>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164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AF3211" w:rsidRPr="00AF3211" w:rsidRDefault="00AF3211" w:rsidP="00AF3211">
            <w:pPr>
              <w:spacing w:after="0" w:line="240" w:lineRule="auto"/>
              <w:jc w:val="center"/>
              <w:rPr>
                <w:rFonts w:eastAsia="Times New Roman"/>
                <w:b/>
                <w:bCs/>
                <w:color w:val="000000"/>
                <w:sz w:val="16"/>
                <w:szCs w:val="16"/>
                <w:lang w:eastAsia="cs-CZ"/>
              </w:rPr>
            </w:pPr>
            <w:r w:rsidRPr="00AF3211">
              <w:rPr>
                <w:rFonts w:eastAsia="Times New Roman"/>
                <w:b/>
                <w:bCs/>
                <w:color w:val="000000"/>
                <w:sz w:val="16"/>
                <w:szCs w:val="16"/>
                <w:lang w:eastAsia="cs-CZ"/>
              </w:rPr>
              <w:t>ROE</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r w:rsidR="00AF3211" w:rsidRPr="00AF3211" w:rsidTr="00AF3211">
        <w:trPr>
          <w:trHeight w:val="255"/>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4"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b/>
                <w:bCs/>
                <w:color w:val="000000"/>
                <w:sz w:val="16"/>
                <w:szCs w:val="16"/>
                <w:lang w:eastAsia="cs-CZ"/>
              </w:rPr>
            </w:pPr>
            <w:r w:rsidRPr="00AF3211">
              <w:rPr>
                <w:rFonts w:eastAsia="Times New Roman"/>
                <w:b/>
                <w:bCs/>
                <w:color w:val="000000"/>
                <w:sz w:val="16"/>
                <w:szCs w:val="16"/>
                <w:lang w:eastAsia="cs-CZ"/>
              </w:rPr>
              <w:t>2009</w:t>
            </w:r>
          </w:p>
        </w:tc>
        <w:tc>
          <w:tcPr>
            <w:tcW w:w="820" w:type="dxa"/>
            <w:tcBorders>
              <w:top w:val="nil"/>
              <w:left w:val="nil"/>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5,61%</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r w:rsidR="00AF3211" w:rsidRPr="00AF3211" w:rsidTr="00AF3211">
        <w:trPr>
          <w:trHeight w:val="255"/>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4"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b/>
                <w:bCs/>
                <w:color w:val="000000"/>
                <w:sz w:val="16"/>
                <w:szCs w:val="16"/>
                <w:lang w:eastAsia="cs-CZ"/>
              </w:rPr>
            </w:pPr>
            <w:r w:rsidRPr="00AF3211">
              <w:rPr>
                <w:rFonts w:eastAsia="Times New Roman"/>
                <w:b/>
                <w:bCs/>
                <w:color w:val="000000"/>
                <w:sz w:val="16"/>
                <w:szCs w:val="16"/>
                <w:lang w:eastAsia="cs-CZ"/>
              </w:rPr>
              <w:t>2010</w:t>
            </w:r>
          </w:p>
        </w:tc>
        <w:tc>
          <w:tcPr>
            <w:tcW w:w="820" w:type="dxa"/>
            <w:tcBorders>
              <w:top w:val="nil"/>
              <w:left w:val="nil"/>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8,36%</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r w:rsidR="00AF3211" w:rsidRPr="00AF3211" w:rsidTr="00AF3211">
        <w:trPr>
          <w:trHeight w:val="255"/>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4"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b/>
                <w:bCs/>
                <w:color w:val="000000"/>
                <w:sz w:val="16"/>
                <w:szCs w:val="16"/>
                <w:lang w:eastAsia="cs-CZ"/>
              </w:rPr>
            </w:pPr>
            <w:r w:rsidRPr="00AF3211">
              <w:rPr>
                <w:rFonts w:eastAsia="Times New Roman"/>
                <w:b/>
                <w:bCs/>
                <w:color w:val="000000"/>
                <w:sz w:val="16"/>
                <w:szCs w:val="16"/>
                <w:lang w:eastAsia="cs-CZ"/>
              </w:rPr>
              <w:t>2011</w:t>
            </w:r>
          </w:p>
        </w:tc>
        <w:tc>
          <w:tcPr>
            <w:tcW w:w="820" w:type="dxa"/>
            <w:tcBorders>
              <w:top w:val="nil"/>
              <w:left w:val="nil"/>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6,78%</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r w:rsidR="00AF3211" w:rsidRPr="00AF3211" w:rsidTr="00AF3211">
        <w:trPr>
          <w:trHeight w:val="300"/>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4"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b/>
                <w:bCs/>
                <w:color w:val="000000"/>
                <w:sz w:val="16"/>
                <w:szCs w:val="16"/>
                <w:lang w:eastAsia="cs-CZ"/>
              </w:rPr>
            </w:pPr>
            <w:r w:rsidRPr="00AF3211">
              <w:rPr>
                <w:rFonts w:eastAsia="Times New Roman"/>
                <w:b/>
                <w:bCs/>
                <w:color w:val="000000"/>
                <w:sz w:val="16"/>
                <w:szCs w:val="16"/>
                <w:lang w:eastAsia="cs-CZ"/>
              </w:rPr>
              <w:t>2012</w:t>
            </w:r>
          </w:p>
        </w:tc>
        <w:tc>
          <w:tcPr>
            <w:tcW w:w="820" w:type="dxa"/>
            <w:tcBorders>
              <w:top w:val="nil"/>
              <w:left w:val="nil"/>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1,37%</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r w:rsidR="00AF3211" w:rsidRPr="00AF3211" w:rsidTr="00AF3211">
        <w:trPr>
          <w:trHeight w:val="315"/>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8" w:space="0" w:color="auto"/>
              <w:right w:val="single" w:sz="4"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b/>
                <w:bCs/>
                <w:color w:val="000000"/>
                <w:sz w:val="16"/>
                <w:szCs w:val="16"/>
                <w:lang w:eastAsia="cs-CZ"/>
              </w:rPr>
            </w:pPr>
            <w:r w:rsidRPr="00AF3211">
              <w:rPr>
                <w:rFonts w:eastAsia="Times New Roman"/>
                <w:b/>
                <w:bCs/>
                <w:color w:val="000000"/>
                <w:sz w:val="16"/>
                <w:szCs w:val="16"/>
                <w:lang w:eastAsia="cs-CZ"/>
              </w:rPr>
              <w:t>2013</w:t>
            </w:r>
          </w:p>
        </w:tc>
        <w:tc>
          <w:tcPr>
            <w:tcW w:w="820" w:type="dxa"/>
            <w:tcBorders>
              <w:top w:val="nil"/>
              <w:left w:val="nil"/>
              <w:bottom w:val="single" w:sz="8"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0,38%</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r w:rsidR="00AF3211" w:rsidRPr="00AF3211" w:rsidTr="00AF3211">
        <w:trPr>
          <w:trHeight w:val="315"/>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ascii="Calibri" w:eastAsia="Times New Roman" w:hAnsi="Calibri"/>
                <w:color w:val="000000"/>
                <w:sz w:val="22"/>
                <w:lang w:eastAsia="cs-CZ"/>
              </w:rPr>
            </w:pPr>
            <w:r>
              <w:rPr>
                <w:rFonts w:ascii="Calibri" w:eastAsia="Times New Roman" w:hAnsi="Calibri"/>
                <w:noProof/>
                <w:color w:val="000000"/>
                <w:sz w:val="22"/>
                <w:lang w:eastAsia="cs-CZ"/>
              </w:rPr>
              <mc:AlternateContent>
                <mc:Choice Requires="wps">
                  <w:drawing>
                    <wp:anchor distT="0" distB="0" distL="114300" distR="114300" simplePos="0" relativeHeight="251679744" behindDoc="0" locked="0" layoutInCell="1" allowOverlap="1" wp14:anchorId="4E2C0866" wp14:editId="0A4AFF22">
                      <wp:simplePos x="0" y="0"/>
                      <wp:positionH relativeFrom="column">
                        <wp:posOffset>1190625</wp:posOffset>
                      </wp:positionH>
                      <wp:positionV relativeFrom="paragraph">
                        <wp:posOffset>19050</wp:posOffset>
                      </wp:positionV>
                      <wp:extent cx="1028700" cy="180975"/>
                      <wp:effectExtent l="0" t="0" r="76200" b="85725"/>
                      <wp:wrapNone/>
                      <wp:docPr id="44" name="Přímá spojnice se šipkou 44"/>
                      <wp:cNvGraphicFramePr/>
                      <a:graphic xmlns:a="http://schemas.openxmlformats.org/drawingml/2006/main">
                        <a:graphicData uri="http://schemas.microsoft.com/office/word/2010/wordprocessingShape">
                          <wps:wsp>
                            <wps:cNvCnPr/>
                            <wps:spPr>
                              <a:xfrm>
                                <a:off x="0" y="0"/>
                                <a:ext cx="942975" cy="1047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Přímá spojnice se šipkou 44" o:spid="_x0000_s1026" type="#_x0000_t32" style="position:absolute;margin-left:93.75pt;margin-top:1.5pt;width:81pt;height:14.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6c+7QEAAAcEAAAOAAAAZHJzL2Uyb0RvYy54bWysU81uEzEQviPxDpbvZDdRoDTKpocUuCCI&#10;+HkA12tnDbbHGrvZ5FE49gF4iqrv1bE32aIWIYG4zNo7830z8814ebF3lu0URgO+4dNJzZnyElrj&#10;tw3/+uXti9ecxSR8Kyx41fCDivxi9fzZsg8LNYMObKuQEYmPiz40vEspLKoqyk45EScQlCenBnQi&#10;0RW3VYuiJ3Znq1ldv6p6wDYgSBUj/b0cnHxV+LVWMn3UOqrEbMOptlQsFnuVbbVaisUWReiMPJYh&#10;/qEKJ4ynpCPVpUiCXaN5QuWMRIig00SCq0BrI1XpgbqZ1o+6+dyJoEovJE4Mo0zx/9HKD7sNMtM2&#10;fD7nzAtHM9rc/bj96W5vWAzwzVOBLCp2d2PCd7hmFEaa9SEuCLr2GzzeYthgFmCv0eUvtcb2RefD&#10;qLPaJybp5/l8dn72kjNJrmk9P6MzsVQP4IAxvVPgWD40PCYUZtulNXhPEwWcFq3F7n1MA/AEyJmt&#10;zzYJY9/4lqVDoJYEIvTHJNlf5QaGksspHawasJ+UJjmoyCFHWUS1tsh2glZISKl8mo5MFJ1h2lg7&#10;AutS3B+Bx/gMVWVJ/wY8Ikpm8GkEO+MBf5c97U8l6yH+pMDQd5bgCtpDGWaRhratDOT4MvI6/3ov&#10;8If3u7oHAAD//wMAUEsDBBQABgAIAAAAIQBz4Hxp3AAAAAgBAAAPAAAAZHJzL2Rvd25yZXYueG1s&#10;TI9BT8JAEIXvJv6HzZh4k21FEEq3xEi8eEGReB7aodvQnW26C63+eseT3ublvbz5Xr4eXasu1IfG&#10;s4F0koAiLn3VcG1g//FytwAVInKFrWcy8EUB1sX1VY5Z5Qd+p8su1kpKOGRowMbYZVqH0pLDMPEd&#10;sXhH3zuMIvtaVz0OUu5afZ8kc+2wYflgsaNnS+Vpd3YGluHNxmA/aXPcpvPtN9ab1/1gzO3N+LQC&#10;FWmMf2H4xRd0KITp4M9cBdWKXjzOJGpgKpPEnz4sRR/kSGegi1z/H1D8AAAA//8DAFBLAQItABQA&#10;BgAIAAAAIQC2gziS/gAAAOEBAAATAAAAAAAAAAAAAAAAAAAAAABbQ29udGVudF9UeXBlc10ueG1s&#10;UEsBAi0AFAAGAAgAAAAhADj9If/WAAAAlAEAAAsAAAAAAAAAAAAAAAAALwEAAF9yZWxzLy5yZWxz&#10;UEsBAi0AFAAGAAgAAAAhADSjpz7tAQAABwQAAA4AAAAAAAAAAAAAAAAALgIAAGRycy9lMm9Eb2Mu&#10;eG1sUEsBAi0AFAAGAAgAAAAhAHPgfGncAAAACAEAAA8AAAAAAAAAAAAAAAAARwQAAGRycy9kb3du&#10;cmV2LnhtbFBLBQYAAAAABAAEAPMAAABQBQAAAAA=&#10;" strokecolor="#4579b8 [3044]">
                      <v:stroke endarrow="open"/>
                    </v:shape>
                  </w:pict>
                </mc:Fallback>
              </mc:AlternateContent>
            </w:r>
            <w:r>
              <w:rPr>
                <w:rFonts w:ascii="Calibri" w:eastAsia="Times New Roman" w:hAnsi="Calibri"/>
                <w:noProof/>
                <w:color w:val="000000"/>
                <w:sz w:val="22"/>
                <w:lang w:eastAsia="cs-CZ"/>
              </w:rPr>
              <mc:AlternateContent>
                <mc:Choice Requires="wps">
                  <w:drawing>
                    <wp:anchor distT="0" distB="0" distL="114300" distR="114300" simplePos="0" relativeHeight="251680768" behindDoc="0" locked="0" layoutInCell="1" allowOverlap="1" wp14:anchorId="7A2A792A" wp14:editId="4A773AD7">
                      <wp:simplePos x="0" y="0"/>
                      <wp:positionH relativeFrom="column">
                        <wp:posOffset>257175</wp:posOffset>
                      </wp:positionH>
                      <wp:positionV relativeFrom="paragraph">
                        <wp:posOffset>19050</wp:posOffset>
                      </wp:positionV>
                      <wp:extent cx="942975" cy="200025"/>
                      <wp:effectExtent l="38100" t="0" r="28575" b="85725"/>
                      <wp:wrapNone/>
                      <wp:docPr id="43" name="Přímá spojnice se šipkou 43"/>
                      <wp:cNvGraphicFramePr/>
                      <a:graphic xmlns:a="http://schemas.openxmlformats.org/drawingml/2006/main">
                        <a:graphicData uri="http://schemas.microsoft.com/office/word/2010/wordprocessingShape">
                          <wps:wsp>
                            <wps:cNvCnPr/>
                            <wps:spPr>
                              <a:xfrm flipH="1">
                                <a:off x="0" y="0"/>
                                <a:ext cx="857250" cy="1143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Přímá spojnice se šipkou 43" o:spid="_x0000_s1026" type="#_x0000_t32" style="position:absolute;margin-left:20.25pt;margin-top:1.5pt;width:74.25pt;height:15.7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4w49gEAABEEAAAOAAAAZHJzL2Uyb0RvYy54bWysU0uOEzEQ3SNxB8t70p3MDIxa6cwiw2eB&#10;IOJzAI/bThtsl1X2pJOjsJwDcIrR3IuyO2kQICQQG8ufeq/qvSovr/bOsp3CaMC3fD6rOVNeQmf8&#10;tuUfP7x4cslZTMJ3woJXLT+oyK9Wjx8th9CoBfRgO4WMSHxshtDyPqXQVFWUvXIiziAoT48a0IlE&#10;R9xWHYqB2J2tFnX9tBoAu4AgVYx0ez0+8lXh11rJ9FbrqBKzLafaUlmxrDd5rVZL0WxRhN7IYxni&#10;H6pwwnhKOlFdiyTYLZpfqJyRCBF0mklwFWhtpCoaSM28/knN+14EVbSQOTFMNsX/Ryvf7DbITNfy&#10;8zPOvHDUo83Dl/uv7v6OxQCfPBXIomIPdyZ8hltGYeTZEGJD0LXf4PEUwwazAXuNjmlrwisah2IJ&#10;iWT74vhhclztE5N0eXnxbHFBfZH0NJ+fn9WlI9VIk+kCxvRSgWN50/KYUJhtn9bgPfUWcEwhdq9j&#10;okIIeAJksPV5TcLY575j6RBInECEIUug2PxeZSlj8WWXDlaN2HdKkzFU5JijjKRaW2Q7QcMkpFQ+&#10;zScmis4wbaydgHXR/0fgMT5DVRnXvwFPiJIZfJrAznjA32VP+1PJeow/OTDqzhbcQHcobS3W0NwV&#10;r45/JA/2j+cC//6TV98AAAD//wMAUEsDBBQABgAIAAAAIQD9Onn92wAAAAcBAAAPAAAAZHJzL2Rv&#10;d25yZXYueG1sTI/BTsMwEETvSP0Haytxow6lLSHEqdIKEBInAh/gxksS1V5Hsdukf8/2BLcdzWj2&#10;Tb6dnBVnHELnScH9IgGBVHvTUaPg++v1LgURoiajrSdUcMEA22J2k+vM+JE+8VzFRnAJhUwraGPs&#10;MylD3aLTYeF7JPZ+/OB0ZDk00gx65HJn5TJJNtLpjvhDq3vct1gfq5NTUKbyg46X/WOo3uuNseP0&#10;8lbulLqdT+UziIhT/AvDFZ/RoWCmgz+RCcIqWCVrTip44EVXO33i48B6tQZZ5PI/f/ELAAD//wMA&#10;UEsBAi0AFAAGAAgAAAAhALaDOJL+AAAA4QEAABMAAAAAAAAAAAAAAAAAAAAAAFtDb250ZW50X1R5&#10;cGVzXS54bWxQSwECLQAUAAYACAAAACEAOP0h/9YAAACUAQAACwAAAAAAAAAAAAAAAAAvAQAAX3Jl&#10;bHMvLnJlbHNQSwECLQAUAAYACAAAACEAxseMOPYBAAARBAAADgAAAAAAAAAAAAAAAAAuAgAAZHJz&#10;L2Uyb0RvYy54bWxQSwECLQAUAAYACAAAACEA/Tp5/dsAAAAHAQAADwAAAAAAAAAAAAAAAABQBAAA&#10;ZHJzL2Rvd25yZXYueG1sUEsFBgAAAAAEAAQA8wAAAFgFAAAAAA==&#10;" strokecolor="#4579b8 [3044]">
                      <v:stroke endarrow="open"/>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820"/>
            </w:tblGrid>
            <w:tr w:rsidR="00AF3211" w:rsidRPr="00AF3211">
              <w:trPr>
                <w:trHeight w:val="315"/>
                <w:tblCellSpacing w:w="0" w:type="dxa"/>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bl>
          <w:p w:rsidR="00AF3211" w:rsidRPr="00AF3211" w:rsidRDefault="00AF3211" w:rsidP="00AF3211">
            <w:pPr>
              <w:spacing w:after="0" w:line="240" w:lineRule="auto"/>
              <w:rPr>
                <w:rFonts w:ascii="Calibri" w:eastAsia="Times New Roman" w:hAnsi="Calibri"/>
                <w:color w:val="000000"/>
                <w:sz w:val="22"/>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Pr>
                <w:rFonts w:ascii="Calibri" w:eastAsia="Times New Roman" w:hAnsi="Calibri"/>
                <w:noProof/>
                <w:color w:val="000000"/>
                <w:sz w:val="22"/>
                <w:lang w:eastAsia="cs-CZ"/>
              </w:rPr>
              <mc:AlternateContent>
                <mc:Choice Requires="wps">
                  <w:drawing>
                    <wp:anchor distT="0" distB="0" distL="114300" distR="114300" simplePos="0" relativeHeight="251675648" behindDoc="0" locked="0" layoutInCell="1" allowOverlap="1" wp14:anchorId="55C97EA5" wp14:editId="2E0C76B4">
                      <wp:simplePos x="0" y="0"/>
                      <wp:positionH relativeFrom="column">
                        <wp:posOffset>63500</wp:posOffset>
                      </wp:positionH>
                      <wp:positionV relativeFrom="paragraph">
                        <wp:posOffset>-66040</wp:posOffset>
                      </wp:positionV>
                      <wp:extent cx="152400" cy="228600"/>
                      <wp:effectExtent l="0" t="0" r="76200" b="57150"/>
                      <wp:wrapNone/>
                      <wp:docPr id="45" name="Přímá spojnice se šipkou 45"/>
                      <wp:cNvGraphicFramePr/>
                      <a:graphic xmlns:a="http://schemas.openxmlformats.org/drawingml/2006/main">
                        <a:graphicData uri="http://schemas.microsoft.com/office/word/2010/wordprocessingShape">
                          <wps:wsp>
                            <wps:cNvCnPr/>
                            <wps:spPr>
                              <a:xfrm>
                                <a:off x="0" y="0"/>
                                <a:ext cx="0" cy="1428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Přímá spojnice se šipkou 45" o:spid="_x0000_s1026" type="#_x0000_t32" style="position:absolute;margin-left:5pt;margin-top:-5.2pt;width:12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orD6AEAAAIEAAAOAAAAZHJzL2Uyb0RvYy54bWysU8FuEzEQvSPxD5bvZLNRgSrKpocUuCCI&#10;oHyA67WzBttjjd3s5lM49gP4iqr/xdibbBGtkEBcZtf2vDdvnseri8FZtlcYDfiG17M5Z8pLaI3f&#10;NfzL1dsX55zFJHwrLHjV8IOK/GL9/NmqD0u1gA5sq5ARiY/LPjS8SyksqyrKTjkRZxCUp0MN6ESi&#10;Je6qFkVP7M5Wi/n8VdUDtgFBqhhp93I85OvCr7WS6aPWUSVmG07aUolY4nWO1XolljsUoTPyKEP8&#10;gwonjKeiE9WlSILdoHlE5YxEiKDTTIKrQGsjVemBuqnnv3XzuRNBlV7InBgmm+L/o5Uf9ltkpm34&#10;2UvOvHB0R9v773c/3N0tiwG+ehLIomL3tyZ8gxtGaeRZH+KSoBu/xeMqhi1mAwaNLn+pNTYUnw+T&#10;z2pITI6bknbrs8X560JXPeACxvROgWP5p+ExoTC7Lm3Ae7pMwLrYLPbvY6LKBDwBclHrc0zC2De+&#10;ZekQqBuBCH3WTLn5vMraR7XlLx2sGrGflCYnSN9Yo8yg2lhke0HTI6RUPtUTE2VnmDbWTsB5EfdH&#10;4DE/Q1WZz78BT4hSGXyawM54wKeqp+EkWY/5JwfGvrMF19Aeyj0Wa2jQilfHR5En+dd1gT883fVP&#10;AAAA//8DAFBLAwQUAAYACAAAACEAlhG5SN0AAAAIAQAADwAAAGRycy9kb3ducmV2LnhtbEyPwU7D&#10;MBBE70j8g7VI3Fo7pUQQ4lSIiguXQqk4u/E2jojXUew2ga/v9gTHmR3NvilXk+/ECYfYBtKQzRUI&#10;pDrYlhoNu8/X2QOImAxZ0wVCDT8YYVVdX5WmsGGkDzxtUyO4hGJhNLiU+kLKWDv0Js5Dj8S3Qxi8&#10;SSyHRtrBjFzuO7lQKpfetMQfnOnxxWH9vT16DY/x3aXovnB92GT55tc067fdqPXtzfT8BCLhlP7C&#10;cMFndKiYaR+OZKPoWCuekjTMMrUEwYG7JRt7DYv7HGRVyv8DqjMAAAD//wMAUEsBAi0AFAAGAAgA&#10;AAAhALaDOJL+AAAA4QEAABMAAAAAAAAAAAAAAAAAAAAAAFtDb250ZW50X1R5cGVzXS54bWxQSwEC&#10;LQAUAAYACAAAACEAOP0h/9YAAACUAQAACwAAAAAAAAAAAAAAAAAvAQAAX3JlbHMvLnJlbHNQSwEC&#10;LQAUAAYACAAAACEASjaKw+gBAAACBAAADgAAAAAAAAAAAAAAAAAuAgAAZHJzL2Uyb0RvYy54bWxQ&#10;SwECLQAUAAYACAAAACEAlhG5SN0AAAAIAQAADwAAAAAAAAAAAAAAAABCBAAAZHJzL2Rvd25yZXYu&#10;eG1sUEsFBgAAAAAEAAQA8wAAAEwFAAAAAA==&#10;" strokecolor="#4579b8 [3044]">
                      <v:stroke endarrow="open"/>
                    </v:shape>
                  </w:pict>
                </mc:Fallback>
              </mc:AlternateConten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r w:rsidR="00AF3211" w:rsidRPr="00AF3211" w:rsidTr="00AF3211">
        <w:trPr>
          <w:trHeight w:val="435"/>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single" w:sz="8" w:space="0" w:color="auto"/>
              <w:left w:val="single" w:sz="8" w:space="0" w:color="auto"/>
              <w:bottom w:val="single" w:sz="8" w:space="0" w:color="auto"/>
              <w:right w:val="single" w:sz="8" w:space="0" w:color="auto"/>
            </w:tcBorders>
            <w:shd w:val="clear" w:color="000000" w:fill="8DB4E2"/>
            <w:vAlign w:val="center"/>
            <w:hideMark/>
          </w:tcPr>
          <w:p w:rsidR="00AF3211" w:rsidRPr="00AF3211" w:rsidRDefault="00AF3211" w:rsidP="00AF3211">
            <w:pPr>
              <w:spacing w:after="0" w:line="240" w:lineRule="auto"/>
              <w:jc w:val="center"/>
              <w:rPr>
                <w:rFonts w:eastAsia="Times New Roman"/>
                <w:b/>
                <w:bCs/>
                <w:color w:val="000000"/>
                <w:sz w:val="16"/>
                <w:szCs w:val="16"/>
                <w:lang w:eastAsia="cs-CZ"/>
              </w:rPr>
            </w:pPr>
            <w:r w:rsidRPr="00AF3211">
              <w:rPr>
                <w:rFonts w:eastAsia="Times New Roman"/>
                <w:b/>
                <w:bCs/>
                <w:color w:val="000000"/>
                <w:sz w:val="16"/>
                <w:szCs w:val="16"/>
                <w:lang w:eastAsia="cs-CZ"/>
              </w:rPr>
              <w:t>daňové břemeno</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single" w:sz="8" w:space="0" w:color="auto"/>
              <w:left w:val="single" w:sz="8" w:space="0" w:color="auto"/>
              <w:bottom w:val="single" w:sz="8" w:space="0" w:color="auto"/>
              <w:right w:val="single" w:sz="8" w:space="0" w:color="auto"/>
            </w:tcBorders>
            <w:shd w:val="clear" w:color="000000" w:fill="8DB4E2"/>
            <w:noWrap/>
            <w:vAlign w:val="center"/>
            <w:hideMark/>
          </w:tcPr>
          <w:p w:rsidR="00AF3211" w:rsidRPr="00AF3211" w:rsidRDefault="00AF3211" w:rsidP="00AF3211">
            <w:pPr>
              <w:spacing w:after="0" w:line="240" w:lineRule="auto"/>
              <w:jc w:val="center"/>
              <w:rPr>
                <w:rFonts w:eastAsia="Times New Roman"/>
                <w:b/>
                <w:bCs/>
                <w:color w:val="000000"/>
                <w:sz w:val="16"/>
                <w:szCs w:val="16"/>
                <w:lang w:eastAsia="cs-CZ"/>
              </w:rPr>
            </w:pPr>
            <w:r w:rsidRPr="00AF3211">
              <w:rPr>
                <w:rFonts w:eastAsia="Times New Roman"/>
                <w:b/>
                <w:bCs/>
                <w:color w:val="000000"/>
                <w:sz w:val="16"/>
                <w:szCs w:val="16"/>
                <w:lang w:eastAsia="cs-CZ"/>
              </w:rPr>
              <w:t>ROA</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single" w:sz="8" w:space="0" w:color="auto"/>
              <w:left w:val="single" w:sz="8" w:space="0" w:color="auto"/>
              <w:bottom w:val="single" w:sz="8" w:space="0" w:color="auto"/>
              <w:right w:val="single" w:sz="8" w:space="0" w:color="auto"/>
            </w:tcBorders>
            <w:shd w:val="clear" w:color="000000" w:fill="8DB4E2"/>
            <w:vAlign w:val="center"/>
            <w:hideMark/>
          </w:tcPr>
          <w:p w:rsidR="00AF3211" w:rsidRPr="00AF3211" w:rsidRDefault="00AF3211" w:rsidP="00AF3211">
            <w:pPr>
              <w:spacing w:after="0" w:line="240" w:lineRule="auto"/>
              <w:jc w:val="center"/>
              <w:rPr>
                <w:rFonts w:eastAsia="Times New Roman"/>
                <w:b/>
                <w:bCs/>
                <w:color w:val="000000"/>
                <w:sz w:val="16"/>
                <w:szCs w:val="16"/>
                <w:lang w:eastAsia="cs-CZ"/>
              </w:rPr>
            </w:pPr>
            <w:r w:rsidRPr="00AF3211">
              <w:rPr>
                <w:rFonts w:eastAsia="Times New Roman"/>
                <w:b/>
                <w:bCs/>
                <w:color w:val="000000"/>
                <w:sz w:val="16"/>
                <w:szCs w:val="16"/>
                <w:lang w:eastAsia="cs-CZ"/>
              </w:rPr>
              <w:t>složená fin. páka</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r w:rsidR="00AF3211" w:rsidRPr="00AF3211" w:rsidTr="00AF3211">
        <w:trPr>
          <w:trHeight w:val="300"/>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0,77</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3,63%</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2,00</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r w:rsidR="00AF3211" w:rsidRPr="00AF3211" w:rsidTr="00AF3211">
        <w:trPr>
          <w:trHeight w:val="300"/>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0,81</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4,20%</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2,47</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r w:rsidR="00AF3211" w:rsidRPr="00AF3211" w:rsidTr="00AF3211">
        <w:trPr>
          <w:trHeight w:val="300"/>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0,80</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x</w:t>
            </w: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4,74%</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x</w:t>
            </w: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1,78</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r w:rsidR="00AF3211" w:rsidRPr="00AF3211" w:rsidTr="00AF3211">
        <w:trPr>
          <w:trHeight w:val="300"/>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0,74</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0,80%</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1,62</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r w:rsidR="00AF3211" w:rsidRPr="00AF3211" w:rsidTr="00AF3211">
        <w:trPr>
          <w:trHeight w:val="315"/>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0,76</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0,35%</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1,44</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r w:rsidR="00AF3211" w:rsidRPr="00AF3211" w:rsidTr="00AF3211">
        <w:trPr>
          <w:trHeight w:val="315"/>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ascii="Calibri" w:eastAsia="Times New Roman" w:hAnsi="Calibri"/>
                <w:color w:val="000000"/>
                <w:sz w:val="22"/>
                <w:lang w:eastAsia="cs-CZ"/>
              </w:rPr>
            </w:pPr>
            <w:r>
              <w:rPr>
                <w:rFonts w:ascii="Calibri" w:eastAsia="Times New Roman" w:hAnsi="Calibri"/>
                <w:noProof/>
                <w:color w:val="000000"/>
                <w:sz w:val="22"/>
                <w:lang w:eastAsia="cs-CZ"/>
              </w:rPr>
              <mc:AlternateContent>
                <mc:Choice Requires="wps">
                  <w:drawing>
                    <wp:anchor distT="0" distB="0" distL="114300" distR="114300" simplePos="0" relativeHeight="251674624" behindDoc="0" locked="0" layoutInCell="1" allowOverlap="1">
                      <wp:simplePos x="0" y="0"/>
                      <wp:positionH relativeFrom="column">
                        <wp:posOffset>247650</wp:posOffset>
                      </wp:positionH>
                      <wp:positionV relativeFrom="paragraph">
                        <wp:posOffset>9525</wp:posOffset>
                      </wp:positionV>
                      <wp:extent cx="1514475" cy="161925"/>
                      <wp:effectExtent l="38100" t="0" r="28575" b="104775"/>
                      <wp:wrapNone/>
                      <wp:docPr id="42" name="Přímá spojnice se šipkou 42"/>
                      <wp:cNvGraphicFramePr/>
                      <a:graphic xmlns:a="http://schemas.openxmlformats.org/drawingml/2006/main">
                        <a:graphicData uri="http://schemas.microsoft.com/office/word/2010/wordprocessingShape">
                          <wps:wsp>
                            <wps:cNvCnPr/>
                            <wps:spPr>
                              <a:xfrm flipH="1">
                                <a:off x="0" y="0"/>
                                <a:ext cx="1466850" cy="666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Přímá spojnice se šipkou 42" o:spid="_x0000_s1026" type="#_x0000_t32" style="position:absolute;margin-left:19.5pt;margin-top:.75pt;width:119.25pt;height:12.7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5Ta8gEAABEEAAAOAAAAZHJzL2Uyb0RvYy54bWysU9tuGyEQfa/Uf0C812tbyTayvM6D08tD&#10;1Vq9fABhwUsLDBqI1/6UPuYD+hVR/isDa2+rpFLVqi8IGM6ZOWeG5eXeWbZTGA34hs8mU86Ul9Aa&#10;v234l8+vX1xwFpPwrbDgVcMPKvLL1fNnyz4s1Bw6sK1CRiQ+LvrQ8C6lsKiqKDvlRJxAUJ6CGtCJ&#10;REfcVi2KntidrebTaV31gG1AkCpGur0agnxV+LVWMn3QOqrEbMOptlRWLOt1XqvVUiy2KEJn5LEM&#10;8Q9VOGE8JR2prkQS7AbNEypnJEIEnSYSXAVaG6mKBlIzmz5S86kTQRUtZE4Mo03x/9HK97sNMtM2&#10;/GzOmReOerS5/373w93dshjgq6cCWVTs/taEb3DD6Bl51oe4IOjab/B4imGD2YC9Rse0NeEtjUOx&#10;hESyfXH8MDqu9olJupyd1fXFOTVGUqyu65fnmb0aaDJdwJjeKHAsbxoeEwqz7dIavKfeAg4pxO5d&#10;TAPwBMhg6/OahLGvfMvSIZA4gQj9MUmOV1nKUHzZpYNVA/aj0mRMLrLIKCOp1hbZTtAwCSmVT7OR&#10;iV5nmDbWjsDpn4HH9xmqyrj+DXhElMzg0wh2xgP+Lnvan0rWw/uTA4PubME1tIfS1mINzV1pyPGP&#10;5MH+9VzgP3/y6gEAAP//AwBQSwMEFAAGAAgAAAAhAMihwWfbAAAABwEAAA8AAABkcnMvZG93bnJl&#10;di54bWxMj8FOwzAQRO9I/IO1lbhRp0U0JcSpQgUIqaemfIAbL0lUex3FbpP+PdsT3GZ3VrNv8s3k&#10;rLjgEDpPChbzBARS7U1HjYLvw8fjGkSImoy2nlDBFQNsivu7XGfGj7THSxUbwSEUMq2gjbHPpAx1&#10;i06Hue+R2Pvxg9ORx6GRZtAjhzsrl0mykk53xB9a3eO2xfpUnZ2Cci13dLpu01B91Stjx+n9s3xT&#10;6mE2la8gIk7x7xhu+IwOBTMd/ZlMEFbB0wtXibx/BsH2Mk1ZHG8iAVnk8j9/8QsAAP//AwBQSwEC&#10;LQAUAAYACAAAACEAtoM4kv4AAADhAQAAEwAAAAAAAAAAAAAAAAAAAAAAW0NvbnRlbnRfVHlwZXNd&#10;LnhtbFBLAQItABQABgAIAAAAIQA4/SH/1gAAAJQBAAALAAAAAAAAAAAAAAAAAC8BAABfcmVscy8u&#10;cmVsc1BLAQItABQABgAIAAAAIQAzt5Ta8gEAABEEAAAOAAAAAAAAAAAAAAAAAC4CAABkcnMvZTJv&#10;RG9jLnhtbFBLAQItABQABgAIAAAAIQDIocFn2wAAAAcBAAAPAAAAAAAAAAAAAAAAAEwEAABkcnMv&#10;ZG93bnJldi54bWxQSwUGAAAAAAQABADzAAAAVAUAAAAA&#10;" strokecolor="#4579b8 [3044]">
                      <v:stroke endarrow="open"/>
                    </v:shape>
                  </w:pict>
                </mc:Fallback>
              </mc:AlternateContent>
            </w:r>
            <w:r>
              <w:rPr>
                <w:rFonts w:ascii="Calibri" w:eastAsia="Times New Roman" w:hAnsi="Calibri"/>
                <w:noProof/>
                <w:color w:val="000000"/>
                <w:sz w:val="22"/>
                <w:lang w:eastAsia="cs-CZ"/>
              </w:rPr>
              <mc:AlternateContent>
                <mc:Choice Requires="wps">
                  <w:drawing>
                    <wp:anchor distT="0" distB="0" distL="114300" distR="114300" simplePos="0" relativeHeight="251677696" behindDoc="0" locked="0" layoutInCell="1" allowOverlap="1">
                      <wp:simplePos x="0" y="0"/>
                      <wp:positionH relativeFrom="column">
                        <wp:posOffset>1143000</wp:posOffset>
                      </wp:positionH>
                      <wp:positionV relativeFrom="paragraph">
                        <wp:posOffset>19050</wp:posOffset>
                      </wp:positionV>
                      <wp:extent cx="609600" cy="190500"/>
                      <wp:effectExtent l="38100" t="0" r="19050" b="76200"/>
                      <wp:wrapNone/>
                      <wp:docPr id="41" name="Přímá spojnice se šipkou 41"/>
                      <wp:cNvGraphicFramePr/>
                      <a:graphic xmlns:a="http://schemas.openxmlformats.org/drawingml/2006/main">
                        <a:graphicData uri="http://schemas.microsoft.com/office/word/2010/wordprocessingShape">
                          <wps:wsp>
                            <wps:cNvCnPr/>
                            <wps:spPr>
                              <a:xfrm flipH="1">
                                <a:off x="0" y="0"/>
                                <a:ext cx="533400" cy="1047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Přímá spojnice se šipkou 41" o:spid="_x0000_s1026" type="#_x0000_t32" style="position:absolute;margin-left:90pt;margin-top:1.5pt;width:48pt;height:1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o0v9gEAABEEAAAOAAAAZHJzL2Uyb0RvYy54bWysU0uOEzEQ3SNxB8t70p2ZDIOidGaR4bNA&#10;EPE5gMdtpw22yyp70slRWM4BOMVo7kXZ3WkQICQQG8t2+b2q96q8ujo4y/YKowHf8Pms5kx5Ca3x&#10;u4Z//PDiyTPOYhK+FRa8avhRRX61fvxo1YelOoMObKuQEYmPyz40vEspLKsqyk45EWcQlKegBnQi&#10;0RF3VYuiJ3Znq7O6flr1gG1AkCpGur0egnxd+LVWMr3VOqrEbMOptlRWLOtNXqv1Six3KEJn5FiG&#10;+IcqnDCekk5U1yIJdovmFypnJEIEnWYSXAVaG6mKBlIzr39S874TQRUtZE4Mk03x/9HKN/stMtM2&#10;fDHnzAtHPdo+fLn/6u7vWAzwyVOBLCr2cGfCZ7hl9Iw860NcEnTjtzieYthiNuCg0TFtTXhF41As&#10;IZHsUBw/To6rQ2KSLi/Ozxc19UVSaF4vLi8vMns10GS6gDG9VOBY3jQ8JhRm16UNeE+9BRxSiP3r&#10;mAbgCZDB1uc1CWOf+5alYyBxAhH6MUmOV1nKUHzZpaNVA/ad0mQMFTnkKCOpNhbZXtAwCSmVT8UM&#10;Ktd6ep1h2lg7Aeui/4/A8X2GqjKufwOeECUz+DSBnfGAv8ueDqeS9fD+5MCgO1twA+2xtLVYQ3NX&#10;GjL+kTzYP54L/PtPXn8DAAD//wMAUEsDBBQABgAIAAAAIQBTYbXk2gAAAAgBAAAPAAAAZHJzL2Rv&#10;d25yZXYueG1sTE9Nb4MwDL1P2n+IXKm3NbSVKGKEilVbNWmnsf2AlHiAmjiIpIX++3qn7WQ/P+t9&#10;FPvZWXHFMfSeFKxXCQikxpueWgXfX29PGYgQNRltPaGCGwbYl48Phc6Nn+gTr3VsBYtQyLWCLsYh&#10;lzI0HTodVn5AYu7Hj05HhmMrzagnFndWbpIklU73xA6dHvDQYXOuL05BlckPOt8Ou1C/N6mx0/x6&#10;rF6UWi7m6hlExDn+PcNvfI4OJWc6+QuZICzjLOEuUcGWB/ObXcrLiTEfZFnI/wXKOwAAAP//AwBQ&#10;SwECLQAUAAYACAAAACEAtoM4kv4AAADhAQAAEwAAAAAAAAAAAAAAAAAAAAAAW0NvbnRlbnRfVHlw&#10;ZXNdLnhtbFBLAQItABQABgAIAAAAIQA4/SH/1gAAAJQBAAALAAAAAAAAAAAAAAAAAC8BAABfcmVs&#10;cy8ucmVsc1BLAQItABQABgAIAAAAIQB9xo0v9gEAABEEAAAOAAAAAAAAAAAAAAAAAC4CAABkcnMv&#10;ZTJvRG9jLnhtbFBLAQItABQABgAIAAAAIQBTYbXk2gAAAAgBAAAPAAAAAAAAAAAAAAAAAFAEAABk&#10;cnMvZG93bnJldi54bWxQSwUGAAAAAAQABADzAAAAVwUAAAAA&#10;" strokecolor="#4579b8 [3044]">
                      <v:stroke endarrow="open"/>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820"/>
            </w:tblGrid>
            <w:tr w:rsidR="00AF3211" w:rsidRPr="00AF3211">
              <w:trPr>
                <w:trHeight w:val="315"/>
                <w:tblCellSpacing w:w="0" w:type="dxa"/>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bl>
          <w:p w:rsidR="00AF3211" w:rsidRPr="00AF3211" w:rsidRDefault="00AF3211" w:rsidP="00AF3211">
            <w:pPr>
              <w:spacing w:after="0" w:line="240" w:lineRule="auto"/>
              <w:rPr>
                <w:rFonts w:ascii="Calibri" w:eastAsia="Times New Roman" w:hAnsi="Calibri"/>
                <w:color w:val="000000"/>
                <w:sz w:val="22"/>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ascii="Calibri" w:eastAsia="Times New Roman" w:hAnsi="Calibri"/>
                <w:color w:val="000000"/>
                <w:sz w:val="22"/>
                <w:lang w:eastAsia="cs-CZ"/>
              </w:rPr>
            </w:pPr>
            <w:r>
              <w:rPr>
                <w:rFonts w:ascii="Calibri" w:eastAsia="Times New Roman" w:hAnsi="Calibri"/>
                <w:noProof/>
                <w:color w:val="000000"/>
                <w:sz w:val="22"/>
                <w:lang w:eastAsia="cs-CZ"/>
              </w:rPr>
              <mc:AlternateContent>
                <mc:Choice Requires="wps">
                  <w:drawing>
                    <wp:anchor distT="0" distB="0" distL="114300" distR="114300" simplePos="0" relativeHeight="251676672" behindDoc="0" locked="0" layoutInCell="1" allowOverlap="1">
                      <wp:simplePos x="0" y="0"/>
                      <wp:positionH relativeFrom="column">
                        <wp:posOffset>238125</wp:posOffset>
                      </wp:positionH>
                      <wp:positionV relativeFrom="paragraph">
                        <wp:posOffset>19050</wp:posOffset>
                      </wp:positionV>
                      <wp:extent cx="561975" cy="190500"/>
                      <wp:effectExtent l="38100" t="0" r="28575" b="76200"/>
                      <wp:wrapNone/>
                      <wp:docPr id="40" name="Přímá spojnice se šipkou 40"/>
                      <wp:cNvGraphicFramePr/>
                      <a:graphic xmlns:a="http://schemas.openxmlformats.org/drawingml/2006/main">
                        <a:graphicData uri="http://schemas.microsoft.com/office/word/2010/wordprocessingShape">
                          <wps:wsp>
                            <wps:cNvCnPr/>
                            <wps:spPr>
                              <a:xfrm flipH="1">
                                <a:off x="0" y="0"/>
                                <a:ext cx="485775" cy="1047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Přímá spojnice se šipkou 40" o:spid="_x0000_s1026" type="#_x0000_t32" style="position:absolute;margin-left:18.75pt;margin-top:1.5pt;width:44.25pt;height:1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Xy78wEAABEEAAAOAAAAZHJzL2Uyb0RvYy54bWysU0uOEzEQ3SNxB8t70p1RhhlF6cwiw2eB&#10;IOJzAI/bThtsl1X2pJOjsJwDcIrR3GvK7k6DACGB2Fi2y+9VvVfl1dXBWbZXGA34hs9nNWfKS2iN&#10;3zX808eXzy45i0n4VljwquFHFfnV+umTVR+W6gw6sK1CRiQ+LvvQ8C6lsKyqKDvlRJxBUJ6CGtCJ&#10;REfcVS2Kntidrc7q+nnVA7YBQaoY6fZ6CPJ14ddayfRO66gSsw2n2lJZsaw3ea3WK7HcoQidkWMZ&#10;4h+qcMJ4SjpRXYsk2C2aX6ickQgRdJpJcBVobaQqGkjNvP5JzYdOBFW0kDkxTDbF/0cr3+63yEzb&#10;8AXZ44WjHm0fvt5/c/d3LAb47KlAFhV7uDPhC9wyekae9SEuCbrxWxxPMWwxG3DQ6Ji2JrymcSiW&#10;kEh2KI4fJ8fVITFJl4vL84uLc84kheb1Iu+JrxpoMl3AmF4pcCxvGh4TCrPr0ga8p94CDinE/k1M&#10;A/AEyGDr85qEsS98y9IxkDiBCP2YJMerLGUovuzS0aoB+15pMoaKHHKUkVQbi2wvaJiElMqn+cRE&#10;rzNMG2snYF30/xE4vs9QVcb1b8ATomQGnyawMx7wd9nT4VSyHt6fHBh0ZwtuoD2WthZraO5KQ8Y/&#10;kgf7x3OBf//J60cAAAD//wMAUEsDBBQABgAIAAAAIQDNARpJ2gAAAAcBAAAPAAAAZHJzL2Rvd25y&#10;ZXYueG1sTI9NbsIwEIX3lbiDNUjdFQeqBpTGQQHRqlJXTXsAEw9JhD2OYkPC7Tus2tX8vKc33+Tb&#10;yVlxxSF0nhQsFwkIpNqbjhoFP99vTxsQIWoy2npCBTcMsC1mD7nOjB/pC69VbASHUMi0gjbGPpMy&#10;1C06HRa+R2Lt5AenI49DI82gRw53Vq6SJJVOd8QXWt3jvsX6XF2cgnIjP+l8269D9VGnxo7T4b3c&#10;KfU4n8pXEBGn+GeGOz6jQ8FMR38hE4RV8Lx+YSdX/ugur1JujjzzQha5/M9f/AIAAP//AwBQSwEC&#10;LQAUAAYACAAAACEAtoM4kv4AAADhAQAAEwAAAAAAAAAAAAAAAAAAAAAAW0NvbnRlbnRfVHlwZXNd&#10;LnhtbFBLAQItABQABgAIAAAAIQA4/SH/1gAAAJQBAAALAAAAAAAAAAAAAAAAAC8BAABfcmVscy8u&#10;cmVsc1BLAQItABQABgAIAAAAIQCCQXy78wEAABEEAAAOAAAAAAAAAAAAAAAAAC4CAABkcnMvZTJv&#10;RG9jLnhtbFBLAQItABQABgAIAAAAIQDNARpJ2gAAAAcBAAAPAAAAAAAAAAAAAAAAAE0EAABkcnMv&#10;ZG93bnJldi54bWxQSwUGAAAAAAQABADzAAAAVAUAAAAA&#10;" strokecolor="#4579b8 [3044]">
                      <v:stroke endarrow="open"/>
                    </v:shape>
                  </w:pict>
                </mc:Fallback>
              </mc:AlternateContent>
            </w:r>
            <w:r>
              <w:rPr>
                <w:rFonts w:ascii="Calibri" w:eastAsia="Times New Roman" w:hAnsi="Calibri"/>
                <w:noProof/>
                <w:color w:val="000000"/>
                <w:sz w:val="22"/>
                <w:lang w:eastAsia="cs-CZ"/>
              </w:rPr>
              <mc:AlternateContent>
                <mc:Choice Requires="wps">
                  <w:drawing>
                    <wp:anchor distT="0" distB="0" distL="114300" distR="114300" simplePos="0" relativeHeight="251678720" behindDoc="0" locked="0" layoutInCell="1" allowOverlap="1">
                      <wp:simplePos x="0" y="0"/>
                      <wp:positionH relativeFrom="column">
                        <wp:posOffset>781050</wp:posOffset>
                      </wp:positionH>
                      <wp:positionV relativeFrom="paragraph">
                        <wp:posOffset>19050</wp:posOffset>
                      </wp:positionV>
                      <wp:extent cx="514350" cy="209550"/>
                      <wp:effectExtent l="0" t="0" r="76200" b="76200"/>
                      <wp:wrapNone/>
                      <wp:docPr id="39" name="Přímá spojnice se šipkou 39"/>
                      <wp:cNvGraphicFramePr/>
                      <a:graphic xmlns:a="http://schemas.openxmlformats.org/drawingml/2006/main">
                        <a:graphicData uri="http://schemas.microsoft.com/office/word/2010/wordprocessingShape">
                          <wps:wsp>
                            <wps:cNvCnPr/>
                            <wps:spPr>
                              <a:xfrm>
                                <a:off x="0" y="0"/>
                                <a:ext cx="438150" cy="1238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Přímá spojnice se šipkou 39" o:spid="_x0000_s1026" type="#_x0000_t32" style="position:absolute;margin-left:61.5pt;margin-top:1.5pt;width:40.5pt;height:1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OVu7QEAAAcEAAAOAAAAZHJzL2Uyb0RvYy54bWysU82OEzEMviPxDlHudDoti0rV6R66wAVB&#10;xc8DZDNJJ5DEkZPttI/CcR+Ap1jte62TaWcRICQQF88k9vfZ/uysLg/Osr3CaMA3vJ5MOVNeQmv8&#10;ruGfP71+tuAsJuFbYcGrhh9V5Jfrp09WfViqGXRgW4WMSHxc9qHhXUphWVVRdsqJOIGgPDk1oBOJ&#10;jrirWhQ9sTtbzabTF1UP2AYEqWKk26vBydeFX2sl03uto0rMNpxqS8VisdfZVuuVWO5QhM7IUxni&#10;H6pwwnhKOlJdiSTYDZpfqJyRCBF0mkhwFWhtpCo9UDf19KduPnYiqNILiRPDKFP8f7Ty3X6LzLQN&#10;n7/kzAtHM9ref7v77u5uWQzwxVOBLCp2f2vCV7hhFEaa9SEuCbrxWzydYthiFuCg0eUvtcYORefj&#10;qLM6JCbp8vl8UV/QNCS56tl8MbvInNUjOGBMbxQ4ln8aHhMKs+vSBryniQLWRWuxfxvTADwDcmbr&#10;s03C2Fe+ZekYqCWBCP0pSfZXuYGh5PKXjlYN2A9KkxxU5JCjLKLaWGR7QSskpFQ+1SMTRWeYNtaO&#10;wGkp7o/AU3yGqrKkfwMeESUz+DSCnfGAv8ueDueS9RB/VmDoO0twDe2xDLNIQ9tWBnJ6GXmdfzwX&#10;+OP7XT8AAAD//wMAUEsDBBQABgAIAAAAIQCmFopw2gAAAAgBAAAPAAAAZHJzL2Rvd25yZXYueG1s&#10;TI9BT8MwDIXvSPyHyEjcWLqCKihNJ8TEhctgTJy9xmsqGqdqsrXw6/FOcLKfnvX8vWo1+16daIxd&#10;YAPLRQaKuAm249bA7uPl5h5UTMgW+8Bk4JsirOrLiwpLGyZ+p9M2tUpCOJZowKU0lFrHxpHHuAgD&#10;sXiHMHpMIsdW2xEnCfe9zrOs0B47lg8OB3p21Hxtj97AQ3xzKbpPWh82y2Lzg+36dTcZc301Pz2C&#10;SjSnv2M44ws61MK0D0e2UfWi81vpkgych/h5difLXnSRga4r/b9A/QsAAP//AwBQSwECLQAUAAYA&#10;CAAAACEAtoM4kv4AAADhAQAAEwAAAAAAAAAAAAAAAAAAAAAAW0NvbnRlbnRfVHlwZXNdLnhtbFBL&#10;AQItABQABgAIAAAAIQA4/SH/1gAAAJQBAAALAAAAAAAAAAAAAAAAAC8BAABfcmVscy8ucmVsc1BL&#10;AQItABQABgAIAAAAIQDHhOVu7QEAAAcEAAAOAAAAAAAAAAAAAAAAAC4CAABkcnMvZTJvRG9jLnht&#10;bFBLAQItABQABgAIAAAAIQCmFopw2gAAAAgBAAAPAAAAAAAAAAAAAAAAAEcEAABkcnMvZG93bnJl&#10;di54bWxQSwUGAAAAAAQABADzAAAATgUAAAAA&#10;" strokecolor="#4579b8 [3044]">
                      <v:stroke endarrow="open"/>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820"/>
            </w:tblGrid>
            <w:tr w:rsidR="00AF3211" w:rsidRPr="00AF3211">
              <w:trPr>
                <w:trHeight w:val="315"/>
                <w:tblCellSpacing w:w="0" w:type="dxa"/>
              </w:trPr>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bl>
          <w:p w:rsidR="00AF3211" w:rsidRPr="00AF3211" w:rsidRDefault="00AF3211" w:rsidP="00AF3211">
            <w:pPr>
              <w:spacing w:after="0" w:line="240" w:lineRule="auto"/>
              <w:rPr>
                <w:rFonts w:ascii="Calibri" w:eastAsia="Times New Roman" w:hAnsi="Calibri"/>
                <w:color w:val="000000"/>
                <w:sz w:val="22"/>
                <w:lang w:eastAsia="cs-CZ"/>
              </w:rPr>
            </w:pPr>
          </w:p>
        </w:tc>
        <w:tc>
          <w:tcPr>
            <w:tcW w:w="820" w:type="dxa"/>
            <w:tcBorders>
              <w:top w:val="nil"/>
              <w:left w:val="nil"/>
              <w:bottom w:val="nil"/>
              <w:right w:val="nil"/>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r>
      <w:tr w:rsidR="00AF3211" w:rsidRPr="00AF3211" w:rsidTr="00AF3211">
        <w:trPr>
          <w:trHeight w:val="435"/>
        </w:trPr>
        <w:tc>
          <w:tcPr>
            <w:tcW w:w="820" w:type="dxa"/>
            <w:tcBorders>
              <w:top w:val="single" w:sz="8" w:space="0" w:color="auto"/>
              <w:left w:val="single" w:sz="8" w:space="0" w:color="auto"/>
              <w:bottom w:val="single" w:sz="8" w:space="0" w:color="auto"/>
              <w:right w:val="single" w:sz="8" w:space="0" w:color="auto"/>
            </w:tcBorders>
            <w:shd w:val="clear" w:color="000000" w:fill="8DB4E2"/>
            <w:noWrap/>
            <w:vAlign w:val="center"/>
            <w:hideMark/>
          </w:tcPr>
          <w:p w:rsidR="00AF3211" w:rsidRPr="00AF3211" w:rsidRDefault="00AF3211" w:rsidP="00AF3211">
            <w:pPr>
              <w:spacing w:after="0" w:line="240" w:lineRule="auto"/>
              <w:jc w:val="center"/>
              <w:rPr>
                <w:rFonts w:eastAsia="Times New Roman"/>
                <w:b/>
                <w:bCs/>
                <w:color w:val="000000"/>
                <w:sz w:val="16"/>
                <w:szCs w:val="16"/>
                <w:lang w:eastAsia="cs-CZ"/>
              </w:rPr>
            </w:pPr>
            <w:r w:rsidRPr="00AF3211">
              <w:rPr>
                <w:rFonts w:eastAsia="Times New Roman"/>
                <w:b/>
                <w:bCs/>
                <w:color w:val="000000"/>
                <w:sz w:val="16"/>
                <w:szCs w:val="16"/>
                <w:lang w:eastAsia="cs-CZ"/>
              </w:rPr>
              <w:t>ROS</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single" w:sz="8" w:space="0" w:color="auto"/>
              <w:left w:val="single" w:sz="8" w:space="0" w:color="auto"/>
              <w:bottom w:val="single" w:sz="8" w:space="0" w:color="auto"/>
              <w:right w:val="single" w:sz="8" w:space="0" w:color="auto"/>
            </w:tcBorders>
            <w:shd w:val="clear" w:color="000000" w:fill="8DB4E2"/>
            <w:vAlign w:val="center"/>
            <w:hideMark/>
          </w:tcPr>
          <w:p w:rsidR="00AF3211" w:rsidRPr="00AF3211" w:rsidRDefault="00AF3211" w:rsidP="00AF3211">
            <w:pPr>
              <w:spacing w:after="0" w:line="240" w:lineRule="auto"/>
              <w:jc w:val="center"/>
              <w:rPr>
                <w:rFonts w:eastAsia="Times New Roman"/>
                <w:b/>
                <w:bCs/>
                <w:color w:val="000000"/>
                <w:sz w:val="16"/>
                <w:szCs w:val="16"/>
                <w:lang w:eastAsia="cs-CZ"/>
              </w:rPr>
            </w:pPr>
            <w:r w:rsidRPr="00AF3211">
              <w:rPr>
                <w:rFonts w:eastAsia="Times New Roman"/>
                <w:b/>
                <w:bCs/>
                <w:color w:val="000000"/>
                <w:sz w:val="16"/>
                <w:szCs w:val="16"/>
                <w:lang w:eastAsia="cs-CZ"/>
              </w:rPr>
              <w:t>obrat aktiv</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single" w:sz="8" w:space="0" w:color="auto"/>
              <w:left w:val="single" w:sz="8" w:space="0" w:color="auto"/>
              <w:bottom w:val="single" w:sz="8" w:space="0" w:color="auto"/>
              <w:right w:val="single" w:sz="8" w:space="0" w:color="auto"/>
            </w:tcBorders>
            <w:shd w:val="clear" w:color="000000" w:fill="8DB4E2"/>
            <w:vAlign w:val="center"/>
            <w:hideMark/>
          </w:tcPr>
          <w:p w:rsidR="00AF3211" w:rsidRPr="00AF3211" w:rsidRDefault="00AF3211" w:rsidP="00AF3211">
            <w:pPr>
              <w:spacing w:after="0" w:line="240" w:lineRule="auto"/>
              <w:jc w:val="center"/>
              <w:rPr>
                <w:rFonts w:eastAsia="Times New Roman"/>
                <w:b/>
                <w:bCs/>
                <w:color w:val="000000"/>
                <w:sz w:val="16"/>
                <w:szCs w:val="16"/>
                <w:lang w:eastAsia="cs-CZ"/>
              </w:rPr>
            </w:pPr>
            <w:r w:rsidRPr="00AF3211">
              <w:rPr>
                <w:rFonts w:eastAsia="Times New Roman"/>
                <w:b/>
                <w:bCs/>
                <w:color w:val="000000"/>
                <w:sz w:val="16"/>
                <w:szCs w:val="16"/>
                <w:lang w:eastAsia="cs-CZ"/>
              </w:rPr>
              <w:t>úrokové břemeno</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single" w:sz="8" w:space="0" w:color="auto"/>
              <w:left w:val="single" w:sz="8" w:space="0" w:color="auto"/>
              <w:bottom w:val="single" w:sz="8" w:space="0" w:color="auto"/>
              <w:right w:val="single" w:sz="8" w:space="0" w:color="auto"/>
            </w:tcBorders>
            <w:shd w:val="clear" w:color="000000" w:fill="8DB4E2"/>
            <w:vAlign w:val="center"/>
            <w:hideMark/>
          </w:tcPr>
          <w:p w:rsidR="00AF3211" w:rsidRPr="00AF3211" w:rsidRDefault="00AF3211" w:rsidP="00AF3211">
            <w:pPr>
              <w:spacing w:after="0" w:line="240" w:lineRule="auto"/>
              <w:jc w:val="center"/>
              <w:rPr>
                <w:rFonts w:eastAsia="Times New Roman"/>
                <w:b/>
                <w:bCs/>
                <w:color w:val="000000"/>
                <w:sz w:val="16"/>
                <w:szCs w:val="16"/>
                <w:lang w:eastAsia="cs-CZ"/>
              </w:rPr>
            </w:pPr>
            <w:r w:rsidRPr="00AF3211">
              <w:rPr>
                <w:rFonts w:eastAsia="Times New Roman"/>
                <w:b/>
                <w:bCs/>
                <w:color w:val="000000"/>
                <w:sz w:val="16"/>
                <w:szCs w:val="16"/>
                <w:lang w:eastAsia="cs-CZ"/>
              </w:rPr>
              <w:t>finanční páka</w:t>
            </w:r>
          </w:p>
        </w:tc>
      </w:tr>
      <w:tr w:rsidR="00AF3211" w:rsidRPr="00AF3211" w:rsidTr="00AF3211">
        <w:trPr>
          <w:trHeight w:val="300"/>
        </w:trPr>
        <w:tc>
          <w:tcPr>
            <w:tcW w:w="820" w:type="dxa"/>
            <w:tcBorders>
              <w:top w:val="nil"/>
              <w:left w:val="single" w:sz="8" w:space="0" w:color="auto"/>
              <w:bottom w:val="single" w:sz="4"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2,22%</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1,63</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1,09</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1,83</w:t>
            </w:r>
          </w:p>
        </w:tc>
      </w:tr>
      <w:tr w:rsidR="00AF3211" w:rsidRPr="00AF3211" w:rsidTr="00AF3211">
        <w:trPr>
          <w:trHeight w:val="300"/>
        </w:trPr>
        <w:tc>
          <w:tcPr>
            <w:tcW w:w="820" w:type="dxa"/>
            <w:tcBorders>
              <w:top w:val="nil"/>
              <w:left w:val="single" w:sz="8" w:space="0" w:color="auto"/>
              <w:bottom w:val="single" w:sz="4"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4,54%</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0,92</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1,02</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2,42</w:t>
            </w:r>
          </w:p>
        </w:tc>
      </w:tr>
      <w:tr w:rsidR="00AF3211" w:rsidRPr="00AF3211" w:rsidTr="00AF3211">
        <w:trPr>
          <w:trHeight w:val="300"/>
        </w:trPr>
        <w:tc>
          <w:tcPr>
            <w:tcW w:w="820" w:type="dxa"/>
            <w:tcBorders>
              <w:top w:val="nil"/>
              <w:left w:val="single" w:sz="8" w:space="0" w:color="auto"/>
              <w:bottom w:val="single" w:sz="4"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2,74%</w:t>
            </w:r>
          </w:p>
        </w:tc>
        <w:tc>
          <w:tcPr>
            <w:tcW w:w="820" w:type="dxa"/>
            <w:tcBorders>
              <w:top w:val="nil"/>
              <w:left w:val="nil"/>
              <w:bottom w:val="nil"/>
              <w:right w:val="nil"/>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x</w:t>
            </w: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1,74</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1,00</w:t>
            </w:r>
          </w:p>
        </w:tc>
        <w:tc>
          <w:tcPr>
            <w:tcW w:w="820" w:type="dxa"/>
            <w:tcBorders>
              <w:top w:val="nil"/>
              <w:left w:val="nil"/>
              <w:bottom w:val="nil"/>
              <w:right w:val="nil"/>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x</w:t>
            </w: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1,78</w:t>
            </w:r>
          </w:p>
        </w:tc>
      </w:tr>
      <w:tr w:rsidR="00AF3211" w:rsidRPr="00AF3211" w:rsidTr="00AF3211">
        <w:trPr>
          <w:trHeight w:val="300"/>
        </w:trPr>
        <w:tc>
          <w:tcPr>
            <w:tcW w:w="820" w:type="dxa"/>
            <w:tcBorders>
              <w:top w:val="nil"/>
              <w:left w:val="single" w:sz="8" w:space="0" w:color="auto"/>
              <w:bottom w:val="single" w:sz="4"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0,80%</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1,41</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1,00</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4"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1,62</w:t>
            </w:r>
          </w:p>
        </w:tc>
      </w:tr>
      <w:tr w:rsidR="00AF3211" w:rsidRPr="00AF3211" w:rsidTr="00AF3211">
        <w:trPr>
          <w:trHeight w:val="315"/>
        </w:trPr>
        <w:tc>
          <w:tcPr>
            <w:tcW w:w="820" w:type="dxa"/>
            <w:tcBorders>
              <w:top w:val="nil"/>
              <w:left w:val="single" w:sz="8" w:space="0" w:color="auto"/>
              <w:bottom w:val="single" w:sz="8"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0,19%</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8"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1,89</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1,00</w:t>
            </w:r>
          </w:p>
        </w:tc>
        <w:tc>
          <w:tcPr>
            <w:tcW w:w="820" w:type="dxa"/>
            <w:tcBorders>
              <w:top w:val="nil"/>
              <w:left w:val="nil"/>
              <w:bottom w:val="nil"/>
              <w:right w:val="nil"/>
            </w:tcBorders>
            <w:shd w:val="clear" w:color="auto" w:fill="auto"/>
            <w:noWrap/>
            <w:vAlign w:val="bottom"/>
            <w:hideMark/>
          </w:tcPr>
          <w:p w:rsidR="00AF3211" w:rsidRPr="00AF3211" w:rsidRDefault="00AF3211" w:rsidP="00AF3211">
            <w:pPr>
              <w:spacing w:after="0" w:line="240" w:lineRule="auto"/>
              <w:rPr>
                <w:rFonts w:eastAsia="Times New Roman"/>
                <w:color w:val="000000"/>
                <w:sz w:val="16"/>
                <w:szCs w:val="16"/>
                <w:lang w:eastAsia="cs-CZ"/>
              </w:rPr>
            </w:pPr>
          </w:p>
        </w:tc>
        <w:tc>
          <w:tcPr>
            <w:tcW w:w="820" w:type="dxa"/>
            <w:tcBorders>
              <w:top w:val="nil"/>
              <w:left w:val="single" w:sz="8" w:space="0" w:color="auto"/>
              <w:bottom w:val="single" w:sz="8" w:space="0" w:color="auto"/>
              <w:right w:val="single" w:sz="8" w:space="0" w:color="auto"/>
            </w:tcBorders>
            <w:shd w:val="clear" w:color="auto" w:fill="auto"/>
            <w:noWrap/>
            <w:vAlign w:val="bottom"/>
            <w:hideMark/>
          </w:tcPr>
          <w:p w:rsidR="00AF3211" w:rsidRPr="00AF3211" w:rsidRDefault="00AF3211" w:rsidP="00AF3211">
            <w:pPr>
              <w:spacing w:after="0" w:line="240" w:lineRule="auto"/>
              <w:jc w:val="center"/>
              <w:rPr>
                <w:rFonts w:eastAsia="Times New Roman"/>
                <w:color w:val="000000"/>
                <w:sz w:val="16"/>
                <w:szCs w:val="16"/>
                <w:lang w:eastAsia="cs-CZ"/>
              </w:rPr>
            </w:pPr>
            <w:r w:rsidRPr="00AF3211">
              <w:rPr>
                <w:rFonts w:eastAsia="Times New Roman"/>
                <w:color w:val="000000"/>
                <w:sz w:val="16"/>
                <w:szCs w:val="16"/>
                <w:lang w:eastAsia="cs-CZ"/>
              </w:rPr>
              <w:t>1,44</w:t>
            </w:r>
          </w:p>
        </w:tc>
      </w:tr>
    </w:tbl>
    <w:p w:rsidR="00AF3211" w:rsidRDefault="00AF3211" w:rsidP="008015B2">
      <w:pPr>
        <w:pStyle w:val="Bezmezer"/>
        <w:jc w:val="both"/>
        <w:rPr>
          <w:b/>
          <w:lang w:val="cs-CZ"/>
        </w:rPr>
      </w:pPr>
    </w:p>
    <w:p w:rsidR="00D14174" w:rsidRPr="00D32659" w:rsidRDefault="00D14174" w:rsidP="008015B2">
      <w:pPr>
        <w:jc w:val="both"/>
        <w:rPr>
          <w:i/>
          <w:sz w:val="20"/>
          <w:szCs w:val="20"/>
        </w:rPr>
      </w:pPr>
      <w:r w:rsidRPr="00D32659">
        <w:rPr>
          <w:i/>
          <w:sz w:val="20"/>
          <w:szCs w:val="20"/>
        </w:rPr>
        <w:t>Pramen: vlastní zpracování na základě účetních výkazů společnosti.</w:t>
      </w:r>
    </w:p>
    <w:p w:rsidR="00E340FC" w:rsidRPr="00D32659" w:rsidRDefault="0085613C" w:rsidP="008015B2">
      <w:pPr>
        <w:jc w:val="both"/>
      </w:pPr>
      <w:r w:rsidRPr="00D32659">
        <w:t>Pomocí pyramidového rozkladu můžou být sledovány ne jen jednotlivé ukazatele, ale také vtahy mezi nimi a způsoby jak se navzájem ovlivňují.</w:t>
      </w:r>
    </w:p>
    <w:p w:rsidR="0085613C" w:rsidRPr="00D32659" w:rsidRDefault="0085613C" w:rsidP="008015B2">
      <w:pPr>
        <w:jc w:val="both"/>
      </w:pPr>
      <w:r w:rsidRPr="00D32659">
        <w:t xml:space="preserve">Rentabilita vlastního kapitálu mezi lety 2009 a 2010 zaznamenala jediný nárůst v sledovaném období. </w:t>
      </w:r>
      <w:r w:rsidR="00415A92" w:rsidRPr="00D32659">
        <w:t>Vliv na jeho zvýšení o 2,75 má daňové břemeno, které narostlo o 0,04, rentabilita celkového vloženého kapitálu 0,57 procentních bodů a složená finanční páka, která vzrostla o 0,47. Na ukazatel ROA měla v roce 2010 největší</w:t>
      </w:r>
      <w:r w:rsidR="00513005" w:rsidRPr="00D32659">
        <w:t xml:space="preserve"> pozitivní</w:t>
      </w:r>
      <w:r w:rsidR="00415A92" w:rsidRPr="00D32659">
        <w:t xml:space="preserve"> vliv rentabilita tržeb, která v tomto </w:t>
      </w:r>
      <w:r w:rsidR="00513005" w:rsidRPr="00D32659">
        <w:t>roce narostla</w:t>
      </w:r>
      <w:r w:rsidR="00415A92" w:rsidRPr="00D32659">
        <w:t xml:space="preserve"> o 2,32 procentních bodů, zatím co obrat aktiv v tomto roce klesl o 0,71</w:t>
      </w:r>
      <w:r w:rsidR="00513005" w:rsidRPr="00D32659">
        <w:t>. Při rozkladu složené finanční páky se na jeho je patrné, že jeho nárůst ovlivnil hlavně ukazatel finanční páky, který v tomtéž roce vzrostl o 0,59, zatím co úrokové břemeno, které má na složenou finanční páku také vliv se snížila o 0,7.</w:t>
      </w:r>
    </w:p>
    <w:p w:rsidR="00513005" w:rsidRPr="00D32659" w:rsidRDefault="00513005" w:rsidP="008015B2">
      <w:pPr>
        <w:jc w:val="both"/>
      </w:pPr>
      <w:r w:rsidRPr="00D32659">
        <w:t xml:space="preserve">V následujících letech ukazatel ROE jenom klesal. V roce 2011 o 1,58 procentních bodů. Na tomto snížení se negativně podílely prakticky všechny ukazatele, až na obrat aktiv, který v tomto roce narost o 0,82 a ukazatel ROA, který se navýšil o 0,54 procentních bodů. Největší </w:t>
      </w:r>
      <w:r w:rsidRPr="00D32659">
        <w:lastRenderedPageBreak/>
        <w:t xml:space="preserve">pokles v tomto roce zaznamenal ukazatel ROS, který klesnul o 1,8 procentních bodů. Daňové břemeno v tomto roce kleslo na 1 a na této hodnotě se drželo až do roku 2013. </w:t>
      </w:r>
    </w:p>
    <w:p w:rsidR="00513005" w:rsidRPr="00D32659" w:rsidRDefault="00513005" w:rsidP="008015B2">
      <w:pPr>
        <w:jc w:val="both"/>
      </w:pPr>
      <w:r w:rsidRPr="00D32659">
        <w:t xml:space="preserve">V roce 2012 zaznamenal ukazatel ROE dramatický pokles o 5,41 procentních bodů. </w:t>
      </w:r>
      <w:r w:rsidR="00FE35DE" w:rsidRPr="00D32659">
        <w:t>Největší zásluhu na tom má ukazatel ROA, který v tomto období klesl o 3,94 procentních bodů. Při jeho dalším rozkladu bylo zjištěno, že na něj měl největší vliv ukazatel ROS, který v tomto roce zaznamenal pokles o 1,94 procentních bodů, zatím co obrat aktiv pouze o 0,33.</w:t>
      </w:r>
    </w:p>
    <w:p w:rsidR="00FE35DE" w:rsidRPr="00D32659" w:rsidRDefault="00FE35DE" w:rsidP="008015B2">
      <w:pPr>
        <w:jc w:val="both"/>
      </w:pPr>
      <w:r w:rsidRPr="00D32659">
        <w:t>Pyramidový rozklad ROE poskytl detailní pohled na vývoj jednotlivých ukazatelů, které jej nějakým způsobem ovlivňují. Bylo zjištěno, že největší negativní dopad má rentabilita celkového kapitálu, která je dále ovlivněna rovněž negativním vývojem rentability tržeb a pozitivním vývojem obratu aktiv, který se ale zvyšoval postupně a pomalu a nedokázala ovlivnit negativní vývoj ukazatele ROS. Ukazatel ROE byl také ovlivněn složenou finanční pákou, která se stejně jako ROA nevyvíjela</w:t>
      </w:r>
      <w:r w:rsidR="00BF2954" w:rsidRPr="00D32659">
        <w:t xml:space="preserve"> zrovna pozitivně, ale klesala v čase. Tento ukazatel ovlivnila především finanční páka, která od roku 2010 neustále klesala, zatím co úrokové břemeno bylo v čase stabilní. </w:t>
      </w:r>
    </w:p>
    <w:p w:rsidR="00D35BE7" w:rsidRPr="00D32659" w:rsidRDefault="00D35BE7" w:rsidP="008015B2">
      <w:pPr>
        <w:pStyle w:val="Nadpis3"/>
        <w:jc w:val="both"/>
      </w:pPr>
      <w:bookmarkStart w:id="47" w:name="_Toc417564185"/>
      <w:r w:rsidRPr="00D32659">
        <w:t>Bankrotní modely</w:t>
      </w:r>
      <w:bookmarkEnd w:id="47"/>
    </w:p>
    <w:p w:rsidR="00D35BE7" w:rsidRPr="00D32659" w:rsidRDefault="00D35BE7" w:rsidP="008015B2">
      <w:pPr>
        <w:pStyle w:val="Bezmezer"/>
        <w:jc w:val="both"/>
        <w:rPr>
          <w:lang w:val="cs-CZ"/>
        </w:rPr>
      </w:pPr>
    </w:p>
    <w:p w:rsidR="00BF2954" w:rsidRPr="00D32659" w:rsidRDefault="00BF2954" w:rsidP="008015B2">
      <w:pPr>
        <w:jc w:val="both"/>
        <w:rPr>
          <w:b/>
        </w:rPr>
      </w:pPr>
      <w:r w:rsidRPr="00D32659">
        <w:rPr>
          <w:b/>
        </w:rPr>
        <w:t>Taflerův model</w:t>
      </w:r>
    </w:p>
    <w:p w:rsidR="008E6341" w:rsidRPr="00D32659" w:rsidRDefault="008E6341" w:rsidP="008015B2">
      <w:pPr>
        <w:pStyle w:val="Bezmezer"/>
        <w:jc w:val="both"/>
        <w:rPr>
          <w:b/>
          <w:lang w:val="cs-CZ"/>
        </w:rPr>
      </w:pPr>
      <w:r w:rsidRPr="00D32659">
        <w:rPr>
          <w:b/>
          <w:lang w:val="cs-CZ"/>
        </w:rPr>
        <w:t>Tabulka č. 7: Hodnoty Taflerova modelu v letech 2009 až 2013</w:t>
      </w:r>
    </w:p>
    <w:tbl>
      <w:tblPr>
        <w:tblW w:w="8700" w:type="dxa"/>
        <w:tblInd w:w="55" w:type="dxa"/>
        <w:tblCellMar>
          <w:left w:w="70" w:type="dxa"/>
          <w:right w:w="70" w:type="dxa"/>
        </w:tblCellMar>
        <w:tblLook w:val="04A0" w:firstRow="1" w:lastRow="0" w:firstColumn="1" w:lastColumn="0" w:noHBand="0" w:noVBand="1"/>
      </w:tblPr>
      <w:tblGrid>
        <w:gridCol w:w="4000"/>
        <w:gridCol w:w="940"/>
        <w:gridCol w:w="940"/>
        <w:gridCol w:w="940"/>
        <w:gridCol w:w="940"/>
        <w:gridCol w:w="940"/>
      </w:tblGrid>
      <w:tr w:rsidR="00BF2954" w:rsidRPr="00D32659" w:rsidTr="00BF2954">
        <w:trPr>
          <w:trHeight w:val="315"/>
        </w:trPr>
        <w:tc>
          <w:tcPr>
            <w:tcW w:w="4000" w:type="dxa"/>
            <w:tcBorders>
              <w:top w:val="single" w:sz="8" w:space="0" w:color="auto"/>
              <w:left w:val="single" w:sz="8" w:space="0" w:color="auto"/>
              <w:bottom w:val="single" w:sz="8" w:space="0" w:color="auto"/>
              <w:right w:val="single" w:sz="8" w:space="0" w:color="auto"/>
            </w:tcBorders>
            <w:shd w:val="clear" w:color="000000" w:fill="8DB4E2"/>
            <w:noWrap/>
            <w:vAlign w:val="center"/>
            <w:hideMark/>
          </w:tcPr>
          <w:p w:rsidR="00BF2954" w:rsidRPr="00D32659" w:rsidRDefault="00BF2954" w:rsidP="008015B2">
            <w:pPr>
              <w:spacing w:after="0" w:line="240" w:lineRule="auto"/>
              <w:jc w:val="both"/>
              <w:rPr>
                <w:rFonts w:eastAsia="Times New Roman"/>
                <w:b/>
                <w:bCs/>
                <w:szCs w:val="23"/>
                <w:lang w:eastAsia="cs-CZ"/>
              </w:rPr>
            </w:pPr>
            <w:r w:rsidRPr="00D32659">
              <w:rPr>
                <w:rFonts w:eastAsia="Times New Roman"/>
                <w:b/>
                <w:bCs/>
                <w:szCs w:val="23"/>
                <w:lang w:eastAsia="cs-CZ"/>
              </w:rPr>
              <w:t> </w:t>
            </w:r>
          </w:p>
        </w:tc>
        <w:tc>
          <w:tcPr>
            <w:tcW w:w="940" w:type="dxa"/>
            <w:tcBorders>
              <w:top w:val="single" w:sz="8" w:space="0" w:color="auto"/>
              <w:left w:val="nil"/>
              <w:bottom w:val="nil"/>
              <w:right w:val="single" w:sz="4" w:space="0" w:color="auto"/>
            </w:tcBorders>
            <w:shd w:val="clear" w:color="000000" w:fill="8DB4E2"/>
            <w:noWrap/>
            <w:vAlign w:val="center"/>
            <w:hideMark/>
          </w:tcPr>
          <w:p w:rsidR="00BF2954" w:rsidRPr="00D32659" w:rsidRDefault="00BF2954" w:rsidP="008015B2">
            <w:pPr>
              <w:spacing w:after="0" w:line="240" w:lineRule="auto"/>
              <w:jc w:val="both"/>
              <w:rPr>
                <w:rFonts w:eastAsia="Times New Roman"/>
                <w:b/>
                <w:bCs/>
                <w:szCs w:val="23"/>
                <w:lang w:eastAsia="cs-CZ"/>
              </w:rPr>
            </w:pPr>
            <w:r w:rsidRPr="00D32659">
              <w:rPr>
                <w:rFonts w:eastAsia="Times New Roman"/>
                <w:b/>
                <w:bCs/>
                <w:szCs w:val="23"/>
                <w:lang w:eastAsia="cs-CZ"/>
              </w:rPr>
              <w:t>2009</w:t>
            </w:r>
          </w:p>
        </w:tc>
        <w:tc>
          <w:tcPr>
            <w:tcW w:w="940" w:type="dxa"/>
            <w:tcBorders>
              <w:top w:val="single" w:sz="8" w:space="0" w:color="auto"/>
              <w:left w:val="nil"/>
              <w:bottom w:val="nil"/>
              <w:right w:val="single" w:sz="4" w:space="0" w:color="auto"/>
            </w:tcBorders>
            <w:shd w:val="clear" w:color="000000" w:fill="8DB4E2"/>
            <w:noWrap/>
            <w:vAlign w:val="center"/>
            <w:hideMark/>
          </w:tcPr>
          <w:p w:rsidR="00BF2954" w:rsidRPr="00D32659" w:rsidRDefault="00BF2954" w:rsidP="008015B2">
            <w:pPr>
              <w:spacing w:after="0" w:line="240" w:lineRule="auto"/>
              <w:jc w:val="both"/>
              <w:rPr>
                <w:rFonts w:eastAsia="Times New Roman"/>
                <w:b/>
                <w:bCs/>
                <w:szCs w:val="23"/>
                <w:lang w:eastAsia="cs-CZ"/>
              </w:rPr>
            </w:pPr>
            <w:r w:rsidRPr="00D32659">
              <w:rPr>
                <w:rFonts w:eastAsia="Times New Roman"/>
                <w:b/>
                <w:bCs/>
                <w:szCs w:val="23"/>
                <w:lang w:eastAsia="cs-CZ"/>
              </w:rPr>
              <w:t>2010</w:t>
            </w:r>
          </w:p>
        </w:tc>
        <w:tc>
          <w:tcPr>
            <w:tcW w:w="940" w:type="dxa"/>
            <w:tcBorders>
              <w:top w:val="single" w:sz="8" w:space="0" w:color="auto"/>
              <w:left w:val="nil"/>
              <w:bottom w:val="nil"/>
              <w:right w:val="single" w:sz="4" w:space="0" w:color="auto"/>
            </w:tcBorders>
            <w:shd w:val="clear" w:color="000000" w:fill="8DB4E2"/>
            <w:noWrap/>
            <w:vAlign w:val="center"/>
            <w:hideMark/>
          </w:tcPr>
          <w:p w:rsidR="00BF2954" w:rsidRPr="00D32659" w:rsidRDefault="00BF2954" w:rsidP="008015B2">
            <w:pPr>
              <w:spacing w:after="0" w:line="240" w:lineRule="auto"/>
              <w:jc w:val="both"/>
              <w:rPr>
                <w:rFonts w:eastAsia="Times New Roman"/>
                <w:b/>
                <w:bCs/>
                <w:szCs w:val="23"/>
                <w:lang w:eastAsia="cs-CZ"/>
              </w:rPr>
            </w:pPr>
            <w:r w:rsidRPr="00D32659">
              <w:rPr>
                <w:rFonts w:eastAsia="Times New Roman"/>
                <w:b/>
                <w:bCs/>
                <w:szCs w:val="23"/>
                <w:lang w:eastAsia="cs-CZ"/>
              </w:rPr>
              <w:t>2011</w:t>
            </w:r>
          </w:p>
        </w:tc>
        <w:tc>
          <w:tcPr>
            <w:tcW w:w="940" w:type="dxa"/>
            <w:tcBorders>
              <w:top w:val="single" w:sz="8" w:space="0" w:color="auto"/>
              <w:left w:val="nil"/>
              <w:bottom w:val="nil"/>
              <w:right w:val="single" w:sz="4" w:space="0" w:color="auto"/>
            </w:tcBorders>
            <w:shd w:val="clear" w:color="000000" w:fill="8DB4E2"/>
            <w:noWrap/>
            <w:vAlign w:val="center"/>
            <w:hideMark/>
          </w:tcPr>
          <w:p w:rsidR="00BF2954" w:rsidRPr="00D32659" w:rsidRDefault="00BF2954" w:rsidP="008015B2">
            <w:pPr>
              <w:spacing w:after="0" w:line="240" w:lineRule="auto"/>
              <w:jc w:val="both"/>
              <w:rPr>
                <w:rFonts w:eastAsia="Times New Roman"/>
                <w:b/>
                <w:bCs/>
                <w:szCs w:val="23"/>
                <w:lang w:eastAsia="cs-CZ"/>
              </w:rPr>
            </w:pPr>
            <w:r w:rsidRPr="00D32659">
              <w:rPr>
                <w:rFonts w:eastAsia="Times New Roman"/>
                <w:b/>
                <w:bCs/>
                <w:szCs w:val="23"/>
                <w:lang w:eastAsia="cs-CZ"/>
              </w:rPr>
              <w:t>2012</w:t>
            </w:r>
          </w:p>
        </w:tc>
        <w:tc>
          <w:tcPr>
            <w:tcW w:w="940" w:type="dxa"/>
            <w:tcBorders>
              <w:top w:val="single" w:sz="8" w:space="0" w:color="auto"/>
              <w:left w:val="nil"/>
              <w:bottom w:val="nil"/>
              <w:right w:val="single" w:sz="8" w:space="0" w:color="auto"/>
            </w:tcBorders>
            <w:shd w:val="clear" w:color="000000" w:fill="8DB4E2"/>
            <w:noWrap/>
            <w:vAlign w:val="center"/>
            <w:hideMark/>
          </w:tcPr>
          <w:p w:rsidR="00BF2954" w:rsidRPr="00D32659" w:rsidRDefault="00BF2954" w:rsidP="008015B2">
            <w:pPr>
              <w:spacing w:after="0" w:line="240" w:lineRule="auto"/>
              <w:jc w:val="both"/>
              <w:rPr>
                <w:rFonts w:eastAsia="Times New Roman"/>
                <w:b/>
                <w:bCs/>
                <w:szCs w:val="23"/>
                <w:lang w:eastAsia="cs-CZ"/>
              </w:rPr>
            </w:pPr>
            <w:r w:rsidRPr="00D32659">
              <w:rPr>
                <w:rFonts w:eastAsia="Times New Roman"/>
                <w:b/>
                <w:bCs/>
                <w:szCs w:val="23"/>
                <w:lang w:eastAsia="cs-CZ"/>
              </w:rPr>
              <w:t>2013</w:t>
            </w:r>
          </w:p>
        </w:tc>
      </w:tr>
      <w:tr w:rsidR="00BF2954" w:rsidRPr="00D32659" w:rsidTr="00BF2954">
        <w:trPr>
          <w:trHeight w:val="300"/>
        </w:trPr>
        <w:tc>
          <w:tcPr>
            <w:tcW w:w="4000" w:type="dxa"/>
            <w:tcBorders>
              <w:top w:val="nil"/>
              <w:left w:val="single" w:sz="8" w:space="0" w:color="auto"/>
              <w:bottom w:val="single" w:sz="4" w:space="0" w:color="auto"/>
              <w:right w:val="nil"/>
            </w:tcBorders>
            <w:shd w:val="clear" w:color="auto" w:fill="auto"/>
            <w:noWrap/>
            <w:vAlign w:val="bottom"/>
            <w:hideMark/>
          </w:tcPr>
          <w:p w:rsidR="00BF2954" w:rsidRPr="00D32659" w:rsidRDefault="00BF2954" w:rsidP="008015B2">
            <w:pPr>
              <w:spacing w:after="0" w:line="240" w:lineRule="auto"/>
              <w:jc w:val="both"/>
              <w:rPr>
                <w:rFonts w:eastAsia="Times New Roman"/>
                <w:szCs w:val="23"/>
                <w:lang w:eastAsia="cs-CZ"/>
              </w:rPr>
            </w:pPr>
            <w:r w:rsidRPr="00D32659">
              <w:rPr>
                <w:rFonts w:eastAsia="Times New Roman"/>
                <w:szCs w:val="23"/>
                <w:lang w:eastAsia="cs-CZ"/>
              </w:rPr>
              <w:t>EBT/kr. závazky</w:t>
            </w:r>
          </w:p>
        </w:tc>
        <w:tc>
          <w:tcPr>
            <w:tcW w:w="94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0,11</w:t>
            </w:r>
          </w:p>
        </w:tc>
        <w:tc>
          <w:tcPr>
            <w:tcW w:w="940" w:type="dxa"/>
            <w:tcBorders>
              <w:top w:val="single" w:sz="8" w:space="0" w:color="auto"/>
              <w:left w:val="nil"/>
              <w:bottom w:val="single" w:sz="4"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0,10</w:t>
            </w:r>
          </w:p>
        </w:tc>
        <w:tc>
          <w:tcPr>
            <w:tcW w:w="940" w:type="dxa"/>
            <w:tcBorders>
              <w:top w:val="single" w:sz="8" w:space="0" w:color="auto"/>
              <w:left w:val="nil"/>
              <w:bottom w:val="single" w:sz="4"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0,16</w:t>
            </w:r>
          </w:p>
        </w:tc>
        <w:tc>
          <w:tcPr>
            <w:tcW w:w="940" w:type="dxa"/>
            <w:tcBorders>
              <w:top w:val="single" w:sz="8" w:space="0" w:color="auto"/>
              <w:left w:val="nil"/>
              <w:bottom w:val="single" w:sz="4"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0,04</w:t>
            </w:r>
          </w:p>
        </w:tc>
        <w:tc>
          <w:tcPr>
            <w:tcW w:w="940" w:type="dxa"/>
            <w:tcBorders>
              <w:top w:val="single" w:sz="8" w:space="0" w:color="auto"/>
              <w:left w:val="nil"/>
              <w:bottom w:val="single" w:sz="4" w:space="0" w:color="auto"/>
              <w:right w:val="single" w:sz="8"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0,01</w:t>
            </w:r>
          </w:p>
        </w:tc>
      </w:tr>
      <w:tr w:rsidR="00BF2954" w:rsidRPr="00D32659" w:rsidTr="00BF2954">
        <w:trPr>
          <w:trHeight w:val="300"/>
        </w:trPr>
        <w:tc>
          <w:tcPr>
            <w:tcW w:w="4000" w:type="dxa"/>
            <w:tcBorders>
              <w:top w:val="nil"/>
              <w:left w:val="single" w:sz="8" w:space="0" w:color="auto"/>
              <w:bottom w:val="single" w:sz="4" w:space="0" w:color="auto"/>
              <w:right w:val="nil"/>
            </w:tcBorders>
            <w:shd w:val="clear" w:color="auto" w:fill="auto"/>
            <w:noWrap/>
            <w:vAlign w:val="bottom"/>
            <w:hideMark/>
          </w:tcPr>
          <w:p w:rsidR="00BF2954" w:rsidRPr="00D32659" w:rsidRDefault="00BF2954" w:rsidP="008015B2">
            <w:pPr>
              <w:spacing w:after="0" w:line="240" w:lineRule="auto"/>
              <w:jc w:val="both"/>
              <w:rPr>
                <w:rFonts w:eastAsia="Times New Roman"/>
                <w:szCs w:val="23"/>
                <w:lang w:eastAsia="cs-CZ"/>
              </w:rPr>
            </w:pPr>
            <w:r w:rsidRPr="00D32659">
              <w:rPr>
                <w:rFonts w:eastAsia="Times New Roman"/>
                <w:szCs w:val="23"/>
                <w:lang w:eastAsia="cs-CZ"/>
              </w:rPr>
              <w:t>oběžná aktiva/cizí zdroje</w:t>
            </w:r>
          </w:p>
        </w:tc>
        <w:tc>
          <w:tcPr>
            <w:tcW w:w="940" w:type="dxa"/>
            <w:tcBorders>
              <w:top w:val="nil"/>
              <w:left w:val="single" w:sz="8" w:space="0" w:color="auto"/>
              <w:bottom w:val="single" w:sz="4"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1,34</w:t>
            </w:r>
          </w:p>
        </w:tc>
        <w:tc>
          <w:tcPr>
            <w:tcW w:w="940" w:type="dxa"/>
            <w:tcBorders>
              <w:top w:val="nil"/>
              <w:left w:val="nil"/>
              <w:bottom w:val="single" w:sz="4"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0,76</w:t>
            </w:r>
          </w:p>
        </w:tc>
        <w:tc>
          <w:tcPr>
            <w:tcW w:w="940" w:type="dxa"/>
            <w:tcBorders>
              <w:top w:val="nil"/>
              <w:left w:val="nil"/>
              <w:bottom w:val="single" w:sz="4"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1,27</w:t>
            </w:r>
          </w:p>
        </w:tc>
        <w:tc>
          <w:tcPr>
            <w:tcW w:w="940" w:type="dxa"/>
            <w:tcBorders>
              <w:top w:val="nil"/>
              <w:left w:val="nil"/>
              <w:bottom w:val="single" w:sz="4"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1,33</w:t>
            </w:r>
          </w:p>
        </w:tc>
        <w:tc>
          <w:tcPr>
            <w:tcW w:w="940" w:type="dxa"/>
            <w:tcBorders>
              <w:top w:val="nil"/>
              <w:left w:val="nil"/>
              <w:bottom w:val="single" w:sz="4" w:space="0" w:color="auto"/>
              <w:right w:val="single" w:sz="8"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1,71</w:t>
            </w:r>
          </w:p>
        </w:tc>
      </w:tr>
      <w:tr w:rsidR="00BF2954" w:rsidRPr="00D32659" w:rsidTr="00BF2954">
        <w:trPr>
          <w:trHeight w:val="300"/>
        </w:trPr>
        <w:tc>
          <w:tcPr>
            <w:tcW w:w="4000" w:type="dxa"/>
            <w:tcBorders>
              <w:top w:val="nil"/>
              <w:left w:val="single" w:sz="8" w:space="0" w:color="auto"/>
              <w:bottom w:val="single" w:sz="4" w:space="0" w:color="auto"/>
              <w:right w:val="nil"/>
            </w:tcBorders>
            <w:shd w:val="clear" w:color="auto" w:fill="auto"/>
            <w:noWrap/>
            <w:vAlign w:val="bottom"/>
            <w:hideMark/>
          </w:tcPr>
          <w:p w:rsidR="00BF2954" w:rsidRPr="00D32659" w:rsidRDefault="00BF2954" w:rsidP="008015B2">
            <w:pPr>
              <w:spacing w:after="0" w:line="240" w:lineRule="auto"/>
              <w:jc w:val="both"/>
              <w:rPr>
                <w:rFonts w:eastAsia="Times New Roman"/>
                <w:szCs w:val="23"/>
                <w:lang w:eastAsia="cs-CZ"/>
              </w:rPr>
            </w:pPr>
            <w:r w:rsidRPr="00D32659">
              <w:rPr>
                <w:rFonts w:eastAsia="Times New Roman"/>
                <w:szCs w:val="23"/>
                <w:lang w:eastAsia="cs-CZ"/>
              </w:rPr>
              <w:t>kr. závazky/aktiva</w:t>
            </w:r>
          </w:p>
        </w:tc>
        <w:tc>
          <w:tcPr>
            <w:tcW w:w="940" w:type="dxa"/>
            <w:tcBorders>
              <w:top w:val="nil"/>
              <w:left w:val="single" w:sz="8" w:space="0" w:color="auto"/>
              <w:bottom w:val="single" w:sz="4"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0,35</w:t>
            </w:r>
          </w:p>
        </w:tc>
        <w:tc>
          <w:tcPr>
            <w:tcW w:w="940" w:type="dxa"/>
            <w:tcBorders>
              <w:top w:val="nil"/>
              <w:left w:val="nil"/>
              <w:bottom w:val="single" w:sz="4"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0,45</w:t>
            </w:r>
          </w:p>
        </w:tc>
        <w:tc>
          <w:tcPr>
            <w:tcW w:w="940" w:type="dxa"/>
            <w:tcBorders>
              <w:top w:val="nil"/>
              <w:left w:val="nil"/>
              <w:bottom w:val="single" w:sz="4"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0,30</w:t>
            </w:r>
          </w:p>
        </w:tc>
        <w:tc>
          <w:tcPr>
            <w:tcW w:w="940" w:type="dxa"/>
            <w:tcBorders>
              <w:top w:val="nil"/>
              <w:left w:val="nil"/>
              <w:bottom w:val="single" w:sz="4"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0,29</w:t>
            </w:r>
          </w:p>
        </w:tc>
        <w:tc>
          <w:tcPr>
            <w:tcW w:w="940" w:type="dxa"/>
            <w:tcBorders>
              <w:top w:val="nil"/>
              <w:left w:val="nil"/>
              <w:bottom w:val="single" w:sz="4" w:space="0" w:color="auto"/>
              <w:right w:val="single" w:sz="8"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0,31</w:t>
            </w:r>
          </w:p>
        </w:tc>
      </w:tr>
      <w:tr w:rsidR="00BF2954" w:rsidRPr="00D32659" w:rsidTr="00BF2954">
        <w:trPr>
          <w:trHeight w:val="315"/>
        </w:trPr>
        <w:tc>
          <w:tcPr>
            <w:tcW w:w="4000" w:type="dxa"/>
            <w:tcBorders>
              <w:top w:val="nil"/>
              <w:left w:val="single" w:sz="8" w:space="0" w:color="auto"/>
              <w:bottom w:val="nil"/>
              <w:right w:val="nil"/>
            </w:tcBorders>
            <w:shd w:val="clear" w:color="auto" w:fill="auto"/>
            <w:noWrap/>
            <w:vAlign w:val="bottom"/>
            <w:hideMark/>
          </w:tcPr>
          <w:p w:rsidR="00BF2954" w:rsidRPr="00D32659" w:rsidRDefault="00BF2954" w:rsidP="008015B2">
            <w:pPr>
              <w:spacing w:after="0" w:line="240" w:lineRule="auto"/>
              <w:jc w:val="both"/>
              <w:rPr>
                <w:rFonts w:eastAsia="Times New Roman"/>
                <w:szCs w:val="23"/>
                <w:lang w:eastAsia="cs-CZ"/>
              </w:rPr>
            </w:pPr>
            <w:r w:rsidRPr="00D32659">
              <w:rPr>
                <w:rFonts w:eastAsia="Times New Roman"/>
                <w:szCs w:val="23"/>
                <w:lang w:eastAsia="cs-CZ"/>
              </w:rPr>
              <w:t>tržby celkem/aktiva</w:t>
            </w:r>
          </w:p>
        </w:tc>
        <w:tc>
          <w:tcPr>
            <w:tcW w:w="940" w:type="dxa"/>
            <w:tcBorders>
              <w:top w:val="nil"/>
              <w:left w:val="single" w:sz="8" w:space="0" w:color="auto"/>
              <w:bottom w:val="single" w:sz="8"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1,63</w:t>
            </w:r>
          </w:p>
        </w:tc>
        <w:tc>
          <w:tcPr>
            <w:tcW w:w="940" w:type="dxa"/>
            <w:tcBorders>
              <w:top w:val="nil"/>
              <w:left w:val="nil"/>
              <w:bottom w:val="single" w:sz="8"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0,92</w:t>
            </w:r>
          </w:p>
        </w:tc>
        <w:tc>
          <w:tcPr>
            <w:tcW w:w="940" w:type="dxa"/>
            <w:tcBorders>
              <w:top w:val="nil"/>
              <w:left w:val="nil"/>
              <w:bottom w:val="single" w:sz="8"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1,74</w:t>
            </w:r>
          </w:p>
        </w:tc>
        <w:tc>
          <w:tcPr>
            <w:tcW w:w="940" w:type="dxa"/>
            <w:tcBorders>
              <w:top w:val="nil"/>
              <w:left w:val="nil"/>
              <w:bottom w:val="single" w:sz="8"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1,41</w:t>
            </w:r>
          </w:p>
        </w:tc>
        <w:tc>
          <w:tcPr>
            <w:tcW w:w="940" w:type="dxa"/>
            <w:tcBorders>
              <w:top w:val="nil"/>
              <w:left w:val="nil"/>
              <w:bottom w:val="single" w:sz="8" w:space="0" w:color="auto"/>
              <w:right w:val="single" w:sz="8" w:space="0" w:color="auto"/>
            </w:tcBorders>
            <w:shd w:val="clear" w:color="auto" w:fill="auto"/>
            <w:noWrap/>
            <w:vAlign w:val="bottom"/>
            <w:hideMark/>
          </w:tcPr>
          <w:p w:rsidR="00BF2954" w:rsidRPr="00D32659" w:rsidRDefault="00BF2954" w:rsidP="008015B2">
            <w:pPr>
              <w:spacing w:after="0" w:line="240" w:lineRule="auto"/>
              <w:jc w:val="both"/>
              <w:rPr>
                <w:rFonts w:ascii="Calibri" w:eastAsia="Times New Roman" w:hAnsi="Calibri"/>
                <w:sz w:val="22"/>
                <w:lang w:eastAsia="cs-CZ"/>
              </w:rPr>
            </w:pPr>
            <w:r w:rsidRPr="00D32659">
              <w:rPr>
                <w:rFonts w:ascii="Calibri" w:eastAsia="Times New Roman" w:hAnsi="Calibri"/>
                <w:sz w:val="22"/>
                <w:lang w:eastAsia="cs-CZ"/>
              </w:rPr>
              <w:t>1,89</w:t>
            </w:r>
          </w:p>
        </w:tc>
      </w:tr>
      <w:tr w:rsidR="00BF2954" w:rsidRPr="00D32659" w:rsidTr="00BF2954">
        <w:trPr>
          <w:trHeight w:val="315"/>
        </w:trPr>
        <w:tc>
          <w:tcPr>
            <w:tcW w:w="40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F2954" w:rsidRPr="00D32659" w:rsidRDefault="00BF2954" w:rsidP="008015B2">
            <w:pPr>
              <w:spacing w:after="0" w:line="240" w:lineRule="auto"/>
              <w:jc w:val="both"/>
              <w:rPr>
                <w:rFonts w:eastAsia="Times New Roman"/>
                <w:b/>
                <w:bCs/>
                <w:szCs w:val="23"/>
                <w:lang w:eastAsia="cs-CZ"/>
              </w:rPr>
            </w:pPr>
            <w:r w:rsidRPr="00D32659">
              <w:rPr>
                <w:rFonts w:eastAsia="Times New Roman"/>
                <w:b/>
                <w:bCs/>
                <w:szCs w:val="23"/>
                <w:lang w:eastAsia="cs-CZ"/>
              </w:rPr>
              <w:t>Z</w:t>
            </w:r>
          </w:p>
        </w:tc>
        <w:tc>
          <w:tcPr>
            <w:tcW w:w="940" w:type="dxa"/>
            <w:tcBorders>
              <w:top w:val="nil"/>
              <w:left w:val="nil"/>
              <w:bottom w:val="single" w:sz="8"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eastAsia="Times New Roman"/>
                <w:b/>
                <w:bCs/>
                <w:szCs w:val="23"/>
                <w:lang w:eastAsia="cs-CZ"/>
              </w:rPr>
            </w:pPr>
            <w:r w:rsidRPr="00D32659">
              <w:rPr>
                <w:rFonts w:eastAsia="Times New Roman"/>
                <w:b/>
                <w:bCs/>
                <w:szCs w:val="23"/>
                <w:lang w:eastAsia="cs-CZ"/>
              </w:rPr>
              <w:t>0,56</w:t>
            </w:r>
          </w:p>
        </w:tc>
        <w:tc>
          <w:tcPr>
            <w:tcW w:w="940" w:type="dxa"/>
            <w:tcBorders>
              <w:top w:val="nil"/>
              <w:left w:val="nil"/>
              <w:bottom w:val="single" w:sz="8"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eastAsia="Times New Roman"/>
                <w:b/>
                <w:bCs/>
                <w:szCs w:val="23"/>
                <w:lang w:eastAsia="cs-CZ"/>
              </w:rPr>
            </w:pPr>
            <w:r w:rsidRPr="00D32659">
              <w:rPr>
                <w:rFonts w:eastAsia="Times New Roman"/>
                <w:b/>
                <w:bCs/>
                <w:szCs w:val="23"/>
                <w:lang w:eastAsia="cs-CZ"/>
              </w:rPr>
              <w:t>0,38</w:t>
            </w:r>
          </w:p>
        </w:tc>
        <w:tc>
          <w:tcPr>
            <w:tcW w:w="940" w:type="dxa"/>
            <w:tcBorders>
              <w:top w:val="nil"/>
              <w:left w:val="nil"/>
              <w:bottom w:val="single" w:sz="8"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eastAsia="Times New Roman"/>
                <w:b/>
                <w:bCs/>
                <w:szCs w:val="23"/>
                <w:lang w:eastAsia="cs-CZ"/>
              </w:rPr>
            </w:pPr>
            <w:r w:rsidRPr="00D32659">
              <w:rPr>
                <w:rFonts w:eastAsia="Times New Roman"/>
                <w:b/>
                <w:bCs/>
                <w:szCs w:val="23"/>
                <w:lang w:eastAsia="cs-CZ"/>
              </w:rPr>
              <w:t>0,58</w:t>
            </w:r>
          </w:p>
        </w:tc>
        <w:tc>
          <w:tcPr>
            <w:tcW w:w="940" w:type="dxa"/>
            <w:tcBorders>
              <w:top w:val="nil"/>
              <w:left w:val="nil"/>
              <w:bottom w:val="single" w:sz="8"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eastAsia="Times New Roman"/>
                <w:b/>
                <w:bCs/>
                <w:szCs w:val="23"/>
                <w:lang w:eastAsia="cs-CZ"/>
              </w:rPr>
            </w:pPr>
            <w:r w:rsidRPr="00D32659">
              <w:rPr>
                <w:rFonts w:eastAsia="Times New Roman"/>
                <w:b/>
                <w:bCs/>
                <w:szCs w:val="23"/>
                <w:lang w:eastAsia="cs-CZ"/>
              </w:rPr>
              <w:t>0,47</w:t>
            </w:r>
          </w:p>
        </w:tc>
        <w:tc>
          <w:tcPr>
            <w:tcW w:w="940" w:type="dxa"/>
            <w:tcBorders>
              <w:top w:val="nil"/>
              <w:left w:val="nil"/>
              <w:bottom w:val="single" w:sz="8" w:space="0" w:color="auto"/>
              <w:right w:val="single" w:sz="4" w:space="0" w:color="auto"/>
            </w:tcBorders>
            <w:shd w:val="clear" w:color="auto" w:fill="auto"/>
            <w:noWrap/>
            <w:vAlign w:val="bottom"/>
            <w:hideMark/>
          </w:tcPr>
          <w:p w:rsidR="00BF2954" w:rsidRPr="00D32659" w:rsidRDefault="00BF2954" w:rsidP="008015B2">
            <w:pPr>
              <w:spacing w:after="0" w:line="240" w:lineRule="auto"/>
              <w:jc w:val="both"/>
              <w:rPr>
                <w:rFonts w:eastAsia="Times New Roman"/>
                <w:b/>
                <w:bCs/>
                <w:szCs w:val="23"/>
                <w:lang w:eastAsia="cs-CZ"/>
              </w:rPr>
            </w:pPr>
            <w:r w:rsidRPr="00D32659">
              <w:rPr>
                <w:rFonts w:eastAsia="Times New Roman"/>
                <w:b/>
                <w:bCs/>
                <w:szCs w:val="23"/>
                <w:lang w:eastAsia="cs-CZ"/>
              </w:rPr>
              <w:t>0,59</w:t>
            </w:r>
          </w:p>
        </w:tc>
      </w:tr>
    </w:tbl>
    <w:p w:rsidR="008E6341" w:rsidRPr="00D32659" w:rsidRDefault="008E6341" w:rsidP="008015B2">
      <w:pPr>
        <w:jc w:val="both"/>
        <w:rPr>
          <w:i/>
          <w:sz w:val="20"/>
          <w:szCs w:val="20"/>
        </w:rPr>
      </w:pPr>
      <w:r w:rsidRPr="00D32659">
        <w:rPr>
          <w:i/>
          <w:sz w:val="20"/>
          <w:szCs w:val="20"/>
        </w:rPr>
        <w:t>Pramen: vlastní zpracování na základě účetních výkazů společnosti.</w:t>
      </w:r>
    </w:p>
    <w:p w:rsidR="00D35BE7" w:rsidRPr="00D32659" w:rsidRDefault="00BF2954" w:rsidP="008015B2">
      <w:pPr>
        <w:jc w:val="both"/>
      </w:pPr>
      <w:r w:rsidRPr="00D32659">
        <w:t>Taflerů</w:t>
      </w:r>
      <w:r w:rsidR="00476703" w:rsidRPr="00D32659">
        <w:t>v</w:t>
      </w:r>
      <w:r w:rsidRPr="00D32659">
        <w:t xml:space="preserve"> </w:t>
      </w:r>
      <w:r w:rsidR="004734EB" w:rsidRPr="00D32659">
        <w:t xml:space="preserve">model říká, že pokud je </w:t>
      </w:r>
      <w:r w:rsidRPr="00D32659">
        <w:t xml:space="preserve">hodnota </w:t>
      </w:r>
      <w:r w:rsidR="004734EB" w:rsidRPr="00D32659">
        <w:t xml:space="preserve">Z </w:t>
      </w:r>
      <w:r w:rsidRPr="00D32659">
        <w:t>vyšší než 0,3, pak je nepravděpodobné, že by společnosti spěla k bankrotu, ale pokud je nižší než 0,2, pak společnost velmi brzy zbankrotuje.</w:t>
      </w:r>
    </w:p>
    <w:p w:rsidR="00BF2954" w:rsidRPr="00D32659" w:rsidRDefault="00BF2954" w:rsidP="008015B2">
      <w:pPr>
        <w:jc w:val="both"/>
      </w:pPr>
      <w:r w:rsidRPr="00D32659">
        <w:t xml:space="preserve">V případě sledované společnosti </w:t>
      </w:r>
      <w:r w:rsidR="004734EB" w:rsidRPr="00D32659">
        <w:t xml:space="preserve">je hodnota Z nejnižší v roce 2010, kdy dosáhla hodnoty 0,38, což nejvíce ovlivnila vysoká hodnota cizích zdrojů v tomto roce. V následujících letech se ukazatel Z zvýšil a to hlavně kvůli vyšším tržbám a snížení krátkodobých závazků. </w:t>
      </w:r>
    </w:p>
    <w:p w:rsidR="004734EB" w:rsidRPr="00D32659" w:rsidRDefault="004734EB" w:rsidP="008015B2">
      <w:pPr>
        <w:jc w:val="both"/>
      </w:pPr>
      <w:r w:rsidRPr="00D32659">
        <w:t>Celkově společnost ve všech sledovaných letech dokázala překonat hranici 0,3 a dá se říct, že společnost nespěje v bankrotu.</w:t>
      </w:r>
    </w:p>
    <w:p w:rsidR="003B7A28" w:rsidRPr="00D32659" w:rsidRDefault="003B7A28">
      <w:pPr>
        <w:rPr>
          <w:rFonts w:eastAsia="Times New Roman"/>
          <w:b/>
          <w:bCs/>
          <w:szCs w:val="27"/>
          <w:lang w:eastAsia="cs-CZ"/>
        </w:rPr>
      </w:pPr>
      <w:r w:rsidRPr="00D32659">
        <w:br w:type="page"/>
      </w:r>
    </w:p>
    <w:p w:rsidR="00D35BE7" w:rsidRPr="00D32659" w:rsidRDefault="00D35BE7" w:rsidP="008015B2">
      <w:pPr>
        <w:pStyle w:val="Nadpis3"/>
        <w:jc w:val="both"/>
      </w:pPr>
      <w:bookmarkStart w:id="48" w:name="_Toc417564186"/>
      <w:r w:rsidRPr="00D32659">
        <w:lastRenderedPageBreak/>
        <w:t>Bonitní modely</w:t>
      </w:r>
      <w:bookmarkEnd w:id="48"/>
    </w:p>
    <w:p w:rsidR="008E6341" w:rsidRPr="00D32659" w:rsidRDefault="008E6341" w:rsidP="008015B2">
      <w:pPr>
        <w:jc w:val="both"/>
        <w:rPr>
          <w:b/>
        </w:rPr>
      </w:pPr>
      <w:r w:rsidRPr="00D32659">
        <w:rPr>
          <w:b/>
        </w:rPr>
        <w:t>Kralicekův Quicktest</w:t>
      </w:r>
    </w:p>
    <w:p w:rsidR="00D35BE7" w:rsidRPr="00D32659" w:rsidRDefault="008E6341" w:rsidP="008015B2">
      <w:pPr>
        <w:pStyle w:val="Bezmezer"/>
        <w:jc w:val="both"/>
        <w:rPr>
          <w:b/>
          <w:lang w:val="cs-CZ"/>
        </w:rPr>
      </w:pPr>
      <w:r w:rsidRPr="00D32659">
        <w:rPr>
          <w:b/>
          <w:lang w:val="cs-CZ"/>
        </w:rPr>
        <w:t>Tabulka č. 8: Kralicekův Quicktest – hodnota ukazatelů v roce 2009 až 2013</w:t>
      </w:r>
    </w:p>
    <w:tbl>
      <w:tblPr>
        <w:tblW w:w="9400" w:type="dxa"/>
        <w:tblInd w:w="55" w:type="dxa"/>
        <w:tblCellMar>
          <w:left w:w="70" w:type="dxa"/>
          <w:right w:w="70" w:type="dxa"/>
        </w:tblCellMar>
        <w:tblLook w:val="04A0" w:firstRow="1" w:lastRow="0" w:firstColumn="1" w:lastColumn="0" w:noHBand="0" w:noVBand="1"/>
      </w:tblPr>
      <w:tblGrid>
        <w:gridCol w:w="4700"/>
        <w:gridCol w:w="940"/>
        <w:gridCol w:w="940"/>
        <w:gridCol w:w="940"/>
        <w:gridCol w:w="940"/>
        <w:gridCol w:w="940"/>
      </w:tblGrid>
      <w:tr w:rsidR="00A16B36" w:rsidRPr="00D32659" w:rsidTr="00A16B36">
        <w:trPr>
          <w:trHeight w:val="315"/>
        </w:trPr>
        <w:tc>
          <w:tcPr>
            <w:tcW w:w="4700" w:type="dxa"/>
            <w:tcBorders>
              <w:top w:val="single" w:sz="8" w:space="0" w:color="auto"/>
              <w:left w:val="single" w:sz="8" w:space="0" w:color="auto"/>
              <w:bottom w:val="nil"/>
              <w:right w:val="single" w:sz="8" w:space="0" w:color="auto"/>
            </w:tcBorders>
            <w:shd w:val="clear" w:color="000000" w:fill="8DB4E2"/>
            <w:noWrap/>
            <w:vAlign w:val="bottom"/>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 </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2009</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2010</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2011</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2012</w:t>
            </w:r>
          </w:p>
        </w:tc>
        <w:tc>
          <w:tcPr>
            <w:tcW w:w="940" w:type="dxa"/>
            <w:tcBorders>
              <w:top w:val="single" w:sz="8" w:space="0" w:color="auto"/>
              <w:left w:val="nil"/>
              <w:bottom w:val="single" w:sz="8" w:space="0" w:color="auto"/>
              <w:right w:val="single" w:sz="8" w:space="0" w:color="auto"/>
            </w:tcBorders>
            <w:shd w:val="clear" w:color="000000" w:fill="8DB4E2"/>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2013</w:t>
            </w:r>
          </w:p>
        </w:tc>
      </w:tr>
      <w:tr w:rsidR="00A16B36" w:rsidRPr="00D32659" w:rsidTr="00A16B36">
        <w:trPr>
          <w:trHeight w:val="255"/>
        </w:trPr>
        <w:tc>
          <w:tcPr>
            <w:tcW w:w="47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Kvóta vlastního kapitálu (R1)</w:t>
            </w:r>
          </w:p>
        </w:tc>
        <w:tc>
          <w:tcPr>
            <w:tcW w:w="940" w:type="dxa"/>
            <w:tcBorders>
              <w:top w:val="nil"/>
              <w:left w:val="nil"/>
              <w:bottom w:val="single" w:sz="4"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0,55</w:t>
            </w:r>
          </w:p>
        </w:tc>
        <w:tc>
          <w:tcPr>
            <w:tcW w:w="940" w:type="dxa"/>
            <w:tcBorders>
              <w:top w:val="nil"/>
              <w:left w:val="nil"/>
              <w:bottom w:val="single" w:sz="4"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0,41</w:t>
            </w:r>
          </w:p>
        </w:tc>
        <w:tc>
          <w:tcPr>
            <w:tcW w:w="940" w:type="dxa"/>
            <w:tcBorders>
              <w:top w:val="nil"/>
              <w:left w:val="nil"/>
              <w:bottom w:val="single" w:sz="4"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0,56</w:t>
            </w:r>
          </w:p>
        </w:tc>
        <w:tc>
          <w:tcPr>
            <w:tcW w:w="940" w:type="dxa"/>
            <w:tcBorders>
              <w:top w:val="nil"/>
              <w:left w:val="nil"/>
              <w:bottom w:val="single" w:sz="4"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0,62</w:t>
            </w:r>
          </w:p>
        </w:tc>
        <w:tc>
          <w:tcPr>
            <w:tcW w:w="940" w:type="dxa"/>
            <w:tcBorders>
              <w:top w:val="nil"/>
              <w:left w:val="nil"/>
              <w:bottom w:val="single" w:sz="4"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0,69</w:t>
            </w:r>
          </w:p>
        </w:tc>
      </w:tr>
      <w:tr w:rsidR="00A16B36" w:rsidRPr="00D32659" w:rsidTr="00A16B36">
        <w:trPr>
          <w:trHeight w:val="255"/>
        </w:trPr>
        <w:tc>
          <w:tcPr>
            <w:tcW w:w="4700" w:type="dxa"/>
            <w:tcBorders>
              <w:top w:val="nil"/>
              <w:left w:val="single" w:sz="8" w:space="0" w:color="auto"/>
              <w:bottom w:val="single" w:sz="4"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Doba splacení dluhu z cash flow (R2)</w:t>
            </w:r>
          </w:p>
        </w:tc>
        <w:tc>
          <w:tcPr>
            <w:tcW w:w="940" w:type="dxa"/>
            <w:tcBorders>
              <w:top w:val="nil"/>
              <w:left w:val="nil"/>
              <w:bottom w:val="single" w:sz="4"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11,19</w:t>
            </w:r>
          </w:p>
        </w:tc>
        <w:tc>
          <w:tcPr>
            <w:tcW w:w="940" w:type="dxa"/>
            <w:tcBorders>
              <w:top w:val="nil"/>
              <w:left w:val="nil"/>
              <w:bottom w:val="single" w:sz="4"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15,75</w:t>
            </w:r>
          </w:p>
        </w:tc>
        <w:tc>
          <w:tcPr>
            <w:tcW w:w="940" w:type="dxa"/>
            <w:tcBorders>
              <w:top w:val="nil"/>
              <w:left w:val="nil"/>
              <w:bottom w:val="single" w:sz="4"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5,22</w:t>
            </w:r>
          </w:p>
        </w:tc>
        <w:tc>
          <w:tcPr>
            <w:tcW w:w="940" w:type="dxa"/>
            <w:tcBorders>
              <w:top w:val="nil"/>
              <w:left w:val="nil"/>
              <w:bottom w:val="single" w:sz="4"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61,60</w:t>
            </w:r>
          </w:p>
        </w:tc>
        <w:tc>
          <w:tcPr>
            <w:tcW w:w="940" w:type="dxa"/>
            <w:tcBorders>
              <w:top w:val="nil"/>
              <w:left w:val="nil"/>
              <w:bottom w:val="single" w:sz="4"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3,17</w:t>
            </w:r>
          </w:p>
        </w:tc>
      </w:tr>
      <w:tr w:rsidR="00A16B36" w:rsidRPr="00D32659" w:rsidTr="00A16B36">
        <w:trPr>
          <w:trHeight w:val="255"/>
        </w:trPr>
        <w:tc>
          <w:tcPr>
            <w:tcW w:w="4700" w:type="dxa"/>
            <w:tcBorders>
              <w:top w:val="nil"/>
              <w:left w:val="single" w:sz="8" w:space="0" w:color="auto"/>
              <w:bottom w:val="single" w:sz="4"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Rentabilita celkového kapitálu (R3)</w:t>
            </w:r>
          </w:p>
        </w:tc>
        <w:tc>
          <w:tcPr>
            <w:tcW w:w="940" w:type="dxa"/>
            <w:tcBorders>
              <w:top w:val="nil"/>
              <w:left w:val="nil"/>
              <w:bottom w:val="single" w:sz="4"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0,04</w:t>
            </w:r>
          </w:p>
        </w:tc>
        <w:tc>
          <w:tcPr>
            <w:tcW w:w="940" w:type="dxa"/>
            <w:tcBorders>
              <w:top w:val="nil"/>
              <w:left w:val="nil"/>
              <w:bottom w:val="single" w:sz="4"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0,04</w:t>
            </w:r>
          </w:p>
        </w:tc>
        <w:tc>
          <w:tcPr>
            <w:tcW w:w="940" w:type="dxa"/>
            <w:tcBorders>
              <w:top w:val="nil"/>
              <w:left w:val="nil"/>
              <w:bottom w:val="single" w:sz="4"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0,05</w:t>
            </w:r>
          </w:p>
        </w:tc>
        <w:tc>
          <w:tcPr>
            <w:tcW w:w="940" w:type="dxa"/>
            <w:tcBorders>
              <w:top w:val="nil"/>
              <w:left w:val="nil"/>
              <w:bottom w:val="single" w:sz="4"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0,01</w:t>
            </w:r>
          </w:p>
        </w:tc>
        <w:tc>
          <w:tcPr>
            <w:tcW w:w="940" w:type="dxa"/>
            <w:tcBorders>
              <w:top w:val="nil"/>
              <w:left w:val="nil"/>
              <w:bottom w:val="single" w:sz="4"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0,00</w:t>
            </w:r>
          </w:p>
        </w:tc>
      </w:tr>
      <w:tr w:rsidR="00A16B36" w:rsidRPr="00D32659" w:rsidTr="00A16B36">
        <w:trPr>
          <w:trHeight w:val="255"/>
        </w:trPr>
        <w:tc>
          <w:tcPr>
            <w:tcW w:w="4700" w:type="dxa"/>
            <w:tcBorders>
              <w:top w:val="nil"/>
              <w:left w:val="single" w:sz="8" w:space="0" w:color="auto"/>
              <w:bottom w:val="single" w:sz="8"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Ukazatel cash provozní výkonnosti (R4)</w:t>
            </w:r>
          </w:p>
        </w:tc>
        <w:tc>
          <w:tcPr>
            <w:tcW w:w="940" w:type="dxa"/>
            <w:tcBorders>
              <w:top w:val="nil"/>
              <w:left w:val="nil"/>
              <w:bottom w:val="single" w:sz="8"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0,02</w:t>
            </w:r>
          </w:p>
        </w:tc>
        <w:tc>
          <w:tcPr>
            <w:tcW w:w="940" w:type="dxa"/>
            <w:tcBorders>
              <w:top w:val="nil"/>
              <w:left w:val="nil"/>
              <w:bottom w:val="single" w:sz="8"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0,04</w:t>
            </w:r>
          </w:p>
        </w:tc>
        <w:tc>
          <w:tcPr>
            <w:tcW w:w="940" w:type="dxa"/>
            <w:tcBorders>
              <w:top w:val="nil"/>
              <w:left w:val="nil"/>
              <w:bottom w:val="single" w:sz="8"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0,04</w:t>
            </w:r>
          </w:p>
        </w:tc>
        <w:tc>
          <w:tcPr>
            <w:tcW w:w="940" w:type="dxa"/>
            <w:tcBorders>
              <w:top w:val="nil"/>
              <w:left w:val="nil"/>
              <w:bottom w:val="single" w:sz="8" w:space="0" w:color="auto"/>
              <w:right w:val="single" w:sz="4"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0,00</w:t>
            </w:r>
          </w:p>
        </w:tc>
        <w:tc>
          <w:tcPr>
            <w:tcW w:w="940" w:type="dxa"/>
            <w:tcBorders>
              <w:top w:val="nil"/>
              <w:left w:val="nil"/>
              <w:bottom w:val="single" w:sz="8"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0,05</w:t>
            </w:r>
          </w:p>
        </w:tc>
      </w:tr>
    </w:tbl>
    <w:p w:rsidR="00A16B36" w:rsidRPr="00D32659" w:rsidRDefault="008E6341" w:rsidP="008015B2">
      <w:pPr>
        <w:jc w:val="both"/>
        <w:rPr>
          <w:i/>
          <w:sz w:val="20"/>
          <w:szCs w:val="20"/>
        </w:rPr>
      </w:pPr>
      <w:r w:rsidRPr="00D32659">
        <w:rPr>
          <w:i/>
          <w:sz w:val="20"/>
          <w:szCs w:val="20"/>
        </w:rPr>
        <w:t>Pramen: vlastní zpracování na základě účetních výkazů společnosti.</w:t>
      </w:r>
    </w:p>
    <w:p w:rsidR="008E6341" w:rsidRPr="00D32659" w:rsidRDefault="008E6341" w:rsidP="008015B2">
      <w:pPr>
        <w:pStyle w:val="Bezmezer"/>
        <w:jc w:val="both"/>
        <w:rPr>
          <w:b/>
          <w:lang w:val="cs-CZ"/>
        </w:rPr>
      </w:pPr>
      <w:r w:rsidRPr="00D32659">
        <w:rPr>
          <w:b/>
          <w:lang w:val="cs-CZ"/>
        </w:rPr>
        <w:t>Tabulka č. 9: Bodové hodnocení společnosti na základě Kralicekova Quicktestu</w:t>
      </w:r>
    </w:p>
    <w:tbl>
      <w:tblPr>
        <w:tblW w:w="9400" w:type="dxa"/>
        <w:tblInd w:w="55" w:type="dxa"/>
        <w:tblCellMar>
          <w:left w:w="70" w:type="dxa"/>
          <w:right w:w="70" w:type="dxa"/>
        </w:tblCellMar>
        <w:tblLook w:val="04A0" w:firstRow="1" w:lastRow="0" w:firstColumn="1" w:lastColumn="0" w:noHBand="0" w:noVBand="1"/>
      </w:tblPr>
      <w:tblGrid>
        <w:gridCol w:w="4700"/>
        <w:gridCol w:w="940"/>
        <w:gridCol w:w="940"/>
        <w:gridCol w:w="940"/>
        <w:gridCol w:w="940"/>
        <w:gridCol w:w="940"/>
      </w:tblGrid>
      <w:tr w:rsidR="00A16B36" w:rsidRPr="00D32659" w:rsidTr="00A16B36">
        <w:trPr>
          <w:trHeight w:val="315"/>
        </w:trPr>
        <w:tc>
          <w:tcPr>
            <w:tcW w:w="4700"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 </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2009</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2010</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2011</w:t>
            </w:r>
          </w:p>
        </w:tc>
        <w:tc>
          <w:tcPr>
            <w:tcW w:w="940" w:type="dxa"/>
            <w:tcBorders>
              <w:top w:val="single" w:sz="8" w:space="0" w:color="auto"/>
              <w:left w:val="nil"/>
              <w:bottom w:val="single" w:sz="8" w:space="0" w:color="auto"/>
              <w:right w:val="single" w:sz="4" w:space="0" w:color="auto"/>
            </w:tcBorders>
            <w:shd w:val="clear" w:color="000000" w:fill="8DB4E2"/>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2012</w:t>
            </w:r>
          </w:p>
        </w:tc>
        <w:tc>
          <w:tcPr>
            <w:tcW w:w="940" w:type="dxa"/>
            <w:tcBorders>
              <w:top w:val="single" w:sz="8" w:space="0" w:color="auto"/>
              <w:left w:val="nil"/>
              <w:bottom w:val="single" w:sz="8" w:space="0" w:color="auto"/>
              <w:right w:val="single" w:sz="8" w:space="0" w:color="auto"/>
            </w:tcBorders>
            <w:shd w:val="clear" w:color="000000" w:fill="8DB4E2"/>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2013</w:t>
            </w:r>
          </w:p>
        </w:tc>
      </w:tr>
      <w:tr w:rsidR="00A16B36" w:rsidRPr="00D32659" w:rsidTr="00A16B36">
        <w:trPr>
          <w:trHeight w:val="300"/>
        </w:trPr>
        <w:tc>
          <w:tcPr>
            <w:tcW w:w="4700" w:type="dxa"/>
            <w:tcBorders>
              <w:top w:val="nil"/>
              <w:left w:val="single" w:sz="8" w:space="0" w:color="auto"/>
              <w:bottom w:val="single" w:sz="4"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Kvóta vlastního kapitálu (R1)</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4</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4</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4</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4</w:t>
            </w:r>
          </w:p>
        </w:tc>
        <w:tc>
          <w:tcPr>
            <w:tcW w:w="940" w:type="dxa"/>
            <w:tcBorders>
              <w:top w:val="nil"/>
              <w:left w:val="nil"/>
              <w:bottom w:val="single" w:sz="4" w:space="0" w:color="auto"/>
              <w:right w:val="single" w:sz="8"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4</w:t>
            </w:r>
          </w:p>
        </w:tc>
      </w:tr>
      <w:tr w:rsidR="00A16B36" w:rsidRPr="00D32659" w:rsidTr="00A16B36">
        <w:trPr>
          <w:trHeight w:val="255"/>
        </w:trPr>
        <w:tc>
          <w:tcPr>
            <w:tcW w:w="4700" w:type="dxa"/>
            <w:tcBorders>
              <w:top w:val="nil"/>
              <w:left w:val="single" w:sz="8" w:space="0" w:color="auto"/>
              <w:bottom w:val="single" w:sz="4"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Doba splacení dluhu z cash flow (R2)</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1</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1</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2</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0</w:t>
            </w:r>
          </w:p>
        </w:tc>
        <w:tc>
          <w:tcPr>
            <w:tcW w:w="940" w:type="dxa"/>
            <w:tcBorders>
              <w:top w:val="nil"/>
              <w:left w:val="nil"/>
              <w:bottom w:val="single" w:sz="4" w:space="0" w:color="auto"/>
              <w:right w:val="single" w:sz="8"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3</w:t>
            </w:r>
          </w:p>
        </w:tc>
      </w:tr>
      <w:tr w:rsidR="00A16B36" w:rsidRPr="00D32659" w:rsidTr="00A16B36">
        <w:trPr>
          <w:trHeight w:val="255"/>
        </w:trPr>
        <w:tc>
          <w:tcPr>
            <w:tcW w:w="4700" w:type="dxa"/>
            <w:tcBorders>
              <w:top w:val="nil"/>
              <w:left w:val="single" w:sz="8" w:space="0" w:color="auto"/>
              <w:bottom w:val="single" w:sz="4"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Rentabilita celkového kapitálu (R3)</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1</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1</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1</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1</w:t>
            </w:r>
          </w:p>
        </w:tc>
        <w:tc>
          <w:tcPr>
            <w:tcW w:w="940" w:type="dxa"/>
            <w:tcBorders>
              <w:top w:val="nil"/>
              <w:left w:val="nil"/>
              <w:bottom w:val="single" w:sz="4" w:space="0" w:color="auto"/>
              <w:right w:val="single" w:sz="8"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1</w:t>
            </w:r>
          </w:p>
        </w:tc>
      </w:tr>
      <w:tr w:rsidR="00A16B36" w:rsidRPr="00D32659" w:rsidTr="00A16B36">
        <w:trPr>
          <w:trHeight w:val="255"/>
        </w:trPr>
        <w:tc>
          <w:tcPr>
            <w:tcW w:w="4700" w:type="dxa"/>
            <w:tcBorders>
              <w:top w:val="nil"/>
              <w:left w:val="single" w:sz="8" w:space="0" w:color="auto"/>
              <w:bottom w:val="single" w:sz="4"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Ukazatel cash provozní výkonnosti (R4)</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1</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1</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1</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1</w:t>
            </w:r>
          </w:p>
        </w:tc>
        <w:tc>
          <w:tcPr>
            <w:tcW w:w="940" w:type="dxa"/>
            <w:tcBorders>
              <w:top w:val="nil"/>
              <w:left w:val="nil"/>
              <w:bottom w:val="single" w:sz="4" w:space="0" w:color="auto"/>
              <w:right w:val="single" w:sz="8" w:space="0" w:color="auto"/>
            </w:tcBorders>
            <w:shd w:val="clear" w:color="auto" w:fill="auto"/>
            <w:noWrap/>
            <w:vAlign w:val="center"/>
            <w:hideMark/>
          </w:tcPr>
          <w:p w:rsidR="00A16B36" w:rsidRPr="00D32659" w:rsidRDefault="00A16B36" w:rsidP="008015B2">
            <w:pPr>
              <w:spacing w:after="0" w:line="240" w:lineRule="auto"/>
              <w:jc w:val="both"/>
              <w:rPr>
                <w:rFonts w:eastAsia="Times New Roman"/>
                <w:szCs w:val="23"/>
                <w:lang w:eastAsia="cs-CZ"/>
              </w:rPr>
            </w:pPr>
            <w:r w:rsidRPr="00D32659">
              <w:rPr>
                <w:rFonts w:eastAsia="Times New Roman"/>
                <w:szCs w:val="23"/>
                <w:lang w:eastAsia="cs-CZ"/>
              </w:rPr>
              <w:t>1</w:t>
            </w:r>
          </w:p>
        </w:tc>
      </w:tr>
      <w:tr w:rsidR="00A16B36" w:rsidRPr="00D32659" w:rsidTr="00A16B36">
        <w:trPr>
          <w:trHeight w:val="255"/>
        </w:trPr>
        <w:tc>
          <w:tcPr>
            <w:tcW w:w="4700" w:type="dxa"/>
            <w:tcBorders>
              <w:top w:val="nil"/>
              <w:left w:val="single" w:sz="8" w:space="0" w:color="auto"/>
              <w:bottom w:val="single" w:sz="4"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b/>
                <w:bCs/>
                <w:sz w:val="22"/>
                <w:lang w:eastAsia="cs-CZ"/>
              </w:rPr>
            </w:pPr>
            <w:r w:rsidRPr="00D32659">
              <w:rPr>
                <w:rFonts w:eastAsia="Times New Roman"/>
                <w:b/>
                <w:bCs/>
                <w:sz w:val="22"/>
                <w:lang w:eastAsia="cs-CZ"/>
              </w:rPr>
              <w:t>Finanční stabilita ((R1+R2)/2)</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2,5</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2,5</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3</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w:t>
            </w:r>
          </w:p>
        </w:tc>
        <w:tc>
          <w:tcPr>
            <w:tcW w:w="940" w:type="dxa"/>
            <w:tcBorders>
              <w:top w:val="nil"/>
              <w:left w:val="nil"/>
              <w:bottom w:val="single" w:sz="4" w:space="0" w:color="auto"/>
              <w:right w:val="single" w:sz="8"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3,5</w:t>
            </w:r>
          </w:p>
        </w:tc>
      </w:tr>
      <w:tr w:rsidR="00A16B36" w:rsidRPr="00D32659" w:rsidTr="00A16B36">
        <w:trPr>
          <w:trHeight w:val="255"/>
        </w:trPr>
        <w:tc>
          <w:tcPr>
            <w:tcW w:w="4700" w:type="dxa"/>
            <w:tcBorders>
              <w:top w:val="nil"/>
              <w:left w:val="single" w:sz="8" w:space="0" w:color="auto"/>
              <w:bottom w:val="single" w:sz="4"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b/>
                <w:bCs/>
                <w:sz w:val="22"/>
                <w:lang w:eastAsia="cs-CZ"/>
              </w:rPr>
            </w:pPr>
            <w:r w:rsidRPr="00D32659">
              <w:rPr>
                <w:rFonts w:eastAsia="Times New Roman"/>
                <w:b/>
                <w:bCs/>
                <w:sz w:val="22"/>
                <w:lang w:eastAsia="cs-CZ"/>
              </w:rPr>
              <w:t>Výnosová situace ((R3+R4)/2)</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1</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1</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1</w:t>
            </w:r>
          </w:p>
        </w:tc>
        <w:tc>
          <w:tcPr>
            <w:tcW w:w="940" w:type="dxa"/>
            <w:tcBorders>
              <w:top w:val="nil"/>
              <w:left w:val="nil"/>
              <w:bottom w:val="single" w:sz="4"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1</w:t>
            </w:r>
          </w:p>
        </w:tc>
        <w:tc>
          <w:tcPr>
            <w:tcW w:w="940" w:type="dxa"/>
            <w:tcBorders>
              <w:top w:val="nil"/>
              <w:left w:val="nil"/>
              <w:bottom w:val="single" w:sz="4" w:space="0" w:color="auto"/>
              <w:right w:val="single" w:sz="8"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1</w:t>
            </w:r>
          </w:p>
        </w:tc>
      </w:tr>
      <w:tr w:rsidR="00A16B36" w:rsidRPr="00D32659" w:rsidTr="00A16B36">
        <w:trPr>
          <w:trHeight w:val="315"/>
        </w:trPr>
        <w:tc>
          <w:tcPr>
            <w:tcW w:w="4700" w:type="dxa"/>
            <w:tcBorders>
              <w:top w:val="nil"/>
              <w:left w:val="single" w:sz="8" w:space="0" w:color="auto"/>
              <w:bottom w:val="single" w:sz="8" w:space="0" w:color="auto"/>
              <w:right w:val="single" w:sz="8" w:space="0" w:color="auto"/>
            </w:tcBorders>
            <w:shd w:val="clear" w:color="auto" w:fill="auto"/>
            <w:noWrap/>
            <w:vAlign w:val="bottom"/>
            <w:hideMark/>
          </w:tcPr>
          <w:p w:rsidR="00A16B36" w:rsidRPr="00D32659" w:rsidRDefault="00A16B36" w:rsidP="008015B2">
            <w:pPr>
              <w:spacing w:after="0" w:line="240" w:lineRule="auto"/>
              <w:jc w:val="both"/>
              <w:rPr>
                <w:rFonts w:eastAsia="Times New Roman"/>
                <w:b/>
                <w:bCs/>
                <w:sz w:val="22"/>
                <w:lang w:eastAsia="cs-CZ"/>
              </w:rPr>
            </w:pPr>
            <w:r w:rsidRPr="00D32659">
              <w:rPr>
                <w:rFonts w:eastAsia="Times New Roman"/>
                <w:b/>
                <w:bCs/>
                <w:sz w:val="22"/>
                <w:lang w:eastAsia="cs-CZ"/>
              </w:rPr>
              <w:t>Celková finanční situace ((R1+R2+R3+R4)/4)</w:t>
            </w:r>
          </w:p>
        </w:tc>
        <w:tc>
          <w:tcPr>
            <w:tcW w:w="940" w:type="dxa"/>
            <w:tcBorders>
              <w:top w:val="nil"/>
              <w:left w:val="nil"/>
              <w:bottom w:val="single" w:sz="8"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1,75</w:t>
            </w:r>
          </w:p>
        </w:tc>
        <w:tc>
          <w:tcPr>
            <w:tcW w:w="940" w:type="dxa"/>
            <w:tcBorders>
              <w:top w:val="nil"/>
              <w:left w:val="nil"/>
              <w:bottom w:val="single" w:sz="8"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1,75</w:t>
            </w:r>
          </w:p>
        </w:tc>
        <w:tc>
          <w:tcPr>
            <w:tcW w:w="940" w:type="dxa"/>
            <w:tcBorders>
              <w:top w:val="nil"/>
              <w:left w:val="nil"/>
              <w:bottom w:val="single" w:sz="8"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w:t>
            </w:r>
          </w:p>
        </w:tc>
        <w:tc>
          <w:tcPr>
            <w:tcW w:w="940" w:type="dxa"/>
            <w:tcBorders>
              <w:top w:val="nil"/>
              <w:left w:val="nil"/>
              <w:bottom w:val="single" w:sz="8" w:space="0" w:color="auto"/>
              <w:right w:val="single" w:sz="4"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1,5</w:t>
            </w:r>
          </w:p>
        </w:tc>
        <w:tc>
          <w:tcPr>
            <w:tcW w:w="940" w:type="dxa"/>
            <w:tcBorders>
              <w:top w:val="nil"/>
              <w:left w:val="nil"/>
              <w:bottom w:val="single" w:sz="8" w:space="0" w:color="auto"/>
              <w:right w:val="single" w:sz="8" w:space="0" w:color="auto"/>
            </w:tcBorders>
            <w:shd w:val="clear" w:color="auto" w:fill="auto"/>
            <w:noWrap/>
            <w:vAlign w:val="center"/>
            <w:hideMark/>
          </w:tcPr>
          <w:p w:rsidR="00A16B36" w:rsidRPr="00D32659" w:rsidRDefault="00A16B36" w:rsidP="008015B2">
            <w:pPr>
              <w:spacing w:after="0" w:line="240" w:lineRule="auto"/>
              <w:jc w:val="both"/>
              <w:rPr>
                <w:rFonts w:eastAsia="Times New Roman"/>
                <w:b/>
                <w:bCs/>
                <w:szCs w:val="23"/>
                <w:lang w:eastAsia="cs-CZ"/>
              </w:rPr>
            </w:pPr>
            <w:r w:rsidRPr="00D32659">
              <w:rPr>
                <w:rFonts w:eastAsia="Times New Roman"/>
                <w:b/>
                <w:bCs/>
                <w:szCs w:val="23"/>
                <w:lang w:eastAsia="cs-CZ"/>
              </w:rPr>
              <w:t>2,25</w:t>
            </w:r>
          </w:p>
        </w:tc>
      </w:tr>
    </w:tbl>
    <w:p w:rsidR="00A16B36" w:rsidRPr="00D32659" w:rsidRDefault="008E6341" w:rsidP="008015B2">
      <w:pPr>
        <w:jc w:val="both"/>
        <w:rPr>
          <w:i/>
          <w:sz w:val="20"/>
          <w:szCs w:val="20"/>
        </w:rPr>
      </w:pPr>
      <w:r w:rsidRPr="00D32659">
        <w:rPr>
          <w:i/>
          <w:sz w:val="20"/>
          <w:szCs w:val="20"/>
        </w:rPr>
        <w:t>Pramen: vlastní zpracování na základě účetních výkazů společnosti.</w:t>
      </w:r>
    </w:p>
    <w:p w:rsidR="006148D4" w:rsidRPr="00D32659" w:rsidRDefault="006148D4" w:rsidP="008015B2">
      <w:pPr>
        <w:jc w:val="both"/>
      </w:pPr>
      <w:r w:rsidRPr="00D32659">
        <w:t>Kvóta vlastního kapitálu je ukazatelem zadluženosti. Ve sledovaném období dosáhla společnost vysokých hodnot tohoto ukazatele, což je žádoucí stav a ve všech letech byl ohodnocen 4 body, což je nadprůměrné ohodnocení. Doba splacení dluhu cash flow je ukazatelem solventnosti. U tohoto ukazatele společnost dosahovala spíše průměrných hodnot, až na rok 2012, kdy tento ukazatel spadl do podprůměrných hodnot. Podle těchto dvou ukazatelů hodnotíme finanční stabilitu podniku, která je průměrná až nadprůměrná.</w:t>
      </w:r>
    </w:p>
    <w:p w:rsidR="004328B3" w:rsidRPr="00D32659" w:rsidRDefault="006148D4" w:rsidP="008015B2">
      <w:pPr>
        <w:jc w:val="both"/>
      </w:pPr>
      <w:r w:rsidRPr="00D32659">
        <w:t xml:space="preserve">Rentabilita celkového kapitálu je ukazatelem rentability. Ve sledovaném období byla velice nízká a konstantní po celou dobu a dosáhla tak jen na jeden bod, což je dosti podprůměrné. Ukazatel cash provozní výkonnosti je ukazatelem likvidity. A byl na tom podobně jako předchozí ukazatel. Jeho hodnoty jsou velice nízké a konstantní v čase a dosahuje ohodnocení 1 ve všech letech, což je opět podprůměr. Z těchto dvou ukazatelů </w:t>
      </w:r>
      <w:r w:rsidR="00887EF1" w:rsidRPr="00D32659">
        <w:t xml:space="preserve">byla zjištěna výnosová situace, která pochopitelně nemohla dosáhnout jiných hodnot, než 1 ve všech letech, z čehož vyplývá, že výnosová situace podniku není dobrá. Co se týče celkové finanční situace, nedá se říct, že by podnik byl bonitní, jeho situace je spíše průměrná až podprůměrná. </w:t>
      </w:r>
      <w:r w:rsidR="004328B3" w:rsidRPr="00D32659">
        <w:br w:type="page"/>
      </w:r>
    </w:p>
    <w:p w:rsidR="00A61346" w:rsidRPr="00D32659" w:rsidRDefault="00A61346" w:rsidP="008015B2">
      <w:pPr>
        <w:pStyle w:val="Nadpis1"/>
        <w:jc w:val="both"/>
      </w:pPr>
      <w:bookmarkStart w:id="49" w:name="_Toc417564187"/>
      <w:r w:rsidRPr="00D32659">
        <w:lastRenderedPageBreak/>
        <w:t>Vyhodnocení analýzy a doporučení</w:t>
      </w:r>
      <w:bookmarkEnd w:id="49"/>
    </w:p>
    <w:p w:rsidR="00A61346" w:rsidRPr="00D32659" w:rsidRDefault="00A61346" w:rsidP="008015B2">
      <w:pPr>
        <w:pStyle w:val="Bezmezer"/>
        <w:jc w:val="both"/>
        <w:rPr>
          <w:lang w:val="cs-CZ"/>
        </w:rPr>
      </w:pPr>
    </w:p>
    <w:p w:rsidR="00CF67A0" w:rsidRPr="00D32659" w:rsidRDefault="00CF67A0" w:rsidP="008015B2">
      <w:pPr>
        <w:jc w:val="both"/>
      </w:pPr>
      <w:r w:rsidRPr="00D32659">
        <w:t>V této kapitole budou zhodnoceny výsledky analýz a situace podniku, určeny silné a slabé stránky a navržena možná řešení.</w:t>
      </w:r>
    </w:p>
    <w:p w:rsidR="00366833" w:rsidRPr="00D32659" w:rsidRDefault="001B3A3B" w:rsidP="008015B2">
      <w:pPr>
        <w:jc w:val="both"/>
      </w:pPr>
      <w:r w:rsidRPr="00D32659">
        <w:t>Analýza rozvahy ukázala, že podnik je financován více vlastním kapitálem než cizími zdroji. Největší položkou cizích zdrojů jsou krátkodobé závazky, které ale společnost rok od roku snižuje. Tuto skutečnost by společnost mohla změnit, protože financování z cizího kapitálu je mnohem levnější. Jak jde vidět i z dalších poměrových ukazatelů společnost by se neměla bát tyto zdroje navýšit.</w:t>
      </w:r>
    </w:p>
    <w:p w:rsidR="001B3A3B" w:rsidRPr="00D32659" w:rsidRDefault="001B3A3B" w:rsidP="008015B2">
      <w:pPr>
        <w:jc w:val="both"/>
      </w:pPr>
      <w:r w:rsidRPr="00D32659">
        <w:t>Z analýzy výkazu zisku a ztrát je nejdůležitější zmínit, že výsledek hospodaření společnosti neustále klesá. Zatím se nedostal do fáze, kdy by společnost vykazovala záporný výsledek hospodaření, ale pokud bude klesat tempem, jako do roku 2013 hrozí tu velké riziko, že záporný bude. Toto snižování se děje, i když tržby společnosti jsou relativně stabilní, což znamená, že se navyšují náklady</w:t>
      </w:r>
      <w:r w:rsidR="00396622" w:rsidRPr="00D32659">
        <w:t>.</w:t>
      </w:r>
    </w:p>
    <w:p w:rsidR="00DA4A1A" w:rsidRPr="00D32659" w:rsidRDefault="00366833" w:rsidP="008015B2">
      <w:pPr>
        <w:jc w:val="both"/>
      </w:pPr>
      <w:r w:rsidRPr="00D32659">
        <w:t xml:space="preserve">Analýzou likvidity bylo zjištěno, že solventnost podniku byla dobrá, ale postupně se snižuje. Běžná likvidita, i když nedosahovala průměru v odvětví, se pohybovala v doporučeném rozmezí. Její postupné snižování zapříčilo neustálé snižování objemu oběžných aktiv. Pohotová a peněžní likvidita se vyvíjela </w:t>
      </w:r>
      <w:r w:rsidR="00DA4A1A" w:rsidRPr="00D32659">
        <w:t>podobným způsobem. Nedá se říct, že by byl podnik nesolventní.</w:t>
      </w:r>
    </w:p>
    <w:p w:rsidR="002316BC" w:rsidRPr="00D32659" w:rsidRDefault="002316BC" w:rsidP="008015B2">
      <w:pPr>
        <w:jc w:val="both"/>
      </w:pPr>
      <w:r w:rsidRPr="00D32659">
        <w:t>Z analýzy</w:t>
      </w:r>
      <w:r w:rsidR="00DA4A1A" w:rsidRPr="00D32659">
        <w:t xml:space="preserve"> ukazatelů re</w:t>
      </w:r>
      <w:r w:rsidRPr="00D32659">
        <w:t>ntability bylo zjištěno</w:t>
      </w:r>
      <w:r w:rsidR="00DA4A1A" w:rsidRPr="00D32659">
        <w:t xml:space="preserve">, že společnost na tom, v porovnání s odvětvím, </w:t>
      </w:r>
      <w:r w:rsidRPr="00D32659">
        <w:t xml:space="preserve">na začátku sledovaného období </w:t>
      </w:r>
      <w:r w:rsidR="00DA4A1A" w:rsidRPr="00D32659">
        <w:t xml:space="preserve">není špatně. Ukazatel rentability celkového vloženého kapitálu, rentability vlastního kapitálu a rentability tržeb se ve většině let drží nad průměrem v odvětví, ale vykazují </w:t>
      </w:r>
      <w:r w:rsidRPr="00D32659">
        <w:t xml:space="preserve">prudce </w:t>
      </w:r>
      <w:r w:rsidR="00DA4A1A" w:rsidRPr="00D32659">
        <w:t>klesající tendenci. Tento trend je způsoben neustálým snižováním výsledku hospodaření, což by v budoucnosti mohlo znamenat problém. Společnost by se měla v následujících letech navýšit svůj zisk a ukončit tak snižování rentability.</w:t>
      </w:r>
    </w:p>
    <w:p w:rsidR="0068778E" w:rsidRPr="00D32659" w:rsidRDefault="002316BC" w:rsidP="008015B2">
      <w:pPr>
        <w:jc w:val="both"/>
      </w:pPr>
      <w:r w:rsidRPr="00D32659">
        <w:t>Analýza ukazatelů aktivity ukázala, že podnik využívá svá aktiva efektivněji než jiné podniky v odvětví. Obrat aktiv se ve všech letech držel nad průměrem a neustále vykazuje rostoucí trend. Pozitivní trend byl vidět i u průměrné doby inkasa, který se z roku 2012 na rok 2013 snížil</w:t>
      </w:r>
      <w:r w:rsidR="00396622" w:rsidRPr="00D32659">
        <w:t>,</w:t>
      </w:r>
      <w:r w:rsidRPr="00D32659">
        <w:t xml:space="preserve"> a bylo by dobré, kdyby se snižoval i dál. Doba obratu závazků, je kromě jednoho roku v čase relativně stabilní, což je pozitivní trend, který by se společnost měla pokusit udržet. Ve většině let sledovaného období byl obchodní deficit záporný, což znamená, že společnosti je</w:t>
      </w:r>
      <w:r w:rsidR="0068778E" w:rsidRPr="00D32659">
        <w:t xml:space="preserve"> tzv.</w:t>
      </w:r>
      <w:r w:rsidRPr="00D32659">
        <w:t xml:space="preserve"> bezúročně poskytován úvěr od dodavatelů, což je pro ni výhodné.</w:t>
      </w:r>
    </w:p>
    <w:p w:rsidR="00A61346" w:rsidRPr="00D32659" w:rsidRDefault="0068778E" w:rsidP="008015B2">
      <w:pPr>
        <w:jc w:val="both"/>
      </w:pPr>
      <w:r w:rsidRPr="00D32659">
        <w:t>Polední analýzou poměrových ukazatelů byla analýza zadluženosti. Finanční páka je ve sledovaném období relativně stabilní a index finanční páky je dlouhodobě vyšší než jedna, což znamení, že použití cizích zdrojů dále zvyšuje výnosnost vlastního kapitálu. Celková zadluženost se ve sledovaném období neustále snižuje a v posledním roce dokonce dosáhla nižší hodnoty, než je průměr v odvětví, což znamená, že podnik by mohl a měl více využívat cizí zdroje.</w:t>
      </w:r>
      <w:r w:rsidR="00A61346" w:rsidRPr="00D32659">
        <w:br w:type="page"/>
      </w:r>
    </w:p>
    <w:p w:rsidR="00887EF1" w:rsidRPr="00D32659" w:rsidRDefault="004328B3" w:rsidP="008015B2">
      <w:pPr>
        <w:pStyle w:val="Nadpis1"/>
        <w:numPr>
          <w:ilvl w:val="0"/>
          <w:numId w:val="0"/>
        </w:numPr>
        <w:jc w:val="both"/>
      </w:pPr>
      <w:bookmarkStart w:id="50" w:name="_Toc417564188"/>
      <w:r w:rsidRPr="00D32659">
        <w:lastRenderedPageBreak/>
        <w:t>ZÁVĚR</w:t>
      </w:r>
      <w:bookmarkEnd w:id="50"/>
    </w:p>
    <w:p w:rsidR="00887EF1" w:rsidRPr="00D32659" w:rsidRDefault="00887EF1" w:rsidP="008015B2">
      <w:pPr>
        <w:pStyle w:val="Bezmezer"/>
        <w:jc w:val="both"/>
        <w:rPr>
          <w:lang w:val="cs-CZ"/>
        </w:rPr>
      </w:pPr>
    </w:p>
    <w:p w:rsidR="00887EF1" w:rsidRPr="00D32659" w:rsidRDefault="002137E1" w:rsidP="008015B2">
      <w:pPr>
        <w:jc w:val="both"/>
      </w:pPr>
      <w:r w:rsidRPr="00D32659">
        <w:t>Cílem této práce bylo provés</w:t>
      </w:r>
      <w:r w:rsidR="00887EF1" w:rsidRPr="00D32659">
        <w:t>t finanční analýzu společnosti FOCA</w:t>
      </w:r>
      <w:r w:rsidRPr="00D32659">
        <w:t xml:space="preserve">M, spol. s. r. o. v letech 2009 až </w:t>
      </w:r>
      <w:r w:rsidR="00887EF1" w:rsidRPr="00D32659">
        <w:t xml:space="preserve">2013. V závěru této práce budou potvrzeny, případně vyvráceny stanovené hypotézy. </w:t>
      </w:r>
    </w:p>
    <w:p w:rsidR="002137E1" w:rsidRPr="00D32659" w:rsidRDefault="002137E1" w:rsidP="008015B2">
      <w:pPr>
        <w:jc w:val="both"/>
      </w:pPr>
      <w:r w:rsidRPr="00D32659">
        <w:t>V praktické části byla na podnik aplikována nejprve horizontální a následně vertikální analýza, po kterých následovala aplikace poměrových ukazatelů a ukazatelů rozdílových. Nakonec byl</w:t>
      </w:r>
      <w:r w:rsidR="00610DBA" w:rsidRPr="00D32659">
        <w:t>y</w:t>
      </w:r>
      <w:r w:rsidRPr="00D32659">
        <w:t xml:space="preserve"> </w:t>
      </w:r>
      <w:r w:rsidR="00610DBA" w:rsidRPr="00D32659">
        <w:t>uplatněny analýzy soustav ukazatelů. Na základě těchto analýz byly hodnoceny hypotézy, které byly stanoveny v úvodu práce.</w:t>
      </w:r>
    </w:p>
    <w:p w:rsidR="00396622" w:rsidRPr="00D32659" w:rsidRDefault="00396622" w:rsidP="008015B2">
      <w:pPr>
        <w:jc w:val="both"/>
        <w:rPr>
          <w:rFonts w:eastAsiaTheme="majorEastAsia" w:cstheme="majorBidi"/>
          <w:b/>
          <w:bCs/>
          <w:kern w:val="32"/>
          <w:sz w:val="32"/>
          <w:szCs w:val="32"/>
        </w:rPr>
      </w:pPr>
      <w:r w:rsidRPr="00D32659">
        <w:rPr>
          <w:i/>
        </w:rPr>
        <w:t>Hypotéza č. 1: Rentabilita celkového vloženého kapitálu v daném období roste.</w:t>
      </w:r>
    </w:p>
    <w:p w:rsidR="002137E1" w:rsidRPr="00D32659" w:rsidRDefault="00396622" w:rsidP="008015B2">
      <w:pPr>
        <w:jc w:val="both"/>
      </w:pPr>
      <w:r w:rsidRPr="00D32659">
        <w:t>Tato hypotéza byla vyvrácena, a to kvůli klesajícímu trendu ukazatele ROA. Ukazatel hlavně v posledních dvou letech rapidně klesal</w:t>
      </w:r>
      <w:r w:rsidR="00610DBA" w:rsidRPr="00D32659">
        <w:t xml:space="preserve"> a klesl</w:t>
      </w:r>
      <w:r w:rsidR="002137E1" w:rsidRPr="00D32659">
        <w:t xml:space="preserve"> </w:t>
      </w:r>
      <w:r w:rsidR="00610DBA" w:rsidRPr="00D32659">
        <w:t>až</w:t>
      </w:r>
      <w:r w:rsidR="002137E1" w:rsidRPr="00D32659">
        <w:t xml:space="preserve"> pod úroveň průměru v odvětví.</w:t>
      </w:r>
    </w:p>
    <w:p w:rsidR="00396622" w:rsidRPr="00D32659" w:rsidRDefault="00610DBA" w:rsidP="008015B2">
      <w:pPr>
        <w:jc w:val="both"/>
      </w:pPr>
      <w:r w:rsidRPr="00D32659">
        <w:rPr>
          <w:i/>
        </w:rPr>
        <w:t>Hypotéza č. 2:S</w:t>
      </w:r>
      <w:r w:rsidR="00396622" w:rsidRPr="00D32659">
        <w:rPr>
          <w:i/>
        </w:rPr>
        <w:t>ledovaný podnik je dlouhodobě schopen dostát svým závazkům</w:t>
      </w:r>
      <w:r w:rsidR="00396622" w:rsidRPr="00D32659">
        <w:t>.</w:t>
      </w:r>
    </w:p>
    <w:p w:rsidR="002137E1" w:rsidRPr="00D32659" w:rsidRDefault="00610DBA" w:rsidP="008015B2">
      <w:pPr>
        <w:jc w:val="both"/>
      </w:pPr>
      <w:r w:rsidRPr="00D32659">
        <w:t>Tato hypotéza byla hodnocena na základě ukazatelů likvidity, které se vždy pohybovali pod průměrem v odvětví, a proto byla i tato hypotéza zamítnuta. Pokud by se však hodnotila na základě doporučených mezí, hypotéza by byla potvrzena.</w:t>
      </w:r>
    </w:p>
    <w:p w:rsidR="00610DBA" w:rsidRPr="00D32659" w:rsidRDefault="00396622" w:rsidP="008015B2">
      <w:pPr>
        <w:jc w:val="both"/>
        <w:rPr>
          <w:i/>
        </w:rPr>
      </w:pPr>
      <w:r w:rsidRPr="00D32659">
        <w:rPr>
          <w:i/>
        </w:rPr>
        <w:t xml:space="preserve">Hypotéza č. 3: </w:t>
      </w:r>
      <w:r w:rsidR="00610DBA" w:rsidRPr="00D32659">
        <w:rPr>
          <w:i/>
        </w:rPr>
        <w:t>S</w:t>
      </w:r>
      <w:r w:rsidRPr="00D32659">
        <w:rPr>
          <w:i/>
        </w:rPr>
        <w:t>ledovaný podnik v daném období nebyl ohrožen bankrotem.</w:t>
      </w:r>
    </w:p>
    <w:p w:rsidR="00610DBA" w:rsidRPr="00D32659" w:rsidRDefault="00610DBA" w:rsidP="008015B2">
      <w:pPr>
        <w:jc w:val="both"/>
      </w:pPr>
      <w:r w:rsidRPr="00D32659">
        <w:t>Hypotéza č. 3 byla vyhodnocena na základě hodnot Taflerova modelu, kdy ve všech letech sledovaného období dosáhla vyšších hodnot než je požadované minimum 0,3 a na jehož základě můžeme tuto hypotézu potvrdit.</w:t>
      </w:r>
    </w:p>
    <w:p w:rsidR="00146B39" w:rsidRPr="00D32659" w:rsidRDefault="00610DBA" w:rsidP="008015B2">
      <w:pPr>
        <w:jc w:val="both"/>
      </w:pPr>
      <w:r w:rsidRPr="00D32659">
        <w:t>I přes neustálé klesání některých ukazatelů můžeme říct, že celková finanční situace podniku je dobrá. Stále tu je však spousta možností k posunu a zlepšení současné situace. Manažeři podniku by se měli hlavně zaměřit na neustále klesající výsledek hospodaření, který ovlivni</w:t>
      </w:r>
      <w:r w:rsidR="008015B2" w:rsidRPr="00D32659">
        <w:t xml:space="preserve">l všechny ukazatele rentability. Tento trend nastává, i přes konstantní tržby, a proto by se manažeři měli zaměřit na snižování nákladů. Dále má podnik možnost využívat více cizích zdrojů, které jsou levnější než financování pomocí vlastních zdrojů. Do této doby podnik vlastní kapitál neustále navyšoval, ale od teď by měl začít využívat i více cizích zdroje. </w:t>
      </w:r>
    </w:p>
    <w:p w:rsidR="00146B39" w:rsidRPr="00D32659" w:rsidRDefault="00146B39" w:rsidP="008015B2">
      <w:pPr>
        <w:jc w:val="both"/>
      </w:pPr>
    </w:p>
    <w:p w:rsidR="00610DBA" w:rsidRPr="00D32659" w:rsidRDefault="00610DBA" w:rsidP="008015B2">
      <w:pPr>
        <w:jc w:val="both"/>
      </w:pPr>
      <w:r w:rsidRPr="00D32659">
        <w:tab/>
      </w:r>
      <w:r w:rsidRPr="00D32659">
        <w:tab/>
      </w:r>
    </w:p>
    <w:p w:rsidR="004328B3" w:rsidRPr="00D32659" w:rsidRDefault="004328B3" w:rsidP="008015B2">
      <w:pPr>
        <w:jc w:val="both"/>
      </w:pPr>
      <w:r w:rsidRPr="00D32659">
        <w:br w:type="page"/>
      </w:r>
    </w:p>
    <w:p w:rsidR="005E1C47" w:rsidRPr="00D32659" w:rsidRDefault="004328B3" w:rsidP="008015B2">
      <w:pPr>
        <w:pStyle w:val="Nadpis1"/>
        <w:numPr>
          <w:ilvl w:val="0"/>
          <w:numId w:val="0"/>
        </w:numPr>
        <w:ind w:left="432" w:hanging="432"/>
        <w:jc w:val="both"/>
      </w:pPr>
      <w:bookmarkStart w:id="51" w:name="_Toc417564189"/>
      <w:r w:rsidRPr="00D32659">
        <w:lastRenderedPageBreak/>
        <w:t>SEZNAM POUŽITÝCH ZDROJŮ</w:t>
      </w:r>
      <w:bookmarkEnd w:id="51"/>
    </w:p>
    <w:p w:rsidR="004328B3" w:rsidRPr="00D32659" w:rsidRDefault="004328B3" w:rsidP="008015B2">
      <w:pPr>
        <w:jc w:val="both"/>
      </w:pPr>
    </w:p>
    <w:p w:rsidR="00E6713A" w:rsidRPr="00D32659" w:rsidRDefault="00476703" w:rsidP="00146B39">
      <w:pPr>
        <w:pStyle w:val="Odstavecseseznamem"/>
        <w:numPr>
          <w:ilvl w:val="0"/>
          <w:numId w:val="7"/>
        </w:numPr>
        <w:autoSpaceDE w:val="0"/>
        <w:autoSpaceDN w:val="0"/>
        <w:adjustRightInd w:val="0"/>
        <w:spacing w:after="0" w:line="240" w:lineRule="auto"/>
        <w:ind w:left="993" w:hanging="567"/>
        <w:rPr>
          <w:rFonts w:eastAsiaTheme="minorHAnsi"/>
          <w:szCs w:val="23"/>
        </w:rPr>
      </w:pPr>
      <w:r w:rsidRPr="00D32659">
        <w:rPr>
          <w:rFonts w:eastAsiaTheme="minorHAnsi"/>
          <w:szCs w:val="23"/>
        </w:rPr>
        <w:t>DLUHOŠOVÁ, Dana a kol. Finanční řízení a rozhodování podniku: analýza, investování</w:t>
      </w:r>
      <w:r w:rsidR="00146B39" w:rsidRPr="00D32659">
        <w:rPr>
          <w:rFonts w:eastAsiaTheme="minorHAnsi"/>
          <w:szCs w:val="23"/>
        </w:rPr>
        <w:t xml:space="preserve">, </w:t>
      </w:r>
      <w:r w:rsidRPr="00D32659">
        <w:rPr>
          <w:rFonts w:eastAsiaTheme="minorHAnsi"/>
          <w:szCs w:val="23"/>
        </w:rPr>
        <w:t>oceňování</w:t>
      </w:r>
      <w:r w:rsidR="00146B39" w:rsidRPr="00D32659">
        <w:rPr>
          <w:rFonts w:eastAsiaTheme="minorHAnsi"/>
          <w:szCs w:val="23"/>
        </w:rPr>
        <w:t>, riziko, flexibilita. 3. rozš. vyd. Praha: Ekopress, 2010. 225 s.ISBN 978-80-86929-68-2.</w:t>
      </w:r>
    </w:p>
    <w:p w:rsidR="00E6713A" w:rsidRPr="00D32659" w:rsidRDefault="00E6713A" w:rsidP="00E6713A">
      <w:pPr>
        <w:pStyle w:val="Odstavecseseznamem"/>
        <w:numPr>
          <w:ilvl w:val="0"/>
          <w:numId w:val="7"/>
        </w:numPr>
        <w:ind w:left="993" w:hanging="567"/>
      </w:pPr>
      <w:r w:rsidRPr="00D32659">
        <w:t xml:space="preserve">GRÜNWALD, Rolf; HOLEČKOVÁ, Jaroslava. </w:t>
      </w:r>
      <w:r w:rsidRPr="00D32659">
        <w:rPr>
          <w:i/>
        </w:rPr>
        <w:t>Finanční analýza a plánování podniku.</w:t>
      </w:r>
      <w:r w:rsidRPr="00D32659">
        <w:t xml:space="preserve"> 1. vyd. Praha: Ekopress, 2007. 318 s. ISBN 978-80-86929-26-2.</w:t>
      </w:r>
    </w:p>
    <w:p w:rsidR="00E6713A" w:rsidRPr="00D32659" w:rsidRDefault="00E6713A" w:rsidP="00E6713A">
      <w:pPr>
        <w:pStyle w:val="Odstavecseseznamem"/>
        <w:numPr>
          <w:ilvl w:val="0"/>
          <w:numId w:val="7"/>
        </w:numPr>
        <w:ind w:left="993" w:hanging="567"/>
      </w:pPr>
      <w:r w:rsidRPr="00D32659">
        <w:t xml:space="preserve">HOLEČKOVÁ, Jaroslava. </w:t>
      </w:r>
      <w:r w:rsidRPr="00D32659">
        <w:rPr>
          <w:i/>
        </w:rPr>
        <w:t>Finanční analýza firmy.</w:t>
      </w:r>
      <w:r w:rsidRPr="00D32659">
        <w:t xml:space="preserve"> 1. vyd. Praha: ASPI – Wolters Kluwer, 2008, 208 s. ISBN 978-80-7357-392-8.</w:t>
      </w:r>
    </w:p>
    <w:p w:rsidR="00E6713A" w:rsidRPr="00D32659" w:rsidRDefault="00E6713A" w:rsidP="00E6713A">
      <w:pPr>
        <w:pStyle w:val="Odstavecseseznamem"/>
        <w:numPr>
          <w:ilvl w:val="0"/>
          <w:numId w:val="7"/>
        </w:numPr>
        <w:ind w:left="993" w:hanging="567"/>
      </w:pPr>
      <w:r w:rsidRPr="00D32659">
        <w:t xml:space="preserve">KALOUDA, František. </w:t>
      </w:r>
      <w:r w:rsidRPr="00D32659">
        <w:rPr>
          <w:i/>
        </w:rPr>
        <w:t>Finanční řízení podniku.</w:t>
      </w:r>
      <w:r w:rsidRPr="00D32659">
        <w:t xml:space="preserve"> 2. vyd. Plzeň: Aleš Čeněk, 2011. 299 s. ISBN 978-80-7380-315-5.</w:t>
      </w:r>
    </w:p>
    <w:p w:rsidR="00E6713A" w:rsidRPr="00D32659" w:rsidRDefault="00E6713A" w:rsidP="00E6713A">
      <w:pPr>
        <w:pStyle w:val="Odstavecseseznamem"/>
        <w:numPr>
          <w:ilvl w:val="0"/>
          <w:numId w:val="7"/>
        </w:numPr>
        <w:ind w:left="993" w:hanging="567"/>
        <w:rPr>
          <w:rStyle w:val="apple-converted-space"/>
        </w:rPr>
      </w:pPr>
      <w:r w:rsidRPr="00D32659">
        <w:rPr>
          <w:rStyle w:val="apple-style-span"/>
        </w:rPr>
        <w:t>KISLINGEROVÁ, Eva; HNILICA, Jiří.</w:t>
      </w:r>
      <w:r w:rsidRPr="00D32659">
        <w:rPr>
          <w:rStyle w:val="apple-converted-space"/>
        </w:rPr>
        <w:t> </w:t>
      </w:r>
      <w:r w:rsidRPr="00D32659">
        <w:rPr>
          <w:rStyle w:val="apple-style-span"/>
          <w:i/>
          <w:iCs/>
        </w:rPr>
        <w:t>Finanční analýza:krok za krokem</w:t>
      </w:r>
      <w:r w:rsidRPr="00D32659">
        <w:rPr>
          <w:rStyle w:val="apple-style-span"/>
        </w:rPr>
        <w:t xml:space="preserve">. 2. vyd. </w:t>
      </w:r>
      <w:r w:rsidRPr="00D32659">
        <w:rPr>
          <w:rStyle w:val="apple-style-span"/>
        </w:rPr>
        <w:br/>
        <w:t>Praha: C. H. Beck, 2008. 135 s. ISBN 978-80-7179-713-5.</w:t>
      </w:r>
      <w:r w:rsidRPr="00D32659">
        <w:rPr>
          <w:rStyle w:val="apple-converted-space"/>
        </w:rPr>
        <w:t> </w:t>
      </w:r>
    </w:p>
    <w:p w:rsidR="00E6713A" w:rsidRPr="00D32659" w:rsidRDefault="00E6713A" w:rsidP="00E6713A">
      <w:pPr>
        <w:pStyle w:val="Odstavecseseznamem"/>
        <w:numPr>
          <w:ilvl w:val="0"/>
          <w:numId w:val="7"/>
        </w:numPr>
        <w:ind w:left="993" w:hanging="567"/>
        <w:rPr>
          <w:rStyle w:val="apple-converted-space"/>
        </w:rPr>
      </w:pPr>
      <w:r w:rsidRPr="00D32659">
        <w:rPr>
          <w:rFonts w:eastAsia="Times New Roman"/>
          <w:szCs w:val="24"/>
          <w:lang w:eastAsia="cs-CZ"/>
        </w:rPr>
        <w:t>KISLINGEROVÁ, Eva. </w:t>
      </w:r>
      <w:r w:rsidRPr="00D32659">
        <w:rPr>
          <w:rFonts w:eastAsia="Times New Roman"/>
          <w:i/>
          <w:iCs/>
          <w:szCs w:val="24"/>
          <w:lang w:eastAsia="cs-CZ"/>
        </w:rPr>
        <w:t>Manažerské finance</w:t>
      </w:r>
      <w:r w:rsidRPr="00D32659">
        <w:rPr>
          <w:rFonts w:eastAsia="Times New Roman"/>
          <w:szCs w:val="24"/>
          <w:lang w:eastAsia="cs-CZ"/>
        </w:rPr>
        <w:t xml:space="preserve">. 3. vyd. Praha: C. H. Beck, 2010. </w:t>
      </w:r>
      <w:r w:rsidRPr="00D32659">
        <w:rPr>
          <w:rFonts w:eastAsia="Times New Roman"/>
          <w:szCs w:val="24"/>
          <w:lang w:eastAsia="cs-CZ"/>
        </w:rPr>
        <w:br/>
        <w:t>811 s. ISBN 978-80-7400-194-9. </w:t>
      </w:r>
    </w:p>
    <w:p w:rsidR="00E6713A" w:rsidRPr="00D32659" w:rsidRDefault="00E6713A" w:rsidP="00E6713A">
      <w:pPr>
        <w:pStyle w:val="Odstavecseseznamem"/>
        <w:numPr>
          <w:ilvl w:val="0"/>
          <w:numId w:val="7"/>
        </w:numPr>
        <w:ind w:left="993" w:hanging="567"/>
        <w:rPr>
          <w:rStyle w:val="apple-style-span"/>
        </w:rPr>
      </w:pPr>
      <w:r w:rsidRPr="00D32659">
        <w:rPr>
          <w:rStyle w:val="apple-style-span"/>
          <w:szCs w:val="20"/>
        </w:rPr>
        <w:t>KNÁPKOVÁ, Adriana; PAVELKOVÁ Drahomíra.</w:t>
      </w:r>
      <w:r w:rsidRPr="00D32659">
        <w:rPr>
          <w:rStyle w:val="apple-converted-space"/>
          <w:szCs w:val="20"/>
        </w:rPr>
        <w:t> </w:t>
      </w:r>
      <w:r w:rsidRPr="00D32659">
        <w:rPr>
          <w:rStyle w:val="apple-style-span"/>
          <w:i/>
          <w:iCs/>
          <w:szCs w:val="20"/>
        </w:rPr>
        <w:t>Finanční analýza</w:t>
      </w:r>
      <w:r w:rsidRPr="00D32659">
        <w:rPr>
          <w:rStyle w:val="apple-style-span"/>
          <w:szCs w:val="20"/>
        </w:rPr>
        <w:t>:</w:t>
      </w:r>
      <w:r w:rsidRPr="00D32659">
        <w:rPr>
          <w:rStyle w:val="apple-converted-space"/>
          <w:szCs w:val="20"/>
        </w:rPr>
        <w:t> </w:t>
      </w:r>
      <w:r w:rsidRPr="00D32659">
        <w:rPr>
          <w:rStyle w:val="apple-style-span"/>
          <w:i/>
          <w:iCs/>
          <w:szCs w:val="20"/>
        </w:rPr>
        <w:t>Komplexní průvodce s příklady</w:t>
      </w:r>
      <w:r w:rsidRPr="00D32659">
        <w:rPr>
          <w:rStyle w:val="apple-style-span"/>
          <w:szCs w:val="20"/>
        </w:rPr>
        <w:t>. 1. vydání. Praha: Grada Publishing, a.s., 2010. 205 s.</w:t>
      </w:r>
      <w:r w:rsidRPr="00D32659">
        <w:rPr>
          <w:rStyle w:val="apple-style-span"/>
          <w:szCs w:val="20"/>
        </w:rPr>
        <w:br/>
        <w:t>ISBN 978-80-247-3349-4.</w:t>
      </w:r>
    </w:p>
    <w:p w:rsidR="00E6713A" w:rsidRPr="00D32659" w:rsidRDefault="00E6713A" w:rsidP="00146B39">
      <w:pPr>
        <w:pStyle w:val="Odstavecseseznamem"/>
        <w:numPr>
          <w:ilvl w:val="0"/>
          <w:numId w:val="7"/>
        </w:numPr>
        <w:ind w:left="993" w:hanging="567"/>
        <w:rPr>
          <w:rStyle w:val="apple-style-span"/>
          <w:szCs w:val="23"/>
          <w:shd w:val="clear" w:color="auto" w:fill="FFFFFF"/>
        </w:rPr>
      </w:pPr>
      <w:r w:rsidRPr="00D32659">
        <w:rPr>
          <w:szCs w:val="23"/>
          <w:shd w:val="clear" w:color="auto" w:fill="FFFFFF"/>
        </w:rPr>
        <w:t>MRKVIČKA, Josef.</w:t>
      </w:r>
      <w:r w:rsidRPr="00D32659">
        <w:rPr>
          <w:rStyle w:val="apple-converted-space"/>
          <w:szCs w:val="23"/>
          <w:shd w:val="clear" w:color="auto" w:fill="FFFFFF"/>
        </w:rPr>
        <w:t> </w:t>
      </w:r>
      <w:r w:rsidRPr="00D32659">
        <w:rPr>
          <w:i/>
          <w:iCs/>
          <w:szCs w:val="23"/>
          <w:shd w:val="clear" w:color="auto" w:fill="FFFFFF"/>
        </w:rPr>
        <w:t>Finanční analýza: metody, ukazatele, využití v praxi</w:t>
      </w:r>
      <w:r w:rsidRPr="00D32659">
        <w:rPr>
          <w:szCs w:val="23"/>
          <w:shd w:val="clear" w:color="auto" w:fill="FFFFFF"/>
        </w:rPr>
        <w:t>. 2., přeprac. vyd. Praha: ASPI, 2006, 228 s. Beckova edice ekonomie. ISBN 80-735-7219-2.</w:t>
      </w:r>
    </w:p>
    <w:p w:rsidR="00E6713A" w:rsidRPr="00D32659" w:rsidRDefault="00E6713A" w:rsidP="00146B39">
      <w:pPr>
        <w:pStyle w:val="Odstavecseseznamem"/>
        <w:numPr>
          <w:ilvl w:val="0"/>
          <w:numId w:val="7"/>
        </w:numPr>
        <w:spacing w:after="240"/>
        <w:ind w:left="993" w:hanging="567"/>
      </w:pPr>
      <w:r w:rsidRPr="00D32659">
        <w:t xml:space="preserve">RŮČKOVÁ, Petra. </w:t>
      </w:r>
      <w:r w:rsidRPr="00D32659">
        <w:rPr>
          <w:i/>
        </w:rPr>
        <w:t>Finanční analýza: metody, ukazatele, využití v praxi.</w:t>
      </w:r>
      <w:r w:rsidRPr="00D32659">
        <w:t xml:space="preserve"> </w:t>
      </w:r>
      <w:r w:rsidRPr="00D32659">
        <w:rPr>
          <w:iCs/>
        </w:rPr>
        <w:t>3</w:t>
      </w:r>
      <w:r w:rsidRPr="00D32659">
        <w:t>. rozš. vyd. Praha: Grada Publishing, 2010. 139 s. ISBN 978-80-247-3308-1.</w:t>
      </w:r>
    </w:p>
    <w:p w:rsidR="00E6713A" w:rsidRPr="00D32659" w:rsidRDefault="00E6713A" w:rsidP="00E6713A">
      <w:pPr>
        <w:pStyle w:val="Odstavecseseznamem"/>
        <w:numPr>
          <w:ilvl w:val="0"/>
          <w:numId w:val="7"/>
        </w:numPr>
        <w:ind w:left="993" w:hanging="567"/>
        <w:rPr>
          <w:rStyle w:val="apple-converted-space"/>
        </w:rPr>
      </w:pPr>
      <w:r w:rsidRPr="00D32659">
        <w:rPr>
          <w:rStyle w:val="apple-style-span"/>
        </w:rPr>
        <w:t>SEDLÁČEK, Jaroslav.</w:t>
      </w:r>
      <w:r w:rsidRPr="00D32659">
        <w:rPr>
          <w:rStyle w:val="apple-converted-space"/>
        </w:rPr>
        <w:t> </w:t>
      </w:r>
      <w:r w:rsidRPr="00D32659">
        <w:rPr>
          <w:rStyle w:val="apple-style-span"/>
          <w:i/>
          <w:iCs/>
        </w:rPr>
        <w:t>Účetní data v rukou manažera: finanční analýza v řízení firmy</w:t>
      </w:r>
      <w:r w:rsidRPr="00D32659">
        <w:rPr>
          <w:rStyle w:val="apple-style-span"/>
        </w:rPr>
        <w:t xml:space="preserve">. </w:t>
      </w:r>
      <w:r w:rsidRPr="00D32659">
        <w:rPr>
          <w:rStyle w:val="apple-style-span"/>
        </w:rPr>
        <w:br/>
        <w:t>2. doplněné vyd. Brno: Computer Press, 2001. 220 s. ISBN 80-7226-562-8.</w:t>
      </w:r>
      <w:r w:rsidRPr="00D32659">
        <w:rPr>
          <w:rStyle w:val="apple-converted-space"/>
        </w:rPr>
        <w:t> </w:t>
      </w:r>
    </w:p>
    <w:p w:rsidR="00E6713A" w:rsidRPr="00D32659" w:rsidRDefault="00E6713A" w:rsidP="00E6713A">
      <w:pPr>
        <w:pStyle w:val="Odstavecseseznamem"/>
        <w:numPr>
          <w:ilvl w:val="0"/>
          <w:numId w:val="7"/>
        </w:numPr>
        <w:ind w:left="993" w:hanging="567"/>
      </w:pPr>
      <w:r w:rsidRPr="00D32659">
        <w:t xml:space="preserve">SEDLÁČEK, Jaroslav. </w:t>
      </w:r>
      <w:r w:rsidRPr="00D32659">
        <w:rPr>
          <w:i/>
        </w:rPr>
        <w:t xml:space="preserve">Účetnictví podnikatelů. Po vstupu do evropské unie. </w:t>
      </w:r>
      <w:r w:rsidRPr="00D32659">
        <w:t>1. vydání. Praha: C. H. Beck, 2004. 273 s. ISBN 80-7179-859-2.</w:t>
      </w:r>
    </w:p>
    <w:p w:rsidR="000F7258" w:rsidRPr="00D32659" w:rsidRDefault="00E6713A" w:rsidP="000F7258">
      <w:pPr>
        <w:pStyle w:val="Odstavecseseznamem"/>
        <w:numPr>
          <w:ilvl w:val="0"/>
          <w:numId w:val="7"/>
        </w:numPr>
        <w:ind w:left="993" w:hanging="567"/>
        <w:rPr>
          <w:rStyle w:val="apple-converted-space"/>
        </w:rPr>
      </w:pPr>
      <w:r w:rsidRPr="00D32659">
        <w:rPr>
          <w:rStyle w:val="apple-converted-space"/>
        </w:rPr>
        <w:t xml:space="preserve">SYNEK, Miloslav. </w:t>
      </w:r>
      <w:r w:rsidRPr="00D32659">
        <w:rPr>
          <w:rStyle w:val="apple-converted-space"/>
          <w:i/>
        </w:rPr>
        <w:t>Manažerská ekonomika.</w:t>
      </w:r>
      <w:r w:rsidRPr="00D32659">
        <w:rPr>
          <w:rStyle w:val="apple-converted-space"/>
        </w:rPr>
        <w:t xml:space="preserve"> 5. vyd. Praha: Grada, 2011. 471 s. </w:t>
      </w:r>
      <w:r w:rsidRPr="00D32659">
        <w:rPr>
          <w:rStyle w:val="apple-converted-space"/>
        </w:rPr>
        <w:br/>
        <w:t>ISBN 978-80-247-3494-1.</w:t>
      </w:r>
    </w:p>
    <w:p w:rsidR="000A6B98" w:rsidRDefault="000A6B98" w:rsidP="000A6B98">
      <w:pPr>
        <w:pStyle w:val="Odstavecseseznamem"/>
        <w:ind w:left="993"/>
        <w:rPr>
          <w:rStyle w:val="apple-converted-space"/>
        </w:rPr>
      </w:pPr>
    </w:p>
    <w:p w:rsidR="00115E95" w:rsidRDefault="00115E95">
      <w:pPr>
        <w:rPr>
          <w:rStyle w:val="apple-converted-space"/>
          <w:b/>
          <w:sz w:val="26"/>
          <w:szCs w:val="26"/>
        </w:rPr>
      </w:pPr>
      <w:r>
        <w:rPr>
          <w:rStyle w:val="apple-converted-space"/>
          <w:b/>
          <w:sz w:val="26"/>
          <w:szCs w:val="26"/>
        </w:rPr>
        <w:br w:type="page"/>
      </w:r>
    </w:p>
    <w:p w:rsidR="000A6B98" w:rsidRPr="000A6B98" w:rsidRDefault="000A6B98" w:rsidP="000A6B98">
      <w:pPr>
        <w:pStyle w:val="Odstavecseseznamem"/>
        <w:ind w:left="993"/>
        <w:rPr>
          <w:rStyle w:val="apple-converted-space"/>
          <w:b/>
          <w:sz w:val="26"/>
          <w:szCs w:val="26"/>
        </w:rPr>
      </w:pPr>
      <w:r w:rsidRPr="000A6B98">
        <w:rPr>
          <w:rStyle w:val="apple-converted-space"/>
          <w:b/>
          <w:sz w:val="26"/>
          <w:szCs w:val="26"/>
        </w:rPr>
        <w:lastRenderedPageBreak/>
        <w:t>INTERNETOVÉ ZDROJE</w:t>
      </w:r>
    </w:p>
    <w:p w:rsidR="000C6419" w:rsidRDefault="000C6419" w:rsidP="000F7258">
      <w:pPr>
        <w:pStyle w:val="Odstavecseseznamem"/>
        <w:numPr>
          <w:ilvl w:val="0"/>
          <w:numId w:val="7"/>
        </w:numPr>
        <w:ind w:left="993" w:hanging="567"/>
        <w:rPr>
          <w:rStyle w:val="apple-converted-space"/>
        </w:rPr>
      </w:pPr>
      <w:r>
        <w:rPr>
          <w:rStyle w:val="apple-converted-space"/>
        </w:rPr>
        <w:t>Úplný výpis z obchodního rejstříku</w:t>
      </w:r>
      <w:r w:rsidR="00804172">
        <w:rPr>
          <w:rStyle w:val="apple-converted-space"/>
        </w:rPr>
        <w:t xml:space="preserve">. </w:t>
      </w:r>
      <w:r w:rsidR="00804172" w:rsidRPr="00804172">
        <w:rPr>
          <w:rStyle w:val="apple-converted-space"/>
          <w:i/>
        </w:rPr>
        <w:t>Veřejný rejstřík a sbírka listin.</w:t>
      </w:r>
      <w:r w:rsidR="00804172">
        <w:rPr>
          <w:rStyle w:val="apple-converted-space"/>
        </w:rPr>
        <w:t>[online]</w:t>
      </w:r>
      <w:r w:rsidR="000A6B98">
        <w:rPr>
          <w:rStyle w:val="apple-converted-space"/>
        </w:rPr>
        <w:t>. [cit. 2015-03-18]. Dostupné z WWW:</w:t>
      </w:r>
    </w:p>
    <w:p w:rsidR="000F7258" w:rsidRPr="00D32659" w:rsidRDefault="000A6B98" w:rsidP="000C6419">
      <w:pPr>
        <w:pStyle w:val="Odstavecseseznamem"/>
        <w:ind w:left="993"/>
        <w:rPr>
          <w:rStyle w:val="apple-converted-space"/>
        </w:rPr>
      </w:pPr>
      <w:r>
        <w:rPr>
          <w:rFonts w:ascii="TimesNewRoman" w:eastAsiaTheme="minorHAnsi" w:hAnsi="TimesNewRoman" w:cs="TimesNewRoman"/>
          <w:sz w:val="22"/>
        </w:rPr>
        <w:t>&lt;</w:t>
      </w:r>
      <w:r w:rsidR="000F7258" w:rsidRPr="00D32659">
        <w:rPr>
          <w:rStyle w:val="apple-converted-space"/>
        </w:rPr>
        <w:t>https://or.justice.cz/ias/ui/rejstrik-firma.vysledky?subjektId=703784&amp;typ=UPLNY</w:t>
      </w:r>
      <w:r>
        <w:rPr>
          <w:rFonts w:ascii="TimesNewRoman" w:eastAsiaTheme="minorHAnsi" w:hAnsi="TimesNewRoman" w:cs="TimesNewRoman"/>
          <w:sz w:val="22"/>
        </w:rPr>
        <w:t>&gt;</w:t>
      </w:r>
    </w:p>
    <w:p w:rsidR="000A6B98" w:rsidRDefault="000A6B98" w:rsidP="000A6B98">
      <w:pPr>
        <w:pStyle w:val="Odstavecseseznamem"/>
        <w:numPr>
          <w:ilvl w:val="0"/>
          <w:numId w:val="7"/>
        </w:numPr>
        <w:ind w:left="993" w:hanging="567"/>
      </w:pPr>
      <w:r>
        <w:t xml:space="preserve">Údaje z veřejné části Živnostenského rejstříku. </w:t>
      </w:r>
      <w:r w:rsidRPr="000A6B98">
        <w:rPr>
          <w:i/>
        </w:rPr>
        <w:t>Ministerstvo průmyslu a obchodu</w:t>
      </w:r>
      <w:r>
        <w:t>. [online]. [cit. 2015-03-18]. Dostupné z WWW:</w:t>
      </w:r>
    </w:p>
    <w:p w:rsidR="000A6B98" w:rsidRDefault="000A6B98" w:rsidP="000A6B98">
      <w:pPr>
        <w:pStyle w:val="Odstavecseseznamem"/>
        <w:ind w:left="993"/>
      </w:pPr>
      <w:r>
        <w:rPr>
          <w:rFonts w:ascii="TimesNewRoman" w:eastAsiaTheme="minorHAnsi" w:hAnsi="TimesNewRoman" w:cs="TimesNewRoman"/>
          <w:sz w:val="22"/>
        </w:rPr>
        <w:t>&lt;</w:t>
      </w:r>
      <w:r w:rsidRPr="000A6B98">
        <w:t>http://www.rzp.cz/cgi-bin/aps_cacheWEB.sh?VSS_SERV=ZVWSBJVYP&amp;OKRES=&amp;CASTOBCE=&amp;OBEC=&amp;ULICE=&amp;CDOM=&amp;COR=&amp;COZ=&amp;ICO=43962696&amp;OBCHJM=&amp;OBCHJMATD=0&amp;ROLES=P&amp;JMENO=&amp;PRIJMENI=&amp;NAROZENI=&amp;ROLE=&amp;VYPIS=1&amp;PODLE=subjekt&amp;IDICO=c93567d8f3f2cdacdd10&amp;HISTORIE=0</w:t>
      </w:r>
      <w:r>
        <w:rPr>
          <w:rFonts w:ascii="TimesNewRoman" w:eastAsiaTheme="minorHAnsi" w:hAnsi="TimesNewRoman" w:cs="TimesNewRoman"/>
          <w:sz w:val="22"/>
        </w:rPr>
        <w:t>&gt;</w:t>
      </w:r>
    </w:p>
    <w:p w:rsidR="00804172" w:rsidRDefault="00804172" w:rsidP="000F7258">
      <w:pPr>
        <w:pStyle w:val="Odstavecseseznamem"/>
        <w:numPr>
          <w:ilvl w:val="0"/>
          <w:numId w:val="7"/>
        </w:numPr>
        <w:ind w:left="993" w:hanging="567"/>
      </w:pPr>
      <w:r w:rsidRPr="00804172">
        <w:rPr>
          <w:i/>
        </w:rPr>
        <w:t>|FOCAM</w:t>
      </w:r>
      <w:r>
        <w:t xml:space="preserve"> [online]. [cit. 2015-03-18]. Dostupné z WWW:</w:t>
      </w:r>
    </w:p>
    <w:p w:rsidR="000F7258" w:rsidRDefault="00804172" w:rsidP="00804172">
      <w:pPr>
        <w:pStyle w:val="Odstavecseseznamem"/>
        <w:ind w:left="993"/>
        <w:rPr>
          <w:rStyle w:val="apple-converted-space"/>
        </w:rPr>
      </w:pPr>
      <w:r>
        <w:rPr>
          <w:rFonts w:ascii="TimesNewRoman" w:eastAsiaTheme="minorHAnsi" w:hAnsi="TimesNewRoman" w:cs="TimesNewRoman"/>
          <w:sz w:val="22"/>
        </w:rPr>
        <w:t>&lt;</w:t>
      </w:r>
      <w:hyperlink r:id="rId21" w:history="1">
        <w:r w:rsidR="000F7258" w:rsidRPr="00D32659">
          <w:rPr>
            <w:rStyle w:val="apple-converted-space"/>
          </w:rPr>
          <w:t>http://focam.cz/</w:t>
        </w:r>
      </w:hyperlink>
      <w:r>
        <w:rPr>
          <w:rFonts w:ascii="TimesNewRoman" w:eastAsiaTheme="minorHAnsi" w:hAnsi="TimesNewRoman" w:cs="TimesNewRoman"/>
          <w:sz w:val="22"/>
        </w:rPr>
        <w:t>&gt;</w:t>
      </w:r>
    </w:p>
    <w:p w:rsidR="00804172" w:rsidRDefault="00804172" w:rsidP="00804172">
      <w:pPr>
        <w:pStyle w:val="Odstavecseseznamem"/>
        <w:numPr>
          <w:ilvl w:val="0"/>
          <w:numId w:val="7"/>
        </w:numPr>
        <w:ind w:left="993" w:hanging="567"/>
        <w:rPr>
          <w:rStyle w:val="apple-converted-space"/>
        </w:rPr>
      </w:pPr>
      <w:r>
        <w:rPr>
          <w:rStyle w:val="apple-converted-space"/>
        </w:rPr>
        <w:t xml:space="preserve">Finanční analýza podnikové sféry za rok 2009. </w:t>
      </w:r>
      <w:r w:rsidRPr="00804172">
        <w:rPr>
          <w:rStyle w:val="apple-converted-space"/>
          <w:i/>
        </w:rPr>
        <w:t>Ministerstvo průmyslu a obchodu</w:t>
      </w:r>
      <w:r>
        <w:rPr>
          <w:rStyle w:val="apple-converted-space"/>
        </w:rPr>
        <w:t xml:space="preserve"> [online]. [cit. 2015-04-02]. Dostupné z WWW:</w:t>
      </w:r>
    </w:p>
    <w:p w:rsidR="00804172" w:rsidRDefault="00804172" w:rsidP="00804172">
      <w:pPr>
        <w:pStyle w:val="Odstavecseseznamem"/>
        <w:ind w:left="993"/>
        <w:rPr>
          <w:rStyle w:val="apple-converted-space"/>
          <w:szCs w:val="23"/>
        </w:rPr>
      </w:pPr>
      <w:r>
        <w:rPr>
          <w:rFonts w:ascii="TimesNewRoman" w:eastAsiaTheme="minorHAnsi" w:hAnsi="TimesNewRoman" w:cs="TimesNewRoman"/>
          <w:sz w:val="22"/>
        </w:rPr>
        <w:t>&lt;</w:t>
      </w:r>
      <w:r w:rsidRPr="00804172">
        <w:rPr>
          <w:szCs w:val="23"/>
          <w:shd w:val="clear" w:color="auto" w:fill="FFFFFF"/>
        </w:rPr>
        <w:t>http://www.mpo.cz/dokument76325.html</w:t>
      </w:r>
      <w:r>
        <w:rPr>
          <w:rFonts w:ascii="TimesNewRoman" w:eastAsiaTheme="minorHAnsi" w:hAnsi="TimesNewRoman" w:cs="TimesNewRoman"/>
          <w:sz w:val="22"/>
        </w:rPr>
        <w:t>&gt;</w:t>
      </w:r>
    </w:p>
    <w:p w:rsidR="00804172" w:rsidRDefault="00804172" w:rsidP="00804172">
      <w:pPr>
        <w:pStyle w:val="Odstavecseseznamem"/>
        <w:numPr>
          <w:ilvl w:val="0"/>
          <w:numId w:val="7"/>
        </w:numPr>
        <w:ind w:left="993" w:hanging="567"/>
        <w:rPr>
          <w:rStyle w:val="apple-converted-space"/>
        </w:rPr>
      </w:pPr>
      <w:r>
        <w:rPr>
          <w:rStyle w:val="apple-converted-space"/>
        </w:rPr>
        <w:t xml:space="preserve">Finanční analýza podnikové sféry za rok 2010. </w:t>
      </w:r>
      <w:r w:rsidRPr="00804172">
        <w:rPr>
          <w:rStyle w:val="apple-converted-space"/>
          <w:i/>
        </w:rPr>
        <w:t>Ministerstvo průmyslu a obchodu</w:t>
      </w:r>
      <w:r>
        <w:rPr>
          <w:rStyle w:val="apple-converted-space"/>
        </w:rPr>
        <w:t xml:space="preserve"> [online]. [cit. 2015-04-02]. Dostupné z WWW:</w:t>
      </w:r>
    </w:p>
    <w:p w:rsidR="00804172" w:rsidRDefault="00804172" w:rsidP="00804172">
      <w:pPr>
        <w:pStyle w:val="Odstavecseseznamem"/>
        <w:ind w:left="993"/>
        <w:rPr>
          <w:szCs w:val="23"/>
          <w:shd w:val="clear" w:color="auto" w:fill="FFFFFF"/>
        </w:rPr>
      </w:pPr>
      <w:r>
        <w:rPr>
          <w:rFonts w:ascii="TimesNewRoman" w:eastAsiaTheme="minorHAnsi" w:hAnsi="TimesNewRoman" w:cs="TimesNewRoman"/>
          <w:sz w:val="22"/>
        </w:rPr>
        <w:t>&lt;</w:t>
      </w:r>
      <w:r w:rsidRPr="00804172">
        <w:rPr>
          <w:szCs w:val="23"/>
          <w:shd w:val="clear" w:color="auto" w:fill="FFFFFF"/>
        </w:rPr>
        <w:t>http://www.mpo.cz/dokument89407.html</w:t>
      </w:r>
      <w:r>
        <w:rPr>
          <w:rFonts w:ascii="TimesNewRoman" w:eastAsiaTheme="minorHAnsi" w:hAnsi="TimesNewRoman" w:cs="TimesNewRoman"/>
          <w:sz w:val="22"/>
        </w:rPr>
        <w:t>&gt;</w:t>
      </w:r>
    </w:p>
    <w:p w:rsidR="00804172" w:rsidRDefault="00804172" w:rsidP="00804172">
      <w:pPr>
        <w:pStyle w:val="Odstavecseseznamem"/>
        <w:numPr>
          <w:ilvl w:val="0"/>
          <w:numId w:val="7"/>
        </w:numPr>
        <w:ind w:left="993" w:hanging="567"/>
        <w:rPr>
          <w:rStyle w:val="apple-converted-space"/>
        </w:rPr>
      </w:pPr>
      <w:r>
        <w:rPr>
          <w:rStyle w:val="apple-converted-space"/>
        </w:rPr>
        <w:t xml:space="preserve">Finanční analýza podnikové sféry za rok 2011. </w:t>
      </w:r>
      <w:r w:rsidRPr="00804172">
        <w:rPr>
          <w:rStyle w:val="apple-converted-space"/>
          <w:i/>
        </w:rPr>
        <w:t>Ministerstvo průmyslu a obchodu</w:t>
      </w:r>
      <w:r>
        <w:rPr>
          <w:rStyle w:val="apple-converted-space"/>
        </w:rPr>
        <w:t xml:space="preserve"> [online]. [cit. 2015-04-02]. Dostupné z WWW:</w:t>
      </w:r>
    </w:p>
    <w:p w:rsidR="00804172" w:rsidRDefault="00804172" w:rsidP="00804172">
      <w:pPr>
        <w:pStyle w:val="Odstavecseseznamem"/>
        <w:ind w:left="993"/>
        <w:rPr>
          <w:szCs w:val="23"/>
          <w:shd w:val="clear" w:color="auto" w:fill="FFFFFF"/>
        </w:rPr>
      </w:pPr>
      <w:r>
        <w:rPr>
          <w:rFonts w:ascii="TimesNewRoman" w:eastAsiaTheme="minorHAnsi" w:hAnsi="TimesNewRoman" w:cs="TimesNewRoman"/>
          <w:sz w:val="22"/>
        </w:rPr>
        <w:t>&lt;</w:t>
      </w:r>
      <w:r w:rsidRPr="00804172">
        <w:rPr>
          <w:szCs w:val="23"/>
          <w:shd w:val="clear" w:color="auto" w:fill="FFFFFF"/>
        </w:rPr>
        <w:t>http://www.mpo.cz/dokument105732.html</w:t>
      </w:r>
      <w:r>
        <w:rPr>
          <w:rFonts w:ascii="TimesNewRoman" w:eastAsiaTheme="minorHAnsi" w:hAnsi="TimesNewRoman" w:cs="TimesNewRoman"/>
          <w:sz w:val="22"/>
        </w:rPr>
        <w:t>&gt;</w:t>
      </w:r>
    </w:p>
    <w:p w:rsidR="00804172" w:rsidRDefault="00804172" w:rsidP="00804172">
      <w:pPr>
        <w:pStyle w:val="Odstavecseseznamem"/>
        <w:numPr>
          <w:ilvl w:val="0"/>
          <w:numId w:val="7"/>
        </w:numPr>
        <w:ind w:left="993" w:hanging="567"/>
        <w:rPr>
          <w:rStyle w:val="apple-converted-space"/>
        </w:rPr>
      </w:pPr>
      <w:r>
        <w:rPr>
          <w:rStyle w:val="apple-converted-space"/>
        </w:rPr>
        <w:t xml:space="preserve">Finanční analýza podnikové sféry se zaměřením na konkurenceschopnost sledovaných odvětví za rok 2012. </w:t>
      </w:r>
      <w:r w:rsidRPr="00804172">
        <w:rPr>
          <w:rStyle w:val="apple-converted-space"/>
          <w:i/>
        </w:rPr>
        <w:t>Ministerstvo průmyslu a obchodu</w:t>
      </w:r>
      <w:r>
        <w:rPr>
          <w:rStyle w:val="apple-converted-space"/>
        </w:rPr>
        <w:t xml:space="preserve"> [online]. [cit. 2015-04-02]. Dostupné z WWW:</w:t>
      </w:r>
    </w:p>
    <w:p w:rsidR="00804172" w:rsidRDefault="00804172" w:rsidP="00804172">
      <w:pPr>
        <w:pStyle w:val="Odstavecseseznamem"/>
        <w:ind w:left="993"/>
        <w:rPr>
          <w:szCs w:val="23"/>
          <w:shd w:val="clear" w:color="auto" w:fill="FFFFFF"/>
        </w:rPr>
      </w:pPr>
      <w:r>
        <w:rPr>
          <w:rFonts w:ascii="TimesNewRoman" w:eastAsiaTheme="minorHAnsi" w:hAnsi="TimesNewRoman" w:cs="TimesNewRoman"/>
          <w:sz w:val="22"/>
        </w:rPr>
        <w:t>&lt;</w:t>
      </w:r>
      <w:r w:rsidRPr="00804172">
        <w:rPr>
          <w:szCs w:val="23"/>
          <w:shd w:val="clear" w:color="auto" w:fill="FFFFFF"/>
        </w:rPr>
        <w:t>http://www.mpo.cz/dokument141226.html</w:t>
      </w:r>
      <w:r>
        <w:rPr>
          <w:rFonts w:ascii="TimesNewRoman" w:eastAsiaTheme="minorHAnsi" w:hAnsi="TimesNewRoman" w:cs="TimesNewRoman"/>
          <w:sz w:val="22"/>
        </w:rPr>
        <w:t>&gt;</w:t>
      </w:r>
    </w:p>
    <w:p w:rsidR="00804172" w:rsidRDefault="00804172" w:rsidP="00804172">
      <w:pPr>
        <w:pStyle w:val="Odstavecseseznamem"/>
        <w:numPr>
          <w:ilvl w:val="0"/>
          <w:numId w:val="7"/>
        </w:numPr>
        <w:ind w:left="993" w:hanging="567"/>
        <w:rPr>
          <w:rStyle w:val="apple-converted-space"/>
        </w:rPr>
      </w:pPr>
      <w:r>
        <w:rPr>
          <w:rStyle w:val="apple-converted-space"/>
        </w:rPr>
        <w:t xml:space="preserve">Finanční analýza podnikové sféry se zaměřením na konkurenceschopnost sledovaných odvětví za rok 2013. </w:t>
      </w:r>
      <w:r w:rsidRPr="00804172">
        <w:rPr>
          <w:rStyle w:val="apple-converted-space"/>
          <w:i/>
        </w:rPr>
        <w:t>Ministerstvo průmyslu a obchodu</w:t>
      </w:r>
      <w:r>
        <w:rPr>
          <w:rStyle w:val="apple-converted-space"/>
        </w:rPr>
        <w:t xml:space="preserve"> [online]. [cit. 2015-04-02]. Dostupné z WWW:</w:t>
      </w:r>
    </w:p>
    <w:p w:rsidR="00804172" w:rsidRDefault="00804172" w:rsidP="00804172">
      <w:pPr>
        <w:pStyle w:val="Odstavecseseznamem"/>
        <w:ind w:left="993"/>
        <w:rPr>
          <w:szCs w:val="23"/>
          <w:shd w:val="clear" w:color="auto" w:fill="FFFFFF"/>
        </w:rPr>
      </w:pPr>
      <w:r>
        <w:rPr>
          <w:rFonts w:ascii="TimesNewRoman" w:eastAsiaTheme="minorHAnsi" w:hAnsi="TimesNewRoman" w:cs="TimesNewRoman"/>
          <w:sz w:val="22"/>
        </w:rPr>
        <w:t>&lt;</w:t>
      </w:r>
      <w:r w:rsidRPr="00804172">
        <w:rPr>
          <w:szCs w:val="23"/>
          <w:shd w:val="clear" w:color="auto" w:fill="FFFFFF"/>
        </w:rPr>
        <w:t>http://www.mpo.cz/dokument150081.html</w:t>
      </w:r>
      <w:r>
        <w:rPr>
          <w:rFonts w:ascii="TimesNewRoman" w:eastAsiaTheme="minorHAnsi" w:hAnsi="TimesNewRoman" w:cs="TimesNewRoman"/>
          <w:sz w:val="22"/>
        </w:rPr>
        <w:t>&gt;</w:t>
      </w:r>
    </w:p>
    <w:p w:rsidR="00804172" w:rsidRPr="00804172" w:rsidRDefault="00804172" w:rsidP="00804172">
      <w:pPr>
        <w:pStyle w:val="Odstavecseseznamem"/>
        <w:ind w:left="993"/>
        <w:rPr>
          <w:rStyle w:val="apple-converted-space"/>
        </w:rPr>
      </w:pPr>
    </w:p>
    <w:p w:rsidR="000F7258" w:rsidRPr="00D32659" w:rsidRDefault="000F7258" w:rsidP="000F7258">
      <w:pPr>
        <w:pStyle w:val="Textpoznpodarou"/>
      </w:pPr>
    </w:p>
    <w:p w:rsidR="000F7258" w:rsidRPr="00D32659" w:rsidRDefault="000F7258" w:rsidP="000F7258">
      <w:pPr>
        <w:pStyle w:val="Textpoznpodarou"/>
      </w:pPr>
    </w:p>
    <w:p w:rsidR="004328B3" w:rsidRPr="00D32659" w:rsidRDefault="004328B3" w:rsidP="000F7258">
      <w:pPr>
        <w:pStyle w:val="Odstavecseseznamem"/>
        <w:numPr>
          <w:ilvl w:val="0"/>
          <w:numId w:val="7"/>
        </w:numPr>
        <w:ind w:left="993" w:hanging="567"/>
      </w:pPr>
      <w:r w:rsidRPr="00D32659">
        <w:br w:type="page"/>
      </w:r>
    </w:p>
    <w:p w:rsidR="004328B3" w:rsidRPr="00D32659" w:rsidRDefault="004328B3" w:rsidP="008015B2">
      <w:pPr>
        <w:pStyle w:val="Nadpis1"/>
        <w:numPr>
          <w:ilvl w:val="0"/>
          <w:numId w:val="0"/>
        </w:numPr>
        <w:ind w:left="432" w:hanging="432"/>
        <w:jc w:val="both"/>
      </w:pPr>
      <w:bookmarkStart w:id="52" w:name="_Toc417564190"/>
      <w:r w:rsidRPr="00D32659">
        <w:lastRenderedPageBreak/>
        <w:t xml:space="preserve">SEZNAM </w:t>
      </w:r>
      <w:r w:rsidR="00236C24" w:rsidRPr="00D32659">
        <w:t>GRAFŮ</w:t>
      </w:r>
      <w:bookmarkEnd w:id="52"/>
    </w:p>
    <w:p w:rsidR="00236C24" w:rsidRPr="00D32659" w:rsidRDefault="00236C24" w:rsidP="00236C24">
      <w:pPr>
        <w:pStyle w:val="Default"/>
        <w:rPr>
          <w:color w:val="auto"/>
        </w:rPr>
      </w:pPr>
    </w:p>
    <w:p w:rsidR="00236C24" w:rsidRPr="00D32659" w:rsidRDefault="00236C24" w:rsidP="00236C24">
      <w:r w:rsidRPr="00D32659">
        <w:t>Graf č. 1: Horizontální analýza aktiv v roce 2009 až 2013</w:t>
      </w:r>
    </w:p>
    <w:p w:rsidR="00236C24" w:rsidRPr="00D32659" w:rsidRDefault="00236C24" w:rsidP="00236C24">
      <w:r w:rsidRPr="00D32659">
        <w:t>Graf č. 2: Horizontální analýza pasiv v roce 2009 až 2013</w:t>
      </w:r>
    </w:p>
    <w:p w:rsidR="00236C24" w:rsidRPr="00D32659" w:rsidRDefault="00236C24" w:rsidP="00236C24">
      <w:r w:rsidRPr="00D32659">
        <w:t>Graf č. 3: Horizontální analýza výkazu zisku a ztrát v roce 2009 až 2013</w:t>
      </w:r>
    </w:p>
    <w:p w:rsidR="00236C24" w:rsidRPr="00D32659" w:rsidRDefault="00236C24" w:rsidP="00236C24">
      <w:r w:rsidRPr="00D32659">
        <w:t>Graf č. 4:  Vertikální analýza aktiv v roce 2009 až 2013</w:t>
      </w:r>
    </w:p>
    <w:p w:rsidR="00236C24" w:rsidRPr="00D32659" w:rsidRDefault="00236C24" w:rsidP="00236C24">
      <w:r w:rsidRPr="00D32659">
        <w:t xml:space="preserve">Graf č. 5: Vertikální analýza pasiv v roce 2009 až 2013 </w:t>
      </w:r>
    </w:p>
    <w:p w:rsidR="00236C24" w:rsidRPr="00D32659" w:rsidRDefault="00236C24" w:rsidP="00236C24">
      <w:r w:rsidRPr="00D32659">
        <w:t>Graf č. 6: Vertikální analýza výkazu zisku a ztrát v roce 2009 až 2013</w:t>
      </w:r>
    </w:p>
    <w:p w:rsidR="00236C24" w:rsidRPr="00D32659" w:rsidRDefault="00236C24" w:rsidP="00236C24"/>
    <w:p w:rsidR="004328B3" w:rsidRPr="00D32659" w:rsidRDefault="004328B3" w:rsidP="00236C24">
      <w:pPr>
        <w:pStyle w:val="Nadpis1"/>
        <w:numPr>
          <w:ilvl w:val="0"/>
          <w:numId w:val="0"/>
        </w:numPr>
        <w:ind w:left="432" w:hanging="432"/>
      </w:pPr>
      <w:bookmarkStart w:id="53" w:name="_Toc417564191"/>
      <w:r w:rsidRPr="00D32659">
        <w:t xml:space="preserve">SEZNAM </w:t>
      </w:r>
      <w:r w:rsidR="00236C24" w:rsidRPr="00D32659">
        <w:t>TABULEK</w:t>
      </w:r>
      <w:bookmarkEnd w:id="53"/>
    </w:p>
    <w:p w:rsidR="00236C24" w:rsidRPr="00D32659" w:rsidRDefault="00236C24" w:rsidP="00236C24">
      <w:pPr>
        <w:autoSpaceDE w:val="0"/>
        <w:autoSpaceDN w:val="0"/>
        <w:adjustRightInd w:val="0"/>
        <w:spacing w:after="0" w:line="240" w:lineRule="auto"/>
        <w:rPr>
          <w:rFonts w:eastAsiaTheme="minorHAnsi"/>
          <w:szCs w:val="24"/>
        </w:rPr>
      </w:pPr>
    </w:p>
    <w:p w:rsidR="00236C24" w:rsidRPr="00D32659" w:rsidRDefault="002F6B35" w:rsidP="00236C24">
      <w:r w:rsidRPr="00D32659">
        <w:t>Tabulka č. 1: Používané</w:t>
      </w:r>
      <w:r w:rsidR="00236C24" w:rsidRPr="00D32659">
        <w:t xml:space="preserve"> kategorie zisku </w:t>
      </w:r>
    </w:p>
    <w:p w:rsidR="00236C24" w:rsidRPr="00D32659" w:rsidRDefault="002F6B35" w:rsidP="00236C24">
      <w:r w:rsidRPr="00D32659">
        <w:t>Tabulka č. 2</w:t>
      </w:r>
      <w:r w:rsidR="00236C24" w:rsidRPr="00D32659">
        <w:t xml:space="preserve">: </w:t>
      </w:r>
      <w:r w:rsidRPr="00D32659">
        <w:t>Kralicekův quicktest</w:t>
      </w:r>
      <w:r w:rsidR="00236C24" w:rsidRPr="00D32659">
        <w:t xml:space="preserve"> </w:t>
      </w:r>
    </w:p>
    <w:p w:rsidR="00236C24" w:rsidRPr="00D32659" w:rsidRDefault="00236C24" w:rsidP="00236C24">
      <w:r w:rsidRPr="00D32659">
        <w:t xml:space="preserve">Tabulka č. </w:t>
      </w:r>
      <w:r w:rsidR="002F6B35" w:rsidRPr="00D32659">
        <w:t>3</w:t>
      </w:r>
      <w:r w:rsidRPr="00D32659">
        <w:t xml:space="preserve">: </w:t>
      </w:r>
      <w:r w:rsidR="002F6B35" w:rsidRPr="00D32659">
        <w:t>Hodnoty ukazatele likvidity v roce 2009 až 2013</w:t>
      </w:r>
    </w:p>
    <w:p w:rsidR="00236C24" w:rsidRPr="00D32659" w:rsidRDefault="00236C24" w:rsidP="00236C24">
      <w:r w:rsidRPr="00D32659">
        <w:t xml:space="preserve">Tabulka č. </w:t>
      </w:r>
      <w:r w:rsidR="002F6B35" w:rsidRPr="00D32659">
        <w:t>4</w:t>
      </w:r>
      <w:r w:rsidRPr="00D32659">
        <w:t xml:space="preserve">: </w:t>
      </w:r>
      <w:r w:rsidR="002F6B35" w:rsidRPr="00D32659">
        <w:t>Hodnoty ukazatele rentability</w:t>
      </w:r>
      <w:r w:rsidRPr="00D32659">
        <w:t xml:space="preserve"> </w:t>
      </w:r>
      <w:r w:rsidR="002F6B35" w:rsidRPr="00D32659">
        <w:t>v roce 2009 až 2013</w:t>
      </w:r>
    </w:p>
    <w:p w:rsidR="00236C24" w:rsidRPr="00D32659" w:rsidRDefault="00236C24" w:rsidP="00236C24">
      <w:r w:rsidRPr="00D32659">
        <w:t xml:space="preserve">Tabulka č. </w:t>
      </w:r>
      <w:r w:rsidR="002F6B35" w:rsidRPr="00D32659">
        <w:t>5</w:t>
      </w:r>
      <w:r w:rsidRPr="00D32659">
        <w:t xml:space="preserve">: </w:t>
      </w:r>
      <w:r w:rsidR="002F6B35" w:rsidRPr="00D32659">
        <w:t>Hodnoty ukazatele likvidity v roce 2009 až 2013</w:t>
      </w:r>
    </w:p>
    <w:p w:rsidR="00236C24" w:rsidRPr="00D32659" w:rsidRDefault="00236C24" w:rsidP="00236C24">
      <w:r w:rsidRPr="00D32659">
        <w:t xml:space="preserve">Tabulka č. </w:t>
      </w:r>
      <w:r w:rsidR="002F6B35" w:rsidRPr="00D32659">
        <w:t>6</w:t>
      </w:r>
      <w:r w:rsidRPr="00D32659">
        <w:t xml:space="preserve">: </w:t>
      </w:r>
      <w:r w:rsidR="002F6B35" w:rsidRPr="00D32659">
        <w:t>Hodnoty ukazatele zadluženosti v roce 2009 až 2013</w:t>
      </w:r>
    </w:p>
    <w:p w:rsidR="002F6B35" w:rsidRPr="00D32659" w:rsidRDefault="002F6B35" w:rsidP="00236C24">
      <w:r w:rsidRPr="00D32659">
        <w:t>Tabulka č. 7: Hodnoty ukazatele čistého pracovního kapitálu v roce 2009 až 2013</w:t>
      </w:r>
    </w:p>
    <w:p w:rsidR="002F6B35" w:rsidRPr="00D32659" w:rsidRDefault="002F6B35" w:rsidP="00236C24">
      <w:r w:rsidRPr="00D32659">
        <w:t>Tabulka č. 8: Hodnoty Taflerova modelu v roce 2009 až 2013</w:t>
      </w:r>
    </w:p>
    <w:p w:rsidR="002F6B35" w:rsidRPr="00D32659" w:rsidRDefault="002F6B35" w:rsidP="00236C24">
      <w:r w:rsidRPr="00D32659">
        <w:t>Tabulka č. 9: Kralicekův quicktest – hodnota ukazatelů v roce 2009 až 2013</w:t>
      </w:r>
    </w:p>
    <w:p w:rsidR="002F6B35" w:rsidRPr="00D32659" w:rsidRDefault="002F6B35" w:rsidP="00236C24">
      <w:r w:rsidRPr="00D32659">
        <w:t>Tabulka č. 10: Bodové hodnocení společnosti na základě Kralicekova quicktestu</w:t>
      </w:r>
    </w:p>
    <w:p w:rsidR="004328B3" w:rsidRPr="00D32659" w:rsidRDefault="004328B3" w:rsidP="008015B2">
      <w:pPr>
        <w:pStyle w:val="Nadpis1"/>
        <w:numPr>
          <w:ilvl w:val="0"/>
          <w:numId w:val="0"/>
        </w:numPr>
        <w:ind w:left="432" w:hanging="432"/>
        <w:jc w:val="both"/>
      </w:pPr>
    </w:p>
    <w:p w:rsidR="004328B3" w:rsidRPr="00D32659" w:rsidRDefault="004328B3" w:rsidP="008015B2">
      <w:pPr>
        <w:pStyle w:val="Nadpis1"/>
        <w:numPr>
          <w:ilvl w:val="0"/>
          <w:numId w:val="0"/>
        </w:numPr>
        <w:ind w:left="432" w:hanging="432"/>
        <w:jc w:val="both"/>
      </w:pPr>
      <w:bookmarkStart w:id="54" w:name="_Toc417564192"/>
      <w:r w:rsidRPr="00D32659">
        <w:t>SEZNAM SCHÉMAT</w:t>
      </w:r>
      <w:bookmarkEnd w:id="54"/>
    </w:p>
    <w:p w:rsidR="004328B3" w:rsidRPr="00D32659" w:rsidRDefault="004328B3" w:rsidP="002F6B35">
      <w:pPr>
        <w:pStyle w:val="Bezmezer"/>
      </w:pPr>
    </w:p>
    <w:p w:rsidR="004328B3" w:rsidRPr="00D32659" w:rsidRDefault="002F6B35" w:rsidP="00236C24">
      <w:r w:rsidRPr="00D32659">
        <w:t>Schéma č. 1: Zjednodušené schéma rozvahy</w:t>
      </w:r>
    </w:p>
    <w:p w:rsidR="002F6B35" w:rsidRPr="00D32659" w:rsidRDefault="002F6B35" w:rsidP="00236C24">
      <w:r w:rsidRPr="00D32659">
        <w:t>Schéma č. 2: Pyramidový rozklad ROE</w:t>
      </w:r>
    </w:p>
    <w:p w:rsidR="002F6B35" w:rsidRPr="00D32659" w:rsidRDefault="002F6B35" w:rsidP="00236C24">
      <w:r w:rsidRPr="00D32659">
        <w:t>Schéma č. 3: Pyramidový rozklad ROE v roce 2009 až 2013</w:t>
      </w:r>
    </w:p>
    <w:p w:rsidR="004328B3" w:rsidRPr="00D32659" w:rsidRDefault="004328B3" w:rsidP="008015B2">
      <w:pPr>
        <w:jc w:val="both"/>
      </w:pPr>
    </w:p>
    <w:p w:rsidR="004328B3" w:rsidRPr="00D32659" w:rsidRDefault="004328B3" w:rsidP="008015B2">
      <w:pPr>
        <w:jc w:val="both"/>
      </w:pPr>
      <w:r w:rsidRPr="00D32659">
        <w:br w:type="page"/>
      </w:r>
    </w:p>
    <w:p w:rsidR="004328B3" w:rsidRPr="00D32659" w:rsidRDefault="004328B3" w:rsidP="008015B2">
      <w:pPr>
        <w:pStyle w:val="Nadpis1"/>
        <w:numPr>
          <w:ilvl w:val="0"/>
          <w:numId w:val="0"/>
        </w:numPr>
        <w:ind w:left="432" w:hanging="432"/>
        <w:jc w:val="both"/>
      </w:pPr>
      <w:bookmarkStart w:id="55" w:name="_Toc417564193"/>
      <w:r w:rsidRPr="00D32659">
        <w:lastRenderedPageBreak/>
        <w:t xml:space="preserve">SEZNAM POŽITÝCH </w:t>
      </w:r>
      <w:r w:rsidR="00EC711D" w:rsidRPr="00D32659">
        <w:t>ZKRATEK</w:t>
      </w:r>
      <w:bookmarkEnd w:id="55"/>
    </w:p>
    <w:p w:rsidR="00EC711D" w:rsidRPr="00D32659" w:rsidRDefault="00EC711D" w:rsidP="008015B2">
      <w:pPr>
        <w:pStyle w:val="Bezmezer"/>
        <w:jc w:val="both"/>
        <w:rPr>
          <w:lang w:val="cs-CZ"/>
        </w:rPr>
      </w:pPr>
    </w:p>
    <w:p w:rsidR="00044417" w:rsidRPr="00D32659" w:rsidRDefault="00044417" w:rsidP="00044417">
      <w:pPr>
        <w:tabs>
          <w:tab w:val="left" w:pos="2552"/>
        </w:tabs>
        <w:autoSpaceDE w:val="0"/>
        <w:autoSpaceDN w:val="0"/>
        <w:adjustRightInd w:val="0"/>
        <w:spacing w:after="0" w:line="240" w:lineRule="auto"/>
        <w:rPr>
          <w:rFonts w:eastAsiaTheme="minorHAnsi"/>
          <w:szCs w:val="23"/>
        </w:rPr>
      </w:pPr>
      <w:r w:rsidRPr="00D32659">
        <w:rPr>
          <w:rFonts w:eastAsiaTheme="minorHAnsi"/>
          <w:szCs w:val="23"/>
        </w:rPr>
        <w:t xml:space="preserve">č. </w:t>
      </w:r>
      <w:r w:rsidRPr="00D32659">
        <w:rPr>
          <w:rFonts w:eastAsiaTheme="minorHAnsi"/>
          <w:szCs w:val="23"/>
        </w:rPr>
        <w:tab/>
        <w:t>číslo</w:t>
      </w:r>
    </w:p>
    <w:p w:rsidR="00044417" w:rsidRPr="00D32659" w:rsidRDefault="00044417" w:rsidP="00044417">
      <w:pPr>
        <w:tabs>
          <w:tab w:val="left" w:pos="2552"/>
        </w:tabs>
        <w:autoSpaceDE w:val="0"/>
        <w:autoSpaceDN w:val="0"/>
        <w:adjustRightInd w:val="0"/>
        <w:spacing w:after="0" w:line="240" w:lineRule="auto"/>
        <w:rPr>
          <w:rFonts w:eastAsiaTheme="minorHAnsi"/>
          <w:szCs w:val="23"/>
        </w:rPr>
      </w:pPr>
      <w:r w:rsidRPr="00D32659">
        <w:rPr>
          <w:rFonts w:eastAsiaTheme="minorHAnsi"/>
          <w:szCs w:val="23"/>
        </w:rPr>
        <w:t xml:space="preserve">dl. </w:t>
      </w:r>
      <w:r w:rsidRPr="00D32659">
        <w:rPr>
          <w:rFonts w:eastAsiaTheme="minorHAnsi"/>
          <w:szCs w:val="23"/>
        </w:rPr>
        <w:tab/>
        <w:t>dlouhodobý/é</w:t>
      </w:r>
    </w:p>
    <w:p w:rsidR="00044417" w:rsidRPr="00D32659" w:rsidRDefault="00044417" w:rsidP="00044417">
      <w:pPr>
        <w:tabs>
          <w:tab w:val="left" w:pos="2552"/>
        </w:tabs>
        <w:autoSpaceDE w:val="0"/>
        <w:autoSpaceDN w:val="0"/>
        <w:adjustRightInd w:val="0"/>
        <w:spacing w:after="0" w:line="240" w:lineRule="auto"/>
        <w:rPr>
          <w:rFonts w:eastAsiaTheme="minorHAnsi"/>
          <w:szCs w:val="23"/>
        </w:rPr>
      </w:pPr>
      <w:r w:rsidRPr="00D32659">
        <w:rPr>
          <w:rFonts w:eastAsiaTheme="minorHAnsi"/>
          <w:szCs w:val="23"/>
        </w:rPr>
        <w:t xml:space="preserve">EAT </w:t>
      </w:r>
      <w:r w:rsidRPr="00D32659">
        <w:rPr>
          <w:rFonts w:eastAsiaTheme="minorHAnsi"/>
          <w:szCs w:val="23"/>
        </w:rPr>
        <w:tab/>
        <w:t>Earnings after Taxes, zisk po zdanění</w:t>
      </w:r>
    </w:p>
    <w:p w:rsidR="00044417" w:rsidRPr="00D32659" w:rsidRDefault="00044417" w:rsidP="00044417">
      <w:pPr>
        <w:tabs>
          <w:tab w:val="left" w:pos="2552"/>
        </w:tabs>
        <w:autoSpaceDE w:val="0"/>
        <w:autoSpaceDN w:val="0"/>
        <w:adjustRightInd w:val="0"/>
        <w:spacing w:after="0" w:line="240" w:lineRule="auto"/>
        <w:rPr>
          <w:rFonts w:eastAsiaTheme="minorHAnsi"/>
          <w:szCs w:val="23"/>
        </w:rPr>
      </w:pPr>
      <w:r w:rsidRPr="00D32659">
        <w:rPr>
          <w:rFonts w:eastAsiaTheme="minorHAnsi"/>
          <w:szCs w:val="23"/>
        </w:rPr>
        <w:t xml:space="preserve">EBIT </w:t>
      </w:r>
      <w:r w:rsidRPr="00D32659">
        <w:rPr>
          <w:rFonts w:eastAsiaTheme="minorHAnsi"/>
          <w:szCs w:val="23"/>
        </w:rPr>
        <w:tab/>
        <w:t>Earnings before Interest and Taxes, zisk před úhradou úroků a daní</w:t>
      </w:r>
    </w:p>
    <w:p w:rsidR="00044417" w:rsidRPr="00D32659" w:rsidRDefault="00044417" w:rsidP="00044417">
      <w:pPr>
        <w:tabs>
          <w:tab w:val="left" w:pos="2552"/>
        </w:tabs>
        <w:autoSpaceDE w:val="0"/>
        <w:autoSpaceDN w:val="0"/>
        <w:adjustRightInd w:val="0"/>
        <w:spacing w:after="0" w:line="240" w:lineRule="auto"/>
        <w:rPr>
          <w:rFonts w:eastAsiaTheme="minorHAnsi"/>
          <w:szCs w:val="23"/>
        </w:rPr>
      </w:pPr>
      <w:r w:rsidRPr="00D32659">
        <w:rPr>
          <w:rFonts w:eastAsiaTheme="minorHAnsi"/>
          <w:szCs w:val="23"/>
        </w:rPr>
        <w:t>EBT</w:t>
      </w:r>
      <w:r w:rsidRPr="00D32659">
        <w:rPr>
          <w:rFonts w:eastAsiaTheme="minorHAnsi"/>
          <w:szCs w:val="23"/>
        </w:rPr>
        <w:tab/>
        <w:t>Earnings before Taxes, zisk před zdaněním</w:t>
      </w:r>
    </w:p>
    <w:p w:rsidR="001229A7" w:rsidRPr="00D32659" w:rsidRDefault="001229A7" w:rsidP="00044417">
      <w:pPr>
        <w:tabs>
          <w:tab w:val="left" w:pos="2552"/>
        </w:tabs>
        <w:autoSpaceDE w:val="0"/>
        <w:autoSpaceDN w:val="0"/>
        <w:adjustRightInd w:val="0"/>
        <w:spacing w:after="0" w:line="240" w:lineRule="auto"/>
        <w:rPr>
          <w:rFonts w:eastAsiaTheme="minorHAnsi"/>
          <w:szCs w:val="23"/>
        </w:rPr>
      </w:pPr>
      <w:r w:rsidRPr="00D32659">
        <w:rPr>
          <w:rFonts w:eastAsiaTheme="minorHAnsi"/>
          <w:szCs w:val="23"/>
        </w:rPr>
        <w:t>fin.</w:t>
      </w:r>
      <w:r w:rsidRPr="00D32659">
        <w:rPr>
          <w:rFonts w:eastAsiaTheme="minorHAnsi"/>
          <w:szCs w:val="23"/>
        </w:rPr>
        <w:tab/>
        <w:t>finanční</w:t>
      </w:r>
    </w:p>
    <w:p w:rsidR="00044417" w:rsidRPr="00D32659" w:rsidRDefault="00044417" w:rsidP="00044417">
      <w:pPr>
        <w:tabs>
          <w:tab w:val="left" w:pos="2552"/>
        </w:tabs>
        <w:autoSpaceDE w:val="0"/>
        <w:autoSpaceDN w:val="0"/>
        <w:adjustRightInd w:val="0"/>
        <w:spacing w:after="0" w:line="240" w:lineRule="auto"/>
        <w:rPr>
          <w:rFonts w:eastAsiaTheme="minorHAnsi"/>
          <w:szCs w:val="23"/>
        </w:rPr>
      </w:pPr>
      <w:r w:rsidRPr="00D32659">
        <w:rPr>
          <w:rFonts w:eastAsiaTheme="minorHAnsi"/>
          <w:szCs w:val="23"/>
        </w:rPr>
        <w:t xml:space="preserve">kr. </w:t>
      </w:r>
      <w:r w:rsidRPr="00D32659">
        <w:rPr>
          <w:rFonts w:eastAsiaTheme="minorHAnsi"/>
          <w:szCs w:val="23"/>
        </w:rPr>
        <w:tab/>
        <w:t>krátkodobý/é</w:t>
      </w:r>
    </w:p>
    <w:p w:rsidR="00044417" w:rsidRPr="00D32659" w:rsidRDefault="00044417" w:rsidP="00044417">
      <w:pPr>
        <w:tabs>
          <w:tab w:val="left" w:pos="2552"/>
        </w:tabs>
        <w:autoSpaceDE w:val="0"/>
        <w:autoSpaceDN w:val="0"/>
        <w:adjustRightInd w:val="0"/>
        <w:spacing w:after="0" w:line="240" w:lineRule="auto"/>
        <w:rPr>
          <w:rFonts w:eastAsiaTheme="minorHAnsi"/>
          <w:szCs w:val="23"/>
        </w:rPr>
      </w:pPr>
      <w:r w:rsidRPr="00D32659">
        <w:rPr>
          <w:rFonts w:eastAsiaTheme="minorHAnsi"/>
          <w:szCs w:val="23"/>
        </w:rPr>
        <w:t xml:space="preserve">ROA </w:t>
      </w:r>
      <w:r w:rsidRPr="00D32659">
        <w:rPr>
          <w:rFonts w:eastAsiaTheme="minorHAnsi"/>
          <w:szCs w:val="23"/>
        </w:rPr>
        <w:tab/>
        <w:t>Return on Assets, rentabilita celkového kapitálu</w:t>
      </w:r>
    </w:p>
    <w:p w:rsidR="00044417" w:rsidRPr="00D32659" w:rsidRDefault="00044417" w:rsidP="00044417">
      <w:pPr>
        <w:tabs>
          <w:tab w:val="left" w:pos="2552"/>
        </w:tabs>
        <w:autoSpaceDE w:val="0"/>
        <w:autoSpaceDN w:val="0"/>
        <w:adjustRightInd w:val="0"/>
        <w:spacing w:after="0" w:line="240" w:lineRule="auto"/>
        <w:rPr>
          <w:rFonts w:eastAsiaTheme="minorHAnsi"/>
          <w:szCs w:val="23"/>
        </w:rPr>
      </w:pPr>
      <w:r w:rsidRPr="00D32659">
        <w:rPr>
          <w:rFonts w:eastAsiaTheme="minorHAnsi"/>
          <w:szCs w:val="23"/>
        </w:rPr>
        <w:t xml:space="preserve">ROCE </w:t>
      </w:r>
      <w:r w:rsidRPr="00D32659">
        <w:rPr>
          <w:rFonts w:eastAsiaTheme="minorHAnsi"/>
          <w:szCs w:val="23"/>
        </w:rPr>
        <w:tab/>
        <w:t>Return on Capital Employed, rentabilita investovaného kapitálu</w:t>
      </w:r>
    </w:p>
    <w:p w:rsidR="00044417" w:rsidRPr="00D32659" w:rsidRDefault="00044417" w:rsidP="00044417">
      <w:pPr>
        <w:tabs>
          <w:tab w:val="left" w:pos="2552"/>
        </w:tabs>
        <w:autoSpaceDE w:val="0"/>
        <w:autoSpaceDN w:val="0"/>
        <w:adjustRightInd w:val="0"/>
        <w:spacing w:after="0" w:line="240" w:lineRule="auto"/>
        <w:rPr>
          <w:rFonts w:eastAsiaTheme="minorHAnsi"/>
          <w:szCs w:val="23"/>
        </w:rPr>
      </w:pPr>
      <w:r w:rsidRPr="00D32659">
        <w:rPr>
          <w:rFonts w:eastAsiaTheme="minorHAnsi"/>
          <w:szCs w:val="23"/>
        </w:rPr>
        <w:t>ROE</w:t>
      </w:r>
      <w:r w:rsidRPr="00D32659">
        <w:rPr>
          <w:rFonts w:eastAsiaTheme="minorHAnsi"/>
          <w:szCs w:val="23"/>
        </w:rPr>
        <w:tab/>
        <w:t>Return on Equity, rentabilita vlastního kapitálu</w:t>
      </w:r>
    </w:p>
    <w:p w:rsidR="00044417" w:rsidRPr="00D32659" w:rsidRDefault="00044417" w:rsidP="00044417">
      <w:pPr>
        <w:tabs>
          <w:tab w:val="left" w:pos="2552"/>
        </w:tabs>
        <w:autoSpaceDE w:val="0"/>
        <w:autoSpaceDN w:val="0"/>
        <w:adjustRightInd w:val="0"/>
        <w:spacing w:after="0" w:line="240" w:lineRule="auto"/>
        <w:rPr>
          <w:rFonts w:eastAsiaTheme="minorHAnsi"/>
          <w:szCs w:val="23"/>
        </w:rPr>
      </w:pPr>
      <w:r w:rsidRPr="00D32659">
        <w:rPr>
          <w:rFonts w:eastAsiaTheme="minorHAnsi"/>
          <w:szCs w:val="23"/>
        </w:rPr>
        <w:t xml:space="preserve">ROS </w:t>
      </w:r>
      <w:r w:rsidRPr="00D32659">
        <w:rPr>
          <w:rFonts w:eastAsiaTheme="minorHAnsi"/>
          <w:szCs w:val="23"/>
        </w:rPr>
        <w:tab/>
        <w:t>Return on Sales, rentabilita tržeb</w:t>
      </w:r>
    </w:p>
    <w:p w:rsidR="00044417" w:rsidRPr="00D32659" w:rsidRDefault="00044417" w:rsidP="00044417">
      <w:pPr>
        <w:tabs>
          <w:tab w:val="left" w:pos="2552"/>
        </w:tabs>
        <w:autoSpaceDE w:val="0"/>
        <w:autoSpaceDN w:val="0"/>
        <w:adjustRightInd w:val="0"/>
        <w:spacing w:after="0" w:line="240" w:lineRule="auto"/>
        <w:rPr>
          <w:rFonts w:eastAsiaTheme="minorHAnsi"/>
          <w:szCs w:val="23"/>
        </w:rPr>
      </w:pPr>
      <w:r w:rsidRPr="00D32659">
        <w:rPr>
          <w:rFonts w:eastAsiaTheme="minorHAnsi"/>
          <w:szCs w:val="23"/>
        </w:rPr>
        <w:t xml:space="preserve">Spol. </w:t>
      </w:r>
      <w:r w:rsidRPr="00D32659">
        <w:rPr>
          <w:rFonts w:eastAsiaTheme="minorHAnsi"/>
          <w:szCs w:val="23"/>
        </w:rPr>
        <w:tab/>
        <w:t>společnost</w:t>
      </w:r>
    </w:p>
    <w:p w:rsidR="00044417" w:rsidRPr="00D32659" w:rsidRDefault="00044417" w:rsidP="00044417">
      <w:pPr>
        <w:tabs>
          <w:tab w:val="left" w:pos="2552"/>
        </w:tabs>
        <w:autoSpaceDE w:val="0"/>
        <w:autoSpaceDN w:val="0"/>
        <w:adjustRightInd w:val="0"/>
        <w:spacing w:after="0" w:line="240" w:lineRule="auto"/>
        <w:rPr>
          <w:rFonts w:eastAsiaTheme="minorHAnsi"/>
          <w:szCs w:val="23"/>
        </w:rPr>
      </w:pPr>
      <w:r w:rsidRPr="00D32659">
        <w:rPr>
          <w:rFonts w:eastAsiaTheme="minorHAnsi"/>
          <w:szCs w:val="23"/>
        </w:rPr>
        <w:t>s.r.o.</w:t>
      </w:r>
      <w:r w:rsidRPr="00D32659">
        <w:rPr>
          <w:rFonts w:eastAsiaTheme="minorHAnsi"/>
          <w:szCs w:val="23"/>
        </w:rPr>
        <w:tab/>
        <w:t>s ručením omezeným</w:t>
      </w:r>
    </w:p>
    <w:p w:rsidR="00044417" w:rsidRPr="00D32659" w:rsidRDefault="00044417" w:rsidP="00044417">
      <w:pPr>
        <w:tabs>
          <w:tab w:val="left" w:pos="2552"/>
        </w:tabs>
        <w:autoSpaceDE w:val="0"/>
        <w:autoSpaceDN w:val="0"/>
        <w:adjustRightInd w:val="0"/>
        <w:spacing w:after="0" w:line="240" w:lineRule="auto"/>
        <w:rPr>
          <w:rFonts w:eastAsiaTheme="minorHAnsi"/>
          <w:szCs w:val="23"/>
        </w:rPr>
      </w:pPr>
      <w:r w:rsidRPr="00D32659">
        <w:rPr>
          <w:rFonts w:eastAsiaTheme="minorHAnsi"/>
          <w:szCs w:val="23"/>
        </w:rPr>
        <w:t xml:space="preserve">tzv. </w:t>
      </w:r>
      <w:r w:rsidRPr="00D32659">
        <w:rPr>
          <w:rFonts w:eastAsiaTheme="minorHAnsi"/>
          <w:szCs w:val="23"/>
        </w:rPr>
        <w:tab/>
        <w:t>takzvaný/á</w:t>
      </w:r>
    </w:p>
    <w:p w:rsidR="00044417" w:rsidRPr="00D32659" w:rsidRDefault="00044417" w:rsidP="00044417">
      <w:pPr>
        <w:tabs>
          <w:tab w:val="left" w:pos="2552"/>
        </w:tabs>
        <w:autoSpaceDE w:val="0"/>
        <w:autoSpaceDN w:val="0"/>
        <w:adjustRightInd w:val="0"/>
        <w:spacing w:after="0" w:line="240" w:lineRule="auto"/>
        <w:rPr>
          <w:rFonts w:eastAsiaTheme="minorHAnsi"/>
          <w:szCs w:val="23"/>
        </w:rPr>
      </w:pPr>
    </w:p>
    <w:p w:rsidR="003D05DA" w:rsidRDefault="003D05DA">
      <w:pPr>
        <w:rPr>
          <w:rFonts w:eastAsiaTheme="minorHAnsi"/>
          <w:szCs w:val="23"/>
        </w:rPr>
        <w:sectPr w:rsidR="003D05DA" w:rsidSect="00FA2E31">
          <w:footerReference w:type="default" r:id="rId22"/>
          <w:footerReference w:type="first" r:id="rId23"/>
          <w:pgSz w:w="11906" w:h="16838"/>
          <w:pgMar w:top="1418" w:right="851" w:bottom="1134" w:left="1985" w:header="709" w:footer="709" w:gutter="0"/>
          <w:pgNumType w:start="12"/>
          <w:cols w:space="708"/>
          <w:titlePg/>
          <w:docGrid w:linePitch="360"/>
        </w:sectPr>
      </w:pPr>
      <w:r>
        <w:rPr>
          <w:rFonts w:eastAsiaTheme="minorHAnsi"/>
          <w:szCs w:val="23"/>
        </w:rPr>
        <w:br w:type="page"/>
      </w:r>
    </w:p>
    <w:p w:rsidR="00B70974" w:rsidRPr="00D32659" w:rsidRDefault="00B70974" w:rsidP="00B70974">
      <w:pPr>
        <w:pStyle w:val="Nadpis1"/>
        <w:numPr>
          <w:ilvl w:val="0"/>
          <w:numId w:val="0"/>
        </w:numPr>
        <w:ind w:left="432" w:hanging="432"/>
        <w:rPr>
          <w:rFonts w:eastAsiaTheme="minorHAnsi"/>
        </w:rPr>
      </w:pPr>
      <w:bookmarkStart w:id="56" w:name="_Toc417367518"/>
      <w:bookmarkStart w:id="57" w:name="_Toc417564194"/>
      <w:r w:rsidRPr="00D32659">
        <w:rPr>
          <w:rFonts w:eastAsiaTheme="minorHAnsi"/>
        </w:rPr>
        <w:lastRenderedPageBreak/>
        <w:t>SEZNAM PŘÍLOH</w:t>
      </w:r>
      <w:bookmarkEnd w:id="56"/>
      <w:bookmarkEnd w:id="57"/>
    </w:p>
    <w:p w:rsidR="00B70974" w:rsidRPr="00D32659" w:rsidRDefault="00B70974" w:rsidP="00B70974">
      <w:pPr>
        <w:pStyle w:val="Bezmezer"/>
      </w:pPr>
    </w:p>
    <w:p w:rsidR="00B70974" w:rsidRPr="00D32659" w:rsidRDefault="00B70974" w:rsidP="00B70974">
      <w:r w:rsidRPr="00D32659">
        <w:t>Příloha č. 1: Rozvaha v letech 2009 až 2013</w:t>
      </w:r>
    </w:p>
    <w:p w:rsidR="00B70974" w:rsidRPr="00D32659" w:rsidRDefault="00B70974" w:rsidP="00B70974">
      <w:r w:rsidRPr="00D32659">
        <w:t>Příloha č. 2: Vertikální analýza rozvahy</w:t>
      </w:r>
    </w:p>
    <w:p w:rsidR="00B70974" w:rsidRPr="00D32659" w:rsidRDefault="00B70974" w:rsidP="00B70974">
      <w:r w:rsidRPr="00D32659">
        <w:t>Příloha č. 3: Horizontální analýza rozvahy</w:t>
      </w:r>
    </w:p>
    <w:p w:rsidR="00B70974" w:rsidRPr="00D32659" w:rsidRDefault="00B70974" w:rsidP="00B70974">
      <w:r w:rsidRPr="00D32659">
        <w:t>Příloha č. 4: Výkaz zisku a ztrát v letech 2009 až 2013</w:t>
      </w:r>
    </w:p>
    <w:p w:rsidR="00B70974" w:rsidRPr="00D32659" w:rsidRDefault="00B70974" w:rsidP="00B70974">
      <w:r w:rsidRPr="00D32659">
        <w:t>Příloha č. 5: Vertikální analýza výkazu zisku a ztrát</w:t>
      </w:r>
    </w:p>
    <w:p w:rsidR="00B70974" w:rsidRPr="00D32659" w:rsidRDefault="00B70974" w:rsidP="00B70974">
      <w:r w:rsidRPr="00D32659">
        <w:t>Příloha č. 6: Horizontální analýza výkazu zisku a ztrát</w:t>
      </w:r>
      <w:r w:rsidRPr="00D32659">
        <w:br w:type="page"/>
      </w:r>
    </w:p>
    <w:p w:rsidR="00B70974" w:rsidRPr="00D32659" w:rsidRDefault="00B70974" w:rsidP="00B70974">
      <w:pPr>
        <w:rPr>
          <w:b/>
        </w:rPr>
      </w:pPr>
      <w:r w:rsidRPr="00D32659">
        <w:rPr>
          <w:b/>
        </w:rPr>
        <w:lastRenderedPageBreak/>
        <w:t>Příloha č. 1: Rozvaha v letech 2009 až 2013</w:t>
      </w:r>
    </w:p>
    <w:tbl>
      <w:tblPr>
        <w:tblW w:w="8295" w:type="dxa"/>
        <w:tblInd w:w="-72" w:type="dxa"/>
        <w:tblCellMar>
          <w:left w:w="70" w:type="dxa"/>
          <w:right w:w="70" w:type="dxa"/>
        </w:tblCellMar>
        <w:tblLook w:val="04A0" w:firstRow="1" w:lastRow="0" w:firstColumn="1" w:lastColumn="0" w:noHBand="0" w:noVBand="1"/>
      </w:tblPr>
      <w:tblGrid>
        <w:gridCol w:w="4740"/>
        <w:gridCol w:w="640"/>
        <w:gridCol w:w="760"/>
        <w:gridCol w:w="806"/>
        <w:gridCol w:w="709"/>
        <w:gridCol w:w="640"/>
      </w:tblGrid>
      <w:tr w:rsidR="00B70974" w:rsidRPr="00D32659" w:rsidTr="00C13D8C">
        <w:trPr>
          <w:trHeight w:val="435"/>
        </w:trPr>
        <w:tc>
          <w:tcPr>
            <w:tcW w:w="4740" w:type="dxa"/>
            <w:tcBorders>
              <w:top w:val="single" w:sz="8" w:space="0" w:color="auto"/>
              <w:left w:val="single" w:sz="8"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jc w:val="center"/>
              <w:rPr>
                <w:rFonts w:eastAsia="Times New Roman"/>
                <w:sz w:val="20"/>
                <w:szCs w:val="20"/>
                <w:lang w:eastAsia="cs-CZ"/>
              </w:rPr>
            </w:pPr>
            <w:r w:rsidRPr="00D32659">
              <w:rPr>
                <w:rFonts w:eastAsia="Times New Roman"/>
                <w:sz w:val="20"/>
                <w:szCs w:val="20"/>
                <w:lang w:eastAsia="cs-CZ"/>
              </w:rPr>
              <w:t> </w:t>
            </w:r>
          </w:p>
        </w:tc>
        <w:tc>
          <w:tcPr>
            <w:tcW w:w="640" w:type="dxa"/>
            <w:tcBorders>
              <w:top w:val="single" w:sz="8" w:space="0" w:color="auto"/>
              <w:left w:val="nil"/>
              <w:bottom w:val="single" w:sz="4" w:space="0" w:color="auto"/>
              <w:right w:val="single" w:sz="4" w:space="0" w:color="auto"/>
            </w:tcBorders>
            <w:shd w:val="clear" w:color="auto" w:fill="auto"/>
            <w:noWrap/>
            <w:vAlign w:val="center"/>
            <w:hideMark/>
          </w:tcPr>
          <w:p w:rsidR="00B70974" w:rsidRPr="00D32659" w:rsidRDefault="00B70974" w:rsidP="00C13D8C">
            <w:pPr>
              <w:spacing w:after="0" w:line="240" w:lineRule="auto"/>
              <w:jc w:val="center"/>
              <w:rPr>
                <w:rFonts w:eastAsia="Times New Roman"/>
                <w:b/>
                <w:bCs/>
                <w:sz w:val="20"/>
                <w:szCs w:val="20"/>
                <w:lang w:eastAsia="cs-CZ"/>
              </w:rPr>
            </w:pPr>
            <w:r w:rsidRPr="00D32659">
              <w:rPr>
                <w:rFonts w:eastAsia="Times New Roman"/>
                <w:b/>
                <w:bCs/>
                <w:sz w:val="20"/>
                <w:szCs w:val="20"/>
                <w:lang w:eastAsia="cs-CZ"/>
              </w:rPr>
              <w:t>2009</w:t>
            </w:r>
          </w:p>
        </w:tc>
        <w:tc>
          <w:tcPr>
            <w:tcW w:w="760" w:type="dxa"/>
            <w:tcBorders>
              <w:top w:val="single" w:sz="8" w:space="0" w:color="auto"/>
              <w:left w:val="nil"/>
              <w:bottom w:val="single" w:sz="4" w:space="0" w:color="auto"/>
              <w:right w:val="single" w:sz="4" w:space="0" w:color="auto"/>
            </w:tcBorders>
            <w:shd w:val="clear" w:color="auto" w:fill="auto"/>
            <w:noWrap/>
            <w:vAlign w:val="center"/>
            <w:hideMark/>
          </w:tcPr>
          <w:p w:rsidR="00B70974" w:rsidRPr="00D32659" w:rsidRDefault="00B70974" w:rsidP="00C13D8C">
            <w:pPr>
              <w:spacing w:after="0" w:line="240" w:lineRule="auto"/>
              <w:jc w:val="center"/>
              <w:rPr>
                <w:rFonts w:eastAsia="Times New Roman"/>
                <w:b/>
                <w:bCs/>
                <w:sz w:val="20"/>
                <w:szCs w:val="20"/>
                <w:lang w:eastAsia="cs-CZ"/>
              </w:rPr>
            </w:pPr>
            <w:r w:rsidRPr="00D32659">
              <w:rPr>
                <w:rFonts w:eastAsia="Times New Roman"/>
                <w:b/>
                <w:bCs/>
                <w:sz w:val="20"/>
                <w:szCs w:val="20"/>
                <w:lang w:eastAsia="cs-CZ"/>
              </w:rPr>
              <w:t>2010</w:t>
            </w:r>
          </w:p>
        </w:tc>
        <w:tc>
          <w:tcPr>
            <w:tcW w:w="806" w:type="dxa"/>
            <w:tcBorders>
              <w:top w:val="single" w:sz="8" w:space="0" w:color="auto"/>
              <w:left w:val="nil"/>
              <w:bottom w:val="single" w:sz="4" w:space="0" w:color="auto"/>
              <w:right w:val="single" w:sz="4" w:space="0" w:color="auto"/>
            </w:tcBorders>
            <w:shd w:val="clear" w:color="auto" w:fill="auto"/>
            <w:noWrap/>
            <w:vAlign w:val="center"/>
            <w:hideMark/>
          </w:tcPr>
          <w:p w:rsidR="00B70974" w:rsidRPr="00D32659" w:rsidRDefault="00B70974" w:rsidP="00C13D8C">
            <w:pPr>
              <w:spacing w:after="0" w:line="240" w:lineRule="auto"/>
              <w:jc w:val="center"/>
              <w:rPr>
                <w:rFonts w:eastAsia="Times New Roman"/>
                <w:b/>
                <w:bCs/>
                <w:sz w:val="20"/>
                <w:szCs w:val="20"/>
                <w:lang w:eastAsia="cs-CZ"/>
              </w:rPr>
            </w:pPr>
            <w:r w:rsidRPr="00D32659">
              <w:rPr>
                <w:rFonts w:eastAsia="Times New Roman"/>
                <w:b/>
                <w:bCs/>
                <w:sz w:val="20"/>
                <w:szCs w:val="20"/>
                <w:lang w:eastAsia="cs-CZ"/>
              </w:rPr>
              <w:t>2011</w:t>
            </w:r>
          </w:p>
        </w:tc>
        <w:tc>
          <w:tcPr>
            <w:tcW w:w="709" w:type="dxa"/>
            <w:tcBorders>
              <w:top w:val="single" w:sz="8" w:space="0" w:color="auto"/>
              <w:left w:val="nil"/>
              <w:bottom w:val="single" w:sz="4" w:space="0" w:color="auto"/>
              <w:right w:val="single" w:sz="4" w:space="0" w:color="auto"/>
            </w:tcBorders>
            <w:shd w:val="clear" w:color="auto" w:fill="auto"/>
            <w:noWrap/>
            <w:vAlign w:val="center"/>
            <w:hideMark/>
          </w:tcPr>
          <w:p w:rsidR="00B70974" w:rsidRPr="00D32659" w:rsidRDefault="00B70974" w:rsidP="00C13D8C">
            <w:pPr>
              <w:spacing w:after="0" w:line="240" w:lineRule="auto"/>
              <w:jc w:val="center"/>
              <w:rPr>
                <w:rFonts w:eastAsia="Times New Roman"/>
                <w:b/>
                <w:bCs/>
                <w:sz w:val="20"/>
                <w:szCs w:val="20"/>
                <w:lang w:eastAsia="cs-CZ"/>
              </w:rPr>
            </w:pPr>
            <w:r w:rsidRPr="00D32659">
              <w:rPr>
                <w:rFonts w:eastAsia="Times New Roman"/>
                <w:b/>
                <w:bCs/>
                <w:sz w:val="20"/>
                <w:szCs w:val="20"/>
                <w:lang w:eastAsia="cs-CZ"/>
              </w:rPr>
              <w:t>2012</w:t>
            </w:r>
          </w:p>
        </w:tc>
        <w:tc>
          <w:tcPr>
            <w:tcW w:w="640" w:type="dxa"/>
            <w:tcBorders>
              <w:top w:val="single" w:sz="8" w:space="0" w:color="auto"/>
              <w:left w:val="nil"/>
              <w:bottom w:val="single" w:sz="4" w:space="0" w:color="auto"/>
              <w:right w:val="single" w:sz="8" w:space="0" w:color="auto"/>
            </w:tcBorders>
            <w:shd w:val="clear" w:color="auto" w:fill="auto"/>
            <w:noWrap/>
            <w:vAlign w:val="center"/>
            <w:hideMark/>
          </w:tcPr>
          <w:p w:rsidR="00B70974" w:rsidRPr="00D32659" w:rsidRDefault="00B70974" w:rsidP="00C13D8C">
            <w:pPr>
              <w:spacing w:after="0" w:line="240" w:lineRule="auto"/>
              <w:jc w:val="center"/>
              <w:rPr>
                <w:rFonts w:eastAsia="Times New Roman"/>
                <w:b/>
                <w:bCs/>
                <w:sz w:val="20"/>
                <w:szCs w:val="20"/>
                <w:lang w:eastAsia="cs-CZ"/>
              </w:rPr>
            </w:pPr>
            <w:r w:rsidRPr="00D32659">
              <w:rPr>
                <w:rFonts w:eastAsia="Times New Roman"/>
                <w:b/>
                <w:bCs/>
                <w:sz w:val="20"/>
                <w:szCs w:val="20"/>
                <w:lang w:eastAsia="cs-CZ"/>
              </w:rPr>
              <w:t>2013</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AKTIVA CELKEM </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14813</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21 308</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16 793</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15529</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13874</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Pohledávky za upsaný základní kapitál</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Dlouhodobý majetek </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5763</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11 831</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7 510</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7510</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6524</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Dlouhodobý  nehmotný majetek</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205</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205</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110</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 xml:space="preserve">Dlouhodobý hmotný majetek </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5763</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11 831</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7 305</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7305</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6414</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 xml:space="preserve">Dlouhodobý finanční majetek  </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Oběžná aktiva</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9020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9 461</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9 279</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7933</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7284</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Zásoby</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2326</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3 349</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3 151</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3143</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2778</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Dlouhodobé pohledávky</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Krátkodobé pohledávky</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6544</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5 147</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4 742</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4144</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4545</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Krátkodobý finanční majetek</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150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965</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1 386</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646</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-39</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Časové rozlišení</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30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16</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4</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86</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66</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PASIVA CELKEM  </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14813</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21 308</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16 793</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15530</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13874</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Vlastní kapitál</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8075</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8 813</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9 454</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9586</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9622</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Základní kapitál</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100</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100</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100</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100</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Kapitálové fondy</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 </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Rezervní fondy, nedělitelný fond a ostatní fondy ze zisku</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2193</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2 193</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2 193</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2 193</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2193</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Výsledek hospodaření minulých let</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5329</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5 783</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6 520</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7 161</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7292</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 xml:space="preserve">Výsledek hospodaření běžného účetního období </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453</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737</w:t>
            </w:r>
          </w:p>
        </w:tc>
        <w:tc>
          <w:tcPr>
            <w:tcW w:w="806" w:type="dxa"/>
            <w:tcBorders>
              <w:top w:val="nil"/>
              <w:left w:val="nil"/>
              <w:bottom w:val="single" w:sz="4" w:space="0" w:color="auto"/>
              <w:right w:val="single" w:sz="4" w:space="0" w:color="auto"/>
            </w:tcBorders>
            <w:shd w:val="clear" w:color="auto" w:fill="auto"/>
            <w:noWrap/>
            <w:vAlign w:val="center"/>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641</w:t>
            </w:r>
          </w:p>
        </w:tc>
        <w:tc>
          <w:tcPr>
            <w:tcW w:w="709" w:type="dxa"/>
            <w:tcBorders>
              <w:top w:val="nil"/>
              <w:left w:val="nil"/>
              <w:bottom w:val="single" w:sz="4" w:space="0" w:color="auto"/>
              <w:right w:val="single" w:sz="4" w:space="0" w:color="auto"/>
            </w:tcBorders>
            <w:shd w:val="clear" w:color="auto" w:fill="auto"/>
            <w:noWrap/>
            <w:vAlign w:val="center"/>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132</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37</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Cizí zdroje </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6738</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12 495</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7 291</w:t>
            </w:r>
          </w:p>
        </w:tc>
        <w:tc>
          <w:tcPr>
            <w:tcW w:w="709" w:type="dxa"/>
            <w:tcBorders>
              <w:top w:val="nil"/>
              <w:left w:val="nil"/>
              <w:bottom w:val="single" w:sz="4" w:space="0" w:color="auto"/>
              <w:right w:val="single" w:sz="4" w:space="0" w:color="auto"/>
            </w:tcBorders>
            <w:shd w:val="clear" w:color="auto" w:fill="auto"/>
            <w:noWrap/>
            <w:vAlign w:val="center"/>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5944</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4252</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Rezervy</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Dlouhodobé závazky</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Krátkodobé závazky</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4173</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8 880</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4 876</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4 429</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4137</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Bankovní úvěry a výpomoci</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2565</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3 615</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2 415</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1 515</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115</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Bankovní úvěry dlouhodobé</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1500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3 000</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2 300</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1 400</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Běžné bankovní úvěry</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975</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r>
      <w:tr w:rsidR="00B70974" w:rsidRPr="00D32659" w:rsidTr="00C13D8C">
        <w:trPr>
          <w:trHeight w:val="255"/>
        </w:trPr>
        <w:tc>
          <w:tcPr>
            <w:tcW w:w="4740" w:type="dxa"/>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Krátkodobé výpomoci</w:t>
            </w:r>
          </w:p>
        </w:tc>
        <w:tc>
          <w:tcPr>
            <w:tcW w:w="64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90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615</w:t>
            </w:r>
          </w:p>
        </w:tc>
        <w:tc>
          <w:tcPr>
            <w:tcW w:w="80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115</w:t>
            </w:r>
          </w:p>
        </w:tc>
        <w:tc>
          <w:tcPr>
            <w:tcW w:w="709"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115</w:t>
            </w:r>
          </w:p>
        </w:tc>
        <w:tc>
          <w:tcPr>
            <w:tcW w:w="64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115</w:t>
            </w:r>
          </w:p>
        </w:tc>
      </w:tr>
      <w:tr w:rsidR="00B70974" w:rsidRPr="00D32659" w:rsidTr="00C13D8C">
        <w:trPr>
          <w:trHeight w:val="270"/>
        </w:trPr>
        <w:tc>
          <w:tcPr>
            <w:tcW w:w="474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Časové rozlišení</w:t>
            </w:r>
          </w:p>
        </w:tc>
        <w:tc>
          <w:tcPr>
            <w:tcW w:w="640"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760"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806"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48</w:t>
            </w:r>
          </w:p>
        </w:tc>
        <w:tc>
          <w:tcPr>
            <w:tcW w:w="709"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c>
          <w:tcPr>
            <w:tcW w:w="640" w:type="dxa"/>
            <w:tcBorders>
              <w:top w:val="nil"/>
              <w:left w:val="nil"/>
              <w:bottom w:val="single" w:sz="8"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20"/>
                <w:szCs w:val="20"/>
                <w:lang w:eastAsia="cs-CZ"/>
              </w:rPr>
            </w:pPr>
            <w:r w:rsidRPr="00D32659">
              <w:rPr>
                <w:rFonts w:eastAsia="Times New Roman"/>
                <w:sz w:val="20"/>
                <w:szCs w:val="20"/>
                <w:lang w:eastAsia="cs-CZ"/>
              </w:rPr>
              <w:t>0</w:t>
            </w:r>
          </w:p>
        </w:tc>
      </w:tr>
    </w:tbl>
    <w:p w:rsidR="00B70974" w:rsidRPr="00D32659" w:rsidRDefault="00B70974" w:rsidP="00B70974">
      <w:pPr>
        <w:pStyle w:val="Nadpis1"/>
        <w:numPr>
          <w:ilvl w:val="0"/>
          <w:numId w:val="0"/>
        </w:numPr>
        <w:ind w:left="432" w:hanging="432"/>
        <w:rPr>
          <w:rFonts w:eastAsiaTheme="minorHAnsi"/>
        </w:rPr>
      </w:pPr>
    </w:p>
    <w:p w:rsidR="00B70974" w:rsidRPr="00D32659" w:rsidRDefault="00B70974" w:rsidP="00B70974">
      <w:pPr>
        <w:rPr>
          <w:rFonts w:eastAsiaTheme="minorHAnsi" w:cstheme="majorBidi"/>
          <w:b/>
          <w:bCs/>
          <w:kern w:val="32"/>
          <w:sz w:val="32"/>
          <w:szCs w:val="32"/>
        </w:rPr>
      </w:pPr>
      <w:r w:rsidRPr="00D32659">
        <w:rPr>
          <w:rFonts w:eastAsiaTheme="minorHAnsi"/>
        </w:rPr>
        <w:br w:type="page"/>
      </w:r>
    </w:p>
    <w:p w:rsidR="00B70974" w:rsidRPr="00D32659" w:rsidRDefault="00B70974" w:rsidP="00B70974">
      <w:pPr>
        <w:rPr>
          <w:b/>
        </w:rPr>
      </w:pPr>
      <w:r w:rsidRPr="00D32659">
        <w:rPr>
          <w:b/>
        </w:rPr>
        <w:lastRenderedPageBreak/>
        <w:t>Příloha č. 2: Vertikální analýza rozvahy</w:t>
      </w:r>
    </w:p>
    <w:tbl>
      <w:tblPr>
        <w:tblW w:w="8700" w:type="dxa"/>
        <w:tblInd w:w="55" w:type="dxa"/>
        <w:tblCellMar>
          <w:left w:w="70" w:type="dxa"/>
          <w:right w:w="70" w:type="dxa"/>
        </w:tblCellMar>
        <w:tblLook w:val="04A0" w:firstRow="1" w:lastRow="0" w:firstColumn="1" w:lastColumn="0" w:noHBand="0" w:noVBand="1"/>
      </w:tblPr>
      <w:tblGrid>
        <w:gridCol w:w="4900"/>
        <w:gridCol w:w="760"/>
        <w:gridCol w:w="760"/>
        <w:gridCol w:w="760"/>
        <w:gridCol w:w="760"/>
        <w:gridCol w:w="760"/>
      </w:tblGrid>
      <w:tr w:rsidR="00B70974" w:rsidRPr="00D32659" w:rsidTr="00C13D8C">
        <w:trPr>
          <w:trHeight w:val="435"/>
        </w:trPr>
        <w:tc>
          <w:tcPr>
            <w:tcW w:w="4900" w:type="dxa"/>
            <w:tcBorders>
              <w:top w:val="single" w:sz="8" w:space="0" w:color="auto"/>
              <w:left w:val="single" w:sz="8"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jc w:val="center"/>
              <w:rPr>
                <w:rFonts w:eastAsia="Times New Roman"/>
                <w:sz w:val="16"/>
                <w:szCs w:val="16"/>
                <w:lang w:eastAsia="cs-CZ"/>
              </w:rPr>
            </w:pPr>
            <w:r w:rsidRPr="00D32659">
              <w:rPr>
                <w:rFonts w:eastAsia="Times New Roman"/>
                <w:sz w:val="16"/>
                <w:szCs w:val="16"/>
                <w:lang w:eastAsia="cs-CZ"/>
              </w:rPr>
              <w:t>VERTIKALNI ANALÝZA</w:t>
            </w:r>
          </w:p>
        </w:tc>
        <w:tc>
          <w:tcPr>
            <w:tcW w:w="760" w:type="dxa"/>
            <w:tcBorders>
              <w:top w:val="single" w:sz="8" w:space="0" w:color="auto"/>
              <w:left w:val="nil"/>
              <w:bottom w:val="single" w:sz="4" w:space="0" w:color="auto"/>
              <w:right w:val="single" w:sz="4" w:space="0" w:color="auto"/>
            </w:tcBorders>
            <w:shd w:val="clear" w:color="auto" w:fill="auto"/>
            <w:noWrap/>
            <w:vAlign w:val="center"/>
            <w:hideMark/>
          </w:tcPr>
          <w:p w:rsidR="00B70974" w:rsidRPr="00D32659" w:rsidRDefault="00B70974" w:rsidP="00C13D8C">
            <w:pPr>
              <w:spacing w:after="0" w:line="240" w:lineRule="auto"/>
              <w:jc w:val="center"/>
              <w:rPr>
                <w:rFonts w:eastAsia="Times New Roman"/>
                <w:b/>
                <w:bCs/>
                <w:sz w:val="16"/>
                <w:szCs w:val="16"/>
                <w:lang w:eastAsia="cs-CZ"/>
              </w:rPr>
            </w:pPr>
            <w:r w:rsidRPr="00D32659">
              <w:rPr>
                <w:rFonts w:eastAsia="Times New Roman"/>
                <w:b/>
                <w:bCs/>
                <w:sz w:val="16"/>
                <w:szCs w:val="16"/>
                <w:lang w:eastAsia="cs-CZ"/>
              </w:rPr>
              <w:t>2009</w:t>
            </w:r>
          </w:p>
        </w:tc>
        <w:tc>
          <w:tcPr>
            <w:tcW w:w="760" w:type="dxa"/>
            <w:tcBorders>
              <w:top w:val="single" w:sz="8" w:space="0" w:color="auto"/>
              <w:left w:val="nil"/>
              <w:bottom w:val="single" w:sz="4" w:space="0" w:color="auto"/>
              <w:right w:val="single" w:sz="4" w:space="0" w:color="auto"/>
            </w:tcBorders>
            <w:shd w:val="clear" w:color="auto" w:fill="auto"/>
            <w:noWrap/>
            <w:vAlign w:val="center"/>
            <w:hideMark/>
          </w:tcPr>
          <w:p w:rsidR="00B70974" w:rsidRPr="00D32659" w:rsidRDefault="00B70974" w:rsidP="00C13D8C">
            <w:pPr>
              <w:spacing w:after="0" w:line="240" w:lineRule="auto"/>
              <w:jc w:val="center"/>
              <w:rPr>
                <w:rFonts w:eastAsia="Times New Roman"/>
                <w:b/>
                <w:bCs/>
                <w:sz w:val="16"/>
                <w:szCs w:val="16"/>
                <w:lang w:eastAsia="cs-CZ"/>
              </w:rPr>
            </w:pPr>
            <w:r w:rsidRPr="00D32659">
              <w:rPr>
                <w:rFonts w:eastAsia="Times New Roman"/>
                <w:b/>
                <w:bCs/>
                <w:sz w:val="16"/>
                <w:szCs w:val="16"/>
                <w:lang w:eastAsia="cs-CZ"/>
              </w:rPr>
              <w:t>2010</w:t>
            </w:r>
          </w:p>
        </w:tc>
        <w:tc>
          <w:tcPr>
            <w:tcW w:w="760" w:type="dxa"/>
            <w:tcBorders>
              <w:top w:val="single" w:sz="8" w:space="0" w:color="auto"/>
              <w:left w:val="nil"/>
              <w:bottom w:val="single" w:sz="4" w:space="0" w:color="auto"/>
              <w:right w:val="single" w:sz="4" w:space="0" w:color="auto"/>
            </w:tcBorders>
            <w:shd w:val="clear" w:color="auto" w:fill="auto"/>
            <w:noWrap/>
            <w:vAlign w:val="center"/>
            <w:hideMark/>
          </w:tcPr>
          <w:p w:rsidR="00B70974" w:rsidRPr="00D32659" w:rsidRDefault="00B70974" w:rsidP="00C13D8C">
            <w:pPr>
              <w:spacing w:after="0" w:line="240" w:lineRule="auto"/>
              <w:jc w:val="center"/>
              <w:rPr>
                <w:rFonts w:eastAsia="Times New Roman"/>
                <w:b/>
                <w:bCs/>
                <w:sz w:val="16"/>
                <w:szCs w:val="16"/>
                <w:lang w:eastAsia="cs-CZ"/>
              </w:rPr>
            </w:pPr>
            <w:r w:rsidRPr="00D32659">
              <w:rPr>
                <w:rFonts w:eastAsia="Times New Roman"/>
                <w:b/>
                <w:bCs/>
                <w:sz w:val="16"/>
                <w:szCs w:val="16"/>
                <w:lang w:eastAsia="cs-CZ"/>
              </w:rPr>
              <w:t>2011</w:t>
            </w:r>
          </w:p>
        </w:tc>
        <w:tc>
          <w:tcPr>
            <w:tcW w:w="760" w:type="dxa"/>
            <w:tcBorders>
              <w:top w:val="single" w:sz="8" w:space="0" w:color="auto"/>
              <w:left w:val="nil"/>
              <w:bottom w:val="single" w:sz="4" w:space="0" w:color="auto"/>
              <w:right w:val="single" w:sz="4" w:space="0" w:color="auto"/>
            </w:tcBorders>
            <w:shd w:val="clear" w:color="auto" w:fill="auto"/>
            <w:noWrap/>
            <w:vAlign w:val="center"/>
            <w:hideMark/>
          </w:tcPr>
          <w:p w:rsidR="00B70974" w:rsidRPr="00D32659" w:rsidRDefault="00B70974" w:rsidP="00C13D8C">
            <w:pPr>
              <w:spacing w:after="0" w:line="240" w:lineRule="auto"/>
              <w:jc w:val="center"/>
              <w:rPr>
                <w:rFonts w:eastAsia="Times New Roman"/>
                <w:b/>
                <w:bCs/>
                <w:sz w:val="16"/>
                <w:szCs w:val="16"/>
                <w:lang w:eastAsia="cs-CZ"/>
              </w:rPr>
            </w:pPr>
            <w:r w:rsidRPr="00D32659">
              <w:rPr>
                <w:rFonts w:eastAsia="Times New Roman"/>
                <w:b/>
                <w:bCs/>
                <w:sz w:val="16"/>
                <w:szCs w:val="16"/>
                <w:lang w:eastAsia="cs-CZ"/>
              </w:rPr>
              <w:t>2012</w:t>
            </w:r>
          </w:p>
        </w:tc>
        <w:tc>
          <w:tcPr>
            <w:tcW w:w="760" w:type="dxa"/>
            <w:tcBorders>
              <w:top w:val="single" w:sz="8" w:space="0" w:color="auto"/>
              <w:left w:val="nil"/>
              <w:bottom w:val="single" w:sz="4" w:space="0" w:color="auto"/>
              <w:right w:val="single" w:sz="8" w:space="0" w:color="auto"/>
            </w:tcBorders>
            <w:shd w:val="clear" w:color="auto" w:fill="auto"/>
            <w:noWrap/>
            <w:vAlign w:val="center"/>
            <w:hideMark/>
          </w:tcPr>
          <w:p w:rsidR="00B70974" w:rsidRPr="00D32659" w:rsidRDefault="00B70974" w:rsidP="00C13D8C">
            <w:pPr>
              <w:spacing w:after="0" w:line="240" w:lineRule="auto"/>
              <w:jc w:val="center"/>
              <w:rPr>
                <w:rFonts w:eastAsia="Times New Roman"/>
                <w:b/>
                <w:bCs/>
                <w:sz w:val="16"/>
                <w:szCs w:val="16"/>
                <w:lang w:eastAsia="cs-CZ"/>
              </w:rPr>
            </w:pPr>
            <w:r w:rsidRPr="00D32659">
              <w:rPr>
                <w:rFonts w:eastAsia="Times New Roman"/>
                <w:b/>
                <w:bCs/>
                <w:sz w:val="16"/>
                <w:szCs w:val="16"/>
                <w:lang w:eastAsia="cs-CZ"/>
              </w:rPr>
              <w:t>2013</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 xml:space="preserve">AKTIVA CELKEM </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100,00%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100,00%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100,00%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100,00%</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Pohledávky za upsaný základní kapitál</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 xml:space="preserve">Dlouhodobý majetek </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38,91%</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55,52%</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44,72%</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48,36%</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47,02%</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Dlouhodobý  nehmotný majetek</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1,22%</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1,32%</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0,79%</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Dlouhodobý hmotný majetek </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38,91%</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55,52%</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43,50%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47,04%</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46,23%</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Dlouhodobý finanční majetek  </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Oběžná aktiva</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60,89%</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44,40%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55,26%</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51,09%</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52,50%</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Zásoby</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15,70%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15,72%</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18,76%</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20,24%</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20,02%</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Dlouhodobé pohledávky</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Krátkodobé pohledávky</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44,18%</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24,16%</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28,24%</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26,69%</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32,76%</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Krátkodobý finanční majetek</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1,01%</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4,53%</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8,25%</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4,16%</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-0,28%</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Časové rozlišení</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0,20%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0,08%</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0,02%</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0,55%</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0,48%</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 xml:space="preserve">PASIVA CELKEM  </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100,00%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100,00%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100,00%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100,00%</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Vlastní kapitál</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54,51%</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41,36%</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56,30%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61,73%</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69,35%</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Základní kapitál</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0,68%</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0,47%</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0,60%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0,64%</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0,72%</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Kapitálové fondy</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Rezervní fondy, nedělitelný fond a ostatní fondy ze zisku</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14,80%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10,29%</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13,06%</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14,12%</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15,81%</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Výsledek hospodaření minulých let</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35,98%</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27,14%</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38,83%</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46,11%</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52,56%</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Výsledek hospodaření běžného účetního období ( + / - )</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3,06%</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3,46%</w:t>
            </w:r>
          </w:p>
        </w:tc>
        <w:tc>
          <w:tcPr>
            <w:tcW w:w="760" w:type="dxa"/>
            <w:tcBorders>
              <w:top w:val="nil"/>
              <w:left w:val="nil"/>
              <w:bottom w:val="single" w:sz="4" w:space="0" w:color="auto"/>
              <w:right w:val="single" w:sz="4" w:space="0" w:color="auto"/>
            </w:tcBorders>
            <w:shd w:val="clear" w:color="auto" w:fill="auto"/>
            <w:noWrap/>
            <w:vAlign w:val="center"/>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3,82%</w:t>
            </w:r>
          </w:p>
        </w:tc>
        <w:tc>
          <w:tcPr>
            <w:tcW w:w="760" w:type="dxa"/>
            <w:tcBorders>
              <w:top w:val="nil"/>
              <w:left w:val="nil"/>
              <w:bottom w:val="single" w:sz="4" w:space="0" w:color="auto"/>
              <w:right w:val="single" w:sz="4" w:space="0" w:color="auto"/>
            </w:tcBorders>
            <w:shd w:val="clear" w:color="auto" w:fill="auto"/>
            <w:noWrap/>
            <w:vAlign w:val="center"/>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0,85%</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0,27%</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 xml:space="preserve">Cizí zdroje </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45,49%</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58,64%</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43,42%</w:t>
            </w:r>
          </w:p>
        </w:tc>
        <w:tc>
          <w:tcPr>
            <w:tcW w:w="760" w:type="dxa"/>
            <w:tcBorders>
              <w:top w:val="nil"/>
              <w:left w:val="nil"/>
              <w:bottom w:val="single" w:sz="4" w:space="0" w:color="auto"/>
              <w:right w:val="single" w:sz="4" w:space="0" w:color="auto"/>
            </w:tcBorders>
            <w:shd w:val="clear" w:color="auto" w:fill="auto"/>
            <w:noWrap/>
            <w:vAlign w:val="center"/>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38,27%</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30,65%</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Rezervy</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Dlouhodobé závazky</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Krátkodobé závazky</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28,17%</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41,67%</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29,04%</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28,52%</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29,82%</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Bankovní úvěry a výpomoci</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17,32%</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16,97%</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14,38%</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9,76%</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0,83%</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Bankovní úvěry dlouhodobé</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10,13%</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14,08%</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13,70%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9,01%</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Běžné bankovní úvěry</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6,58%</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25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20"/>
                <w:szCs w:val="20"/>
                <w:lang w:eastAsia="cs-CZ"/>
              </w:rPr>
            </w:pPr>
            <w:r w:rsidRPr="00D32659">
              <w:rPr>
                <w:rFonts w:eastAsia="Times New Roman"/>
                <w:sz w:val="20"/>
                <w:szCs w:val="20"/>
                <w:lang w:eastAsia="cs-CZ"/>
              </w:rPr>
              <w:t>Krátkodobé výpomoci</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0,61%</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2,89%</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0,68%</w:t>
            </w:r>
          </w:p>
        </w:tc>
        <w:tc>
          <w:tcPr>
            <w:tcW w:w="76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0,74%</w:t>
            </w:r>
          </w:p>
        </w:tc>
        <w:tc>
          <w:tcPr>
            <w:tcW w:w="76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0,83%</w:t>
            </w:r>
          </w:p>
        </w:tc>
      </w:tr>
      <w:tr w:rsidR="00B70974" w:rsidRPr="00D32659" w:rsidTr="00C13D8C">
        <w:trPr>
          <w:trHeight w:val="270"/>
        </w:trPr>
        <w:tc>
          <w:tcPr>
            <w:tcW w:w="490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Časové rozlišení</w:t>
            </w:r>
          </w:p>
        </w:tc>
        <w:tc>
          <w:tcPr>
            <w:tcW w:w="760"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0,29%</w:t>
            </w:r>
          </w:p>
        </w:tc>
        <w:tc>
          <w:tcPr>
            <w:tcW w:w="760"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760" w:type="dxa"/>
            <w:tcBorders>
              <w:top w:val="nil"/>
              <w:left w:val="nil"/>
              <w:bottom w:val="single" w:sz="8"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bl>
    <w:p w:rsidR="00B70974" w:rsidRPr="00D32659" w:rsidRDefault="00B70974" w:rsidP="00B70974">
      <w:pPr>
        <w:rPr>
          <w:rFonts w:eastAsiaTheme="minorHAnsi"/>
          <w:szCs w:val="24"/>
        </w:rPr>
      </w:pPr>
    </w:p>
    <w:p w:rsidR="00B70974" w:rsidRPr="00D32659" w:rsidRDefault="00B70974" w:rsidP="00B70974">
      <w:pPr>
        <w:rPr>
          <w:rFonts w:eastAsiaTheme="minorHAnsi"/>
          <w:szCs w:val="24"/>
        </w:rPr>
      </w:pPr>
      <w:r w:rsidRPr="00D32659">
        <w:rPr>
          <w:rFonts w:eastAsiaTheme="minorHAnsi"/>
          <w:szCs w:val="24"/>
        </w:rPr>
        <w:br w:type="page"/>
      </w:r>
    </w:p>
    <w:p w:rsidR="00B70974" w:rsidRPr="00D32659" w:rsidRDefault="00B70974" w:rsidP="00B70974">
      <w:pPr>
        <w:rPr>
          <w:rFonts w:eastAsiaTheme="minorHAnsi"/>
          <w:b/>
          <w:szCs w:val="24"/>
        </w:rPr>
      </w:pPr>
      <w:r w:rsidRPr="00D32659">
        <w:rPr>
          <w:rFonts w:eastAsiaTheme="minorHAnsi"/>
          <w:b/>
          <w:szCs w:val="24"/>
        </w:rPr>
        <w:lastRenderedPageBreak/>
        <w:t>Příloha č. 3: Horizontální analýza rozvahy</w:t>
      </w:r>
    </w:p>
    <w:tbl>
      <w:tblPr>
        <w:tblW w:w="9600" w:type="dxa"/>
        <w:tblInd w:w="55" w:type="dxa"/>
        <w:tblCellMar>
          <w:left w:w="70" w:type="dxa"/>
          <w:right w:w="70" w:type="dxa"/>
        </w:tblCellMar>
        <w:tblLook w:val="04A0" w:firstRow="1" w:lastRow="0" w:firstColumn="1" w:lastColumn="0" w:noHBand="0" w:noVBand="1"/>
      </w:tblPr>
      <w:tblGrid>
        <w:gridCol w:w="3760"/>
        <w:gridCol w:w="644"/>
        <w:gridCol w:w="876"/>
        <w:gridCol w:w="644"/>
        <w:gridCol w:w="836"/>
        <w:gridCol w:w="575"/>
        <w:gridCol w:w="885"/>
        <w:gridCol w:w="557"/>
        <w:gridCol w:w="823"/>
      </w:tblGrid>
      <w:tr w:rsidR="00B70974" w:rsidRPr="00D32659" w:rsidTr="00C13D8C">
        <w:trPr>
          <w:trHeight w:val="300"/>
        </w:trPr>
        <w:tc>
          <w:tcPr>
            <w:tcW w:w="3760" w:type="dxa"/>
            <w:tcBorders>
              <w:top w:val="single" w:sz="8" w:space="0" w:color="auto"/>
              <w:left w:val="single" w:sz="8"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jc w:val="center"/>
              <w:rPr>
                <w:rFonts w:eastAsia="Times New Roman"/>
                <w:sz w:val="16"/>
                <w:szCs w:val="16"/>
                <w:lang w:eastAsia="cs-CZ"/>
              </w:rPr>
            </w:pPr>
            <w:r w:rsidRPr="00D32659">
              <w:rPr>
                <w:rFonts w:eastAsia="Times New Roman"/>
                <w:sz w:val="16"/>
                <w:szCs w:val="16"/>
                <w:lang w:eastAsia="cs-CZ"/>
              </w:rPr>
              <w:t>HORIZONTÁLNÍ ANALÝZA</w:t>
            </w:r>
          </w:p>
        </w:tc>
        <w:tc>
          <w:tcPr>
            <w:tcW w:w="1520" w:type="dxa"/>
            <w:gridSpan w:val="2"/>
            <w:tcBorders>
              <w:top w:val="single" w:sz="8"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center"/>
              <w:rPr>
                <w:rFonts w:eastAsia="Times New Roman"/>
                <w:sz w:val="16"/>
                <w:szCs w:val="16"/>
                <w:lang w:eastAsia="cs-CZ"/>
              </w:rPr>
            </w:pPr>
            <w:r w:rsidRPr="00D32659">
              <w:rPr>
                <w:rFonts w:eastAsia="Times New Roman"/>
                <w:sz w:val="16"/>
                <w:szCs w:val="16"/>
                <w:lang w:eastAsia="cs-CZ"/>
              </w:rPr>
              <w:t>2009-2010</w:t>
            </w:r>
          </w:p>
        </w:tc>
        <w:tc>
          <w:tcPr>
            <w:tcW w:w="1480" w:type="dxa"/>
            <w:gridSpan w:val="2"/>
            <w:tcBorders>
              <w:top w:val="single" w:sz="8"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center"/>
              <w:rPr>
                <w:rFonts w:eastAsia="Times New Roman"/>
                <w:sz w:val="16"/>
                <w:szCs w:val="16"/>
                <w:lang w:eastAsia="cs-CZ"/>
              </w:rPr>
            </w:pPr>
            <w:r w:rsidRPr="00D32659">
              <w:rPr>
                <w:rFonts w:eastAsia="Times New Roman"/>
                <w:sz w:val="16"/>
                <w:szCs w:val="16"/>
                <w:lang w:eastAsia="cs-CZ"/>
              </w:rPr>
              <w:t>2010-2011</w:t>
            </w:r>
          </w:p>
        </w:tc>
        <w:tc>
          <w:tcPr>
            <w:tcW w:w="1460" w:type="dxa"/>
            <w:gridSpan w:val="2"/>
            <w:tcBorders>
              <w:top w:val="single" w:sz="8"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center"/>
              <w:rPr>
                <w:rFonts w:eastAsia="Times New Roman"/>
                <w:sz w:val="16"/>
                <w:szCs w:val="16"/>
                <w:lang w:eastAsia="cs-CZ"/>
              </w:rPr>
            </w:pPr>
            <w:r w:rsidRPr="00D32659">
              <w:rPr>
                <w:rFonts w:eastAsia="Times New Roman"/>
                <w:sz w:val="16"/>
                <w:szCs w:val="16"/>
                <w:lang w:eastAsia="cs-CZ"/>
              </w:rPr>
              <w:t>2011-2012</w:t>
            </w:r>
          </w:p>
        </w:tc>
        <w:tc>
          <w:tcPr>
            <w:tcW w:w="1380" w:type="dxa"/>
            <w:gridSpan w:val="2"/>
            <w:tcBorders>
              <w:top w:val="single" w:sz="8" w:space="0" w:color="auto"/>
              <w:left w:val="nil"/>
              <w:bottom w:val="single" w:sz="4" w:space="0" w:color="auto"/>
              <w:right w:val="single" w:sz="8" w:space="0" w:color="000000"/>
            </w:tcBorders>
            <w:shd w:val="clear" w:color="auto" w:fill="auto"/>
            <w:noWrap/>
            <w:vAlign w:val="bottom"/>
            <w:hideMark/>
          </w:tcPr>
          <w:p w:rsidR="00B70974" w:rsidRPr="00D32659" w:rsidRDefault="00B70974" w:rsidP="00C13D8C">
            <w:pPr>
              <w:spacing w:after="0" w:line="240" w:lineRule="auto"/>
              <w:jc w:val="center"/>
              <w:rPr>
                <w:rFonts w:eastAsia="Times New Roman"/>
                <w:sz w:val="16"/>
                <w:szCs w:val="16"/>
                <w:lang w:eastAsia="cs-CZ"/>
              </w:rPr>
            </w:pPr>
            <w:r w:rsidRPr="00D32659">
              <w:rPr>
                <w:rFonts w:eastAsia="Times New Roman"/>
                <w:sz w:val="16"/>
                <w:szCs w:val="16"/>
                <w:lang w:eastAsia="cs-CZ"/>
              </w:rPr>
              <w:t>2012-2013</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jc w:val="center"/>
              <w:rPr>
                <w:rFonts w:eastAsia="Times New Roman"/>
                <w:sz w:val="16"/>
                <w:szCs w:val="16"/>
                <w:lang w:eastAsia="cs-CZ"/>
              </w:rPr>
            </w:pPr>
            <w:r w:rsidRPr="00D32659">
              <w:rPr>
                <w:rFonts w:eastAsia="Times New Roman"/>
                <w:sz w:val="16"/>
                <w:szCs w:val="16"/>
                <w:lang w:eastAsia="cs-CZ"/>
              </w:rPr>
              <w:t> </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ABS</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REL</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ABS</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REL</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ABS</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REL</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ABS</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REL</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 xml:space="preserve">AKTIVA CELKEM </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6 495</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43,85%</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-4 515</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-21,19%</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-1 264</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-7,53%</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-1655</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-10,66%</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Pohledávky za upsaný základní kapitál</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 xml:space="preserve">Dlouhodobý majetek </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6 068</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105,29%</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-4 321</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-36,52%</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-986</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-13,13%</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Dlouhodobý  nehmotný majetek</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-95</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-46,34%</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Dlouhodobý hmotný majetek </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6 068</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105,29%</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-4 526</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-38,26%</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-891</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-12,20%</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Dlouhodobý finanční majetek  </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Oběžná aktiva</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441</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4,89%</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-182</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-1,92%</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-1 346</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-14,51%</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-649</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-8,18%</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Zásoby</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1 023</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43,98%</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-182</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-5,43%</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-0,25%</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-365</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-11,61%</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Dlouhodobé pohledávky</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Krátkodobé pohledávky</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-1 397</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-21,35%</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-405</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-7,87%</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-598</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-12,61%</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401</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9,68%</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Krátkodobý finanční majetek</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815</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543,33%</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421</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43,63%</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-740</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-53,39%</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-685</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-106,04%</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Časové rozlišení</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-46,67%</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-75,00%</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82</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2050,00%</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-20</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-23,26%</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jc w:val="center"/>
              <w:rPr>
                <w:rFonts w:eastAsia="Times New Roman"/>
                <w:b/>
                <w:bCs/>
                <w:sz w:val="16"/>
                <w:szCs w:val="16"/>
                <w:lang w:eastAsia="cs-CZ"/>
              </w:rPr>
            </w:pPr>
            <w:r w:rsidRPr="00D32659">
              <w:rPr>
                <w:rFonts w:eastAsia="Times New Roman"/>
                <w:b/>
                <w:bCs/>
                <w:sz w:val="16"/>
                <w:szCs w:val="16"/>
                <w:lang w:eastAsia="cs-CZ"/>
              </w:rPr>
              <w:t> </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 xml:space="preserve">PASIVA CELKEM  </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6 495</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43,85%</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-4 515</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-21,19%</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-1 263</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-7,52%</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-1656</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-10,66%</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Vlastní kapitál</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738</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9,14%</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641</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7,27%</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132</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1,40%</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36</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0,38%</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Základní kapitál</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Kapitálové fondy</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trHeight w:val="405"/>
        </w:trPr>
        <w:tc>
          <w:tcPr>
            <w:tcW w:w="3760" w:type="dxa"/>
            <w:tcBorders>
              <w:top w:val="single" w:sz="4" w:space="0" w:color="auto"/>
              <w:left w:val="single" w:sz="8" w:space="0" w:color="auto"/>
              <w:bottom w:val="single" w:sz="4" w:space="0" w:color="auto"/>
              <w:right w:val="single" w:sz="4" w:space="0" w:color="000000"/>
            </w:tcBorders>
            <w:shd w:val="clear" w:color="auto" w:fill="auto"/>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Rezervní fondy, nedělitelný fond a ostatní fondy ze zisku</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Výsledek hospodaření minulých let</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454</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8,52%</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737</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12,74%</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641</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9,83%</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7 292</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101,83%</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 xml:space="preserve">Výsledek hospodaření běžného účetního období </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284</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62,69%</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-96</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-13,03%</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-509</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-79,41%</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-95</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-71,97%</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 xml:space="preserve">Cizí zdroje </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5 757</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85,44%</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-5 204</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-41,65%</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-1 347</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-18,47%</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-1692</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-28,47%</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Rezervy</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Dlouhodobé závazky</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Krátkodobé závazky</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4 707</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112,80%</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-4 004</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-45,09%</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-447</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-9,17%</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-292</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-6,59%</w:t>
            </w:r>
          </w:p>
        </w:tc>
      </w:tr>
      <w:tr w:rsidR="00B70974" w:rsidRPr="00D32659" w:rsidTr="00C13D8C">
        <w:trPr>
          <w:trHeight w:val="225"/>
        </w:trPr>
        <w:tc>
          <w:tcPr>
            <w:tcW w:w="37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Bankovní úvěry a výpomoci</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1 050</w:t>
            </w:r>
          </w:p>
        </w:tc>
        <w:tc>
          <w:tcPr>
            <w:tcW w:w="87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40,94%</w:t>
            </w:r>
          </w:p>
        </w:tc>
        <w:tc>
          <w:tcPr>
            <w:tcW w:w="644"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-1 200</w:t>
            </w:r>
          </w:p>
        </w:tc>
        <w:tc>
          <w:tcPr>
            <w:tcW w:w="836"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-33,20%</w:t>
            </w:r>
          </w:p>
        </w:tc>
        <w:tc>
          <w:tcPr>
            <w:tcW w:w="57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-900</w:t>
            </w:r>
          </w:p>
        </w:tc>
        <w:tc>
          <w:tcPr>
            <w:tcW w:w="885"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-37,27%</w:t>
            </w:r>
          </w:p>
        </w:tc>
        <w:tc>
          <w:tcPr>
            <w:tcW w:w="557"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-1 400</w:t>
            </w:r>
          </w:p>
        </w:tc>
        <w:tc>
          <w:tcPr>
            <w:tcW w:w="823"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-92,41%</w:t>
            </w:r>
          </w:p>
        </w:tc>
      </w:tr>
      <w:tr w:rsidR="00B70974" w:rsidRPr="00D32659" w:rsidTr="00C13D8C">
        <w:trPr>
          <w:trHeight w:val="240"/>
        </w:trPr>
        <w:tc>
          <w:tcPr>
            <w:tcW w:w="376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Časové rozlišení</w:t>
            </w:r>
          </w:p>
        </w:tc>
        <w:tc>
          <w:tcPr>
            <w:tcW w:w="644"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76"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44"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48</w:t>
            </w:r>
          </w:p>
        </w:tc>
        <w:tc>
          <w:tcPr>
            <w:tcW w:w="836"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75"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-48</w:t>
            </w:r>
          </w:p>
        </w:tc>
        <w:tc>
          <w:tcPr>
            <w:tcW w:w="885"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-100,00%</w:t>
            </w:r>
          </w:p>
        </w:tc>
        <w:tc>
          <w:tcPr>
            <w:tcW w:w="557"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23" w:type="dxa"/>
            <w:tcBorders>
              <w:top w:val="nil"/>
              <w:left w:val="nil"/>
              <w:bottom w:val="single" w:sz="8"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bl>
    <w:p w:rsidR="00B70974" w:rsidRPr="00D32659" w:rsidRDefault="00B70974" w:rsidP="00B70974">
      <w:pPr>
        <w:rPr>
          <w:rFonts w:eastAsiaTheme="minorHAnsi"/>
          <w:szCs w:val="24"/>
        </w:rPr>
      </w:pPr>
      <w:r w:rsidRPr="00D32659">
        <w:rPr>
          <w:rFonts w:eastAsiaTheme="minorHAnsi"/>
          <w:szCs w:val="24"/>
        </w:rPr>
        <w:br w:type="page"/>
      </w:r>
    </w:p>
    <w:p w:rsidR="00B70974" w:rsidRPr="00D32659" w:rsidRDefault="00B70974" w:rsidP="00B70974">
      <w:pPr>
        <w:rPr>
          <w:b/>
        </w:rPr>
      </w:pPr>
      <w:r w:rsidRPr="00D32659">
        <w:rPr>
          <w:b/>
        </w:rPr>
        <w:lastRenderedPageBreak/>
        <w:t>Příloha č. 4: Výkaz zisku a ztrát v letech 2009 až 2013</w:t>
      </w:r>
    </w:p>
    <w:tbl>
      <w:tblPr>
        <w:tblW w:w="9160" w:type="dxa"/>
        <w:tblInd w:w="55" w:type="dxa"/>
        <w:tblCellMar>
          <w:left w:w="70" w:type="dxa"/>
          <w:right w:w="70" w:type="dxa"/>
        </w:tblCellMar>
        <w:tblLook w:val="04A0" w:firstRow="1" w:lastRow="0" w:firstColumn="1" w:lastColumn="0" w:noHBand="0" w:noVBand="1"/>
      </w:tblPr>
      <w:tblGrid>
        <w:gridCol w:w="5440"/>
        <w:gridCol w:w="700"/>
        <w:gridCol w:w="700"/>
        <w:gridCol w:w="920"/>
        <w:gridCol w:w="700"/>
        <w:gridCol w:w="700"/>
      </w:tblGrid>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jc w:val="center"/>
              <w:rPr>
                <w:rFonts w:eastAsia="Times New Roman"/>
                <w:sz w:val="16"/>
                <w:szCs w:val="16"/>
                <w:lang w:eastAsia="cs-CZ"/>
              </w:rPr>
            </w:pPr>
            <w:r w:rsidRPr="00D32659">
              <w:rPr>
                <w:rFonts w:eastAsia="Times New Roman"/>
                <w:sz w:val="16"/>
                <w:szCs w:val="16"/>
                <w:lang w:eastAsia="cs-CZ"/>
              </w:rPr>
              <w:t> </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2009</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2010</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2011</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2012</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16"/>
                <w:szCs w:val="16"/>
                <w:lang w:eastAsia="cs-CZ"/>
              </w:rPr>
            </w:pPr>
            <w:r w:rsidRPr="00D32659">
              <w:rPr>
                <w:rFonts w:eastAsia="Times New Roman"/>
                <w:b/>
                <w:bCs/>
                <w:sz w:val="16"/>
                <w:szCs w:val="16"/>
                <w:lang w:eastAsia="cs-CZ"/>
              </w:rPr>
              <w:t>2013</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Tržby za prodej zboží </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1693</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1026</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1154</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1365</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1561</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Náklady vynaložené na prodané zboží</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1419</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850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958</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888</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839</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Obchodní marže  </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274</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176</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196</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477</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722</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Výkony  </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21483</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19170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27422</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20961</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24134</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tržby za prodej v. výr a služeb</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22466</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18679</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27990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20512</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24663</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změna stavu zásob</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-983</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491</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-568</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449</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-529</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aktivace</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Výkonová spotřeba   </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14745</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12560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18980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14683</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16353</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spotřeba materiálů a energie</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9462</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8268</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13762</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10906</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12032</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služby</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5283</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4292</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5219</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3778</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4321</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Přidaná hodnota</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7012</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6786</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8638</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6755</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8503</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Osobní náklady</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7324</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6604</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8404</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7538</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8280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Daně a poplatky</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74</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64</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26</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46</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58</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Odpisy dlouhodobého nehmotného a hmotného majetku</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269</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171</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648</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986</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Tržby z prodeje dlouhodobého majetku a materiálu</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Zůstatková cena prodaného dlouhodobého majetku a materiálu</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465"/>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Změna stavu rezerv a opravných položek v provozní oblasti a komplexních nákladů příštích období ( + / - )</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-293</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193</w:t>
            </w:r>
          </w:p>
        </w:tc>
      </w:tr>
      <w:tr w:rsidR="00B70974" w:rsidRPr="00D32659" w:rsidTr="00C13D8C">
        <w:trPr>
          <w:trHeight w:val="315"/>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Ostatní provozní výnosy</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1750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1667</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1681</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1488</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1428</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Ostatní provozní náklady</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671</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515</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253</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300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269</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provozních výnosů</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provozních nákladů</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Provozní výsledek hospodaření  </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717</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1099</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988</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359</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145</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Tržby z prodeje cenných papírů a podílů</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Prodané cenné papíry a podíly</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Výnosy z dlouhodobého finančního majetku</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Výnosy z krátkoodobého finančního majetku</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Náklady z finančního majetku</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186</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Výnosy z přecenění cenných papírů a derivátů</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Náklady z přecenění cenných papírů a derivátů</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Změna stavu rezerv a opravných položek ve finanční oblasti ( + / - )</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Výnosové úroky</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Nákladové úroky</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Ostatní finanční výnosy</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153</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38</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69</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39</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Ostatní finanční náklady</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333</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243</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258</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222</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finančních výnosů</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finančních nákladů</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Finanční výsledek hospodaření</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-180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-205</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-189</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-183</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-96</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Daň z příjmů za běžnou činnost  </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133</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176</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158</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45</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Výsledek hospodaření za běžnou činnost </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404</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718</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641</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131</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37</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Mimořádné výnosy</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49</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19</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Mimořádné náklady</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Daň z příjmů z mimořádné činnosti </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lastRenderedPageBreak/>
              <w:t xml:space="preserve">Mimořádný výsledek hospodaření  </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49</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19</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podílu na výsledku hospodaření společníkům (+/-)</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Výsledek hospodaření za účetní období (+/-)</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453</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737</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641</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131</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37</w:t>
            </w:r>
          </w:p>
        </w:tc>
      </w:tr>
      <w:tr w:rsidR="00B70974" w:rsidRPr="00D32659" w:rsidTr="00C13D8C">
        <w:trPr>
          <w:trHeight w:val="300"/>
        </w:trPr>
        <w:tc>
          <w:tcPr>
            <w:tcW w:w="54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Výsledek hospodaření před zdaněním (+/-)</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586</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913</w:t>
            </w:r>
          </w:p>
        </w:tc>
        <w:tc>
          <w:tcPr>
            <w:tcW w:w="92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799</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176</w:t>
            </w:r>
          </w:p>
        </w:tc>
        <w:tc>
          <w:tcPr>
            <w:tcW w:w="70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49</w:t>
            </w:r>
          </w:p>
        </w:tc>
      </w:tr>
    </w:tbl>
    <w:p w:rsidR="00B70974" w:rsidRPr="00D32659" w:rsidRDefault="00B70974" w:rsidP="00B70974">
      <w:pPr>
        <w:tabs>
          <w:tab w:val="left" w:pos="4678"/>
        </w:tabs>
        <w:autoSpaceDE w:val="0"/>
        <w:autoSpaceDN w:val="0"/>
        <w:adjustRightInd w:val="0"/>
        <w:spacing w:after="0" w:line="240" w:lineRule="auto"/>
        <w:rPr>
          <w:rFonts w:eastAsiaTheme="minorHAnsi"/>
          <w:szCs w:val="24"/>
        </w:rPr>
      </w:pPr>
    </w:p>
    <w:p w:rsidR="00B70974" w:rsidRPr="00D32659" w:rsidRDefault="00B70974" w:rsidP="00B70974">
      <w:pPr>
        <w:rPr>
          <w:rFonts w:eastAsiaTheme="minorHAnsi"/>
          <w:szCs w:val="24"/>
        </w:rPr>
      </w:pPr>
      <w:r w:rsidRPr="00D32659">
        <w:rPr>
          <w:rFonts w:eastAsiaTheme="minorHAnsi"/>
          <w:szCs w:val="24"/>
        </w:rPr>
        <w:br w:type="page"/>
      </w:r>
    </w:p>
    <w:p w:rsidR="00B70974" w:rsidRPr="00D32659" w:rsidRDefault="00B70974" w:rsidP="00B70974">
      <w:pPr>
        <w:tabs>
          <w:tab w:val="left" w:pos="4678"/>
        </w:tabs>
        <w:autoSpaceDE w:val="0"/>
        <w:autoSpaceDN w:val="0"/>
        <w:adjustRightInd w:val="0"/>
        <w:spacing w:after="0" w:line="240" w:lineRule="auto"/>
        <w:rPr>
          <w:rFonts w:eastAsiaTheme="minorHAnsi"/>
          <w:szCs w:val="24"/>
        </w:rPr>
      </w:pPr>
      <w:r w:rsidRPr="00D32659">
        <w:rPr>
          <w:rFonts w:eastAsiaTheme="minorHAnsi"/>
          <w:szCs w:val="24"/>
        </w:rPr>
        <w:lastRenderedPageBreak/>
        <w:t>Příloha č. 5: Vertikální analýza výkazu zisku a ztrát</w:t>
      </w:r>
    </w:p>
    <w:tbl>
      <w:tblPr>
        <w:tblW w:w="9796" w:type="dxa"/>
        <w:tblInd w:w="55" w:type="dxa"/>
        <w:tblCellMar>
          <w:left w:w="70" w:type="dxa"/>
          <w:right w:w="70" w:type="dxa"/>
        </w:tblCellMar>
        <w:tblLook w:val="04A0" w:firstRow="1" w:lastRow="0" w:firstColumn="1" w:lastColumn="0" w:noHBand="0" w:noVBand="1"/>
      </w:tblPr>
      <w:tblGrid>
        <w:gridCol w:w="5402"/>
        <w:gridCol w:w="992"/>
        <w:gridCol w:w="851"/>
        <w:gridCol w:w="850"/>
        <w:gridCol w:w="851"/>
        <w:gridCol w:w="850"/>
      </w:tblGrid>
      <w:tr w:rsidR="00B70974" w:rsidRPr="00D32659" w:rsidTr="00C13D8C">
        <w:trPr>
          <w:trHeight w:val="300"/>
        </w:trPr>
        <w:tc>
          <w:tcPr>
            <w:tcW w:w="5402" w:type="dxa"/>
            <w:tcBorders>
              <w:top w:val="single" w:sz="8" w:space="0" w:color="auto"/>
              <w:left w:val="single" w:sz="8"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jc w:val="center"/>
              <w:rPr>
                <w:rFonts w:eastAsia="Times New Roman"/>
                <w:sz w:val="16"/>
                <w:szCs w:val="16"/>
                <w:lang w:eastAsia="cs-CZ"/>
              </w:rPr>
            </w:pPr>
            <w:r w:rsidRPr="00D32659">
              <w:rPr>
                <w:rFonts w:eastAsia="Times New Roman"/>
                <w:sz w:val="16"/>
                <w:szCs w:val="16"/>
                <w:lang w:eastAsia="cs-CZ"/>
              </w:rPr>
              <w:t>VERTIKÁLNÍ ANALÝZA</w:t>
            </w:r>
          </w:p>
        </w:tc>
        <w:tc>
          <w:tcPr>
            <w:tcW w:w="992" w:type="dxa"/>
            <w:tcBorders>
              <w:top w:val="single" w:sz="8"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2009</w:t>
            </w:r>
          </w:p>
        </w:tc>
        <w:tc>
          <w:tcPr>
            <w:tcW w:w="851" w:type="dxa"/>
            <w:tcBorders>
              <w:top w:val="single" w:sz="8"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2010</w:t>
            </w:r>
          </w:p>
        </w:tc>
        <w:tc>
          <w:tcPr>
            <w:tcW w:w="850" w:type="dxa"/>
            <w:tcBorders>
              <w:top w:val="single" w:sz="8"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2011</w:t>
            </w:r>
          </w:p>
        </w:tc>
        <w:tc>
          <w:tcPr>
            <w:tcW w:w="851" w:type="dxa"/>
            <w:tcBorders>
              <w:top w:val="single" w:sz="8"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2012</w:t>
            </w:r>
          </w:p>
        </w:tc>
        <w:tc>
          <w:tcPr>
            <w:tcW w:w="850" w:type="dxa"/>
            <w:tcBorders>
              <w:top w:val="single" w:sz="8" w:space="0" w:color="auto"/>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2013</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Tržby za prodej zboží </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7,30%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5,08%</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4,04%</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6,11%</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6,08%</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Náklady vynaložené na prodané zboží</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6,12%</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4,21%</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3,35%</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3,98%</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3,27%</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Obchodní marže  </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1,18%</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0,87%</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0,69%</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2,14%</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2,81%</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Výkony  </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92,70%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94,92%</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95,96%</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93,89%</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93,92%</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Výkonová spotřeba   </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63,62%</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62,19%</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66,42%</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65,77%</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63,64%</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Přidaná hodnota</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30,26%</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33,60%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30,23%</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30,26%</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33,09%</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Osobní náklady</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31,60%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32,70%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29,41%</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33,76%</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32,22%</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Daně a poplatky</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0,32%</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0,32%</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0,09%</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0,21%</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0,23%</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Odpisy dlouhodobého nehmotného a hmotného majetku</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1,16%</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0,85%</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2,27%</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3,84%</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Tržby z prodeje dlouhodobého majetku a materiálu</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Zůstatková cena prodaného dlouhodobého majetku a materiálu</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420"/>
        </w:trPr>
        <w:tc>
          <w:tcPr>
            <w:tcW w:w="5402"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Změna stavu rezerv a opravných položek v provozní oblasti a komplexních nákladů příštích období ( + / - )</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-1,26%</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0,75%</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Ostatní provozní výnosy</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7,55%</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8,25%</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5,88%</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6,66%</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5,56%</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Ostatní provozní náklady</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2,90%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2,55%</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0,89%</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1,34%</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1,05%</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provozních výnosů</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provozních nákladů</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Provozní výsledek hospodaření  </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3,09%</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5,44%</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3,46%</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1,61%</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0,56%</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Tržby z prodeje cenných papírů a podílů</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Prodané cenné papíry a podíly</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Výnosy z dlouhodobého finančního majetku</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Výnosy z krátkoodobého finančního majetku</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Náklady z finančního majetku</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Výnosy z přecenění cenných papírů a derivátů</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Náklady z přecenění cenných papírů a derivátů</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Změna stavu rezerv a opravných položek ve finanční oblasti ( + / - )</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Výnosové úroky</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Nákladové úroky</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Ostatní finanční výnosy</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0,66%</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0,19%</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0,24%</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0,17%</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Ostatní finanční náklady</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1,44%</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0,90%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0,99%</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finančních výnosů</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finančních nákladů</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Finanční výsledek hospodaření</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-0,78%</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-1,02%</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-0,66%</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-0,82%</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-0,37%</w:t>
            </w:r>
          </w:p>
        </w:tc>
      </w:tr>
      <w:tr w:rsidR="00B70974" w:rsidRPr="00D32659" w:rsidTr="00C13D8C">
        <w:trPr>
          <w:trHeight w:val="300"/>
        </w:trPr>
        <w:tc>
          <w:tcPr>
            <w:tcW w:w="540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Daň z příjmů za běžnou činnost  </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0,57%</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0,87%</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0,55%</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0,20%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0,05%</w:t>
            </w:r>
          </w:p>
        </w:tc>
      </w:tr>
      <w:tr w:rsidR="00B70974" w:rsidRPr="00D32659" w:rsidTr="00C13D8C">
        <w:trPr>
          <w:trHeight w:val="300"/>
        </w:trPr>
        <w:tc>
          <w:tcPr>
            <w:tcW w:w="540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Výsledek hospodaření za běžnou činnost </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1,74%</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3,56%</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2,24%</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0,59%</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0,14%</w:t>
            </w:r>
          </w:p>
        </w:tc>
      </w:tr>
      <w:tr w:rsidR="00B70974" w:rsidRPr="00D32659" w:rsidTr="00C13D8C">
        <w:trPr>
          <w:trHeight w:val="300"/>
        </w:trPr>
        <w:tc>
          <w:tcPr>
            <w:tcW w:w="540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Mimořádné výnosy</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0,21%</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0,09%</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Mimořádné náklady</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Daň z příjmů z mimořádné činnosti </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Mimořádný výsledek hospodaření  </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0,21%</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0,09%</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0,00%</w:t>
            </w:r>
          </w:p>
        </w:tc>
      </w:tr>
      <w:tr w:rsidR="00B70974" w:rsidRPr="00D32659" w:rsidTr="00C13D8C">
        <w:trPr>
          <w:trHeight w:val="300"/>
        </w:trPr>
        <w:tc>
          <w:tcPr>
            <w:tcW w:w="540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podílu na výsledku hospodaření společníkům (+/-)</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r>
      <w:tr w:rsidR="00B70974" w:rsidRPr="00D32659" w:rsidTr="00C13D8C">
        <w:trPr>
          <w:trHeight w:val="300"/>
        </w:trPr>
        <w:tc>
          <w:tcPr>
            <w:tcW w:w="540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Výsledek hospodaření za účetní období (+/-)</w:t>
            </w:r>
          </w:p>
        </w:tc>
        <w:tc>
          <w:tcPr>
            <w:tcW w:w="992"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1,95%</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3,65%</w:t>
            </w:r>
          </w:p>
        </w:tc>
        <w:tc>
          <w:tcPr>
            <w:tcW w:w="85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2,24%</w:t>
            </w:r>
          </w:p>
        </w:tc>
        <w:tc>
          <w:tcPr>
            <w:tcW w:w="851"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0,59%</w:t>
            </w:r>
          </w:p>
        </w:tc>
        <w:tc>
          <w:tcPr>
            <w:tcW w:w="850" w:type="dxa"/>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0,14%</w:t>
            </w:r>
          </w:p>
        </w:tc>
      </w:tr>
      <w:tr w:rsidR="00B70974" w:rsidRPr="00D32659" w:rsidTr="00C13D8C">
        <w:trPr>
          <w:trHeight w:val="315"/>
        </w:trPr>
        <w:tc>
          <w:tcPr>
            <w:tcW w:w="540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Výsledek hospodaření před zdaněním (+/-)</w:t>
            </w:r>
          </w:p>
        </w:tc>
        <w:tc>
          <w:tcPr>
            <w:tcW w:w="992"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2,53%</w:t>
            </w:r>
          </w:p>
        </w:tc>
        <w:tc>
          <w:tcPr>
            <w:tcW w:w="851"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4,52%</w:t>
            </w:r>
          </w:p>
        </w:tc>
        <w:tc>
          <w:tcPr>
            <w:tcW w:w="850"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2,80%</w:t>
            </w:r>
          </w:p>
        </w:tc>
        <w:tc>
          <w:tcPr>
            <w:tcW w:w="851" w:type="dxa"/>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0,79%</w:t>
            </w:r>
          </w:p>
        </w:tc>
        <w:tc>
          <w:tcPr>
            <w:tcW w:w="850" w:type="dxa"/>
            <w:tcBorders>
              <w:top w:val="nil"/>
              <w:left w:val="nil"/>
              <w:bottom w:val="single" w:sz="8"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b/>
                <w:bCs/>
                <w:sz w:val="20"/>
                <w:szCs w:val="20"/>
                <w:lang w:eastAsia="cs-CZ"/>
              </w:rPr>
            </w:pPr>
            <w:r w:rsidRPr="00D32659">
              <w:rPr>
                <w:rFonts w:eastAsia="Times New Roman"/>
                <w:b/>
                <w:bCs/>
                <w:sz w:val="20"/>
                <w:szCs w:val="20"/>
                <w:lang w:eastAsia="cs-CZ"/>
              </w:rPr>
              <w:t>0,19%</w:t>
            </w:r>
          </w:p>
        </w:tc>
      </w:tr>
    </w:tbl>
    <w:p w:rsidR="00B70974" w:rsidRPr="00D32659" w:rsidRDefault="00B70974" w:rsidP="00B70974">
      <w:pPr>
        <w:tabs>
          <w:tab w:val="left" w:pos="4678"/>
        </w:tabs>
        <w:autoSpaceDE w:val="0"/>
        <w:autoSpaceDN w:val="0"/>
        <w:adjustRightInd w:val="0"/>
        <w:spacing w:after="0" w:line="240" w:lineRule="auto"/>
        <w:rPr>
          <w:rFonts w:eastAsiaTheme="minorHAnsi"/>
          <w:szCs w:val="24"/>
        </w:rPr>
      </w:pPr>
    </w:p>
    <w:p w:rsidR="00B70974" w:rsidRPr="00D32659" w:rsidRDefault="00B70974" w:rsidP="00B70974">
      <w:pPr>
        <w:rPr>
          <w:rFonts w:eastAsiaTheme="minorHAnsi"/>
          <w:szCs w:val="24"/>
        </w:rPr>
      </w:pPr>
      <w:r w:rsidRPr="00D32659">
        <w:rPr>
          <w:rFonts w:eastAsiaTheme="minorHAnsi"/>
          <w:szCs w:val="24"/>
        </w:rPr>
        <w:br w:type="page"/>
      </w:r>
    </w:p>
    <w:p w:rsidR="00B70974" w:rsidRPr="00D32659" w:rsidRDefault="00B70974" w:rsidP="00B70974">
      <w:pPr>
        <w:tabs>
          <w:tab w:val="left" w:pos="4678"/>
        </w:tabs>
        <w:autoSpaceDE w:val="0"/>
        <w:autoSpaceDN w:val="0"/>
        <w:adjustRightInd w:val="0"/>
        <w:spacing w:after="0" w:line="240" w:lineRule="auto"/>
        <w:rPr>
          <w:rFonts w:eastAsiaTheme="minorHAnsi"/>
          <w:szCs w:val="24"/>
        </w:rPr>
      </w:pPr>
      <w:r w:rsidRPr="00D32659">
        <w:rPr>
          <w:rFonts w:eastAsiaTheme="minorHAnsi"/>
          <w:szCs w:val="24"/>
        </w:rPr>
        <w:lastRenderedPageBreak/>
        <w:t>Příloha č. 6: Horizontální analýza výkazu zisku a ztrát</w:t>
      </w:r>
    </w:p>
    <w:tbl>
      <w:tblPr>
        <w:tblW w:w="10370" w:type="dxa"/>
        <w:tblInd w:w="-356" w:type="dxa"/>
        <w:tblCellMar>
          <w:left w:w="70" w:type="dxa"/>
          <w:right w:w="70" w:type="dxa"/>
        </w:tblCellMar>
        <w:tblLook w:val="04A0" w:firstRow="1" w:lastRow="0" w:firstColumn="1" w:lastColumn="0" w:noHBand="0" w:noVBand="1"/>
      </w:tblPr>
      <w:tblGrid>
        <w:gridCol w:w="4268"/>
        <w:gridCol w:w="109"/>
        <w:gridCol w:w="180"/>
        <w:gridCol w:w="234"/>
        <w:gridCol w:w="269"/>
        <w:gridCol w:w="548"/>
        <w:gridCol w:w="269"/>
        <w:gridCol w:w="325"/>
        <w:gridCol w:w="269"/>
        <w:gridCol w:w="737"/>
        <w:gridCol w:w="269"/>
        <w:gridCol w:w="340"/>
        <w:gridCol w:w="269"/>
        <w:gridCol w:w="722"/>
        <w:gridCol w:w="269"/>
        <w:gridCol w:w="287"/>
        <w:gridCol w:w="430"/>
        <w:gridCol w:w="284"/>
        <w:gridCol w:w="292"/>
      </w:tblGrid>
      <w:tr w:rsidR="00B70974" w:rsidRPr="00D32659" w:rsidTr="00C13D8C">
        <w:trPr>
          <w:trHeight w:val="300"/>
        </w:trPr>
        <w:tc>
          <w:tcPr>
            <w:tcW w:w="4377" w:type="dxa"/>
            <w:gridSpan w:val="2"/>
            <w:vMerge w:val="restart"/>
            <w:tcBorders>
              <w:top w:val="single" w:sz="8" w:space="0" w:color="auto"/>
              <w:left w:val="single" w:sz="8" w:space="0" w:color="auto"/>
              <w:bottom w:val="single" w:sz="4" w:space="0" w:color="000000"/>
              <w:right w:val="single" w:sz="4" w:space="0" w:color="000000"/>
            </w:tcBorders>
            <w:shd w:val="clear" w:color="auto" w:fill="auto"/>
            <w:noWrap/>
            <w:vAlign w:val="bottom"/>
            <w:hideMark/>
          </w:tcPr>
          <w:p w:rsidR="00B70974" w:rsidRPr="00D32659" w:rsidRDefault="00B70974" w:rsidP="00C13D8C">
            <w:pPr>
              <w:spacing w:after="0" w:line="240" w:lineRule="auto"/>
              <w:jc w:val="center"/>
              <w:rPr>
                <w:rFonts w:eastAsia="Times New Roman"/>
                <w:sz w:val="16"/>
                <w:szCs w:val="16"/>
                <w:lang w:eastAsia="cs-CZ"/>
              </w:rPr>
            </w:pPr>
            <w:r w:rsidRPr="00D32659">
              <w:rPr>
                <w:rFonts w:eastAsia="Times New Roman"/>
                <w:sz w:val="16"/>
                <w:szCs w:val="16"/>
                <w:lang w:eastAsia="cs-CZ"/>
              </w:rPr>
              <w:t> </w:t>
            </w:r>
          </w:p>
        </w:tc>
        <w:tc>
          <w:tcPr>
            <w:tcW w:w="180" w:type="dxa"/>
            <w:tcBorders>
              <w:top w:val="single" w:sz="8"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w:t>
            </w:r>
          </w:p>
        </w:tc>
        <w:tc>
          <w:tcPr>
            <w:tcW w:w="1320" w:type="dxa"/>
            <w:gridSpan w:val="4"/>
            <w:tcBorders>
              <w:top w:val="single" w:sz="8"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center"/>
              <w:rPr>
                <w:rFonts w:eastAsia="Times New Roman"/>
                <w:b/>
                <w:bCs/>
                <w:sz w:val="16"/>
                <w:szCs w:val="16"/>
                <w:lang w:eastAsia="cs-CZ"/>
              </w:rPr>
            </w:pPr>
            <w:r w:rsidRPr="00D32659">
              <w:rPr>
                <w:rFonts w:eastAsia="Times New Roman"/>
                <w:b/>
                <w:bCs/>
                <w:sz w:val="16"/>
                <w:szCs w:val="16"/>
                <w:lang w:eastAsia="cs-CZ"/>
              </w:rPr>
              <w:t>2009-2010</w:t>
            </w:r>
          </w:p>
        </w:tc>
        <w:tc>
          <w:tcPr>
            <w:tcW w:w="1600" w:type="dxa"/>
            <w:gridSpan w:val="4"/>
            <w:tcBorders>
              <w:top w:val="single" w:sz="8"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center"/>
              <w:rPr>
                <w:rFonts w:eastAsia="Times New Roman"/>
                <w:b/>
                <w:bCs/>
                <w:sz w:val="16"/>
                <w:szCs w:val="16"/>
                <w:lang w:eastAsia="cs-CZ"/>
              </w:rPr>
            </w:pPr>
            <w:r w:rsidRPr="00D32659">
              <w:rPr>
                <w:rFonts w:eastAsia="Times New Roman"/>
                <w:b/>
                <w:bCs/>
                <w:sz w:val="16"/>
                <w:szCs w:val="16"/>
                <w:lang w:eastAsia="cs-CZ"/>
              </w:rPr>
              <w:t>2010-2011</w:t>
            </w:r>
          </w:p>
        </w:tc>
        <w:tc>
          <w:tcPr>
            <w:tcW w:w="1600" w:type="dxa"/>
            <w:gridSpan w:val="4"/>
            <w:tcBorders>
              <w:top w:val="single" w:sz="8" w:space="0" w:color="auto"/>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center"/>
              <w:rPr>
                <w:rFonts w:eastAsia="Times New Roman"/>
                <w:b/>
                <w:bCs/>
                <w:sz w:val="16"/>
                <w:szCs w:val="16"/>
                <w:lang w:eastAsia="cs-CZ"/>
              </w:rPr>
            </w:pPr>
            <w:r w:rsidRPr="00D32659">
              <w:rPr>
                <w:rFonts w:eastAsia="Times New Roman"/>
                <w:b/>
                <w:bCs/>
                <w:sz w:val="16"/>
                <w:szCs w:val="16"/>
                <w:lang w:eastAsia="cs-CZ"/>
              </w:rPr>
              <w:t>2011-2012</w:t>
            </w:r>
          </w:p>
        </w:tc>
        <w:tc>
          <w:tcPr>
            <w:tcW w:w="1293" w:type="dxa"/>
            <w:gridSpan w:val="4"/>
            <w:tcBorders>
              <w:top w:val="single" w:sz="8" w:space="0" w:color="auto"/>
              <w:left w:val="nil"/>
              <w:bottom w:val="single" w:sz="4" w:space="0" w:color="auto"/>
              <w:right w:val="single" w:sz="8" w:space="0" w:color="000000"/>
            </w:tcBorders>
            <w:shd w:val="clear" w:color="auto" w:fill="auto"/>
            <w:noWrap/>
            <w:vAlign w:val="bottom"/>
            <w:hideMark/>
          </w:tcPr>
          <w:p w:rsidR="00B70974" w:rsidRPr="00D32659" w:rsidRDefault="00B70974" w:rsidP="00C13D8C">
            <w:pPr>
              <w:spacing w:after="0" w:line="240" w:lineRule="auto"/>
              <w:jc w:val="center"/>
              <w:rPr>
                <w:rFonts w:eastAsia="Times New Roman"/>
                <w:b/>
                <w:bCs/>
                <w:sz w:val="16"/>
                <w:szCs w:val="16"/>
                <w:lang w:eastAsia="cs-CZ"/>
              </w:rPr>
            </w:pPr>
            <w:r w:rsidRPr="00D32659">
              <w:rPr>
                <w:rFonts w:eastAsia="Times New Roman"/>
                <w:b/>
                <w:bCs/>
                <w:sz w:val="16"/>
                <w:szCs w:val="16"/>
                <w:lang w:eastAsia="cs-CZ"/>
              </w:rPr>
              <w:t>2012-2013</w:t>
            </w:r>
          </w:p>
        </w:tc>
      </w:tr>
      <w:tr w:rsidR="00B70974" w:rsidRPr="00D32659" w:rsidTr="00C13D8C">
        <w:trPr>
          <w:trHeight w:val="300"/>
        </w:trPr>
        <w:tc>
          <w:tcPr>
            <w:tcW w:w="4377" w:type="dxa"/>
            <w:gridSpan w:val="2"/>
            <w:vMerge/>
            <w:tcBorders>
              <w:top w:val="single" w:sz="8" w:space="0" w:color="auto"/>
              <w:left w:val="single" w:sz="8" w:space="0" w:color="auto"/>
              <w:bottom w:val="single" w:sz="4" w:space="0" w:color="000000"/>
              <w:right w:val="single" w:sz="4" w:space="0" w:color="000000"/>
            </w:tcBorders>
            <w:vAlign w:val="center"/>
            <w:hideMark/>
          </w:tcPr>
          <w:p w:rsidR="00B70974" w:rsidRPr="00D32659" w:rsidRDefault="00B70974" w:rsidP="00C13D8C">
            <w:pPr>
              <w:spacing w:after="0" w:line="240" w:lineRule="auto"/>
              <w:rPr>
                <w:rFonts w:eastAsia="Times New Roman"/>
                <w:sz w:val="16"/>
                <w:szCs w:val="16"/>
                <w:lang w:eastAsia="cs-CZ"/>
              </w:rPr>
            </w:pPr>
          </w:p>
        </w:tc>
        <w:tc>
          <w:tcPr>
            <w:tcW w:w="180" w:type="dxa"/>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w:t>
            </w:r>
          </w:p>
        </w:tc>
        <w:tc>
          <w:tcPr>
            <w:tcW w:w="503"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ABS</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REL</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ABS</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REL</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ABS</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REL</w:t>
            </w:r>
          </w:p>
        </w:tc>
        <w:tc>
          <w:tcPr>
            <w:tcW w:w="7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ABS</w:t>
            </w:r>
          </w:p>
        </w:tc>
        <w:tc>
          <w:tcPr>
            <w:tcW w:w="576"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16"/>
                <w:szCs w:val="16"/>
                <w:lang w:eastAsia="cs-CZ"/>
              </w:rPr>
            </w:pPr>
            <w:r w:rsidRPr="00D32659">
              <w:rPr>
                <w:rFonts w:eastAsia="Times New Roman"/>
                <w:b/>
                <w:bCs/>
                <w:sz w:val="16"/>
                <w:szCs w:val="16"/>
                <w:lang w:eastAsia="cs-CZ"/>
              </w:rPr>
              <w:t>REL</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Tržby za prodej zboží </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-667</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-39,40%</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128</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12,48%</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211</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18,28%</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196</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14,36%</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Náklady vynaložené na prodané zboží</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-569</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-40,10%</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108</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12,71%</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-7,31%</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-49</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-5,52%</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Obchodní marže  </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-98</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-35,77%</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11,36%</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281</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143,37%</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245</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51,36%</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Výkony  </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-2313</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-10,77%</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8252</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43,05%</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-6461</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-23,56%</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3173</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15,14%</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tržby za prodej v. výr a služeb</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-3787</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-16,86%</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9311</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49,85%</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-7478</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-26,72%</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4151</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20,24%</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změna stavu zásob</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0,00%</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-1059</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-215,68%</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1017</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-179,05%</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-978</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-217,82%</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aktivace</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-2313</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-10,77%</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8252</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43,05%</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-6461</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-23,56%</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3173</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15,14%</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Výkonová spotřeba   </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-3787</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-16,86%</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9311</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49,85%</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-7478</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-26,72%</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4151</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20,24%</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spotřeba materiálů a energie</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1474</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-149,95%</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-1059</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-215,68%</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1017</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-179,05%</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-978</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-217,82%</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služby</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-2185</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-14,82%</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-4297</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-22,64%</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1670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11,37%</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Přidaná hodnota</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-226</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-3,22%</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6420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94,61%</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-1883</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-21,80%</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1748</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25,88%</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Osobní náklady</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-720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-9,83%</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5494</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83,19%</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-866</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-10,30%</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742</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9,84%</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Daně a poplatky</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-13,51%</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927</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1448,44%</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76,92%</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26,09%</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ind w:right="360"/>
              <w:rPr>
                <w:rFonts w:eastAsia="Times New Roman"/>
                <w:sz w:val="16"/>
                <w:szCs w:val="16"/>
                <w:lang w:eastAsia="cs-CZ"/>
              </w:rPr>
            </w:pPr>
            <w:r w:rsidRPr="00D32659">
              <w:rPr>
                <w:rFonts w:eastAsia="Times New Roman"/>
                <w:sz w:val="16"/>
                <w:szCs w:val="16"/>
                <w:lang w:eastAsia="cs-CZ"/>
              </w:rPr>
              <w:t>Odpisy dlouhodobého nehmotného a hmotného majetku</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-98</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-36,43%</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1852</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1083,04%</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-648</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-100,00%</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986</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Tržby z prodeje dlouhodobého majetku a materiálu</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1800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405"/>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Zůstatková cena prodaného dlouhodobého majetku a materiálu</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-38</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510"/>
        </w:trPr>
        <w:tc>
          <w:tcPr>
            <w:tcW w:w="4268"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Změna stavu rezerv a opravných položek v provozní oblasti a komplexních nákladů příštích období </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293</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-100,00%</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477</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193</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Ostatní provozní výnosy</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-83</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-4,74%</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-193</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-11,48%</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-4,03%</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Ostatní provozní náklady</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-156</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-23,25%</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47</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18,58%</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-31</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-10,33%</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provozních výnosů</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provozních nákladů</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14</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Provozní výsledek hospodaření  </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382</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53,28%</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-262</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-23,84%</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-629</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-63,66%</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-214</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-59,61%</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Tržby z prodeje cenných papírů a podílů</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Prodané cenné papíry a podíly</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Výnosy z dlouhodobého finančního majetku</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-111</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Výnosy z krátkoodobého finančního majetku</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Náklady z finančního majetku</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186</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Výnosy z přecenění cenných papírů a derivátů</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Náklady z přecenění cenných papírů a derivátů</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Změna stavu rezerv a opravných položek ve finanční oblasti ( + / - )</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Výnosové úroky</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Nákladové úroky</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Ostatní finanční výnosy</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-115</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-75,16%</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31</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81,58%</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-43,48%</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-39</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-100,00%</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Ostatní finanční náklady</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-27,03%</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15</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6,17%</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-36</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-13,95%</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-222</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-100,00%</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finančních výnosů</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finančních nákladů</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Finanční výsledek hospodaření</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-25</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13,89%</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16</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-7,80%</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-3,17%</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87</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-47,54%</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Daň z příjmů za běžnou činnost  </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43</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32,33%</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-18</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-10,23%</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-113</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-71,52%</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-33</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-73,33%</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Výsledek hospodaření za běžnou činnost </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314</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77,72%</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-77</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-10,72%</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-510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-79,56%</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-94</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-71,76%</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Mimořádné výnosy</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-61,22%</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-19</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-100,00%</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lastRenderedPageBreak/>
              <w:t>Mimořádné náklady</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 xml:space="preserve">Daň z příjmů z mimořádné činnosti </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 xml:space="preserve">Mimořádný výsledek hospodaření  </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-61,22%</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-19</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-100,00%</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Převod podílu na výsledku hospodaření společníkům (+/-)</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0</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rPr>
                <w:rFonts w:eastAsia="Times New Roman"/>
                <w:sz w:val="16"/>
                <w:szCs w:val="16"/>
                <w:lang w:eastAsia="cs-CZ"/>
              </w:rPr>
            </w:pPr>
            <w:r w:rsidRPr="00D32659">
              <w:rPr>
                <w:rFonts w:eastAsia="Times New Roman"/>
                <w:sz w:val="16"/>
                <w:szCs w:val="16"/>
                <w:lang w:eastAsia="cs-CZ"/>
              </w:rPr>
              <w:t>nelze</w:t>
            </w:r>
          </w:p>
        </w:tc>
      </w:tr>
      <w:tr w:rsidR="00B70974" w:rsidRPr="00D32659" w:rsidTr="00C13D8C">
        <w:trPr>
          <w:gridAfter w:val="1"/>
          <w:wAfter w:w="292" w:type="dxa"/>
          <w:trHeight w:val="300"/>
        </w:trPr>
        <w:tc>
          <w:tcPr>
            <w:tcW w:w="42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Výsledek hospodaření za účetní období (+/-)</w:t>
            </w:r>
          </w:p>
        </w:tc>
        <w:tc>
          <w:tcPr>
            <w:tcW w:w="523" w:type="dxa"/>
            <w:gridSpan w:val="3"/>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284</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62,69%</w:t>
            </w:r>
          </w:p>
        </w:tc>
        <w:tc>
          <w:tcPr>
            <w:tcW w:w="594"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-96</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-13,03%</w:t>
            </w:r>
          </w:p>
        </w:tc>
        <w:tc>
          <w:tcPr>
            <w:tcW w:w="609"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-510</w:t>
            </w:r>
          </w:p>
        </w:tc>
        <w:tc>
          <w:tcPr>
            <w:tcW w:w="991"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-79,56%</w:t>
            </w:r>
          </w:p>
        </w:tc>
        <w:tc>
          <w:tcPr>
            <w:tcW w:w="556" w:type="dxa"/>
            <w:gridSpan w:val="2"/>
            <w:tcBorders>
              <w:top w:val="nil"/>
              <w:left w:val="nil"/>
              <w:bottom w:val="single" w:sz="4"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-94</w:t>
            </w:r>
          </w:p>
        </w:tc>
        <w:tc>
          <w:tcPr>
            <w:tcW w:w="714" w:type="dxa"/>
            <w:gridSpan w:val="2"/>
            <w:tcBorders>
              <w:top w:val="nil"/>
              <w:left w:val="nil"/>
              <w:bottom w:val="single" w:sz="4"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-71,76%</w:t>
            </w:r>
          </w:p>
        </w:tc>
      </w:tr>
      <w:tr w:rsidR="00B70974" w:rsidRPr="00D32659" w:rsidTr="00C13D8C">
        <w:trPr>
          <w:gridAfter w:val="1"/>
          <w:wAfter w:w="292" w:type="dxa"/>
          <w:trHeight w:val="315"/>
        </w:trPr>
        <w:tc>
          <w:tcPr>
            <w:tcW w:w="4268"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rPr>
                <w:rFonts w:eastAsia="Times New Roman"/>
                <w:b/>
                <w:bCs/>
                <w:sz w:val="20"/>
                <w:szCs w:val="20"/>
                <w:lang w:eastAsia="cs-CZ"/>
              </w:rPr>
            </w:pPr>
            <w:r w:rsidRPr="00D32659">
              <w:rPr>
                <w:rFonts w:eastAsia="Times New Roman"/>
                <w:b/>
                <w:bCs/>
                <w:sz w:val="20"/>
                <w:szCs w:val="20"/>
                <w:lang w:eastAsia="cs-CZ"/>
              </w:rPr>
              <w:t>Výsledek hospodaření před zdaněním (+/-)</w:t>
            </w:r>
          </w:p>
        </w:tc>
        <w:tc>
          <w:tcPr>
            <w:tcW w:w="523" w:type="dxa"/>
            <w:gridSpan w:val="3"/>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327</w:t>
            </w:r>
          </w:p>
        </w:tc>
        <w:tc>
          <w:tcPr>
            <w:tcW w:w="817" w:type="dxa"/>
            <w:gridSpan w:val="2"/>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55,80%</w:t>
            </w:r>
          </w:p>
        </w:tc>
        <w:tc>
          <w:tcPr>
            <w:tcW w:w="594" w:type="dxa"/>
            <w:gridSpan w:val="2"/>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-114</w:t>
            </w:r>
          </w:p>
        </w:tc>
        <w:tc>
          <w:tcPr>
            <w:tcW w:w="1006" w:type="dxa"/>
            <w:gridSpan w:val="2"/>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-12,49%</w:t>
            </w:r>
          </w:p>
        </w:tc>
        <w:tc>
          <w:tcPr>
            <w:tcW w:w="609" w:type="dxa"/>
            <w:gridSpan w:val="2"/>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-623</w:t>
            </w:r>
          </w:p>
        </w:tc>
        <w:tc>
          <w:tcPr>
            <w:tcW w:w="991" w:type="dxa"/>
            <w:gridSpan w:val="2"/>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-77,97%</w:t>
            </w:r>
          </w:p>
        </w:tc>
        <w:tc>
          <w:tcPr>
            <w:tcW w:w="556" w:type="dxa"/>
            <w:gridSpan w:val="2"/>
            <w:tcBorders>
              <w:top w:val="nil"/>
              <w:left w:val="nil"/>
              <w:bottom w:val="single" w:sz="8" w:space="0" w:color="auto"/>
              <w:right w:val="single" w:sz="4"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-127</w:t>
            </w:r>
          </w:p>
        </w:tc>
        <w:tc>
          <w:tcPr>
            <w:tcW w:w="714" w:type="dxa"/>
            <w:gridSpan w:val="2"/>
            <w:tcBorders>
              <w:top w:val="nil"/>
              <w:left w:val="nil"/>
              <w:bottom w:val="single" w:sz="8" w:space="0" w:color="auto"/>
              <w:right w:val="single" w:sz="8" w:space="0" w:color="auto"/>
            </w:tcBorders>
            <w:shd w:val="clear" w:color="auto" w:fill="auto"/>
            <w:noWrap/>
            <w:vAlign w:val="bottom"/>
            <w:hideMark/>
          </w:tcPr>
          <w:p w:rsidR="00B70974" w:rsidRPr="00D32659" w:rsidRDefault="00B70974" w:rsidP="00C13D8C">
            <w:pPr>
              <w:spacing w:after="0" w:line="240" w:lineRule="auto"/>
              <w:jc w:val="right"/>
              <w:rPr>
                <w:rFonts w:eastAsia="Times New Roman"/>
                <w:sz w:val="16"/>
                <w:szCs w:val="16"/>
                <w:lang w:eastAsia="cs-CZ"/>
              </w:rPr>
            </w:pPr>
            <w:r w:rsidRPr="00D32659">
              <w:rPr>
                <w:rFonts w:eastAsia="Times New Roman"/>
                <w:sz w:val="16"/>
                <w:szCs w:val="16"/>
                <w:lang w:eastAsia="cs-CZ"/>
              </w:rPr>
              <w:t>-72,16%</w:t>
            </w:r>
          </w:p>
        </w:tc>
      </w:tr>
    </w:tbl>
    <w:p w:rsidR="00B70974" w:rsidRPr="00D32659" w:rsidRDefault="00B70974" w:rsidP="00B70974">
      <w:pPr>
        <w:tabs>
          <w:tab w:val="left" w:pos="4678"/>
        </w:tabs>
        <w:autoSpaceDE w:val="0"/>
        <w:autoSpaceDN w:val="0"/>
        <w:adjustRightInd w:val="0"/>
        <w:spacing w:after="0" w:line="240" w:lineRule="auto"/>
        <w:rPr>
          <w:rFonts w:eastAsiaTheme="minorHAnsi"/>
          <w:szCs w:val="24"/>
        </w:rPr>
      </w:pPr>
    </w:p>
    <w:p w:rsidR="00EC711D" w:rsidRPr="00D32659" w:rsidRDefault="00EC711D" w:rsidP="008015B2">
      <w:pPr>
        <w:tabs>
          <w:tab w:val="left" w:pos="4678"/>
        </w:tabs>
        <w:autoSpaceDE w:val="0"/>
        <w:autoSpaceDN w:val="0"/>
        <w:adjustRightInd w:val="0"/>
        <w:spacing w:after="0" w:line="240" w:lineRule="auto"/>
        <w:jc w:val="both"/>
        <w:rPr>
          <w:rFonts w:eastAsiaTheme="minorHAnsi"/>
          <w:szCs w:val="24"/>
        </w:rPr>
      </w:pPr>
    </w:p>
    <w:sectPr w:rsidR="00EC711D" w:rsidRPr="00D32659" w:rsidSect="00122928">
      <w:footerReference w:type="default" r:id="rId24"/>
      <w:footerReference w:type="first" r:id="rId25"/>
      <w:pgSz w:w="11906" w:h="16838"/>
      <w:pgMar w:top="1418" w:right="851"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E95" w:rsidRDefault="00115E95" w:rsidP="00F73EC2">
      <w:pPr>
        <w:spacing w:after="0" w:line="240" w:lineRule="auto"/>
      </w:pPr>
      <w:r>
        <w:separator/>
      </w:r>
    </w:p>
  </w:endnote>
  <w:endnote w:type="continuationSeparator" w:id="0">
    <w:p w:rsidR="00115E95" w:rsidRDefault="00115E95" w:rsidP="00F73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Open Sans">
    <w:altName w:val="Times New Roman"/>
    <w:panose1 w:val="00000000000000000000"/>
    <w:charset w:val="00"/>
    <w:family w:val="roman"/>
    <w:notTrueType/>
    <w:pitch w:val="default"/>
  </w:font>
  <w:font w:name="Cambria Math">
    <w:panose1 w:val="02040503050406030204"/>
    <w:charset w:val="EE"/>
    <w:family w:val="roman"/>
    <w:pitch w:val="variable"/>
    <w:sig w:usb0="E00002FF" w:usb1="420024FF" w:usb2="00000000" w:usb3="00000000" w:csb0="0000019F"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16081"/>
      <w:docPartObj>
        <w:docPartGallery w:val="Page Numbers (Bottom of Page)"/>
        <w:docPartUnique/>
      </w:docPartObj>
    </w:sdtPr>
    <w:sdtEndPr/>
    <w:sdtContent>
      <w:p w:rsidR="00115E95" w:rsidRDefault="00115E95">
        <w:pPr>
          <w:pStyle w:val="Zpat"/>
          <w:jc w:val="center"/>
        </w:pPr>
        <w:r>
          <w:fldChar w:fldCharType="begin"/>
        </w:r>
        <w:r>
          <w:instrText xml:space="preserve"> PAGE   \* MERGEFORMAT </w:instrText>
        </w:r>
        <w:r>
          <w:fldChar w:fldCharType="separate"/>
        </w:r>
        <w:r>
          <w:rPr>
            <w:noProof/>
          </w:rPr>
          <w:t>8</w:t>
        </w:r>
        <w:r>
          <w:rPr>
            <w:noProof/>
          </w:rPr>
          <w:fldChar w:fldCharType="end"/>
        </w:r>
      </w:p>
    </w:sdtContent>
  </w:sdt>
  <w:p w:rsidR="00115E95" w:rsidRDefault="00115E95">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E95" w:rsidRDefault="00115E95">
    <w:pPr>
      <w:pStyle w:val="Zpat"/>
      <w:jc w:val="center"/>
    </w:pPr>
  </w:p>
  <w:p w:rsidR="00115E95" w:rsidRDefault="00115E95">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7247052"/>
      <w:docPartObj>
        <w:docPartGallery w:val="Page Numbers (Bottom of Page)"/>
        <w:docPartUnique/>
      </w:docPartObj>
    </w:sdtPr>
    <w:sdtEndPr/>
    <w:sdtContent>
      <w:p w:rsidR="00115E95" w:rsidRDefault="00115E95">
        <w:pPr>
          <w:pStyle w:val="Zpat"/>
          <w:jc w:val="center"/>
        </w:pPr>
        <w:r>
          <w:fldChar w:fldCharType="begin"/>
        </w:r>
        <w:r>
          <w:instrText>PAGE   \* MERGEFORMAT</w:instrText>
        </w:r>
        <w:r>
          <w:fldChar w:fldCharType="separate"/>
        </w:r>
        <w:r>
          <w:rPr>
            <w:noProof/>
          </w:rPr>
          <w:t>10</w:t>
        </w:r>
        <w:r>
          <w:fldChar w:fldCharType="end"/>
        </w:r>
      </w:p>
    </w:sdtContent>
  </w:sdt>
  <w:p w:rsidR="00115E95" w:rsidRDefault="00115E95">
    <w:pPr>
      <w:pStyle w:val="Zp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1432725"/>
      <w:docPartObj>
        <w:docPartGallery w:val="Page Numbers (Bottom of Page)"/>
        <w:docPartUnique/>
      </w:docPartObj>
    </w:sdtPr>
    <w:sdtEndPr/>
    <w:sdtContent>
      <w:p w:rsidR="00115E95" w:rsidRDefault="00115E95">
        <w:pPr>
          <w:pStyle w:val="Zpat"/>
          <w:jc w:val="center"/>
        </w:pPr>
        <w:r>
          <w:fldChar w:fldCharType="begin"/>
        </w:r>
        <w:r>
          <w:instrText>PAGE   \* MERGEFORMAT</w:instrText>
        </w:r>
        <w:r>
          <w:fldChar w:fldCharType="separate"/>
        </w:r>
        <w:r w:rsidR="00FA2E31">
          <w:rPr>
            <w:noProof/>
          </w:rPr>
          <w:t>49</w:t>
        </w:r>
        <w:r>
          <w:fldChar w:fldCharType="end"/>
        </w:r>
      </w:p>
    </w:sdtContent>
  </w:sdt>
  <w:p w:rsidR="00115E95" w:rsidRDefault="00115E95">
    <w:pPr>
      <w:pStyle w:val="Zpa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895728"/>
      <w:docPartObj>
        <w:docPartGallery w:val="Page Numbers (Bottom of Page)"/>
        <w:docPartUnique/>
      </w:docPartObj>
    </w:sdtPr>
    <w:sdtEndPr/>
    <w:sdtContent>
      <w:p w:rsidR="00115E95" w:rsidRDefault="00115E95">
        <w:pPr>
          <w:pStyle w:val="Zpat"/>
          <w:jc w:val="center"/>
        </w:pPr>
        <w:r>
          <w:fldChar w:fldCharType="begin"/>
        </w:r>
        <w:r>
          <w:instrText>PAGE   \* MERGEFORMAT</w:instrText>
        </w:r>
        <w:r>
          <w:fldChar w:fldCharType="separate"/>
        </w:r>
        <w:r w:rsidR="00FA2E31">
          <w:rPr>
            <w:noProof/>
          </w:rPr>
          <w:t>12</w:t>
        </w:r>
        <w:r>
          <w:fldChar w:fldCharType="end"/>
        </w:r>
      </w:p>
    </w:sdtContent>
  </w:sdt>
  <w:p w:rsidR="00115E95" w:rsidRDefault="00115E95">
    <w:pPr>
      <w:pStyle w:val="Zpa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E95" w:rsidRDefault="00115E95">
    <w:pPr>
      <w:pStyle w:val="Zpa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E95" w:rsidRDefault="00115E95" w:rsidP="003D05DA">
    <w:pPr>
      <w:pStyle w:val="Zpat"/>
    </w:pPr>
  </w:p>
  <w:p w:rsidR="00115E95" w:rsidRDefault="00115E95">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E95" w:rsidRDefault="00115E95" w:rsidP="00F73EC2">
      <w:pPr>
        <w:spacing w:after="0" w:line="240" w:lineRule="auto"/>
      </w:pPr>
      <w:r>
        <w:separator/>
      </w:r>
    </w:p>
  </w:footnote>
  <w:footnote w:type="continuationSeparator" w:id="0">
    <w:p w:rsidR="00115E95" w:rsidRDefault="00115E95" w:rsidP="00F73EC2">
      <w:pPr>
        <w:spacing w:after="0" w:line="240" w:lineRule="auto"/>
      </w:pPr>
      <w:r>
        <w:continuationSeparator/>
      </w:r>
    </w:p>
  </w:footnote>
  <w:footnote w:id="1">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RŮČKOVÁ, Petra.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metody, ukazatele, využití v praxi</w:t>
      </w:r>
      <w:r w:rsidRPr="00012D2D">
        <w:rPr>
          <w:rFonts w:ascii="Open Sans" w:hAnsi="Open Sans"/>
          <w:shd w:val="clear" w:color="auto" w:fill="FFFFFF"/>
        </w:rPr>
        <w:t>. 4., aktualiz. vyd. Praha: Grada, c2011, 143 s. Finanční řízení. ISBN 978-80-247-3916-8., s. 17-20</w:t>
      </w:r>
    </w:p>
  </w:footnote>
  <w:footnote w:id="2">
    <w:p w:rsidR="00115E95" w:rsidRPr="00012D2D" w:rsidRDefault="00115E95" w:rsidP="00F73EC2">
      <w:pPr>
        <w:pStyle w:val="Textpoznpodarou"/>
        <w:rPr>
          <w:rFonts w:ascii="Open Sans" w:hAnsi="Open Sans"/>
          <w:shd w:val="clear" w:color="auto" w:fill="FFFFFF"/>
        </w:rPr>
      </w:pPr>
      <w:r w:rsidRPr="00012D2D">
        <w:rPr>
          <w:rStyle w:val="Znakapoznpodarou"/>
        </w:rPr>
        <w:footnoteRef/>
      </w:r>
      <w:r w:rsidRPr="00012D2D">
        <w:t xml:space="preserve"> </w:t>
      </w:r>
      <w:r w:rsidRPr="00012D2D">
        <w:rPr>
          <w:rFonts w:ascii="Open Sans" w:hAnsi="Open Sans"/>
          <w:shd w:val="clear" w:color="auto" w:fill="FFFFFF"/>
        </w:rPr>
        <w:t>KISLINGEROVÁ, Eva.</w:t>
      </w:r>
      <w:r w:rsidRPr="00012D2D">
        <w:rPr>
          <w:rFonts w:ascii="Open Sans" w:hAnsi="Open Sans"/>
        </w:rPr>
        <w:t> </w:t>
      </w:r>
      <w:r w:rsidRPr="00012D2D">
        <w:rPr>
          <w:rFonts w:ascii="Open Sans" w:hAnsi="Open Sans"/>
          <w:i/>
          <w:shd w:val="clear" w:color="auto" w:fill="FFFFFF"/>
        </w:rPr>
        <w:t>Manažerské finance: metody, ukazatele, využití v praxi.</w:t>
      </w:r>
      <w:r w:rsidRPr="00012D2D">
        <w:rPr>
          <w:rFonts w:ascii="Open Sans" w:hAnsi="Open Sans"/>
          <w:shd w:val="clear" w:color="auto" w:fill="FFFFFF"/>
        </w:rPr>
        <w:t xml:space="preserve"> 3. vyd. Praha: C. H. Beck, 2010, xxxviii, 811 s. Beckova edice ekonomie. ISBN 978-80-7400-194-9., s. 48-50</w:t>
      </w:r>
    </w:p>
  </w:footnote>
  <w:footnote w:id="3">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KISLINGEROVÁ, Eva.</w:t>
      </w:r>
      <w:r w:rsidRPr="00012D2D">
        <w:rPr>
          <w:rStyle w:val="apple-converted-space"/>
          <w:rFonts w:ascii="Open Sans" w:hAnsi="Open Sans"/>
          <w:shd w:val="clear" w:color="auto" w:fill="FFFFFF"/>
        </w:rPr>
        <w:t> </w:t>
      </w:r>
      <w:r w:rsidRPr="00012D2D">
        <w:rPr>
          <w:rFonts w:ascii="Open Sans" w:hAnsi="Open Sans"/>
          <w:i/>
          <w:iCs/>
          <w:shd w:val="clear" w:color="auto" w:fill="FFFFFF"/>
        </w:rPr>
        <w:t>Manažerské finance</w:t>
      </w:r>
      <w:r w:rsidRPr="00012D2D">
        <w:rPr>
          <w:rFonts w:ascii="Open Sans" w:hAnsi="Open Sans"/>
          <w:shd w:val="clear" w:color="auto" w:fill="FFFFFF"/>
        </w:rPr>
        <w:t xml:space="preserve">. 3. vyd. V Praze: C.H. Beck, 2010, xxxviii, 811 s. Beckova edice ekonomie. ISBN 978-80-7400-194-9., </w:t>
      </w:r>
      <w:r w:rsidRPr="00012D2D">
        <w:rPr>
          <w:rFonts w:ascii="Open Sans" w:hAnsi="Open Sans"/>
          <w:iCs/>
          <w:shd w:val="clear" w:color="auto" w:fill="FFFFFF"/>
        </w:rPr>
        <w:t>s. 48-50</w:t>
      </w:r>
    </w:p>
  </w:footnote>
  <w:footnote w:id="4">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RŮČKOVÁ, Petra.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metody, ukazatele, využití v praxi</w:t>
      </w:r>
      <w:r w:rsidRPr="00012D2D">
        <w:rPr>
          <w:rFonts w:ascii="Open Sans" w:hAnsi="Open Sans"/>
          <w:shd w:val="clear" w:color="auto" w:fill="FFFFFF"/>
        </w:rPr>
        <w:t>. 4., aktualiz. vyd. Praha: Grada, c2011, 143 s. Finanční řízení. ISBN 978-80-247-3916-8., s. 24-25</w:t>
      </w:r>
    </w:p>
  </w:footnote>
  <w:footnote w:id="5">
    <w:p w:rsidR="00115E95" w:rsidRPr="00012D2D" w:rsidRDefault="00115E95" w:rsidP="000F7258">
      <w:pPr>
        <w:pStyle w:val="Bezmezer"/>
        <w:rPr>
          <w:rFonts w:ascii="Open Sans" w:hAnsi="Open Sans"/>
          <w:sz w:val="20"/>
          <w:szCs w:val="20"/>
          <w:shd w:val="clear" w:color="auto" w:fill="FFFFFF"/>
          <w:lang w:val="cs-CZ"/>
        </w:rPr>
      </w:pPr>
      <w:r w:rsidRPr="00012D2D">
        <w:rPr>
          <w:rStyle w:val="Znakapoznpodarou"/>
        </w:rPr>
        <w:footnoteRef/>
      </w:r>
      <w:r w:rsidRPr="00012D2D">
        <w:t xml:space="preserve"> </w:t>
      </w:r>
      <w:r w:rsidRPr="00012D2D">
        <w:rPr>
          <w:rFonts w:ascii="Open Sans" w:hAnsi="Open Sans"/>
          <w:sz w:val="20"/>
          <w:szCs w:val="20"/>
          <w:shd w:val="clear" w:color="auto" w:fill="FFFFFF"/>
          <w:lang w:val="cs-CZ"/>
        </w:rPr>
        <w:t>SEDLÁČEK, Jaroslav. Účetnictví podnikatelů. Po vstupu do evropské unie. 1. vydání. Praha: C. H. Beck, 2004. 273 s. ISBN 80-7179-859-2., s.17-19.</w:t>
      </w:r>
    </w:p>
  </w:footnote>
  <w:footnote w:id="6">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GRÜNWALD, Rolf a Jaroslava HOLEČKOVÁ.</w:t>
      </w:r>
      <w:r w:rsidRPr="00012D2D">
        <w:t> </w:t>
      </w:r>
      <w:r w:rsidRPr="00012D2D">
        <w:rPr>
          <w:rFonts w:ascii="Open Sans" w:hAnsi="Open Sans"/>
          <w:shd w:val="clear" w:color="auto" w:fill="FFFFFF"/>
        </w:rPr>
        <w:t>Finanční analýza a plánování podniku. Vyd. 1. Praha: Ekopress, 2007, 318 s. ISBN 978-80-86929-26-2., s. 35-40</w:t>
      </w:r>
    </w:p>
  </w:footnote>
  <w:footnote w:id="7">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RŮČKOVÁ, Petra.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metody, ukazatele, využití v praxi</w:t>
      </w:r>
      <w:r w:rsidRPr="00012D2D">
        <w:rPr>
          <w:rFonts w:ascii="Open Sans" w:hAnsi="Open Sans"/>
          <w:shd w:val="clear" w:color="auto" w:fill="FFFFFF"/>
        </w:rPr>
        <w:t>. 4., aktualiz. vyd. Praha: Grada, c2011, 143 s. Finanční řízení. ISBN 978-80-247-3916-8., s. 24-26</w:t>
      </w:r>
    </w:p>
  </w:footnote>
  <w:footnote w:id="8">
    <w:p w:rsidR="00115E95" w:rsidRPr="00012D2D" w:rsidRDefault="00115E95" w:rsidP="00F73EC2">
      <w:pPr>
        <w:pStyle w:val="Textpoznpodarou"/>
      </w:pPr>
      <w:r w:rsidRPr="00012D2D">
        <w:rPr>
          <w:rStyle w:val="Znakapoznpodarou"/>
        </w:rPr>
        <w:footnoteRef/>
      </w:r>
      <w:r w:rsidRPr="00012D2D">
        <w:rPr>
          <w:rStyle w:val="Znakapoznpodarou"/>
        </w:rPr>
        <w:t xml:space="preserve"> </w:t>
      </w:r>
      <w:r w:rsidRPr="00012D2D">
        <w:rPr>
          <w:rFonts w:ascii="Open Sans" w:hAnsi="Open Sans"/>
          <w:shd w:val="clear" w:color="auto" w:fill="FFFFFF"/>
        </w:rPr>
        <w:t>GRÜNWALD, Rolf a Jaroslava HOLEČKOVÁ.</w:t>
      </w:r>
      <w:r w:rsidRPr="00012D2D">
        <w:t> </w:t>
      </w:r>
      <w:r w:rsidRPr="00012D2D">
        <w:rPr>
          <w:rFonts w:ascii="Open Sans" w:hAnsi="Open Sans"/>
          <w:shd w:val="clear" w:color="auto" w:fill="FFFFFF"/>
        </w:rPr>
        <w:t>Finanční analýza a plánování podniku. Vyd. 1. Praha: Ekopress, 2007, 318 s. ISBN 978-80-86929-26-2., s. 35-40</w:t>
      </w:r>
    </w:p>
  </w:footnote>
  <w:footnote w:id="9">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RŮČKOVÁ, Petra.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metody, ukazatele, využití v praxi</w:t>
      </w:r>
      <w:r w:rsidRPr="00012D2D">
        <w:rPr>
          <w:rFonts w:ascii="Open Sans" w:hAnsi="Open Sans"/>
          <w:shd w:val="clear" w:color="auto" w:fill="FFFFFF"/>
        </w:rPr>
        <w:t>. 4., aktualiz. vyd. Praha: Grada, c2011, 143 s. Finanční řízení. ISBN 978-80-247-3916-8., s. 26-27</w:t>
      </w:r>
    </w:p>
  </w:footnote>
  <w:footnote w:id="10">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GRÜNWALD, Rolf a Jaroslava HOLEČKOVÁ.</w:t>
      </w:r>
      <w:r w:rsidRPr="00012D2D">
        <w:t> </w:t>
      </w:r>
      <w:r w:rsidRPr="00012D2D">
        <w:rPr>
          <w:rFonts w:ascii="Open Sans" w:hAnsi="Open Sans"/>
          <w:shd w:val="clear" w:color="auto" w:fill="FFFFFF"/>
        </w:rPr>
        <w:t>Finanční analýza a plánování podniku. Vyd. 1. Praha: Ekopress, 2007, 318 s. ISBN 978-80-86929-26-2., s. 41-43</w:t>
      </w:r>
    </w:p>
  </w:footnote>
  <w:footnote w:id="11">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SEDLÁČEK, Jaroslav.</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podniku</w:t>
      </w:r>
      <w:r w:rsidRPr="00012D2D">
        <w:rPr>
          <w:rFonts w:ascii="Open Sans" w:hAnsi="Open Sans"/>
          <w:shd w:val="clear" w:color="auto" w:fill="FFFFFF"/>
        </w:rPr>
        <w:t>. 2., aktualiz. vyd. Brno: Computer Press, 2011, v, 152 s. ISBN 978-80-251-3386-6., s. 7</w:t>
      </w:r>
    </w:p>
  </w:footnote>
  <w:footnote w:id="12">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GRÜNWALD, Rolf a Jaroslava HOLEČKOVÁ.</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a plánování podniku</w:t>
      </w:r>
      <w:r w:rsidRPr="00012D2D">
        <w:rPr>
          <w:rFonts w:ascii="Open Sans" w:hAnsi="Open Sans"/>
          <w:shd w:val="clear" w:color="auto" w:fill="FFFFFF"/>
        </w:rPr>
        <w:t>. Vyd. 1. Praha: Ekopress, 2007, 318 s. ISBN 978-80-86929-26-2., s. 60</w:t>
      </w:r>
    </w:p>
  </w:footnote>
  <w:footnote w:id="13">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SEDLÁČEK, Jaroslav.</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podniku</w:t>
      </w:r>
      <w:r w:rsidRPr="00012D2D">
        <w:rPr>
          <w:rFonts w:ascii="Open Sans" w:hAnsi="Open Sans"/>
          <w:shd w:val="clear" w:color="auto" w:fill="FFFFFF"/>
        </w:rPr>
        <w:t>. 2., aktualiz. vyd. Brno: Computer Press, 2011, v, 152 s. ISBN 978-80-251-3386-6., s. 13-15</w:t>
      </w:r>
    </w:p>
  </w:footnote>
  <w:footnote w:id="14">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KISLINGEROVÁ, Eva.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krok za krokem</w:t>
      </w:r>
      <w:r w:rsidRPr="00012D2D">
        <w:rPr>
          <w:rFonts w:ascii="Open Sans" w:hAnsi="Open Sans"/>
          <w:shd w:val="clear" w:color="auto" w:fill="FFFFFF"/>
        </w:rPr>
        <w:t>. 1. vyd. Praha: C.H. Beck, 2005, xiii, 137 s. C.H. Beck pro praxi. ISBN 80-7179-321-3., s. 15-16</w:t>
      </w:r>
    </w:p>
  </w:footnote>
  <w:footnote w:id="15">
    <w:p w:rsidR="00115E95" w:rsidRPr="00012D2D" w:rsidRDefault="00115E95" w:rsidP="00F73EC2">
      <w:pPr>
        <w:pStyle w:val="Textpoznpodarou"/>
        <w:rPr>
          <w:rFonts w:ascii="Open Sans" w:hAnsi="Open Sans"/>
          <w:shd w:val="clear" w:color="auto" w:fill="FFFFFF"/>
        </w:rPr>
      </w:pPr>
      <w:r w:rsidRPr="00012D2D">
        <w:rPr>
          <w:rStyle w:val="Znakapoznpodarou"/>
        </w:rPr>
        <w:footnoteRef/>
      </w:r>
      <w:r w:rsidRPr="00012D2D">
        <w:t xml:space="preserve"> </w:t>
      </w:r>
      <w:r w:rsidRPr="00012D2D">
        <w:rPr>
          <w:rFonts w:ascii="Open Sans" w:hAnsi="Open Sans"/>
          <w:shd w:val="clear" w:color="auto" w:fill="FFFFFF"/>
        </w:rPr>
        <w:t>SYNEK, Miloslav.</w:t>
      </w:r>
      <w:r w:rsidRPr="00012D2D">
        <w:rPr>
          <w:rStyle w:val="apple-converted-space"/>
          <w:rFonts w:ascii="Open Sans" w:hAnsi="Open Sans"/>
          <w:shd w:val="clear" w:color="auto" w:fill="FFFFFF"/>
        </w:rPr>
        <w:t> </w:t>
      </w:r>
      <w:r w:rsidRPr="00012D2D">
        <w:rPr>
          <w:rFonts w:ascii="Open Sans" w:hAnsi="Open Sans"/>
          <w:i/>
          <w:iCs/>
          <w:shd w:val="clear" w:color="auto" w:fill="FFFFFF"/>
        </w:rPr>
        <w:t>Manažerská ekonomika</w:t>
      </w:r>
      <w:r w:rsidRPr="00012D2D">
        <w:rPr>
          <w:rFonts w:ascii="Open Sans" w:hAnsi="Open Sans"/>
          <w:shd w:val="clear" w:color="auto" w:fill="FFFFFF"/>
        </w:rPr>
        <w:t>. 5., aktualiz. a dopl. vyd. Praha: Grada, 2011, 471 s. Expert (Grada). ISBN 978-80-247-3494-1. s. 354-355</w:t>
      </w:r>
    </w:p>
  </w:footnote>
  <w:footnote w:id="16">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KALOUDA, František.</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řízení podniku</w:t>
      </w:r>
      <w:r w:rsidRPr="00012D2D">
        <w:rPr>
          <w:rFonts w:ascii="Open Sans" w:hAnsi="Open Sans"/>
          <w:shd w:val="clear" w:color="auto" w:fill="FFFFFF"/>
        </w:rPr>
        <w:t>. 2., rozš. vyd. Plzeň: Vydavatelství a nakladatelství Aleš Čeněk, 2011, 299 s. ISBN 978-80-7380-315-5., s. 157</w:t>
      </w:r>
    </w:p>
  </w:footnote>
  <w:footnote w:id="17">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KALOUDA, František.</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řízení podniku</w:t>
      </w:r>
      <w:r w:rsidRPr="00012D2D">
        <w:rPr>
          <w:rFonts w:ascii="Open Sans" w:hAnsi="Open Sans"/>
          <w:shd w:val="clear" w:color="auto" w:fill="FFFFFF"/>
        </w:rPr>
        <w:t>. 2., rozš. vyd. Plzeň: Vydavatelství a nakladatelství Aleš Čeněk, 2011, 299 s. ISBN 978-80-7380-315-5. Str. 157</w:t>
      </w:r>
    </w:p>
  </w:footnote>
  <w:footnote w:id="18">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HOLEČKOVÁ, Jaroslava.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firmy</w:t>
      </w:r>
      <w:r w:rsidRPr="00012D2D">
        <w:rPr>
          <w:rFonts w:ascii="Open Sans" w:hAnsi="Open Sans"/>
          <w:shd w:val="clear" w:color="auto" w:fill="FFFFFF"/>
        </w:rPr>
        <w:t>. Vyd. 1. Praha: ASPI, 2008, 208 s. ISBN 978-80-7357-392-8., s. 59-61.</w:t>
      </w:r>
    </w:p>
  </w:footnote>
  <w:footnote w:id="19">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RŮČKOVÁ, Petra.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metody, ukazatele, využití v praxi</w:t>
      </w:r>
      <w:r w:rsidRPr="00012D2D">
        <w:rPr>
          <w:rFonts w:ascii="Open Sans" w:hAnsi="Open Sans"/>
          <w:shd w:val="clear" w:color="auto" w:fill="FFFFFF"/>
        </w:rPr>
        <w:t>. 4., aktualiz. vyd. Praha: Grada, c2011, 143 s. Finanční řízení. ISBN 978-80-247-3916-8., s. 53-54</w:t>
      </w:r>
    </w:p>
  </w:footnote>
  <w:footnote w:id="20">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SEDLÁČEK, Jaroslav.</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podniku</w:t>
      </w:r>
      <w:r w:rsidRPr="00012D2D">
        <w:rPr>
          <w:rFonts w:ascii="Open Sans" w:hAnsi="Open Sans"/>
          <w:shd w:val="clear" w:color="auto" w:fill="FFFFFF"/>
        </w:rPr>
        <w:t>. 2., aktualiz. vyd. Brno: Computer Press, 2011, v, 152 s. ISBN 978-80-251-3386-6., s. 58</w:t>
      </w:r>
    </w:p>
  </w:footnote>
  <w:footnote w:id="21">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RŮČKOVÁ, Petra.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metody, ukazatele, využití v praxi</w:t>
      </w:r>
      <w:r w:rsidRPr="00012D2D">
        <w:rPr>
          <w:rFonts w:ascii="Open Sans" w:hAnsi="Open Sans"/>
          <w:shd w:val="clear" w:color="auto" w:fill="FFFFFF"/>
        </w:rPr>
        <w:t>. 4., aktualiz. vyd. Praha: Grada, c2011, 143 s. Finanční řízení. ISBN 978-80-247-3916-8., s. 55</w:t>
      </w:r>
    </w:p>
  </w:footnote>
  <w:footnote w:id="22">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SEDLÁČEK, Jaroslav.</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podniku</w:t>
      </w:r>
      <w:r w:rsidRPr="00012D2D">
        <w:rPr>
          <w:rFonts w:ascii="Open Sans" w:hAnsi="Open Sans"/>
          <w:shd w:val="clear" w:color="auto" w:fill="FFFFFF"/>
        </w:rPr>
        <w:t>. 2., aktualiz. vyd. Brno: Computer Press, 2011, v, 152 s. ISBN 978-80-251-3386-6., s. 58</w:t>
      </w:r>
    </w:p>
  </w:footnote>
  <w:footnote w:id="23">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KISLINGEROVÁ, Eva.</w:t>
      </w:r>
      <w:r w:rsidRPr="00012D2D">
        <w:rPr>
          <w:rStyle w:val="apple-converted-space"/>
          <w:rFonts w:ascii="Open Sans" w:hAnsi="Open Sans"/>
          <w:shd w:val="clear" w:color="auto" w:fill="FFFFFF"/>
        </w:rPr>
        <w:t> </w:t>
      </w:r>
      <w:r w:rsidRPr="00012D2D">
        <w:rPr>
          <w:rFonts w:ascii="Open Sans" w:hAnsi="Open Sans"/>
          <w:i/>
          <w:iCs/>
          <w:shd w:val="clear" w:color="auto" w:fill="FFFFFF"/>
        </w:rPr>
        <w:t>Manažerské finance</w:t>
      </w:r>
      <w:r w:rsidRPr="00012D2D">
        <w:rPr>
          <w:rFonts w:ascii="Open Sans" w:hAnsi="Open Sans"/>
          <w:shd w:val="clear" w:color="auto" w:fill="FFFFFF"/>
        </w:rPr>
        <w:t>. 3. vyd. V Praze: C.H. Beck, 2010, xxxviii, 811 s. Beckova edice ekonomie. ISBN 978-80-7400-194-9., s. 99-100</w:t>
      </w:r>
    </w:p>
  </w:footnote>
  <w:footnote w:id="24">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KALOUDA, František.</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řízení podniku</w:t>
      </w:r>
      <w:r w:rsidRPr="00012D2D">
        <w:rPr>
          <w:rFonts w:ascii="Open Sans" w:hAnsi="Open Sans"/>
          <w:shd w:val="clear" w:color="auto" w:fill="FFFFFF"/>
        </w:rPr>
        <w:t>. 2., rozš. vyd. Plzeň: Vydavatelství a nakladatelství Aleš Čeněk, 2011, 299 s. ISBN 978-80-7380-315-5., s. 60</w:t>
      </w:r>
    </w:p>
  </w:footnote>
  <w:footnote w:id="25">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KISLINGEROVÁ, Eva.</w:t>
      </w:r>
      <w:r w:rsidRPr="00012D2D">
        <w:rPr>
          <w:rStyle w:val="apple-converted-space"/>
          <w:rFonts w:ascii="Open Sans" w:hAnsi="Open Sans"/>
          <w:shd w:val="clear" w:color="auto" w:fill="FFFFFF"/>
        </w:rPr>
        <w:t> </w:t>
      </w:r>
      <w:r w:rsidRPr="00012D2D">
        <w:rPr>
          <w:rFonts w:ascii="Open Sans" w:hAnsi="Open Sans"/>
          <w:i/>
          <w:iCs/>
          <w:shd w:val="clear" w:color="auto" w:fill="FFFFFF"/>
        </w:rPr>
        <w:t>Manažerské finance</w:t>
      </w:r>
      <w:r w:rsidRPr="00012D2D">
        <w:rPr>
          <w:rFonts w:ascii="Open Sans" w:hAnsi="Open Sans"/>
          <w:shd w:val="clear" w:color="auto" w:fill="FFFFFF"/>
        </w:rPr>
        <w:t>. 3. vyd. V Praze: C.H. Beck, 2010, xxxviii, 811 s. Beckova edice ekonomie. ISBN 978-80-7400-194-9., s. 108</w:t>
      </w:r>
    </w:p>
  </w:footnote>
  <w:footnote w:id="26">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SEDLÁČEK, Jaroslav.</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podniku</w:t>
      </w:r>
      <w:r w:rsidRPr="00012D2D">
        <w:rPr>
          <w:rFonts w:ascii="Open Sans" w:hAnsi="Open Sans"/>
          <w:shd w:val="clear" w:color="auto" w:fill="FFFFFF"/>
        </w:rPr>
        <w:t>. 2., aktualiz. vyd. Brno: Computer Press, 2011, v, 152 s. ISBN 978-80-251-3386-6., s. 61</w:t>
      </w:r>
    </w:p>
  </w:footnote>
  <w:footnote w:id="27">
    <w:p w:rsidR="00115E95" w:rsidRPr="00012D2D" w:rsidRDefault="00115E95" w:rsidP="00146B39">
      <w:pPr>
        <w:pStyle w:val="Textpoznpodarou"/>
        <w:rPr>
          <w:rStyle w:val="Znakapoznpodarou"/>
        </w:rPr>
      </w:pPr>
      <w:r w:rsidRPr="00012D2D">
        <w:rPr>
          <w:rStyle w:val="Znakapoznpodarou"/>
        </w:rPr>
        <w:footnoteRef/>
      </w:r>
      <w:r w:rsidRPr="00012D2D">
        <w:rPr>
          <w:rStyle w:val="Znakapoznpodarou"/>
        </w:rPr>
        <w:t xml:space="preserve"> </w:t>
      </w:r>
      <w:r w:rsidRPr="00012D2D">
        <w:rPr>
          <w:rFonts w:ascii="Open Sans" w:hAnsi="Open Sans"/>
          <w:shd w:val="clear" w:color="auto" w:fill="FFFFFF"/>
        </w:rPr>
        <w:t>DL DLUHOŠOVÁ, Dana a kol. Finanční řízeni a rozhodování podniku: analýza, investováni, oceňováni, riziko, flexibilita. 3. rozš. vyd. Praha: Ekopress, 2010. 225 s.ISBN 978-80-86929-68-2., s. 86.</w:t>
      </w:r>
    </w:p>
    <w:p w:rsidR="00115E95" w:rsidRPr="00012D2D" w:rsidRDefault="00115E95">
      <w:pPr>
        <w:pStyle w:val="Textpoznpodarou"/>
      </w:pPr>
    </w:p>
  </w:footnote>
  <w:footnote w:id="28">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KISLINGEROVÁ, Eva.</w:t>
      </w:r>
      <w:r w:rsidRPr="00012D2D">
        <w:rPr>
          <w:rStyle w:val="apple-converted-space"/>
          <w:rFonts w:ascii="Open Sans" w:hAnsi="Open Sans"/>
          <w:shd w:val="clear" w:color="auto" w:fill="FFFFFF"/>
        </w:rPr>
        <w:t> </w:t>
      </w:r>
      <w:r w:rsidRPr="00012D2D">
        <w:rPr>
          <w:rFonts w:ascii="Open Sans" w:hAnsi="Open Sans"/>
          <w:i/>
          <w:iCs/>
          <w:shd w:val="clear" w:color="auto" w:fill="FFFFFF"/>
        </w:rPr>
        <w:t>Manažerské finance</w:t>
      </w:r>
      <w:r w:rsidRPr="00012D2D">
        <w:rPr>
          <w:rFonts w:ascii="Open Sans" w:hAnsi="Open Sans"/>
          <w:shd w:val="clear" w:color="auto" w:fill="FFFFFF"/>
        </w:rPr>
        <w:t>. 3. vyd. V Praze: C.H. Beck, 2010, xxxviii, 811 s. Beckova edice ekonomie. ISBN 978-80-7400-194-9., s. 109</w:t>
      </w:r>
    </w:p>
  </w:footnote>
  <w:footnote w:id="29">
    <w:p w:rsidR="00115E95" w:rsidRPr="00012D2D" w:rsidRDefault="00115E95" w:rsidP="00F73EC2">
      <w:pPr>
        <w:pStyle w:val="Textpoznpodarou"/>
        <w:rPr>
          <w:rFonts w:ascii="Open Sans" w:hAnsi="Open Sans"/>
        </w:rPr>
      </w:pPr>
      <w:r w:rsidRPr="00012D2D">
        <w:rPr>
          <w:rStyle w:val="Znakapoznpodarou"/>
        </w:rPr>
        <w:footnoteRef/>
      </w:r>
      <w:r w:rsidRPr="00012D2D">
        <w:t xml:space="preserve"> </w:t>
      </w:r>
      <w:r w:rsidRPr="00012D2D">
        <w:rPr>
          <w:rFonts w:ascii="Open Sans" w:hAnsi="Open Sans"/>
          <w:shd w:val="clear" w:color="auto" w:fill="FFFFFF"/>
        </w:rPr>
        <w:t>SYNEK, Miloslav.</w:t>
      </w:r>
      <w:r w:rsidRPr="00012D2D">
        <w:rPr>
          <w:rStyle w:val="apple-converted-space"/>
          <w:rFonts w:ascii="Open Sans" w:hAnsi="Open Sans"/>
          <w:shd w:val="clear" w:color="auto" w:fill="FFFFFF"/>
        </w:rPr>
        <w:t> </w:t>
      </w:r>
      <w:r w:rsidRPr="00012D2D">
        <w:rPr>
          <w:rFonts w:ascii="Open Sans" w:hAnsi="Open Sans"/>
          <w:i/>
          <w:iCs/>
          <w:shd w:val="clear" w:color="auto" w:fill="FFFFFF"/>
        </w:rPr>
        <w:t>Manažerská ekonomika</w:t>
      </w:r>
      <w:r w:rsidRPr="00012D2D">
        <w:rPr>
          <w:rFonts w:ascii="Open Sans" w:hAnsi="Open Sans"/>
          <w:shd w:val="clear" w:color="auto" w:fill="FFFFFF"/>
        </w:rPr>
        <w:t>. 5., aktualiz. a dopl. vyd. Praha: Grada, 2011, 471 s. Expert (Grada). ISBN 9788024734941., s. 355-356</w:t>
      </w:r>
    </w:p>
  </w:footnote>
  <w:footnote w:id="30">
    <w:p w:rsidR="00115E95" w:rsidRPr="00012D2D" w:rsidRDefault="00115E95" w:rsidP="00F73EC2">
      <w:pPr>
        <w:spacing w:line="240" w:lineRule="auto"/>
        <w:rPr>
          <w:rFonts w:ascii="Open Sans" w:hAnsi="Open Sans"/>
          <w:sz w:val="20"/>
          <w:szCs w:val="20"/>
        </w:rPr>
      </w:pPr>
      <w:r w:rsidRPr="00012D2D">
        <w:rPr>
          <w:rStyle w:val="Znakapoznpodarou"/>
          <w:rFonts w:ascii="Open Sans" w:hAnsi="Open Sans"/>
          <w:sz w:val="20"/>
          <w:szCs w:val="20"/>
        </w:rPr>
        <w:footnoteRef/>
      </w:r>
      <w:r w:rsidRPr="00012D2D">
        <w:rPr>
          <w:rFonts w:ascii="Open Sans" w:hAnsi="Open Sans"/>
          <w:sz w:val="20"/>
          <w:szCs w:val="20"/>
        </w:rPr>
        <w:t xml:space="preserve"> </w:t>
      </w:r>
      <w:r w:rsidRPr="00012D2D">
        <w:rPr>
          <w:rFonts w:ascii="Open Sans" w:hAnsi="Open Sans"/>
          <w:sz w:val="20"/>
          <w:szCs w:val="20"/>
          <w:shd w:val="clear" w:color="auto" w:fill="FFFFFF"/>
        </w:rPr>
        <w:t>SEDLÁČEK, Jaroslav.</w:t>
      </w:r>
      <w:r w:rsidRPr="00012D2D">
        <w:t> </w:t>
      </w:r>
      <w:r w:rsidRPr="00012D2D">
        <w:rPr>
          <w:rFonts w:ascii="Open Sans" w:hAnsi="Open Sans"/>
          <w:i/>
          <w:sz w:val="20"/>
          <w:szCs w:val="20"/>
          <w:shd w:val="clear" w:color="auto" w:fill="FFFFFF"/>
        </w:rPr>
        <w:t>Finanční analýza podniku</w:t>
      </w:r>
      <w:r w:rsidRPr="00012D2D">
        <w:rPr>
          <w:rFonts w:ascii="Open Sans" w:hAnsi="Open Sans"/>
          <w:sz w:val="20"/>
          <w:szCs w:val="20"/>
          <w:shd w:val="clear" w:color="auto" w:fill="FFFFFF"/>
        </w:rPr>
        <w:t>. 2., aktualiz. vyd. Brno: Computer Press, 2011, v, 152 s. ISBN 978-80-251-3386-6., s. 63.</w:t>
      </w:r>
    </w:p>
  </w:footnote>
  <w:footnote w:id="31">
    <w:p w:rsidR="00115E95" w:rsidRPr="00012D2D" w:rsidRDefault="00115E95" w:rsidP="00F73EC2">
      <w:pPr>
        <w:pStyle w:val="Bezmezer"/>
        <w:rPr>
          <w:shd w:val="clear" w:color="auto" w:fill="FFFFFF"/>
        </w:rPr>
      </w:pPr>
      <w:r w:rsidRPr="00012D2D">
        <w:rPr>
          <w:rStyle w:val="Znakapoznpodarou"/>
          <w:rFonts w:ascii="Open Sans" w:hAnsi="Open Sans"/>
          <w:sz w:val="20"/>
          <w:szCs w:val="20"/>
        </w:rPr>
        <w:footnoteRef/>
      </w:r>
      <w:r w:rsidRPr="00012D2D">
        <w:t xml:space="preserve"> </w:t>
      </w:r>
      <w:r w:rsidRPr="00012D2D">
        <w:rPr>
          <w:rFonts w:ascii="Open Sans" w:hAnsi="Open Sans"/>
          <w:sz w:val="20"/>
          <w:szCs w:val="20"/>
          <w:shd w:val="clear" w:color="auto" w:fill="FFFFFF"/>
          <w:lang w:val="cs-CZ"/>
        </w:rPr>
        <w:t>HOLEČKOVÁ, Jaroslava</w:t>
      </w:r>
      <w:r w:rsidRPr="00012D2D">
        <w:rPr>
          <w:rFonts w:ascii="Open Sans" w:hAnsi="Open Sans"/>
          <w:i/>
          <w:sz w:val="20"/>
          <w:szCs w:val="20"/>
          <w:shd w:val="clear" w:color="auto" w:fill="FFFFFF"/>
          <w:lang w:val="cs-CZ"/>
        </w:rPr>
        <w:t>. Finanční analýza firmy</w:t>
      </w:r>
      <w:r w:rsidRPr="00012D2D">
        <w:rPr>
          <w:rFonts w:ascii="Open Sans" w:hAnsi="Open Sans"/>
          <w:sz w:val="20"/>
          <w:szCs w:val="20"/>
          <w:shd w:val="clear" w:color="auto" w:fill="FFFFFF"/>
          <w:lang w:val="cs-CZ"/>
        </w:rPr>
        <w:t>. Vyd. 1. Praha: ASPI, 2008, 208 s. ISBN 978-80-7357-392-8., s. 86-87.</w:t>
      </w:r>
    </w:p>
  </w:footnote>
  <w:footnote w:id="32">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KISLINGEROVÁ, Eva.</w:t>
      </w:r>
      <w:r w:rsidRPr="00012D2D">
        <w:rPr>
          <w:rStyle w:val="apple-converted-space"/>
          <w:rFonts w:ascii="Open Sans" w:hAnsi="Open Sans"/>
          <w:shd w:val="clear" w:color="auto" w:fill="FFFFFF"/>
        </w:rPr>
        <w:t> </w:t>
      </w:r>
      <w:r w:rsidRPr="00012D2D">
        <w:rPr>
          <w:rFonts w:ascii="Open Sans" w:hAnsi="Open Sans"/>
          <w:i/>
          <w:iCs/>
          <w:shd w:val="clear" w:color="auto" w:fill="FFFFFF"/>
        </w:rPr>
        <w:t>Manažerské finance</w:t>
      </w:r>
      <w:r w:rsidRPr="00012D2D">
        <w:rPr>
          <w:rFonts w:ascii="Open Sans" w:hAnsi="Open Sans"/>
          <w:shd w:val="clear" w:color="auto" w:fill="FFFFFF"/>
        </w:rPr>
        <w:t>. 3. vyd. V Praze: C.H. Beck, 2010, xxxviii, 811 s. Beckova edice ekonomie. ISBN 978-80-7400-194-9., s. 110-111.</w:t>
      </w:r>
    </w:p>
  </w:footnote>
  <w:footnote w:id="33">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SEDLÁČEK, Jaroslav.</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podniku</w:t>
      </w:r>
      <w:r w:rsidRPr="00012D2D">
        <w:rPr>
          <w:rFonts w:ascii="Open Sans" w:hAnsi="Open Sans"/>
          <w:shd w:val="clear" w:color="auto" w:fill="FFFFFF"/>
        </w:rPr>
        <w:t>. 2., aktualiz. vyd. Brno: Computer Press, 2011, v, 152 s. ISBN 978-80-251-3386-6., s. 63.</w:t>
      </w:r>
    </w:p>
  </w:footnote>
  <w:footnote w:id="34">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HOLEČKOVÁ, Jaroslava.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firmy</w:t>
      </w:r>
      <w:r w:rsidRPr="00012D2D">
        <w:rPr>
          <w:rFonts w:ascii="Open Sans" w:hAnsi="Open Sans"/>
          <w:shd w:val="clear" w:color="auto" w:fill="FFFFFF"/>
        </w:rPr>
        <w:t>. Vyd. 1. Praha: ASPI, 2008, 208 s. ISBN 978-80-7357-392-8., s. 79-80</w:t>
      </w:r>
    </w:p>
  </w:footnote>
  <w:footnote w:id="35">
    <w:p w:rsidR="00115E95" w:rsidRPr="00012D2D" w:rsidRDefault="00115E95" w:rsidP="00F73EC2">
      <w:pPr>
        <w:pStyle w:val="Textpoznpodarou"/>
        <w:rPr>
          <w:rFonts w:ascii="Open Sans" w:hAnsi="Open Sans"/>
          <w:shd w:val="clear" w:color="auto" w:fill="FFFFFF"/>
        </w:rPr>
      </w:pPr>
      <w:r w:rsidRPr="00012D2D">
        <w:rPr>
          <w:rStyle w:val="Znakapoznpodarou"/>
        </w:rPr>
        <w:footnoteRef/>
      </w:r>
      <w:r w:rsidRPr="00012D2D">
        <w:t xml:space="preserve"> </w:t>
      </w:r>
      <w:r w:rsidRPr="00012D2D">
        <w:rPr>
          <w:rFonts w:ascii="Open Sans" w:hAnsi="Open Sans"/>
          <w:shd w:val="clear" w:color="auto" w:fill="FFFFFF"/>
        </w:rPr>
        <w:t>KISLINGEROVÁ, Eva.</w:t>
      </w:r>
      <w:r w:rsidRPr="00012D2D">
        <w:t> </w:t>
      </w:r>
      <w:r w:rsidRPr="00012D2D">
        <w:rPr>
          <w:rFonts w:ascii="Open Sans" w:hAnsi="Open Sans"/>
          <w:shd w:val="clear" w:color="auto" w:fill="FFFFFF"/>
        </w:rPr>
        <w:t>Manažerské finance. 3. vyd. V Praze: C.H. Beck, 2010, xxxviii, 811 s. Beckova edice ekonomie. ISBN 978-80-7400-194-9., s. 64</w:t>
      </w:r>
    </w:p>
  </w:footnote>
  <w:footnote w:id="36">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KNÁPKOVÁ, Adriana, Drahomíra PAVELKOVÁ a Karel ŠTEKER.</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komplexní průvodce s příklady</w:t>
      </w:r>
      <w:r w:rsidRPr="00012D2D">
        <w:rPr>
          <w:rFonts w:ascii="Open Sans" w:hAnsi="Open Sans"/>
          <w:shd w:val="clear" w:color="auto" w:fill="FFFFFF"/>
        </w:rPr>
        <w:t>. 2., rozš. vyd. Praha: Grada, 2013, 236 s. Prosperita firmy. ISBN 978-80-247-4456-8., s. 84</w:t>
      </w:r>
    </w:p>
  </w:footnote>
  <w:footnote w:id="37">
    <w:p w:rsidR="00115E95" w:rsidRPr="00012D2D" w:rsidRDefault="00115E95" w:rsidP="00F73EC2">
      <w:pPr>
        <w:pStyle w:val="Textpoznpodarou"/>
        <w:rPr>
          <w:rFonts w:ascii="Open Sans" w:hAnsi="Open Sans"/>
          <w:shd w:val="clear" w:color="auto" w:fill="FFFFFF"/>
        </w:rPr>
      </w:pPr>
      <w:r w:rsidRPr="00012D2D">
        <w:rPr>
          <w:rStyle w:val="Znakapoznpodarou"/>
        </w:rPr>
        <w:footnoteRef/>
      </w:r>
      <w:r w:rsidRPr="00012D2D">
        <w:rPr>
          <w:rFonts w:ascii="Open Sans" w:hAnsi="Open Sans"/>
          <w:shd w:val="clear" w:color="auto" w:fill="FFFFFF"/>
        </w:rPr>
        <w:t xml:space="preserve"> SEDLÁČEK, Jaroslav.</w:t>
      </w:r>
      <w:r w:rsidRPr="00012D2D">
        <w:t> </w:t>
      </w:r>
      <w:r w:rsidRPr="00012D2D">
        <w:rPr>
          <w:rFonts w:ascii="Open Sans" w:hAnsi="Open Sans"/>
          <w:i/>
          <w:shd w:val="clear" w:color="auto" w:fill="FFFFFF"/>
        </w:rPr>
        <w:t>Finanční analýza podniku</w:t>
      </w:r>
      <w:r w:rsidRPr="00012D2D">
        <w:rPr>
          <w:rFonts w:ascii="Open Sans" w:hAnsi="Open Sans"/>
          <w:shd w:val="clear" w:color="auto" w:fill="FFFFFF"/>
        </w:rPr>
        <w:t>. 2., aktualiz. vyd. Brno: Computer Press, 2011, v, 152 s. ISBN 978-80-251-3386-6., s. 35.</w:t>
      </w:r>
    </w:p>
  </w:footnote>
  <w:footnote w:id="38">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HOLEČKOVÁ, Jaroslava.</w:t>
      </w:r>
      <w:r w:rsidRPr="00012D2D">
        <w:t> </w:t>
      </w:r>
      <w:r w:rsidRPr="00012D2D">
        <w:rPr>
          <w:rFonts w:ascii="Open Sans" w:hAnsi="Open Sans"/>
          <w:i/>
          <w:shd w:val="clear" w:color="auto" w:fill="FFFFFF"/>
        </w:rPr>
        <w:t>Finanční analýza firmy</w:t>
      </w:r>
      <w:r w:rsidRPr="00012D2D">
        <w:rPr>
          <w:rFonts w:ascii="Open Sans" w:hAnsi="Open Sans"/>
          <w:shd w:val="clear" w:color="auto" w:fill="FFFFFF"/>
        </w:rPr>
        <w:t>. Vyd. 1. Praha: ASPI, 2008, 208 s. ISBN 978-80-7357-392-8., s. 120-123.</w:t>
      </w:r>
    </w:p>
  </w:footnote>
  <w:footnote w:id="39">
    <w:p w:rsidR="00115E95" w:rsidRPr="00012D2D" w:rsidRDefault="00115E95" w:rsidP="00F73EC2">
      <w:pPr>
        <w:pStyle w:val="Textpoznpodarou"/>
        <w:rPr>
          <w:rFonts w:ascii="Open Sans" w:hAnsi="Open Sans"/>
          <w:shd w:val="clear" w:color="auto" w:fill="FFFFFF"/>
        </w:rPr>
      </w:pPr>
      <w:r w:rsidRPr="00012D2D">
        <w:rPr>
          <w:rStyle w:val="Znakapoznpodarou"/>
        </w:rPr>
        <w:footnoteRef/>
      </w:r>
      <w:r w:rsidRPr="00012D2D">
        <w:rPr>
          <w:rFonts w:ascii="Open Sans" w:hAnsi="Open Sans"/>
          <w:shd w:val="clear" w:color="auto" w:fill="FFFFFF"/>
        </w:rPr>
        <w:t xml:space="preserve"> MRKVIČKA, Josef.</w:t>
      </w:r>
      <w:r w:rsidRPr="00012D2D">
        <w:rPr>
          <w:rFonts w:ascii="Open Sans" w:hAnsi="Open Sans"/>
        </w:rPr>
        <w:t> </w:t>
      </w:r>
      <w:r w:rsidRPr="00012D2D">
        <w:rPr>
          <w:rFonts w:ascii="Open Sans" w:hAnsi="Open Sans"/>
          <w:shd w:val="clear" w:color="auto" w:fill="FFFFFF"/>
        </w:rPr>
        <w:t>Finanční analýza: metody, ukazatele, využití v praxi. 2., přeprac. vyd. Praha: ASPI, 2006, 228 s. Beckova edice ekonomie. ISBN 80-735-7219-2., s. 80-81.</w:t>
      </w:r>
    </w:p>
  </w:footnote>
  <w:footnote w:id="40">
    <w:p w:rsidR="00115E95" w:rsidRPr="00012D2D" w:rsidRDefault="00115E95" w:rsidP="00F73EC2">
      <w:pPr>
        <w:pStyle w:val="Textpoznpodarou"/>
      </w:pPr>
      <w:r w:rsidRPr="00012D2D">
        <w:rPr>
          <w:rStyle w:val="Znakapoznpodarou"/>
        </w:rPr>
        <w:footnoteRef/>
      </w:r>
      <w:r w:rsidRPr="00012D2D">
        <w:rPr>
          <w:rStyle w:val="Znakapoznpodarou"/>
        </w:rPr>
        <w:t xml:space="preserve"> </w:t>
      </w:r>
      <w:r w:rsidRPr="00012D2D">
        <w:rPr>
          <w:rFonts w:ascii="Open Sans" w:hAnsi="Open Sans"/>
          <w:shd w:val="clear" w:color="auto" w:fill="FFFFFF"/>
        </w:rPr>
        <w:t>HOLEČKOVÁ, Jaroslava.</w:t>
      </w:r>
      <w:r w:rsidRPr="00012D2D">
        <w:t> </w:t>
      </w:r>
      <w:r w:rsidRPr="00012D2D">
        <w:rPr>
          <w:rFonts w:ascii="Open Sans" w:hAnsi="Open Sans"/>
          <w:shd w:val="clear" w:color="auto" w:fill="FFFFFF"/>
        </w:rPr>
        <w:t>Finanční analýza firmy. Vyd. 1. Praha: ASPI, 2008, 208 s. ISBN 978-80-7357-392-8., s. 120-123.</w:t>
      </w:r>
    </w:p>
  </w:footnote>
  <w:footnote w:id="41">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SEDLÁČEK, Jaroslav.</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podniku</w:t>
      </w:r>
      <w:r w:rsidRPr="00012D2D">
        <w:rPr>
          <w:rFonts w:ascii="Open Sans" w:hAnsi="Open Sans"/>
          <w:shd w:val="clear" w:color="auto" w:fill="FFFFFF"/>
        </w:rPr>
        <w:t>. 2., aktualiz. vyd. Brno: Computer Press, 2011, v, 152 s. ISBN 978-80-251-3386-6., s. 81.</w:t>
      </w:r>
    </w:p>
  </w:footnote>
  <w:footnote w:id="42">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RŮČKOVÁ, Petra.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metody, ukazatele, využití v praxi</w:t>
      </w:r>
      <w:r w:rsidRPr="00012D2D">
        <w:rPr>
          <w:rFonts w:ascii="Open Sans" w:hAnsi="Open Sans"/>
          <w:shd w:val="clear" w:color="auto" w:fill="FFFFFF"/>
        </w:rPr>
        <w:t>. 4., aktualiz. vyd. Praha: Grada, c2011, 143 s. Finanční řízení. ISBN 978-80-247-3916-8., s. 71.</w:t>
      </w:r>
    </w:p>
  </w:footnote>
  <w:footnote w:id="43">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KISLINGEROVÁ, Eva a Jiří HNILICA.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krok za krokem</w:t>
      </w:r>
      <w:r w:rsidRPr="00012D2D">
        <w:rPr>
          <w:rFonts w:ascii="Open Sans" w:hAnsi="Open Sans"/>
          <w:shd w:val="clear" w:color="auto" w:fill="FFFFFF"/>
        </w:rPr>
        <w:t>. Vyd. 1. Praha: C.H. Beck, 2005, xiii, 137 s. C.H. Beck pro praxi. ISBN 978-80-247-3494-1., s. 56.</w:t>
      </w:r>
    </w:p>
  </w:footnote>
  <w:footnote w:id="44">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SEDLÁČEK, Jaroslav.</w:t>
      </w:r>
      <w:r w:rsidRPr="00012D2D">
        <w:rPr>
          <w:rStyle w:val="apple-converted-space"/>
          <w:rFonts w:ascii="Open Sans" w:hAnsi="Open Sans"/>
          <w:shd w:val="clear" w:color="auto" w:fill="FFFFFF"/>
        </w:rPr>
        <w:t> </w:t>
      </w:r>
      <w:r w:rsidRPr="00012D2D">
        <w:rPr>
          <w:rFonts w:ascii="Open Sans" w:hAnsi="Open Sans"/>
          <w:i/>
          <w:iCs/>
          <w:shd w:val="clear" w:color="auto" w:fill="FFFFFF"/>
        </w:rPr>
        <w:t>Účetní data v rukou manažera - finanční analýza v řízení firmy</w:t>
      </w:r>
      <w:r w:rsidRPr="00012D2D">
        <w:rPr>
          <w:rFonts w:ascii="Open Sans" w:hAnsi="Open Sans"/>
          <w:shd w:val="clear" w:color="auto" w:fill="FFFFFF"/>
        </w:rPr>
        <w:t>. 2. dopl. vyd. Praha: Computer Press, 2001, ix, 220 s. Praxe manažera (Computer Press). ISBN 80-7226-562-8., s. 119.</w:t>
      </w:r>
    </w:p>
  </w:footnote>
  <w:footnote w:id="45">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SEDLÁČEK, Jaroslav.</w:t>
      </w:r>
      <w:r w:rsidRPr="00012D2D">
        <w:rPr>
          <w:rStyle w:val="apple-converted-space"/>
          <w:rFonts w:ascii="Open Sans" w:hAnsi="Open Sans"/>
          <w:shd w:val="clear" w:color="auto" w:fill="FFFFFF"/>
        </w:rPr>
        <w:t> </w:t>
      </w:r>
      <w:r w:rsidRPr="00012D2D">
        <w:rPr>
          <w:rFonts w:ascii="Open Sans" w:hAnsi="Open Sans"/>
          <w:i/>
          <w:iCs/>
          <w:shd w:val="clear" w:color="auto" w:fill="FFFFFF"/>
        </w:rPr>
        <w:t>Účetní data v rukou manažera: finanční analýza v řízení firmy</w:t>
      </w:r>
      <w:r w:rsidRPr="00012D2D">
        <w:rPr>
          <w:rFonts w:ascii="Open Sans" w:hAnsi="Open Sans"/>
          <w:shd w:val="clear" w:color="auto" w:fill="FFFFFF"/>
        </w:rPr>
        <w:t>. 2. doplněné vyd. Brno: Computer Press, 2001, 220 s. ISBN 8072265628., s. 132</w:t>
      </w:r>
    </w:p>
  </w:footnote>
  <w:footnote w:id="46">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HOLEČKOVÁ, Jaroslava.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firmy</w:t>
      </w:r>
      <w:r w:rsidRPr="00012D2D">
        <w:rPr>
          <w:rFonts w:ascii="Open Sans" w:hAnsi="Open Sans"/>
          <w:shd w:val="clear" w:color="auto" w:fill="FFFFFF"/>
        </w:rPr>
        <w:t>. Vyd. 1. Praha: ASPI, 2008, 208 s. ISBN 978-80-7357-392-8., s. 199</w:t>
      </w:r>
    </w:p>
  </w:footnote>
  <w:footnote w:id="47">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HOLEČKOVÁ, Jaroslava.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firmy</w:t>
      </w:r>
      <w:r w:rsidRPr="00012D2D">
        <w:rPr>
          <w:rFonts w:ascii="Open Sans" w:hAnsi="Open Sans"/>
          <w:shd w:val="clear" w:color="auto" w:fill="FFFFFF"/>
        </w:rPr>
        <w:t>. Vyd. 1. Praha: ASPI, 2008, 208 s. ISBN 978-80-7357-392-8., s. 200-201</w:t>
      </w:r>
    </w:p>
  </w:footnote>
  <w:footnote w:id="48">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RŮČKOVÁ, Petra.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metody, ukazatele, využití v praxi</w:t>
      </w:r>
      <w:r w:rsidRPr="00012D2D">
        <w:rPr>
          <w:rFonts w:ascii="Open Sans" w:hAnsi="Open Sans"/>
          <w:shd w:val="clear" w:color="auto" w:fill="FFFFFF"/>
        </w:rPr>
        <w:t>. 4., aktualiz. vyd. Praha: Grada, c2011, 143 s. Finanční řízení. ISBN 978-80-247-3916-8., s. 81</w:t>
      </w:r>
    </w:p>
  </w:footnote>
  <w:footnote w:id="49">
    <w:p w:rsidR="00115E95" w:rsidRPr="00012D2D" w:rsidRDefault="00115E95" w:rsidP="00F73EC2">
      <w:pPr>
        <w:pStyle w:val="Textpoznpodarou"/>
      </w:pPr>
      <w:r w:rsidRPr="00012D2D">
        <w:rPr>
          <w:rStyle w:val="Znakapoznpodarou"/>
        </w:rPr>
        <w:footnoteRef/>
      </w:r>
      <w:r w:rsidRPr="00012D2D">
        <w:t xml:space="preserve"> </w:t>
      </w:r>
      <w:r w:rsidRPr="00012D2D">
        <w:rPr>
          <w:rFonts w:ascii="Open Sans" w:hAnsi="Open Sans"/>
          <w:shd w:val="clear" w:color="auto" w:fill="FFFFFF"/>
        </w:rPr>
        <w:t>HOLEČKOVÁ, Jaroslava.</w:t>
      </w:r>
      <w:r w:rsidRPr="00012D2D">
        <w:rPr>
          <w:rStyle w:val="apple-converted-space"/>
          <w:rFonts w:ascii="Open Sans" w:hAnsi="Open Sans"/>
          <w:shd w:val="clear" w:color="auto" w:fill="FFFFFF"/>
        </w:rPr>
        <w:t> </w:t>
      </w:r>
      <w:r w:rsidRPr="00012D2D">
        <w:rPr>
          <w:rFonts w:ascii="Open Sans" w:hAnsi="Open Sans"/>
          <w:i/>
          <w:iCs/>
          <w:shd w:val="clear" w:color="auto" w:fill="FFFFFF"/>
        </w:rPr>
        <w:t>Finanční analýza firmy</w:t>
      </w:r>
      <w:r w:rsidRPr="00012D2D">
        <w:rPr>
          <w:rFonts w:ascii="Open Sans" w:hAnsi="Open Sans"/>
          <w:shd w:val="clear" w:color="auto" w:fill="FFFFFF"/>
        </w:rPr>
        <w:t>. Vyd. 1. Praha: ASPI, 2008, 208 s. ISBN 978-80-7357-392-8., s. 200-201.</w:t>
      </w:r>
    </w:p>
  </w:footnote>
  <w:footnote w:id="50">
    <w:p w:rsidR="00115E95" w:rsidRPr="00012D2D" w:rsidRDefault="00115E95" w:rsidP="00F73EC2">
      <w:pPr>
        <w:pStyle w:val="Textpoznpodarou"/>
      </w:pPr>
      <w:r w:rsidRPr="00012D2D">
        <w:rPr>
          <w:rStyle w:val="Znakapoznpodarou"/>
        </w:rPr>
        <w:footnoteRef/>
      </w:r>
      <w:r w:rsidRPr="00012D2D">
        <w:t xml:space="preserve"> https://or.justice.cz/ias/ui/rejstrik-firma.vysledky?subjektId=703784&amp;typ=UPLNY</w:t>
      </w:r>
    </w:p>
  </w:footnote>
  <w:footnote w:id="51">
    <w:p w:rsidR="00115E95" w:rsidRPr="00012D2D" w:rsidRDefault="00115E95" w:rsidP="00F73EC2">
      <w:pPr>
        <w:pStyle w:val="Textpoznpodarou"/>
      </w:pPr>
      <w:r w:rsidRPr="00012D2D">
        <w:rPr>
          <w:rStyle w:val="Znakapoznpodarou"/>
        </w:rPr>
        <w:footnoteRef/>
      </w:r>
      <w:r w:rsidRPr="00012D2D">
        <w:t xml:space="preserve"> http://www.rzp.cz/cgi-bin/aps_cacheWEB.sh?VSS_SERV=ZVWSBJVYP&amp;OKRES=&amp;CASTOBCE=&amp;OBEC=&amp;ULICE=&amp;CDOM=&amp;COR=&amp;COZ=&amp;ICO=43962696&amp;OBCHJM=&amp;OBCHJMATD=0&amp;ROLES=P&amp;JMENO=&amp;PRIJMENI=&amp;NAROZENI=&amp;ROLE=&amp;VYPIS=1&amp;PODLE=subjekt&amp;IDICO=5cc455f7a093e5c9bcef&amp;HISTORIE=0</w:t>
      </w:r>
    </w:p>
  </w:footnote>
  <w:footnote w:id="52">
    <w:p w:rsidR="00115E95" w:rsidRPr="00012D2D" w:rsidRDefault="00115E95" w:rsidP="00F73EC2">
      <w:pPr>
        <w:pStyle w:val="Textpoznpodarou"/>
      </w:pPr>
      <w:r w:rsidRPr="00012D2D">
        <w:rPr>
          <w:rStyle w:val="Znakapoznpodarou"/>
        </w:rPr>
        <w:footnoteRef/>
      </w:r>
      <w:r w:rsidRPr="00012D2D">
        <w:t xml:space="preserve"> http://focam.cz/</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A593D"/>
    <w:multiLevelType w:val="hybridMultilevel"/>
    <w:tmpl w:val="6FB4D878"/>
    <w:lvl w:ilvl="0" w:tplc="3FE492E2">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59B4004"/>
    <w:multiLevelType w:val="hybridMultilevel"/>
    <w:tmpl w:val="358CB9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12B5860"/>
    <w:multiLevelType w:val="multilevel"/>
    <w:tmpl w:val="E7B80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6D4356"/>
    <w:multiLevelType w:val="multilevel"/>
    <w:tmpl w:val="AEA44DE4"/>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4">
    <w:nsid w:val="275C3341"/>
    <w:multiLevelType w:val="hybridMultilevel"/>
    <w:tmpl w:val="BB2896DE"/>
    <w:lvl w:ilvl="0" w:tplc="FC42331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306F57AD"/>
    <w:multiLevelType w:val="hybridMultilevel"/>
    <w:tmpl w:val="6618FBC6"/>
    <w:lvl w:ilvl="0" w:tplc="0A6AC822">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31E60C68"/>
    <w:multiLevelType w:val="hybridMultilevel"/>
    <w:tmpl w:val="49E2B31E"/>
    <w:lvl w:ilvl="0" w:tplc="75C0C41C">
      <w:numFmt w:val="bullet"/>
      <w:lvlText w:val="-"/>
      <w:lvlJc w:val="left"/>
      <w:pPr>
        <w:ind w:left="1440" w:hanging="360"/>
      </w:pPr>
      <w:rPr>
        <w:rFonts w:ascii="Calibri" w:eastAsia="Times New Roman" w:hAnsi="Calibri"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nsid w:val="3368562F"/>
    <w:multiLevelType w:val="hybridMultilevel"/>
    <w:tmpl w:val="A6860E6E"/>
    <w:lvl w:ilvl="0" w:tplc="1D3CD4BC">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3A493F55"/>
    <w:multiLevelType w:val="hybridMultilevel"/>
    <w:tmpl w:val="FD961F7E"/>
    <w:lvl w:ilvl="0" w:tplc="75C0C41C">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487566FD"/>
    <w:multiLevelType w:val="multilevel"/>
    <w:tmpl w:val="7E8E6EDE"/>
    <w:lvl w:ilvl="0">
      <w:start w:val="1"/>
      <w:numFmt w:val="decimal"/>
      <w:lvlText w:val="%1"/>
      <w:lvlJc w:val="left"/>
      <w:pPr>
        <w:tabs>
          <w:tab w:val="num" w:pos="432"/>
        </w:tabs>
        <w:ind w:left="0" w:firstLine="0"/>
      </w:pPr>
    </w:lvl>
    <w:lvl w:ilvl="1">
      <w:start w:val="1"/>
      <w:numFmt w:val="decimal"/>
      <w:lvlText w:val="%1.%2"/>
      <w:lvlJc w:val="left"/>
      <w:pPr>
        <w:tabs>
          <w:tab w:val="num" w:pos="576"/>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864"/>
        </w:tabs>
        <w:ind w:left="0" w:firstLine="0"/>
      </w:pPr>
    </w:lvl>
    <w:lvl w:ilvl="4">
      <w:start w:val="1"/>
      <w:numFmt w:val="decimal"/>
      <w:lvlText w:val="%1.%2.%3.%4.%5"/>
      <w:lvlJc w:val="left"/>
      <w:pPr>
        <w:tabs>
          <w:tab w:val="num" w:pos="1008"/>
        </w:tabs>
        <w:ind w:left="0" w:firstLine="0"/>
      </w:pPr>
    </w:lvl>
    <w:lvl w:ilvl="5">
      <w:start w:val="1"/>
      <w:numFmt w:val="decimal"/>
      <w:lvlText w:val="%1.%2.%3.%4.%5.%6"/>
      <w:lvlJc w:val="left"/>
      <w:pPr>
        <w:tabs>
          <w:tab w:val="num" w:pos="1152"/>
        </w:tabs>
        <w:ind w:left="0" w:firstLine="0"/>
      </w:pPr>
    </w:lvl>
    <w:lvl w:ilvl="6">
      <w:start w:val="1"/>
      <w:numFmt w:val="decimal"/>
      <w:lvlText w:val="%1.%2.%3.%4.%5.%6.%7"/>
      <w:lvlJc w:val="left"/>
      <w:pPr>
        <w:tabs>
          <w:tab w:val="num" w:pos="1296"/>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584"/>
        </w:tabs>
        <w:ind w:left="0" w:firstLine="0"/>
      </w:pPr>
    </w:lvl>
  </w:abstractNum>
  <w:abstractNum w:abstractNumId="10">
    <w:nsid w:val="4A340113"/>
    <w:multiLevelType w:val="hybridMultilevel"/>
    <w:tmpl w:val="E9A6058C"/>
    <w:lvl w:ilvl="0" w:tplc="F154D3DE">
      <w:start w:val="1"/>
      <w:numFmt w:val="decimal"/>
      <w:lvlText w:val="[%1]."/>
      <w:lvlJc w:val="left"/>
      <w:pPr>
        <w:ind w:left="1713" w:hanging="360"/>
      </w:pPr>
      <w:rPr>
        <w:rFonts w:hint="default"/>
      </w:rPr>
    </w:lvl>
    <w:lvl w:ilvl="1" w:tplc="04050019" w:tentative="1">
      <w:start w:val="1"/>
      <w:numFmt w:val="lowerLetter"/>
      <w:lvlText w:val="%2."/>
      <w:lvlJc w:val="left"/>
      <w:pPr>
        <w:ind w:left="2433" w:hanging="360"/>
      </w:pPr>
    </w:lvl>
    <w:lvl w:ilvl="2" w:tplc="0405001B" w:tentative="1">
      <w:start w:val="1"/>
      <w:numFmt w:val="lowerRoman"/>
      <w:lvlText w:val="%3."/>
      <w:lvlJc w:val="right"/>
      <w:pPr>
        <w:ind w:left="3153" w:hanging="180"/>
      </w:pPr>
    </w:lvl>
    <w:lvl w:ilvl="3" w:tplc="0405000F" w:tentative="1">
      <w:start w:val="1"/>
      <w:numFmt w:val="decimal"/>
      <w:lvlText w:val="%4."/>
      <w:lvlJc w:val="left"/>
      <w:pPr>
        <w:ind w:left="3873" w:hanging="360"/>
      </w:pPr>
    </w:lvl>
    <w:lvl w:ilvl="4" w:tplc="04050019" w:tentative="1">
      <w:start w:val="1"/>
      <w:numFmt w:val="lowerLetter"/>
      <w:lvlText w:val="%5."/>
      <w:lvlJc w:val="left"/>
      <w:pPr>
        <w:ind w:left="4593" w:hanging="360"/>
      </w:pPr>
    </w:lvl>
    <w:lvl w:ilvl="5" w:tplc="0405001B" w:tentative="1">
      <w:start w:val="1"/>
      <w:numFmt w:val="lowerRoman"/>
      <w:lvlText w:val="%6."/>
      <w:lvlJc w:val="right"/>
      <w:pPr>
        <w:ind w:left="5313" w:hanging="180"/>
      </w:pPr>
    </w:lvl>
    <w:lvl w:ilvl="6" w:tplc="0405000F" w:tentative="1">
      <w:start w:val="1"/>
      <w:numFmt w:val="decimal"/>
      <w:lvlText w:val="%7."/>
      <w:lvlJc w:val="left"/>
      <w:pPr>
        <w:ind w:left="6033" w:hanging="360"/>
      </w:pPr>
    </w:lvl>
    <w:lvl w:ilvl="7" w:tplc="04050019" w:tentative="1">
      <w:start w:val="1"/>
      <w:numFmt w:val="lowerLetter"/>
      <w:lvlText w:val="%8."/>
      <w:lvlJc w:val="left"/>
      <w:pPr>
        <w:ind w:left="6753" w:hanging="360"/>
      </w:pPr>
    </w:lvl>
    <w:lvl w:ilvl="8" w:tplc="0405001B" w:tentative="1">
      <w:start w:val="1"/>
      <w:numFmt w:val="lowerRoman"/>
      <w:lvlText w:val="%9."/>
      <w:lvlJc w:val="right"/>
      <w:pPr>
        <w:ind w:left="7473" w:hanging="180"/>
      </w:pPr>
    </w:lvl>
  </w:abstractNum>
  <w:abstractNum w:abstractNumId="11">
    <w:nsid w:val="4C395F79"/>
    <w:multiLevelType w:val="hybridMultilevel"/>
    <w:tmpl w:val="29CCF918"/>
    <w:lvl w:ilvl="0" w:tplc="F154D3DE">
      <w:start w:val="1"/>
      <w:numFmt w:val="decimal"/>
      <w:lvlText w:val="[%1]."/>
      <w:lvlJc w:val="left"/>
      <w:pPr>
        <w:ind w:left="1713" w:hanging="360"/>
      </w:pPr>
      <w:rPr>
        <w:rFonts w:hint="default"/>
      </w:rPr>
    </w:lvl>
    <w:lvl w:ilvl="1" w:tplc="04050019" w:tentative="1">
      <w:start w:val="1"/>
      <w:numFmt w:val="lowerLetter"/>
      <w:lvlText w:val="%2."/>
      <w:lvlJc w:val="left"/>
      <w:pPr>
        <w:ind w:left="2433" w:hanging="360"/>
      </w:pPr>
    </w:lvl>
    <w:lvl w:ilvl="2" w:tplc="0405001B" w:tentative="1">
      <w:start w:val="1"/>
      <w:numFmt w:val="lowerRoman"/>
      <w:lvlText w:val="%3."/>
      <w:lvlJc w:val="right"/>
      <w:pPr>
        <w:ind w:left="3153" w:hanging="180"/>
      </w:pPr>
    </w:lvl>
    <w:lvl w:ilvl="3" w:tplc="0405000F" w:tentative="1">
      <w:start w:val="1"/>
      <w:numFmt w:val="decimal"/>
      <w:lvlText w:val="%4."/>
      <w:lvlJc w:val="left"/>
      <w:pPr>
        <w:ind w:left="3873" w:hanging="360"/>
      </w:pPr>
    </w:lvl>
    <w:lvl w:ilvl="4" w:tplc="04050019" w:tentative="1">
      <w:start w:val="1"/>
      <w:numFmt w:val="lowerLetter"/>
      <w:lvlText w:val="%5."/>
      <w:lvlJc w:val="left"/>
      <w:pPr>
        <w:ind w:left="4593" w:hanging="360"/>
      </w:pPr>
    </w:lvl>
    <w:lvl w:ilvl="5" w:tplc="0405001B" w:tentative="1">
      <w:start w:val="1"/>
      <w:numFmt w:val="lowerRoman"/>
      <w:lvlText w:val="%6."/>
      <w:lvlJc w:val="right"/>
      <w:pPr>
        <w:ind w:left="5313" w:hanging="180"/>
      </w:pPr>
    </w:lvl>
    <w:lvl w:ilvl="6" w:tplc="0405000F" w:tentative="1">
      <w:start w:val="1"/>
      <w:numFmt w:val="decimal"/>
      <w:lvlText w:val="%7."/>
      <w:lvlJc w:val="left"/>
      <w:pPr>
        <w:ind w:left="6033" w:hanging="360"/>
      </w:pPr>
    </w:lvl>
    <w:lvl w:ilvl="7" w:tplc="04050019" w:tentative="1">
      <w:start w:val="1"/>
      <w:numFmt w:val="lowerLetter"/>
      <w:lvlText w:val="%8."/>
      <w:lvlJc w:val="left"/>
      <w:pPr>
        <w:ind w:left="6753" w:hanging="360"/>
      </w:pPr>
    </w:lvl>
    <w:lvl w:ilvl="8" w:tplc="0405001B" w:tentative="1">
      <w:start w:val="1"/>
      <w:numFmt w:val="lowerRoman"/>
      <w:lvlText w:val="%9."/>
      <w:lvlJc w:val="right"/>
      <w:pPr>
        <w:ind w:left="7473" w:hanging="180"/>
      </w:pPr>
    </w:lvl>
  </w:abstractNum>
  <w:abstractNum w:abstractNumId="12">
    <w:nsid w:val="4FDD1878"/>
    <w:multiLevelType w:val="hybridMultilevel"/>
    <w:tmpl w:val="DD583574"/>
    <w:lvl w:ilvl="0" w:tplc="31CA6740">
      <w:start w:val="1"/>
      <w:numFmt w:val="bullet"/>
      <w:lvlText w:val=""/>
      <w:lvlJc w:val="left"/>
      <w:pPr>
        <w:tabs>
          <w:tab w:val="num" w:pos="720"/>
        </w:tabs>
        <w:ind w:left="720" w:hanging="360"/>
      </w:pPr>
      <w:rPr>
        <w:rFonts w:ascii="Wingdings" w:hAnsi="Wingdings" w:hint="default"/>
      </w:rPr>
    </w:lvl>
    <w:lvl w:ilvl="1" w:tplc="84484596" w:tentative="1">
      <w:start w:val="1"/>
      <w:numFmt w:val="bullet"/>
      <w:lvlText w:val=""/>
      <w:lvlJc w:val="left"/>
      <w:pPr>
        <w:tabs>
          <w:tab w:val="num" w:pos="1440"/>
        </w:tabs>
        <w:ind w:left="1440" w:hanging="360"/>
      </w:pPr>
      <w:rPr>
        <w:rFonts w:ascii="Wingdings" w:hAnsi="Wingdings" w:hint="default"/>
      </w:rPr>
    </w:lvl>
    <w:lvl w:ilvl="2" w:tplc="14D0F2B8" w:tentative="1">
      <w:start w:val="1"/>
      <w:numFmt w:val="bullet"/>
      <w:lvlText w:val=""/>
      <w:lvlJc w:val="left"/>
      <w:pPr>
        <w:tabs>
          <w:tab w:val="num" w:pos="2160"/>
        </w:tabs>
        <w:ind w:left="2160" w:hanging="360"/>
      </w:pPr>
      <w:rPr>
        <w:rFonts w:ascii="Wingdings" w:hAnsi="Wingdings" w:hint="default"/>
      </w:rPr>
    </w:lvl>
    <w:lvl w:ilvl="3" w:tplc="2BF26792" w:tentative="1">
      <w:start w:val="1"/>
      <w:numFmt w:val="bullet"/>
      <w:lvlText w:val=""/>
      <w:lvlJc w:val="left"/>
      <w:pPr>
        <w:tabs>
          <w:tab w:val="num" w:pos="2880"/>
        </w:tabs>
        <w:ind w:left="2880" w:hanging="360"/>
      </w:pPr>
      <w:rPr>
        <w:rFonts w:ascii="Wingdings" w:hAnsi="Wingdings" w:hint="default"/>
      </w:rPr>
    </w:lvl>
    <w:lvl w:ilvl="4" w:tplc="EC0AEC4A" w:tentative="1">
      <w:start w:val="1"/>
      <w:numFmt w:val="bullet"/>
      <w:lvlText w:val=""/>
      <w:lvlJc w:val="left"/>
      <w:pPr>
        <w:tabs>
          <w:tab w:val="num" w:pos="3600"/>
        </w:tabs>
        <w:ind w:left="3600" w:hanging="360"/>
      </w:pPr>
      <w:rPr>
        <w:rFonts w:ascii="Wingdings" w:hAnsi="Wingdings" w:hint="default"/>
      </w:rPr>
    </w:lvl>
    <w:lvl w:ilvl="5" w:tplc="9802F114" w:tentative="1">
      <w:start w:val="1"/>
      <w:numFmt w:val="bullet"/>
      <w:lvlText w:val=""/>
      <w:lvlJc w:val="left"/>
      <w:pPr>
        <w:tabs>
          <w:tab w:val="num" w:pos="4320"/>
        </w:tabs>
        <w:ind w:left="4320" w:hanging="360"/>
      </w:pPr>
      <w:rPr>
        <w:rFonts w:ascii="Wingdings" w:hAnsi="Wingdings" w:hint="default"/>
      </w:rPr>
    </w:lvl>
    <w:lvl w:ilvl="6" w:tplc="167CE886" w:tentative="1">
      <w:start w:val="1"/>
      <w:numFmt w:val="bullet"/>
      <w:lvlText w:val=""/>
      <w:lvlJc w:val="left"/>
      <w:pPr>
        <w:tabs>
          <w:tab w:val="num" w:pos="5040"/>
        </w:tabs>
        <w:ind w:left="5040" w:hanging="360"/>
      </w:pPr>
      <w:rPr>
        <w:rFonts w:ascii="Wingdings" w:hAnsi="Wingdings" w:hint="default"/>
      </w:rPr>
    </w:lvl>
    <w:lvl w:ilvl="7" w:tplc="18584546" w:tentative="1">
      <w:start w:val="1"/>
      <w:numFmt w:val="bullet"/>
      <w:lvlText w:val=""/>
      <w:lvlJc w:val="left"/>
      <w:pPr>
        <w:tabs>
          <w:tab w:val="num" w:pos="5760"/>
        </w:tabs>
        <w:ind w:left="5760" w:hanging="360"/>
      </w:pPr>
      <w:rPr>
        <w:rFonts w:ascii="Wingdings" w:hAnsi="Wingdings" w:hint="default"/>
      </w:rPr>
    </w:lvl>
    <w:lvl w:ilvl="8" w:tplc="23B40748" w:tentative="1">
      <w:start w:val="1"/>
      <w:numFmt w:val="bullet"/>
      <w:lvlText w:val=""/>
      <w:lvlJc w:val="left"/>
      <w:pPr>
        <w:tabs>
          <w:tab w:val="num" w:pos="6480"/>
        </w:tabs>
        <w:ind w:left="6480" w:hanging="360"/>
      </w:pPr>
      <w:rPr>
        <w:rFonts w:ascii="Wingdings" w:hAnsi="Wingdings" w:hint="default"/>
      </w:rPr>
    </w:lvl>
  </w:abstractNum>
  <w:abstractNum w:abstractNumId="13">
    <w:nsid w:val="5657190D"/>
    <w:multiLevelType w:val="hybridMultilevel"/>
    <w:tmpl w:val="6D328F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584F26E2"/>
    <w:multiLevelType w:val="hybridMultilevel"/>
    <w:tmpl w:val="8E0A8F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5B98135D"/>
    <w:multiLevelType w:val="hybridMultilevel"/>
    <w:tmpl w:val="9246FA1C"/>
    <w:lvl w:ilvl="0" w:tplc="F154D3DE">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61873D89"/>
    <w:multiLevelType w:val="hybridMultilevel"/>
    <w:tmpl w:val="647A357C"/>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676B3ECF"/>
    <w:multiLevelType w:val="multilevel"/>
    <w:tmpl w:val="82C07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A977434"/>
    <w:multiLevelType w:val="multilevel"/>
    <w:tmpl w:val="096E3ABA"/>
    <w:lvl w:ilvl="0">
      <w:start w:val="1"/>
      <w:numFmt w:val="decimal"/>
      <w:lvlText w:val="%1"/>
      <w:lvlJc w:val="left"/>
      <w:pPr>
        <w:tabs>
          <w:tab w:val="num" w:pos="432"/>
        </w:tabs>
        <w:ind w:left="0" w:firstLine="0"/>
      </w:pPr>
    </w:lvl>
    <w:lvl w:ilvl="1">
      <w:start w:val="1"/>
      <w:numFmt w:val="decimal"/>
      <w:lvlText w:val="%1.%2"/>
      <w:lvlJc w:val="left"/>
      <w:pPr>
        <w:tabs>
          <w:tab w:val="num" w:pos="576"/>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864"/>
        </w:tabs>
        <w:ind w:left="0" w:firstLine="0"/>
      </w:pPr>
    </w:lvl>
    <w:lvl w:ilvl="4">
      <w:start w:val="1"/>
      <w:numFmt w:val="decimal"/>
      <w:lvlText w:val="%1.%2.%3.%4.%5"/>
      <w:lvlJc w:val="left"/>
      <w:pPr>
        <w:tabs>
          <w:tab w:val="num" w:pos="1008"/>
        </w:tabs>
        <w:ind w:left="0" w:firstLine="0"/>
      </w:pPr>
    </w:lvl>
    <w:lvl w:ilvl="5">
      <w:start w:val="1"/>
      <w:numFmt w:val="decimal"/>
      <w:lvlText w:val="%1.%2.%3.%4.%5.%6"/>
      <w:lvlJc w:val="left"/>
      <w:pPr>
        <w:tabs>
          <w:tab w:val="num" w:pos="1152"/>
        </w:tabs>
        <w:ind w:left="0" w:firstLine="0"/>
      </w:pPr>
    </w:lvl>
    <w:lvl w:ilvl="6">
      <w:start w:val="1"/>
      <w:numFmt w:val="decimal"/>
      <w:lvlText w:val="%1.%2.%3.%4.%5.%6.%7"/>
      <w:lvlJc w:val="left"/>
      <w:pPr>
        <w:tabs>
          <w:tab w:val="num" w:pos="1296"/>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584"/>
        </w:tabs>
        <w:ind w:left="0" w:firstLine="0"/>
      </w:pPr>
    </w:lvl>
  </w:abstractNum>
  <w:abstractNum w:abstractNumId="19">
    <w:nsid w:val="765746A6"/>
    <w:multiLevelType w:val="hybridMultilevel"/>
    <w:tmpl w:val="C70EF9A4"/>
    <w:lvl w:ilvl="0" w:tplc="CF101446">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76783E05"/>
    <w:multiLevelType w:val="hybridMultilevel"/>
    <w:tmpl w:val="836AF344"/>
    <w:lvl w:ilvl="0" w:tplc="04050017">
      <w:start w:val="1"/>
      <w:numFmt w:val="lowerLetter"/>
      <w:lvlText w:val="%1)"/>
      <w:lvlJc w:val="left"/>
      <w:pPr>
        <w:ind w:left="720" w:hanging="360"/>
      </w:pPr>
      <w:rPr>
        <w:rFonts w:hint="default"/>
      </w:rPr>
    </w:lvl>
    <w:lvl w:ilvl="1" w:tplc="20CC7DD0">
      <w:numFmt w:val="bullet"/>
      <w:lvlText w:val="-"/>
      <w:lvlJc w:val="left"/>
      <w:pPr>
        <w:ind w:left="1440" w:hanging="360"/>
      </w:pPr>
      <w:rPr>
        <w:rFonts w:ascii="Times New Roman" w:eastAsia="Calibri" w:hAnsi="Times New Roman"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7A887B11"/>
    <w:multiLevelType w:val="hybridMultilevel"/>
    <w:tmpl w:val="135C2E00"/>
    <w:lvl w:ilvl="0" w:tplc="20CC7DD0">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
  </w:num>
  <w:num w:numId="4">
    <w:abstractNumId w:val="12"/>
  </w:num>
  <w:num w:numId="5">
    <w:abstractNumId w:val="17"/>
  </w:num>
  <w:num w:numId="6">
    <w:abstractNumId w:val="14"/>
  </w:num>
  <w:num w:numId="7">
    <w:abstractNumId w:val="15"/>
  </w:num>
  <w:num w:numId="8">
    <w:abstractNumId w:val="19"/>
  </w:num>
  <w:num w:numId="9">
    <w:abstractNumId w:val="2"/>
  </w:num>
  <w:num w:numId="10">
    <w:abstractNumId w:val="18"/>
  </w:num>
  <w:num w:numId="11">
    <w:abstractNumId w:val="9"/>
  </w:num>
  <w:num w:numId="12">
    <w:abstractNumId w:val="3"/>
  </w:num>
  <w:num w:numId="13">
    <w:abstractNumId w:val="10"/>
  </w:num>
  <w:num w:numId="14">
    <w:abstractNumId w:val="7"/>
  </w:num>
  <w:num w:numId="15">
    <w:abstractNumId w:val="0"/>
  </w:num>
  <w:num w:numId="16">
    <w:abstractNumId w:val="5"/>
  </w:num>
  <w:num w:numId="17">
    <w:abstractNumId w:val="8"/>
  </w:num>
  <w:num w:numId="18">
    <w:abstractNumId w:val="20"/>
  </w:num>
  <w:num w:numId="19">
    <w:abstractNumId w:val="6"/>
  </w:num>
  <w:num w:numId="20">
    <w:abstractNumId w:val="21"/>
  </w:num>
  <w:num w:numId="21">
    <w:abstractNumId w:val="16"/>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mirrorMargins/>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EC2"/>
    <w:rsid w:val="00012D2D"/>
    <w:rsid w:val="000320CB"/>
    <w:rsid w:val="00044417"/>
    <w:rsid w:val="0005698E"/>
    <w:rsid w:val="000A6B98"/>
    <w:rsid w:val="000C3293"/>
    <w:rsid w:val="000C6419"/>
    <w:rsid w:val="000C792A"/>
    <w:rsid w:val="000D5CFC"/>
    <w:rsid w:val="000F7258"/>
    <w:rsid w:val="00115E95"/>
    <w:rsid w:val="00122928"/>
    <w:rsid w:val="001229A7"/>
    <w:rsid w:val="00141EC1"/>
    <w:rsid w:val="00146B39"/>
    <w:rsid w:val="001544B2"/>
    <w:rsid w:val="0015616E"/>
    <w:rsid w:val="00172047"/>
    <w:rsid w:val="001A2753"/>
    <w:rsid w:val="001B3A3B"/>
    <w:rsid w:val="002137E1"/>
    <w:rsid w:val="002316BC"/>
    <w:rsid w:val="00236C24"/>
    <w:rsid w:val="0024142E"/>
    <w:rsid w:val="002C2A3F"/>
    <w:rsid w:val="002D0D38"/>
    <w:rsid w:val="002D3898"/>
    <w:rsid w:val="002F6B35"/>
    <w:rsid w:val="00353E7E"/>
    <w:rsid w:val="00366833"/>
    <w:rsid w:val="00396622"/>
    <w:rsid w:val="003B7A28"/>
    <w:rsid w:val="003D05DA"/>
    <w:rsid w:val="003D292B"/>
    <w:rsid w:val="00415A92"/>
    <w:rsid w:val="00431BF6"/>
    <w:rsid w:val="004328B3"/>
    <w:rsid w:val="004734EB"/>
    <w:rsid w:val="00476703"/>
    <w:rsid w:val="004820AC"/>
    <w:rsid w:val="00485515"/>
    <w:rsid w:val="004A5E63"/>
    <w:rsid w:val="004B689A"/>
    <w:rsid w:val="004D5EF3"/>
    <w:rsid w:val="00513005"/>
    <w:rsid w:val="00570FAA"/>
    <w:rsid w:val="00571511"/>
    <w:rsid w:val="005A2EA6"/>
    <w:rsid w:val="005C1393"/>
    <w:rsid w:val="005E060F"/>
    <w:rsid w:val="005E1C47"/>
    <w:rsid w:val="00610DBA"/>
    <w:rsid w:val="006148D4"/>
    <w:rsid w:val="0068778E"/>
    <w:rsid w:val="006A52BD"/>
    <w:rsid w:val="006A77B6"/>
    <w:rsid w:val="006B2340"/>
    <w:rsid w:val="006D27A6"/>
    <w:rsid w:val="007A0CD9"/>
    <w:rsid w:val="007A1EBF"/>
    <w:rsid w:val="007D020F"/>
    <w:rsid w:val="008015B2"/>
    <w:rsid w:val="00804172"/>
    <w:rsid w:val="008408F5"/>
    <w:rsid w:val="00842D84"/>
    <w:rsid w:val="00846F5A"/>
    <w:rsid w:val="0085613C"/>
    <w:rsid w:val="00887EF1"/>
    <w:rsid w:val="008A056E"/>
    <w:rsid w:val="008E08A6"/>
    <w:rsid w:val="008E6341"/>
    <w:rsid w:val="009047F1"/>
    <w:rsid w:val="00922D18"/>
    <w:rsid w:val="00933244"/>
    <w:rsid w:val="00934CAF"/>
    <w:rsid w:val="0096790E"/>
    <w:rsid w:val="00972296"/>
    <w:rsid w:val="0097623E"/>
    <w:rsid w:val="00985448"/>
    <w:rsid w:val="009A3C86"/>
    <w:rsid w:val="009C0308"/>
    <w:rsid w:val="009C244A"/>
    <w:rsid w:val="009C2941"/>
    <w:rsid w:val="009E7117"/>
    <w:rsid w:val="00A16B36"/>
    <w:rsid w:val="00A61346"/>
    <w:rsid w:val="00AF3211"/>
    <w:rsid w:val="00B34596"/>
    <w:rsid w:val="00B70974"/>
    <w:rsid w:val="00B90A34"/>
    <w:rsid w:val="00B92C9E"/>
    <w:rsid w:val="00BA4B49"/>
    <w:rsid w:val="00BC12C0"/>
    <w:rsid w:val="00BE14DE"/>
    <w:rsid w:val="00BE2FE0"/>
    <w:rsid w:val="00BF0CA8"/>
    <w:rsid w:val="00BF2954"/>
    <w:rsid w:val="00C13D8C"/>
    <w:rsid w:val="00C17827"/>
    <w:rsid w:val="00C311E6"/>
    <w:rsid w:val="00C916E1"/>
    <w:rsid w:val="00CB15DE"/>
    <w:rsid w:val="00CC37B1"/>
    <w:rsid w:val="00CC38E2"/>
    <w:rsid w:val="00CF67A0"/>
    <w:rsid w:val="00D14174"/>
    <w:rsid w:val="00D17453"/>
    <w:rsid w:val="00D32659"/>
    <w:rsid w:val="00D35BE7"/>
    <w:rsid w:val="00D46048"/>
    <w:rsid w:val="00DA4A1A"/>
    <w:rsid w:val="00DA516D"/>
    <w:rsid w:val="00E23979"/>
    <w:rsid w:val="00E340FC"/>
    <w:rsid w:val="00E515A9"/>
    <w:rsid w:val="00E6713A"/>
    <w:rsid w:val="00E70853"/>
    <w:rsid w:val="00EA3A45"/>
    <w:rsid w:val="00EC701E"/>
    <w:rsid w:val="00EC711D"/>
    <w:rsid w:val="00F108EA"/>
    <w:rsid w:val="00F17B5C"/>
    <w:rsid w:val="00F34011"/>
    <w:rsid w:val="00F40B57"/>
    <w:rsid w:val="00F527A2"/>
    <w:rsid w:val="00F545B8"/>
    <w:rsid w:val="00F73EC2"/>
    <w:rsid w:val="00F86291"/>
    <w:rsid w:val="00FA2E31"/>
    <w:rsid w:val="00FA754E"/>
    <w:rsid w:val="00FC3C29"/>
    <w:rsid w:val="00FC7B1A"/>
    <w:rsid w:val="00FE35DE"/>
    <w:rsid w:val="00FF63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aliases w:val="Normální 11"/>
    <w:qFormat/>
    <w:rsid w:val="00115E95"/>
    <w:rPr>
      <w:rFonts w:ascii="Times New Roman" w:eastAsia="Calibri" w:hAnsi="Times New Roman" w:cs="Times New Roman"/>
      <w:sz w:val="24"/>
    </w:rPr>
  </w:style>
  <w:style w:type="paragraph" w:styleId="Nadpis1">
    <w:name w:val="heading 1"/>
    <w:basedOn w:val="Normln"/>
    <w:next w:val="Normln"/>
    <w:link w:val="Nadpis1Char"/>
    <w:uiPriority w:val="9"/>
    <w:qFormat/>
    <w:rsid w:val="00F73EC2"/>
    <w:pPr>
      <w:keepNext/>
      <w:numPr>
        <w:numId w:val="12"/>
      </w:numPr>
      <w:spacing w:after="0"/>
      <w:outlineLvl w:val="0"/>
    </w:pPr>
    <w:rPr>
      <w:rFonts w:eastAsiaTheme="majorEastAsia" w:cstheme="majorBidi"/>
      <w:b/>
      <w:bCs/>
      <w:kern w:val="32"/>
      <w:sz w:val="32"/>
      <w:szCs w:val="32"/>
    </w:rPr>
  </w:style>
  <w:style w:type="paragraph" w:styleId="Nadpis2">
    <w:name w:val="heading 2"/>
    <w:basedOn w:val="Normln"/>
    <w:next w:val="Normln"/>
    <w:link w:val="Nadpis2Char"/>
    <w:uiPriority w:val="9"/>
    <w:unhideWhenUsed/>
    <w:qFormat/>
    <w:rsid w:val="00F73EC2"/>
    <w:pPr>
      <w:keepNext/>
      <w:numPr>
        <w:ilvl w:val="1"/>
        <w:numId w:val="12"/>
      </w:numPr>
      <w:spacing w:after="0"/>
      <w:outlineLvl w:val="1"/>
    </w:pPr>
    <w:rPr>
      <w:rFonts w:eastAsia="Times New Roman"/>
      <w:b/>
      <w:bCs/>
      <w:iCs/>
      <w:sz w:val="28"/>
      <w:szCs w:val="28"/>
    </w:rPr>
  </w:style>
  <w:style w:type="paragraph" w:styleId="Nadpis3">
    <w:name w:val="heading 3"/>
    <w:basedOn w:val="Normln"/>
    <w:link w:val="Nadpis3Char"/>
    <w:uiPriority w:val="9"/>
    <w:qFormat/>
    <w:rsid w:val="00F73EC2"/>
    <w:pPr>
      <w:numPr>
        <w:ilvl w:val="2"/>
        <w:numId w:val="12"/>
      </w:numPr>
      <w:spacing w:after="0" w:line="240" w:lineRule="auto"/>
      <w:outlineLvl w:val="2"/>
    </w:pPr>
    <w:rPr>
      <w:rFonts w:eastAsia="Times New Roman"/>
      <w:b/>
      <w:bCs/>
      <w:szCs w:val="27"/>
      <w:lang w:eastAsia="cs-CZ"/>
    </w:rPr>
  </w:style>
  <w:style w:type="paragraph" w:styleId="Nadpis4">
    <w:name w:val="heading 4"/>
    <w:basedOn w:val="Normln"/>
    <w:next w:val="Normln"/>
    <w:link w:val="Nadpis4Char"/>
    <w:uiPriority w:val="9"/>
    <w:unhideWhenUsed/>
    <w:qFormat/>
    <w:rsid w:val="00F73EC2"/>
    <w:pPr>
      <w:keepNext/>
      <w:keepLines/>
      <w:numPr>
        <w:ilvl w:val="3"/>
        <w:numId w:val="12"/>
      </w:numPr>
      <w:spacing w:after="0"/>
      <w:outlineLvl w:val="3"/>
    </w:pPr>
    <w:rPr>
      <w:rFonts w:eastAsiaTheme="majorEastAsia" w:cstheme="majorBidi"/>
      <w:b/>
      <w:bCs/>
      <w:iCs/>
    </w:rPr>
  </w:style>
  <w:style w:type="paragraph" w:styleId="Nadpis5">
    <w:name w:val="heading 5"/>
    <w:basedOn w:val="Normln"/>
    <w:next w:val="Normln"/>
    <w:link w:val="Nadpis5Char"/>
    <w:uiPriority w:val="9"/>
    <w:semiHidden/>
    <w:unhideWhenUsed/>
    <w:qFormat/>
    <w:rsid w:val="00F73EC2"/>
    <w:pPr>
      <w:keepNext/>
      <w:keepLines/>
      <w:numPr>
        <w:ilvl w:val="4"/>
        <w:numId w:val="12"/>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73EC2"/>
    <w:pPr>
      <w:keepNext/>
      <w:keepLines/>
      <w:numPr>
        <w:ilvl w:val="5"/>
        <w:numId w:val="12"/>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73EC2"/>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73EC2"/>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F73EC2"/>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73EC2"/>
    <w:rPr>
      <w:rFonts w:ascii="Times New Roman" w:eastAsiaTheme="majorEastAsia" w:hAnsi="Times New Roman" w:cstheme="majorBidi"/>
      <w:b/>
      <w:bCs/>
      <w:kern w:val="32"/>
      <w:sz w:val="32"/>
      <w:szCs w:val="32"/>
    </w:rPr>
  </w:style>
  <w:style w:type="character" w:customStyle="1" w:styleId="Nadpis2Char">
    <w:name w:val="Nadpis 2 Char"/>
    <w:basedOn w:val="Standardnpsmoodstavce"/>
    <w:link w:val="Nadpis2"/>
    <w:uiPriority w:val="9"/>
    <w:rsid w:val="00F73EC2"/>
    <w:rPr>
      <w:rFonts w:ascii="Times New Roman" w:eastAsia="Times New Roman" w:hAnsi="Times New Roman" w:cs="Times New Roman"/>
      <w:b/>
      <w:bCs/>
      <w:iCs/>
      <w:sz w:val="28"/>
      <w:szCs w:val="28"/>
    </w:rPr>
  </w:style>
  <w:style w:type="character" w:customStyle="1" w:styleId="Nadpis3Char">
    <w:name w:val="Nadpis 3 Char"/>
    <w:basedOn w:val="Standardnpsmoodstavce"/>
    <w:link w:val="Nadpis3"/>
    <w:uiPriority w:val="9"/>
    <w:rsid w:val="00F73EC2"/>
    <w:rPr>
      <w:rFonts w:ascii="Times New Roman" w:eastAsia="Times New Roman" w:hAnsi="Times New Roman" w:cs="Times New Roman"/>
      <w:b/>
      <w:bCs/>
      <w:sz w:val="24"/>
      <w:szCs w:val="27"/>
      <w:lang w:eastAsia="cs-CZ"/>
    </w:rPr>
  </w:style>
  <w:style w:type="character" w:customStyle="1" w:styleId="Nadpis4Char">
    <w:name w:val="Nadpis 4 Char"/>
    <w:basedOn w:val="Standardnpsmoodstavce"/>
    <w:link w:val="Nadpis4"/>
    <w:uiPriority w:val="9"/>
    <w:rsid w:val="00F73EC2"/>
    <w:rPr>
      <w:rFonts w:ascii="Times New Roman" w:eastAsiaTheme="majorEastAsia" w:hAnsi="Times New Roman" w:cstheme="majorBidi"/>
      <w:b/>
      <w:bCs/>
      <w:iCs/>
      <w:sz w:val="23"/>
    </w:rPr>
  </w:style>
  <w:style w:type="character" w:customStyle="1" w:styleId="Nadpis5Char">
    <w:name w:val="Nadpis 5 Char"/>
    <w:basedOn w:val="Standardnpsmoodstavce"/>
    <w:link w:val="Nadpis5"/>
    <w:uiPriority w:val="9"/>
    <w:semiHidden/>
    <w:rsid w:val="00F73EC2"/>
    <w:rPr>
      <w:rFonts w:asciiTheme="majorHAnsi" w:eastAsiaTheme="majorEastAsia" w:hAnsiTheme="majorHAnsi" w:cstheme="majorBidi"/>
      <w:color w:val="243F60" w:themeColor="accent1" w:themeShade="7F"/>
      <w:sz w:val="23"/>
    </w:rPr>
  </w:style>
  <w:style w:type="character" w:customStyle="1" w:styleId="Nadpis6Char">
    <w:name w:val="Nadpis 6 Char"/>
    <w:basedOn w:val="Standardnpsmoodstavce"/>
    <w:link w:val="Nadpis6"/>
    <w:uiPriority w:val="9"/>
    <w:semiHidden/>
    <w:rsid w:val="00F73EC2"/>
    <w:rPr>
      <w:rFonts w:asciiTheme="majorHAnsi" w:eastAsiaTheme="majorEastAsia" w:hAnsiTheme="majorHAnsi" w:cstheme="majorBidi"/>
      <w:i/>
      <w:iCs/>
      <w:color w:val="243F60" w:themeColor="accent1" w:themeShade="7F"/>
      <w:sz w:val="23"/>
    </w:rPr>
  </w:style>
  <w:style w:type="character" w:customStyle="1" w:styleId="Nadpis7Char">
    <w:name w:val="Nadpis 7 Char"/>
    <w:basedOn w:val="Standardnpsmoodstavce"/>
    <w:link w:val="Nadpis7"/>
    <w:uiPriority w:val="9"/>
    <w:semiHidden/>
    <w:rsid w:val="00F73EC2"/>
    <w:rPr>
      <w:rFonts w:asciiTheme="majorHAnsi" w:eastAsiaTheme="majorEastAsia" w:hAnsiTheme="majorHAnsi" w:cstheme="majorBidi"/>
      <w:i/>
      <w:iCs/>
      <w:color w:val="404040" w:themeColor="text1" w:themeTint="BF"/>
      <w:sz w:val="23"/>
    </w:rPr>
  </w:style>
  <w:style w:type="character" w:customStyle="1" w:styleId="Nadpis8Char">
    <w:name w:val="Nadpis 8 Char"/>
    <w:basedOn w:val="Standardnpsmoodstavce"/>
    <w:link w:val="Nadpis8"/>
    <w:uiPriority w:val="9"/>
    <w:semiHidden/>
    <w:rsid w:val="00F73EC2"/>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F73EC2"/>
    <w:rPr>
      <w:rFonts w:asciiTheme="majorHAnsi" w:eastAsiaTheme="majorEastAsia" w:hAnsiTheme="majorHAnsi" w:cstheme="majorBidi"/>
      <w:i/>
      <w:iCs/>
      <w:color w:val="404040" w:themeColor="text1" w:themeTint="BF"/>
      <w:sz w:val="20"/>
      <w:szCs w:val="20"/>
    </w:rPr>
  </w:style>
  <w:style w:type="character" w:styleId="Zvraznn">
    <w:name w:val="Emphasis"/>
    <w:basedOn w:val="Standardnpsmoodstavce"/>
    <w:uiPriority w:val="20"/>
    <w:qFormat/>
    <w:rsid w:val="00F73EC2"/>
    <w:rPr>
      <w:i/>
      <w:iCs/>
    </w:rPr>
  </w:style>
  <w:style w:type="paragraph" w:styleId="Odstavecseseznamem">
    <w:name w:val="List Paragraph"/>
    <w:basedOn w:val="Normln"/>
    <w:uiPriority w:val="34"/>
    <w:qFormat/>
    <w:rsid w:val="00F73EC2"/>
    <w:pPr>
      <w:ind w:left="720"/>
      <w:contextualSpacing/>
    </w:pPr>
  </w:style>
  <w:style w:type="paragraph" w:styleId="Zhlav">
    <w:name w:val="header"/>
    <w:basedOn w:val="Normln"/>
    <w:link w:val="ZhlavChar"/>
    <w:uiPriority w:val="99"/>
    <w:unhideWhenUsed/>
    <w:rsid w:val="00F73EC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73EC2"/>
    <w:rPr>
      <w:rFonts w:ascii="Times New Roman" w:eastAsia="Calibri" w:hAnsi="Times New Roman" w:cs="Times New Roman"/>
      <w:sz w:val="23"/>
    </w:rPr>
  </w:style>
  <w:style w:type="paragraph" w:styleId="Zpat">
    <w:name w:val="footer"/>
    <w:basedOn w:val="Normln"/>
    <w:link w:val="ZpatChar"/>
    <w:uiPriority w:val="99"/>
    <w:unhideWhenUsed/>
    <w:rsid w:val="00F73EC2"/>
    <w:pPr>
      <w:tabs>
        <w:tab w:val="center" w:pos="4536"/>
        <w:tab w:val="right" w:pos="9072"/>
      </w:tabs>
      <w:spacing w:after="0" w:line="240" w:lineRule="auto"/>
    </w:pPr>
  </w:style>
  <w:style w:type="character" w:customStyle="1" w:styleId="ZpatChar">
    <w:name w:val="Zápatí Char"/>
    <w:basedOn w:val="Standardnpsmoodstavce"/>
    <w:link w:val="Zpat"/>
    <w:uiPriority w:val="99"/>
    <w:rsid w:val="00F73EC2"/>
    <w:rPr>
      <w:rFonts w:ascii="Times New Roman" w:eastAsia="Calibri" w:hAnsi="Times New Roman" w:cs="Times New Roman"/>
      <w:sz w:val="23"/>
    </w:rPr>
  </w:style>
  <w:style w:type="paragraph" w:styleId="Textbubliny">
    <w:name w:val="Balloon Text"/>
    <w:basedOn w:val="Normln"/>
    <w:link w:val="TextbublinyChar"/>
    <w:uiPriority w:val="99"/>
    <w:semiHidden/>
    <w:unhideWhenUsed/>
    <w:rsid w:val="00F73EC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73EC2"/>
    <w:rPr>
      <w:rFonts w:ascii="Tahoma" w:eastAsia="Calibri" w:hAnsi="Tahoma" w:cs="Tahoma"/>
      <w:sz w:val="16"/>
      <w:szCs w:val="16"/>
    </w:rPr>
  </w:style>
  <w:style w:type="paragraph" w:styleId="Textpoznpodarou">
    <w:name w:val="footnote text"/>
    <w:basedOn w:val="Normln"/>
    <w:link w:val="TextpoznpodarouChar"/>
    <w:uiPriority w:val="99"/>
    <w:unhideWhenUsed/>
    <w:rsid w:val="00F73EC2"/>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F73EC2"/>
    <w:rPr>
      <w:rFonts w:ascii="Times New Roman" w:eastAsia="Calibri" w:hAnsi="Times New Roman" w:cs="Times New Roman"/>
      <w:sz w:val="20"/>
      <w:szCs w:val="20"/>
    </w:rPr>
  </w:style>
  <w:style w:type="character" w:styleId="Znakapoznpodarou">
    <w:name w:val="footnote reference"/>
    <w:basedOn w:val="Standardnpsmoodstavce"/>
    <w:uiPriority w:val="99"/>
    <w:semiHidden/>
    <w:unhideWhenUsed/>
    <w:rsid w:val="00F73EC2"/>
    <w:rPr>
      <w:vertAlign w:val="superscript"/>
    </w:rPr>
  </w:style>
  <w:style w:type="character" w:customStyle="1" w:styleId="apple-style-span">
    <w:name w:val="apple-style-span"/>
    <w:basedOn w:val="Standardnpsmoodstavce"/>
    <w:rsid w:val="00F73EC2"/>
  </w:style>
  <w:style w:type="character" w:customStyle="1" w:styleId="apple-converted-space">
    <w:name w:val="apple-converted-space"/>
    <w:basedOn w:val="Standardnpsmoodstavce"/>
    <w:rsid w:val="00F73EC2"/>
  </w:style>
  <w:style w:type="character" w:styleId="Hypertextovodkaz">
    <w:name w:val="Hyperlink"/>
    <w:basedOn w:val="Standardnpsmoodstavce"/>
    <w:uiPriority w:val="99"/>
    <w:unhideWhenUsed/>
    <w:rsid w:val="00F73EC2"/>
    <w:rPr>
      <w:color w:val="0000FF"/>
      <w:u w:val="single"/>
    </w:rPr>
  </w:style>
  <w:style w:type="paragraph" w:styleId="Zkladntext">
    <w:name w:val="Body Text"/>
    <w:basedOn w:val="Normln"/>
    <w:link w:val="ZkladntextChar"/>
    <w:rsid w:val="00F73EC2"/>
    <w:pPr>
      <w:suppressAutoHyphens/>
      <w:spacing w:after="0" w:line="240" w:lineRule="auto"/>
      <w:jc w:val="both"/>
    </w:pPr>
    <w:rPr>
      <w:rFonts w:eastAsia="Times New Roman"/>
      <w:szCs w:val="20"/>
      <w:lang w:eastAsia="ar-SA"/>
    </w:rPr>
  </w:style>
  <w:style w:type="character" w:customStyle="1" w:styleId="ZkladntextChar">
    <w:name w:val="Základní text Char"/>
    <w:basedOn w:val="Standardnpsmoodstavce"/>
    <w:link w:val="Zkladntext"/>
    <w:rsid w:val="00F73EC2"/>
    <w:rPr>
      <w:rFonts w:ascii="Times New Roman" w:eastAsia="Times New Roman" w:hAnsi="Times New Roman" w:cs="Times New Roman"/>
      <w:sz w:val="24"/>
      <w:szCs w:val="20"/>
      <w:lang w:eastAsia="ar-SA"/>
    </w:rPr>
  </w:style>
  <w:style w:type="paragraph" w:customStyle="1" w:styleId="Diplomka-textodstavce">
    <w:name w:val="Diplomka - text odstavce"/>
    <w:rsid w:val="00F73EC2"/>
    <w:pPr>
      <w:suppressAutoHyphens/>
      <w:spacing w:before="120" w:after="120" w:line="360" w:lineRule="auto"/>
      <w:jc w:val="both"/>
    </w:pPr>
    <w:rPr>
      <w:rFonts w:ascii="Times New Roman" w:eastAsia="Arial" w:hAnsi="Times New Roman" w:cs="Times New Roman"/>
      <w:sz w:val="24"/>
      <w:szCs w:val="20"/>
      <w:lang w:eastAsia="ar-SA"/>
    </w:rPr>
  </w:style>
  <w:style w:type="paragraph" w:customStyle="1" w:styleId="Titulek1">
    <w:name w:val="Titulek1"/>
    <w:basedOn w:val="Normln"/>
    <w:next w:val="Normln"/>
    <w:rsid w:val="00F73EC2"/>
    <w:pPr>
      <w:keepNext/>
      <w:suppressAutoHyphens/>
      <w:spacing w:before="240" w:after="120" w:line="240" w:lineRule="auto"/>
    </w:pPr>
    <w:rPr>
      <w:rFonts w:ascii="Arial Narrow" w:eastAsia="Times New Roman" w:hAnsi="Arial Narrow"/>
      <w:b/>
      <w:sz w:val="28"/>
      <w:szCs w:val="20"/>
      <w:lang w:eastAsia="ar-SA"/>
    </w:rPr>
  </w:style>
  <w:style w:type="character" w:styleId="Sledovanodkaz">
    <w:name w:val="FollowedHyperlink"/>
    <w:basedOn w:val="Standardnpsmoodstavce"/>
    <w:uiPriority w:val="99"/>
    <w:semiHidden/>
    <w:unhideWhenUsed/>
    <w:rsid w:val="00F73EC2"/>
    <w:rPr>
      <w:color w:val="800080" w:themeColor="followedHyperlink"/>
      <w:u w:val="single"/>
    </w:rPr>
  </w:style>
  <w:style w:type="paragraph" w:styleId="Bezmezer">
    <w:name w:val="No Spacing"/>
    <w:uiPriority w:val="1"/>
    <w:qFormat/>
    <w:rsid w:val="00F73EC2"/>
    <w:pPr>
      <w:spacing w:after="0" w:line="240" w:lineRule="auto"/>
    </w:pPr>
    <w:rPr>
      <w:rFonts w:ascii="Times New Roman" w:eastAsia="Calibri" w:hAnsi="Times New Roman" w:cs="Times New Roman"/>
      <w:lang w:val="en-GB"/>
    </w:rPr>
  </w:style>
  <w:style w:type="paragraph" w:styleId="Obsah1">
    <w:name w:val="toc 1"/>
    <w:basedOn w:val="Normln"/>
    <w:next w:val="Normln"/>
    <w:autoRedefine/>
    <w:uiPriority w:val="39"/>
    <w:unhideWhenUsed/>
    <w:rsid w:val="00F73EC2"/>
    <w:pPr>
      <w:spacing w:after="100"/>
    </w:pPr>
  </w:style>
  <w:style w:type="paragraph" w:styleId="Obsah2">
    <w:name w:val="toc 2"/>
    <w:basedOn w:val="Normln"/>
    <w:next w:val="Normln"/>
    <w:autoRedefine/>
    <w:uiPriority w:val="39"/>
    <w:unhideWhenUsed/>
    <w:rsid w:val="00F73EC2"/>
    <w:pPr>
      <w:spacing w:after="100"/>
      <w:ind w:left="220"/>
    </w:pPr>
  </w:style>
  <w:style w:type="paragraph" w:styleId="Obsah3">
    <w:name w:val="toc 3"/>
    <w:basedOn w:val="Normln"/>
    <w:next w:val="Normln"/>
    <w:autoRedefine/>
    <w:uiPriority w:val="39"/>
    <w:unhideWhenUsed/>
    <w:rsid w:val="00F73EC2"/>
    <w:pPr>
      <w:spacing w:after="100"/>
      <w:ind w:left="440"/>
    </w:pPr>
  </w:style>
  <w:style w:type="paragraph" w:styleId="Obsah4">
    <w:name w:val="toc 4"/>
    <w:basedOn w:val="Normln"/>
    <w:next w:val="Normln"/>
    <w:autoRedefine/>
    <w:uiPriority w:val="39"/>
    <w:unhideWhenUsed/>
    <w:rsid w:val="00F73EC2"/>
    <w:pPr>
      <w:spacing w:after="100"/>
      <w:ind w:left="660"/>
    </w:pPr>
  </w:style>
  <w:style w:type="paragraph" w:styleId="Nadpisobsahu">
    <w:name w:val="TOC Heading"/>
    <w:basedOn w:val="Nadpis1"/>
    <w:next w:val="Normln"/>
    <w:uiPriority w:val="39"/>
    <w:semiHidden/>
    <w:unhideWhenUsed/>
    <w:qFormat/>
    <w:rsid w:val="00F73EC2"/>
    <w:pPr>
      <w:keepLines/>
      <w:spacing w:before="480"/>
      <w:outlineLvl w:val="9"/>
    </w:pPr>
    <w:rPr>
      <w:rFonts w:asciiTheme="majorHAnsi" w:hAnsiTheme="majorHAnsi"/>
      <w:color w:val="365F91" w:themeColor="accent1" w:themeShade="BF"/>
      <w:kern w:val="0"/>
      <w:sz w:val="28"/>
      <w:szCs w:val="28"/>
    </w:rPr>
  </w:style>
  <w:style w:type="table" w:styleId="Mkatabulky">
    <w:name w:val="Table Grid"/>
    <w:basedOn w:val="Normlntabulka"/>
    <w:uiPriority w:val="59"/>
    <w:rsid w:val="00F73EC2"/>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sid w:val="00F73EC2"/>
    <w:rPr>
      <w:color w:val="808080"/>
    </w:rPr>
  </w:style>
  <w:style w:type="paragraph" w:styleId="Titulek">
    <w:name w:val="caption"/>
    <w:basedOn w:val="Normln"/>
    <w:next w:val="Normln"/>
    <w:uiPriority w:val="35"/>
    <w:unhideWhenUsed/>
    <w:qFormat/>
    <w:rsid w:val="00F73EC2"/>
    <w:pPr>
      <w:spacing w:line="240" w:lineRule="auto"/>
    </w:pPr>
    <w:rPr>
      <w:b/>
      <w:bCs/>
      <w:color w:val="4F81BD" w:themeColor="accent1"/>
      <w:sz w:val="18"/>
      <w:szCs w:val="18"/>
    </w:rPr>
  </w:style>
  <w:style w:type="paragraph" w:customStyle="1" w:styleId="Default">
    <w:name w:val="Default"/>
    <w:rsid w:val="00F73EC2"/>
    <w:pPr>
      <w:autoSpaceDE w:val="0"/>
      <w:autoSpaceDN w:val="0"/>
      <w:adjustRightInd w:val="0"/>
      <w:spacing w:after="0" w:line="240" w:lineRule="auto"/>
    </w:pPr>
    <w:rPr>
      <w:rFonts w:ascii="Times New Roman" w:eastAsia="Calibri" w:hAnsi="Times New Roman" w:cs="Times New Roman"/>
      <w:color w:val="000000"/>
      <w:sz w:val="24"/>
      <w:szCs w:val="24"/>
      <w:lang w:eastAsia="cs-CZ"/>
    </w:rPr>
  </w:style>
  <w:style w:type="character" w:styleId="slodku">
    <w:name w:val="line number"/>
    <w:basedOn w:val="Standardnpsmoodstavce"/>
    <w:uiPriority w:val="99"/>
    <w:semiHidden/>
    <w:unhideWhenUsed/>
    <w:rsid w:val="004328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aliases w:val="Normální 11"/>
    <w:qFormat/>
    <w:rsid w:val="00115E95"/>
    <w:rPr>
      <w:rFonts w:ascii="Times New Roman" w:eastAsia="Calibri" w:hAnsi="Times New Roman" w:cs="Times New Roman"/>
      <w:sz w:val="24"/>
    </w:rPr>
  </w:style>
  <w:style w:type="paragraph" w:styleId="Nadpis1">
    <w:name w:val="heading 1"/>
    <w:basedOn w:val="Normln"/>
    <w:next w:val="Normln"/>
    <w:link w:val="Nadpis1Char"/>
    <w:uiPriority w:val="9"/>
    <w:qFormat/>
    <w:rsid w:val="00F73EC2"/>
    <w:pPr>
      <w:keepNext/>
      <w:numPr>
        <w:numId w:val="12"/>
      </w:numPr>
      <w:spacing w:after="0"/>
      <w:outlineLvl w:val="0"/>
    </w:pPr>
    <w:rPr>
      <w:rFonts w:eastAsiaTheme="majorEastAsia" w:cstheme="majorBidi"/>
      <w:b/>
      <w:bCs/>
      <w:kern w:val="32"/>
      <w:sz w:val="32"/>
      <w:szCs w:val="32"/>
    </w:rPr>
  </w:style>
  <w:style w:type="paragraph" w:styleId="Nadpis2">
    <w:name w:val="heading 2"/>
    <w:basedOn w:val="Normln"/>
    <w:next w:val="Normln"/>
    <w:link w:val="Nadpis2Char"/>
    <w:uiPriority w:val="9"/>
    <w:unhideWhenUsed/>
    <w:qFormat/>
    <w:rsid w:val="00F73EC2"/>
    <w:pPr>
      <w:keepNext/>
      <w:numPr>
        <w:ilvl w:val="1"/>
        <w:numId w:val="12"/>
      </w:numPr>
      <w:spacing w:after="0"/>
      <w:outlineLvl w:val="1"/>
    </w:pPr>
    <w:rPr>
      <w:rFonts w:eastAsia="Times New Roman"/>
      <w:b/>
      <w:bCs/>
      <w:iCs/>
      <w:sz w:val="28"/>
      <w:szCs w:val="28"/>
    </w:rPr>
  </w:style>
  <w:style w:type="paragraph" w:styleId="Nadpis3">
    <w:name w:val="heading 3"/>
    <w:basedOn w:val="Normln"/>
    <w:link w:val="Nadpis3Char"/>
    <w:uiPriority w:val="9"/>
    <w:qFormat/>
    <w:rsid w:val="00F73EC2"/>
    <w:pPr>
      <w:numPr>
        <w:ilvl w:val="2"/>
        <w:numId w:val="12"/>
      </w:numPr>
      <w:spacing w:after="0" w:line="240" w:lineRule="auto"/>
      <w:outlineLvl w:val="2"/>
    </w:pPr>
    <w:rPr>
      <w:rFonts w:eastAsia="Times New Roman"/>
      <w:b/>
      <w:bCs/>
      <w:szCs w:val="27"/>
      <w:lang w:eastAsia="cs-CZ"/>
    </w:rPr>
  </w:style>
  <w:style w:type="paragraph" w:styleId="Nadpis4">
    <w:name w:val="heading 4"/>
    <w:basedOn w:val="Normln"/>
    <w:next w:val="Normln"/>
    <w:link w:val="Nadpis4Char"/>
    <w:uiPriority w:val="9"/>
    <w:unhideWhenUsed/>
    <w:qFormat/>
    <w:rsid w:val="00F73EC2"/>
    <w:pPr>
      <w:keepNext/>
      <w:keepLines/>
      <w:numPr>
        <w:ilvl w:val="3"/>
        <w:numId w:val="12"/>
      </w:numPr>
      <w:spacing w:after="0"/>
      <w:outlineLvl w:val="3"/>
    </w:pPr>
    <w:rPr>
      <w:rFonts w:eastAsiaTheme="majorEastAsia" w:cstheme="majorBidi"/>
      <w:b/>
      <w:bCs/>
      <w:iCs/>
    </w:rPr>
  </w:style>
  <w:style w:type="paragraph" w:styleId="Nadpis5">
    <w:name w:val="heading 5"/>
    <w:basedOn w:val="Normln"/>
    <w:next w:val="Normln"/>
    <w:link w:val="Nadpis5Char"/>
    <w:uiPriority w:val="9"/>
    <w:semiHidden/>
    <w:unhideWhenUsed/>
    <w:qFormat/>
    <w:rsid w:val="00F73EC2"/>
    <w:pPr>
      <w:keepNext/>
      <w:keepLines/>
      <w:numPr>
        <w:ilvl w:val="4"/>
        <w:numId w:val="12"/>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73EC2"/>
    <w:pPr>
      <w:keepNext/>
      <w:keepLines/>
      <w:numPr>
        <w:ilvl w:val="5"/>
        <w:numId w:val="12"/>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73EC2"/>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73EC2"/>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F73EC2"/>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73EC2"/>
    <w:rPr>
      <w:rFonts w:ascii="Times New Roman" w:eastAsiaTheme="majorEastAsia" w:hAnsi="Times New Roman" w:cstheme="majorBidi"/>
      <w:b/>
      <w:bCs/>
      <w:kern w:val="32"/>
      <w:sz w:val="32"/>
      <w:szCs w:val="32"/>
    </w:rPr>
  </w:style>
  <w:style w:type="character" w:customStyle="1" w:styleId="Nadpis2Char">
    <w:name w:val="Nadpis 2 Char"/>
    <w:basedOn w:val="Standardnpsmoodstavce"/>
    <w:link w:val="Nadpis2"/>
    <w:uiPriority w:val="9"/>
    <w:rsid w:val="00F73EC2"/>
    <w:rPr>
      <w:rFonts w:ascii="Times New Roman" w:eastAsia="Times New Roman" w:hAnsi="Times New Roman" w:cs="Times New Roman"/>
      <w:b/>
      <w:bCs/>
      <w:iCs/>
      <w:sz w:val="28"/>
      <w:szCs w:val="28"/>
    </w:rPr>
  </w:style>
  <w:style w:type="character" w:customStyle="1" w:styleId="Nadpis3Char">
    <w:name w:val="Nadpis 3 Char"/>
    <w:basedOn w:val="Standardnpsmoodstavce"/>
    <w:link w:val="Nadpis3"/>
    <w:uiPriority w:val="9"/>
    <w:rsid w:val="00F73EC2"/>
    <w:rPr>
      <w:rFonts w:ascii="Times New Roman" w:eastAsia="Times New Roman" w:hAnsi="Times New Roman" w:cs="Times New Roman"/>
      <w:b/>
      <w:bCs/>
      <w:sz w:val="24"/>
      <w:szCs w:val="27"/>
      <w:lang w:eastAsia="cs-CZ"/>
    </w:rPr>
  </w:style>
  <w:style w:type="character" w:customStyle="1" w:styleId="Nadpis4Char">
    <w:name w:val="Nadpis 4 Char"/>
    <w:basedOn w:val="Standardnpsmoodstavce"/>
    <w:link w:val="Nadpis4"/>
    <w:uiPriority w:val="9"/>
    <w:rsid w:val="00F73EC2"/>
    <w:rPr>
      <w:rFonts w:ascii="Times New Roman" w:eastAsiaTheme="majorEastAsia" w:hAnsi="Times New Roman" w:cstheme="majorBidi"/>
      <w:b/>
      <w:bCs/>
      <w:iCs/>
      <w:sz w:val="23"/>
    </w:rPr>
  </w:style>
  <w:style w:type="character" w:customStyle="1" w:styleId="Nadpis5Char">
    <w:name w:val="Nadpis 5 Char"/>
    <w:basedOn w:val="Standardnpsmoodstavce"/>
    <w:link w:val="Nadpis5"/>
    <w:uiPriority w:val="9"/>
    <w:semiHidden/>
    <w:rsid w:val="00F73EC2"/>
    <w:rPr>
      <w:rFonts w:asciiTheme="majorHAnsi" w:eastAsiaTheme="majorEastAsia" w:hAnsiTheme="majorHAnsi" w:cstheme="majorBidi"/>
      <w:color w:val="243F60" w:themeColor="accent1" w:themeShade="7F"/>
      <w:sz w:val="23"/>
    </w:rPr>
  </w:style>
  <w:style w:type="character" w:customStyle="1" w:styleId="Nadpis6Char">
    <w:name w:val="Nadpis 6 Char"/>
    <w:basedOn w:val="Standardnpsmoodstavce"/>
    <w:link w:val="Nadpis6"/>
    <w:uiPriority w:val="9"/>
    <w:semiHidden/>
    <w:rsid w:val="00F73EC2"/>
    <w:rPr>
      <w:rFonts w:asciiTheme="majorHAnsi" w:eastAsiaTheme="majorEastAsia" w:hAnsiTheme="majorHAnsi" w:cstheme="majorBidi"/>
      <w:i/>
      <w:iCs/>
      <w:color w:val="243F60" w:themeColor="accent1" w:themeShade="7F"/>
      <w:sz w:val="23"/>
    </w:rPr>
  </w:style>
  <w:style w:type="character" w:customStyle="1" w:styleId="Nadpis7Char">
    <w:name w:val="Nadpis 7 Char"/>
    <w:basedOn w:val="Standardnpsmoodstavce"/>
    <w:link w:val="Nadpis7"/>
    <w:uiPriority w:val="9"/>
    <w:semiHidden/>
    <w:rsid w:val="00F73EC2"/>
    <w:rPr>
      <w:rFonts w:asciiTheme="majorHAnsi" w:eastAsiaTheme="majorEastAsia" w:hAnsiTheme="majorHAnsi" w:cstheme="majorBidi"/>
      <w:i/>
      <w:iCs/>
      <w:color w:val="404040" w:themeColor="text1" w:themeTint="BF"/>
      <w:sz w:val="23"/>
    </w:rPr>
  </w:style>
  <w:style w:type="character" w:customStyle="1" w:styleId="Nadpis8Char">
    <w:name w:val="Nadpis 8 Char"/>
    <w:basedOn w:val="Standardnpsmoodstavce"/>
    <w:link w:val="Nadpis8"/>
    <w:uiPriority w:val="9"/>
    <w:semiHidden/>
    <w:rsid w:val="00F73EC2"/>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F73EC2"/>
    <w:rPr>
      <w:rFonts w:asciiTheme="majorHAnsi" w:eastAsiaTheme="majorEastAsia" w:hAnsiTheme="majorHAnsi" w:cstheme="majorBidi"/>
      <w:i/>
      <w:iCs/>
      <w:color w:val="404040" w:themeColor="text1" w:themeTint="BF"/>
      <w:sz w:val="20"/>
      <w:szCs w:val="20"/>
    </w:rPr>
  </w:style>
  <w:style w:type="character" w:styleId="Zvraznn">
    <w:name w:val="Emphasis"/>
    <w:basedOn w:val="Standardnpsmoodstavce"/>
    <w:uiPriority w:val="20"/>
    <w:qFormat/>
    <w:rsid w:val="00F73EC2"/>
    <w:rPr>
      <w:i/>
      <w:iCs/>
    </w:rPr>
  </w:style>
  <w:style w:type="paragraph" w:styleId="Odstavecseseznamem">
    <w:name w:val="List Paragraph"/>
    <w:basedOn w:val="Normln"/>
    <w:uiPriority w:val="34"/>
    <w:qFormat/>
    <w:rsid w:val="00F73EC2"/>
    <w:pPr>
      <w:ind w:left="720"/>
      <w:contextualSpacing/>
    </w:pPr>
  </w:style>
  <w:style w:type="paragraph" w:styleId="Zhlav">
    <w:name w:val="header"/>
    <w:basedOn w:val="Normln"/>
    <w:link w:val="ZhlavChar"/>
    <w:uiPriority w:val="99"/>
    <w:unhideWhenUsed/>
    <w:rsid w:val="00F73EC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73EC2"/>
    <w:rPr>
      <w:rFonts w:ascii="Times New Roman" w:eastAsia="Calibri" w:hAnsi="Times New Roman" w:cs="Times New Roman"/>
      <w:sz w:val="23"/>
    </w:rPr>
  </w:style>
  <w:style w:type="paragraph" w:styleId="Zpat">
    <w:name w:val="footer"/>
    <w:basedOn w:val="Normln"/>
    <w:link w:val="ZpatChar"/>
    <w:uiPriority w:val="99"/>
    <w:unhideWhenUsed/>
    <w:rsid w:val="00F73EC2"/>
    <w:pPr>
      <w:tabs>
        <w:tab w:val="center" w:pos="4536"/>
        <w:tab w:val="right" w:pos="9072"/>
      </w:tabs>
      <w:spacing w:after="0" w:line="240" w:lineRule="auto"/>
    </w:pPr>
  </w:style>
  <w:style w:type="character" w:customStyle="1" w:styleId="ZpatChar">
    <w:name w:val="Zápatí Char"/>
    <w:basedOn w:val="Standardnpsmoodstavce"/>
    <w:link w:val="Zpat"/>
    <w:uiPriority w:val="99"/>
    <w:rsid w:val="00F73EC2"/>
    <w:rPr>
      <w:rFonts w:ascii="Times New Roman" w:eastAsia="Calibri" w:hAnsi="Times New Roman" w:cs="Times New Roman"/>
      <w:sz w:val="23"/>
    </w:rPr>
  </w:style>
  <w:style w:type="paragraph" w:styleId="Textbubliny">
    <w:name w:val="Balloon Text"/>
    <w:basedOn w:val="Normln"/>
    <w:link w:val="TextbublinyChar"/>
    <w:uiPriority w:val="99"/>
    <w:semiHidden/>
    <w:unhideWhenUsed/>
    <w:rsid w:val="00F73EC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73EC2"/>
    <w:rPr>
      <w:rFonts w:ascii="Tahoma" w:eastAsia="Calibri" w:hAnsi="Tahoma" w:cs="Tahoma"/>
      <w:sz w:val="16"/>
      <w:szCs w:val="16"/>
    </w:rPr>
  </w:style>
  <w:style w:type="paragraph" w:styleId="Textpoznpodarou">
    <w:name w:val="footnote text"/>
    <w:basedOn w:val="Normln"/>
    <w:link w:val="TextpoznpodarouChar"/>
    <w:uiPriority w:val="99"/>
    <w:unhideWhenUsed/>
    <w:rsid w:val="00F73EC2"/>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F73EC2"/>
    <w:rPr>
      <w:rFonts w:ascii="Times New Roman" w:eastAsia="Calibri" w:hAnsi="Times New Roman" w:cs="Times New Roman"/>
      <w:sz w:val="20"/>
      <w:szCs w:val="20"/>
    </w:rPr>
  </w:style>
  <w:style w:type="character" w:styleId="Znakapoznpodarou">
    <w:name w:val="footnote reference"/>
    <w:basedOn w:val="Standardnpsmoodstavce"/>
    <w:uiPriority w:val="99"/>
    <w:semiHidden/>
    <w:unhideWhenUsed/>
    <w:rsid w:val="00F73EC2"/>
    <w:rPr>
      <w:vertAlign w:val="superscript"/>
    </w:rPr>
  </w:style>
  <w:style w:type="character" w:customStyle="1" w:styleId="apple-style-span">
    <w:name w:val="apple-style-span"/>
    <w:basedOn w:val="Standardnpsmoodstavce"/>
    <w:rsid w:val="00F73EC2"/>
  </w:style>
  <w:style w:type="character" w:customStyle="1" w:styleId="apple-converted-space">
    <w:name w:val="apple-converted-space"/>
    <w:basedOn w:val="Standardnpsmoodstavce"/>
    <w:rsid w:val="00F73EC2"/>
  </w:style>
  <w:style w:type="character" w:styleId="Hypertextovodkaz">
    <w:name w:val="Hyperlink"/>
    <w:basedOn w:val="Standardnpsmoodstavce"/>
    <w:uiPriority w:val="99"/>
    <w:unhideWhenUsed/>
    <w:rsid w:val="00F73EC2"/>
    <w:rPr>
      <w:color w:val="0000FF"/>
      <w:u w:val="single"/>
    </w:rPr>
  </w:style>
  <w:style w:type="paragraph" w:styleId="Zkladntext">
    <w:name w:val="Body Text"/>
    <w:basedOn w:val="Normln"/>
    <w:link w:val="ZkladntextChar"/>
    <w:rsid w:val="00F73EC2"/>
    <w:pPr>
      <w:suppressAutoHyphens/>
      <w:spacing w:after="0" w:line="240" w:lineRule="auto"/>
      <w:jc w:val="both"/>
    </w:pPr>
    <w:rPr>
      <w:rFonts w:eastAsia="Times New Roman"/>
      <w:szCs w:val="20"/>
      <w:lang w:eastAsia="ar-SA"/>
    </w:rPr>
  </w:style>
  <w:style w:type="character" w:customStyle="1" w:styleId="ZkladntextChar">
    <w:name w:val="Základní text Char"/>
    <w:basedOn w:val="Standardnpsmoodstavce"/>
    <w:link w:val="Zkladntext"/>
    <w:rsid w:val="00F73EC2"/>
    <w:rPr>
      <w:rFonts w:ascii="Times New Roman" w:eastAsia="Times New Roman" w:hAnsi="Times New Roman" w:cs="Times New Roman"/>
      <w:sz w:val="24"/>
      <w:szCs w:val="20"/>
      <w:lang w:eastAsia="ar-SA"/>
    </w:rPr>
  </w:style>
  <w:style w:type="paragraph" w:customStyle="1" w:styleId="Diplomka-textodstavce">
    <w:name w:val="Diplomka - text odstavce"/>
    <w:rsid w:val="00F73EC2"/>
    <w:pPr>
      <w:suppressAutoHyphens/>
      <w:spacing w:before="120" w:after="120" w:line="360" w:lineRule="auto"/>
      <w:jc w:val="both"/>
    </w:pPr>
    <w:rPr>
      <w:rFonts w:ascii="Times New Roman" w:eastAsia="Arial" w:hAnsi="Times New Roman" w:cs="Times New Roman"/>
      <w:sz w:val="24"/>
      <w:szCs w:val="20"/>
      <w:lang w:eastAsia="ar-SA"/>
    </w:rPr>
  </w:style>
  <w:style w:type="paragraph" w:customStyle="1" w:styleId="Titulek1">
    <w:name w:val="Titulek1"/>
    <w:basedOn w:val="Normln"/>
    <w:next w:val="Normln"/>
    <w:rsid w:val="00F73EC2"/>
    <w:pPr>
      <w:keepNext/>
      <w:suppressAutoHyphens/>
      <w:spacing w:before="240" w:after="120" w:line="240" w:lineRule="auto"/>
    </w:pPr>
    <w:rPr>
      <w:rFonts w:ascii="Arial Narrow" w:eastAsia="Times New Roman" w:hAnsi="Arial Narrow"/>
      <w:b/>
      <w:sz w:val="28"/>
      <w:szCs w:val="20"/>
      <w:lang w:eastAsia="ar-SA"/>
    </w:rPr>
  </w:style>
  <w:style w:type="character" w:styleId="Sledovanodkaz">
    <w:name w:val="FollowedHyperlink"/>
    <w:basedOn w:val="Standardnpsmoodstavce"/>
    <w:uiPriority w:val="99"/>
    <w:semiHidden/>
    <w:unhideWhenUsed/>
    <w:rsid w:val="00F73EC2"/>
    <w:rPr>
      <w:color w:val="800080" w:themeColor="followedHyperlink"/>
      <w:u w:val="single"/>
    </w:rPr>
  </w:style>
  <w:style w:type="paragraph" w:styleId="Bezmezer">
    <w:name w:val="No Spacing"/>
    <w:uiPriority w:val="1"/>
    <w:qFormat/>
    <w:rsid w:val="00F73EC2"/>
    <w:pPr>
      <w:spacing w:after="0" w:line="240" w:lineRule="auto"/>
    </w:pPr>
    <w:rPr>
      <w:rFonts w:ascii="Times New Roman" w:eastAsia="Calibri" w:hAnsi="Times New Roman" w:cs="Times New Roman"/>
      <w:lang w:val="en-GB"/>
    </w:rPr>
  </w:style>
  <w:style w:type="paragraph" w:styleId="Obsah1">
    <w:name w:val="toc 1"/>
    <w:basedOn w:val="Normln"/>
    <w:next w:val="Normln"/>
    <w:autoRedefine/>
    <w:uiPriority w:val="39"/>
    <w:unhideWhenUsed/>
    <w:rsid w:val="00F73EC2"/>
    <w:pPr>
      <w:spacing w:after="100"/>
    </w:pPr>
  </w:style>
  <w:style w:type="paragraph" w:styleId="Obsah2">
    <w:name w:val="toc 2"/>
    <w:basedOn w:val="Normln"/>
    <w:next w:val="Normln"/>
    <w:autoRedefine/>
    <w:uiPriority w:val="39"/>
    <w:unhideWhenUsed/>
    <w:rsid w:val="00F73EC2"/>
    <w:pPr>
      <w:spacing w:after="100"/>
      <w:ind w:left="220"/>
    </w:pPr>
  </w:style>
  <w:style w:type="paragraph" w:styleId="Obsah3">
    <w:name w:val="toc 3"/>
    <w:basedOn w:val="Normln"/>
    <w:next w:val="Normln"/>
    <w:autoRedefine/>
    <w:uiPriority w:val="39"/>
    <w:unhideWhenUsed/>
    <w:rsid w:val="00F73EC2"/>
    <w:pPr>
      <w:spacing w:after="100"/>
      <w:ind w:left="440"/>
    </w:pPr>
  </w:style>
  <w:style w:type="paragraph" w:styleId="Obsah4">
    <w:name w:val="toc 4"/>
    <w:basedOn w:val="Normln"/>
    <w:next w:val="Normln"/>
    <w:autoRedefine/>
    <w:uiPriority w:val="39"/>
    <w:unhideWhenUsed/>
    <w:rsid w:val="00F73EC2"/>
    <w:pPr>
      <w:spacing w:after="100"/>
      <w:ind w:left="660"/>
    </w:pPr>
  </w:style>
  <w:style w:type="paragraph" w:styleId="Nadpisobsahu">
    <w:name w:val="TOC Heading"/>
    <w:basedOn w:val="Nadpis1"/>
    <w:next w:val="Normln"/>
    <w:uiPriority w:val="39"/>
    <w:semiHidden/>
    <w:unhideWhenUsed/>
    <w:qFormat/>
    <w:rsid w:val="00F73EC2"/>
    <w:pPr>
      <w:keepLines/>
      <w:spacing w:before="480"/>
      <w:outlineLvl w:val="9"/>
    </w:pPr>
    <w:rPr>
      <w:rFonts w:asciiTheme="majorHAnsi" w:hAnsiTheme="majorHAnsi"/>
      <w:color w:val="365F91" w:themeColor="accent1" w:themeShade="BF"/>
      <w:kern w:val="0"/>
      <w:sz w:val="28"/>
      <w:szCs w:val="28"/>
    </w:rPr>
  </w:style>
  <w:style w:type="table" w:styleId="Mkatabulky">
    <w:name w:val="Table Grid"/>
    <w:basedOn w:val="Normlntabulka"/>
    <w:uiPriority w:val="59"/>
    <w:rsid w:val="00F73EC2"/>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sid w:val="00F73EC2"/>
    <w:rPr>
      <w:color w:val="808080"/>
    </w:rPr>
  </w:style>
  <w:style w:type="paragraph" w:styleId="Titulek">
    <w:name w:val="caption"/>
    <w:basedOn w:val="Normln"/>
    <w:next w:val="Normln"/>
    <w:uiPriority w:val="35"/>
    <w:unhideWhenUsed/>
    <w:qFormat/>
    <w:rsid w:val="00F73EC2"/>
    <w:pPr>
      <w:spacing w:line="240" w:lineRule="auto"/>
    </w:pPr>
    <w:rPr>
      <w:b/>
      <w:bCs/>
      <w:color w:val="4F81BD" w:themeColor="accent1"/>
      <w:sz w:val="18"/>
      <w:szCs w:val="18"/>
    </w:rPr>
  </w:style>
  <w:style w:type="paragraph" w:customStyle="1" w:styleId="Default">
    <w:name w:val="Default"/>
    <w:rsid w:val="00F73EC2"/>
    <w:pPr>
      <w:autoSpaceDE w:val="0"/>
      <w:autoSpaceDN w:val="0"/>
      <w:adjustRightInd w:val="0"/>
      <w:spacing w:after="0" w:line="240" w:lineRule="auto"/>
    </w:pPr>
    <w:rPr>
      <w:rFonts w:ascii="Times New Roman" w:eastAsia="Calibri" w:hAnsi="Times New Roman" w:cs="Times New Roman"/>
      <w:color w:val="000000"/>
      <w:sz w:val="24"/>
      <w:szCs w:val="24"/>
      <w:lang w:eastAsia="cs-CZ"/>
    </w:rPr>
  </w:style>
  <w:style w:type="character" w:styleId="slodku">
    <w:name w:val="line number"/>
    <w:basedOn w:val="Standardnpsmoodstavce"/>
    <w:uiPriority w:val="99"/>
    <w:semiHidden/>
    <w:unhideWhenUsed/>
    <w:rsid w:val="00432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84293">
      <w:bodyDiv w:val="1"/>
      <w:marLeft w:val="0"/>
      <w:marRight w:val="0"/>
      <w:marTop w:val="0"/>
      <w:marBottom w:val="0"/>
      <w:divBdr>
        <w:top w:val="none" w:sz="0" w:space="0" w:color="auto"/>
        <w:left w:val="none" w:sz="0" w:space="0" w:color="auto"/>
        <w:bottom w:val="none" w:sz="0" w:space="0" w:color="auto"/>
        <w:right w:val="none" w:sz="0" w:space="0" w:color="auto"/>
      </w:divBdr>
    </w:div>
    <w:div w:id="56445235">
      <w:bodyDiv w:val="1"/>
      <w:marLeft w:val="0"/>
      <w:marRight w:val="0"/>
      <w:marTop w:val="0"/>
      <w:marBottom w:val="0"/>
      <w:divBdr>
        <w:top w:val="none" w:sz="0" w:space="0" w:color="auto"/>
        <w:left w:val="none" w:sz="0" w:space="0" w:color="auto"/>
        <w:bottom w:val="none" w:sz="0" w:space="0" w:color="auto"/>
        <w:right w:val="none" w:sz="0" w:space="0" w:color="auto"/>
      </w:divBdr>
    </w:div>
    <w:div w:id="64376368">
      <w:bodyDiv w:val="1"/>
      <w:marLeft w:val="0"/>
      <w:marRight w:val="0"/>
      <w:marTop w:val="0"/>
      <w:marBottom w:val="0"/>
      <w:divBdr>
        <w:top w:val="none" w:sz="0" w:space="0" w:color="auto"/>
        <w:left w:val="none" w:sz="0" w:space="0" w:color="auto"/>
        <w:bottom w:val="none" w:sz="0" w:space="0" w:color="auto"/>
        <w:right w:val="none" w:sz="0" w:space="0" w:color="auto"/>
      </w:divBdr>
    </w:div>
    <w:div w:id="65685597">
      <w:bodyDiv w:val="1"/>
      <w:marLeft w:val="0"/>
      <w:marRight w:val="0"/>
      <w:marTop w:val="0"/>
      <w:marBottom w:val="0"/>
      <w:divBdr>
        <w:top w:val="none" w:sz="0" w:space="0" w:color="auto"/>
        <w:left w:val="none" w:sz="0" w:space="0" w:color="auto"/>
        <w:bottom w:val="none" w:sz="0" w:space="0" w:color="auto"/>
        <w:right w:val="none" w:sz="0" w:space="0" w:color="auto"/>
      </w:divBdr>
    </w:div>
    <w:div w:id="79375129">
      <w:bodyDiv w:val="1"/>
      <w:marLeft w:val="0"/>
      <w:marRight w:val="0"/>
      <w:marTop w:val="0"/>
      <w:marBottom w:val="0"/>
      <w:divBdr>
        <w:top w:val="none" w:sz="0" w:space="0" w:color="auto"/>
        <w:left w:val="none" w:sz="0" w:space="0" w:color="auto"/>
        <w:bottom w:val="none" w:sz="0" w:space="0" w:color="auto"/>
        <w:right w:val="none" w:sz="0" w:space="0" w:color="auto"/>
      </w:divBdr>
    </w:div>
    <w:div w:id="197207499">
      <w:bodyDiv w:val="1"/>
      <w:marLeft w:val="0"/>
      <w:marRight w:val="0"/>
      <w:marTop w:val="0"/>
      <w:marBottom w:val="0"/>
      <w:divBdr>
        <w:top w:val="none" w:sz="0" w:space="0" w:color="auto"/>
        <w:left w:val="none" w:sz="0" w:space="0" w:color="auto"/>
        <w:bottom w:val="none" w:sz="0" w:space="0" w:color="auto"/>
        <w:right w:val="none" w:sz="0" w:space="0" w:color="auto"/>
      </w:divBdr>
    </w:div>
    <w:div w:id="248199983">
      <w:bodyDiv w:val="1"/>
      <w:marLeft w:val="0"/>
      <w:marRight w:val="0"/>
      <w:marTop w:val="0"/>
      <w:marBottom w:val="0"/>
      <w:divBdr>
        <w:top w:val="none" w:sz="0" w:space="0" w:color="auto"/>
        <w:left w:val="none" w:sz="0" w:space="0" w:color="auto"/>
        <w:bottom w:val="none" w:sz="0" w:space="0" w:color="auto"/>
        <w:right w:val="none" w:sz="0" w:space="0" w:color="auto"/>
      </w:divBdr>
    </w:div>
    <w:div w:id="271328082">
      <w:bodyDiv w:val="1"/>
      <w:marLeft w:val="0"/>
      <w:marRight w:val="0"/>
      <w:marTop w:val="0"/>
      <w:marBottom w:val="0"/>
      <w:divBdr>
        <w:top w:val="none" w:sz="0" w:space="0" w:color="auto"/>
        <w:left w:val="none" w:sz="0" w:space="0" w:color="auto"/>
        <w:bottom w:val="none" w:sz="0" w:space="0" w:color="auto"/>
        <w:right w:val="none" w:sz="0" w:space="0" w:color="auto"/>
      </w:divBdr>
    </w:div>
    <w:div w:id="369305419">
      <w:bodyDiv w:val="1"/>
      <w:marLeft w:val="0"/>
      <w:marRight w:val="0"/>
      <w:marTop w:val="0"/>
      <w:marBottom w:val="0"/>
      <w:divBdr>
        <w:top w:val="none" w:sz="0" w:space="0" w:color="auto"/>
        <w:left w:val="none" w:sz="0" w:space="0" w:color="auto"/>
        <w:bottom w:val="none" w:sz="0" w:space="0" w:color="auto"/>
        <w:right w:val="none" w:sz="0" w:space="0" w:color="auto"/>
      </w:divBdr>
    </w:div>
    <w:div w:id="424232183">
      <w:bodyDiv w:val="1"/>
      <w:marLeft w:val="0"/>
      <w:marRight w:val="0"/>
      <w:marTop w:val="0"/>
      <w:marBottom w:val="0"/>
      <w:divBdr>
        <w:top w:val="none" w:sz="0" w:space="0" w:color="auto"/>
        <w:left w:val="none" w:sz="0" w:space="0" w:color="auto"/>
        <w:bottom w:val="none" w:sz="0" w:space="0" w:color="auto"/>
        <w:right w:val="none" w:sz="0" w:space="0" w:color="auto"/>
      </w:divBdr>
    </w:div>
    <w:div w:id="571281724">
      <w:bodyDiv w:val="1"/>
      <w:marLeft w:val="0"/>
      <w:marRight w:val="0"/>
      <w:marTop w:val="0"/>
      <w:marBottom w:val="0"/>
      <w:divBdr>
        <w:top w:val="none" w:sz="0" w:space="0" w:color="auto"/>
        <w:left w:val="none" w:sz="0" w:space="0" w:color="auto"/>
        <w:bottom w:val="none" w:sz="0" w:space="0" w:color="auto"/>
        <w:right w:val="none" w:sz="0" w:space="0" w:color="auto"/>
      </w:divBdr>
    </w:div>
    <w:div w:id="680084341">
      <w:bodyDiv w:val="1"/>
      <w:marLeft w:val="0"/>
      <w:marRight w:val="0"/>
      <w:marTop w:val="0"/>
      <w:marBottom w:val="0"/>
      <w:divBdr>
        <w:top w:val="none" w:sz="0" w:space="0" w:color="auto"/>
        <w:left w:val="none" w:sz="0" w:space="0" w:color="auto"/>
        <w:bottom w:val="none" w:sz="0" w:space="0" w:color="auto"/>
        <w:right w:val="none" w:sz="0" w:space="0" w:color="auto"/>
      </w:divBdr>
    </w:div>
    <w:div w:id="712845033">
      <w:bodyDiv w:val="1"/>
      <w:marLeft w:val="0"/>
      <w:marRight w:val="0"/>
      <w:marTop w:val="0"/>
      <w:marBottom w:val="0"/>
      <w:divBdr>
        <w:top w:val="none" w:sz="0" w:space="0" w:color="auto"/>
        <w:left w:val="none" w:sz="0" w:space="0" w:color="auto"/>
        <w:bottom w:val="none" w:sz="0" w:space="0" w:color="auto"/>
        <w:right w:val="none" w:sz="0" w:space="0" w:color="auto"/>
      </w:divBdr>
    </w:div>
    <w:div w:id="786898704">
      <w:bodyDiv w:val="1"/>
      <w:marLeft w:val="0"/>
      <w:marRight w:val="0"/>
      <w:marTop w:val="0"/>
      <w:marBottom w:val="0"/>
      <w:divBdr>
        <w:top w:val="none" w:sz="0" w:space="0" w:color="auto"/>
        <w:left w:val="none" w:sz="0" w:space="0" w:color="auto"/>
        <w:bottom w:val="none" w:sz="0" w:space="0" w:color="auto"/>
        <w:right w:val="none" w:sz="0" w:space="0" w:color="auto"/>
      </w:divBdr>
    </w:div>
    <w:div w:id="958414963">
      <w:bodyDiv w:val="1"/>
      <w:marLeft w:val="0"/>
      <w:marRight w:val="0"/>
      <w:marTop w:val="0"/>
      <w:marBottom w:val="0"/>
      <w:divBdr>
        <w:top w:val="none" w:sz="0" w:space="0" w:color="auto"/>
        <w:left w:val="none" w:sz="0" w:space="0" w:color="auto"/>
        <w:bottom w:val="none" w:sz="0" w:space="0" w:color="auto"/>
        <w:right w:val="none" w:sz="0" w:space="0" w:color="auto"/>
      </w:divBdr>
    </w:div>
    <w:div w:id="1009528977">
      <w:bodyDiv w:val="1"/>
      <w:marLeft w:val="0"/>
      <w:marRight w:val="0"/>
      <w:marTop w:val="0"/>
      <w:marBottom w:val="0"/>
      <w:divBdr>
        <w:top w:val="none" w:sz="0" w:space="0" w:color="auto"/>
        <w:left w:val="none" w:sz="0" w:space="0" w:color="auto"/>
        <w:bottom w:val="none" w:sz="0" w:space="0" w:color="auto"/>
        <w:right w:val="none" w:sz="0" w:space="0" w:color="auto"/>
      </w:divBdr>
    </w:div>
    <w:div w:id="1014187977">
      <w:bodyDiv w:val="1"/>
      <w:marLeft w:val="0"/>
      <w:marRight w:val="0"/>
      <w:marTop w:val="0"/>
      <w:marBottom w:val="0"/>
      <w:divBdr>
        <w:top w:val="none" w:sz="0" w:space="0" w:color="auto"/>
        <w:left w:val="none" w:sz="0" w:space="0" w:color="auto"/>
        <w:bottom w:val="none" w:sz="0" w:space="0" w:color="auto"/>
        <w:right w:val="none" w:sz="0" w:space="0" w:color="auto"/>
      </w:divBdr>
    </w:div>
    <w:div w:id="1017384537">
      <w:bodyDiv w:val="1"/>
      <w:marLeft w:val="0"/>
      <w:marRight w:val="0"/>
      <w:marTop w:val="0"/>
      <w:marBottom w:val="0"/>
      <w:divBdr>
        <w:top w:val="none" w:sz="0" w:space="0" w:color="auto"/>
        <w:left w:val="none" w:sz="0" w:space="0" w:color="auto"/>
        <w:bottom w:val="none" w:sz="0" w:space="0" w:color="auto"/>
        <w:right w:val="none" w:sz="0" w:space="0" w:color="auto"/>
      </w:divBdr>
    </w:div>
    <w:div w:id="1029842438">
      <w:bodyDiv w:val="1"/>
      <w:marLeft w:val="0"/>
      <w:marRight w:val="0"/>
      <w:marTop w:val="0"/>
      <w:marBottom w:val="0"/>
      <w:divBdr>
        <w:top w:val="none" w:sz="0" w:space="0" w:color="auto"/>
        <w:left w:val="none" w:sz="0" w:space="0" w:color="auto"/>
        <w:bottom w:val="none" w:sz="0" w:space="0" w:color="auto"/>
        <w:right w:val="none" w:sz="0" w:space="0" w:color="auto"/>
      </w:divBdr>
    </w:div>
    <w:div w:id="1181510808">
      <w:bodyDiv w:val="1"/>
      <w:marLeft w:val="0"/>
      <w:marRight w:val="0"/>
      <w:marTop w:val="0"/>
      <w:marBottom w:val="0"/>
      <w:divBdr>
        <w:top w:val="none" w:sz="0" w:space="0" w:color="auto"/>
        <w:left w:val="none" w:sz="0" w:space="0" w:color="auto"/>
        <w:bottom w:val="none" w:sz="0" w:space="0" w:color="auto"/>
        <w:right w:val="none" w:sz="0" w:space="0" w:color="auto"/>
      </w:divBdr>
    </w:div>
    <w:div w:id="1288269705">
      <w:bodyDiv w:val="1"/>
      <w:marLeft w:val="0"/>
      <w:marRight w:val="0"/>
      <w:marTop w:val="0"/>
      <w:marBottom w:val="0"/>
      <w:divBdr>
        <w:top w:val="none" w:sz="0" w:space="0" w:color="auto"/>
        <w:left w:val="none" w:sz="0" w:space="0" w:color="auto"/>
        <w:bottom w:val="none" w:sz="0" w:space="0" w:color="auto"/>
        <w:right w:val="none" w:sz="0" w:space="0" w:color="auto"/>
      </w:divBdr>
    </w:div>
    <w:div w:id="1308166125">
      <w:bodyDiv w:val="1"/>
      <w:marLeft w:val="0"/>
      <w:marRight w:val="0"/>
      <w:marTop w:val="0"/>
      <w:marBottom w:val="0"/>
      <w:divBdr>
        <w:top w:val="none" w:sz="0" w:space="0" w:color="auto"/>
        <w:left w:val="none" w:sz="0" w:space="0" w:color="auto"/>
        <w:bottom w:val="none" w:sz="0" w:space="0" w:color="auto"/>
        <w:right w:val="none" w:sz="0" w:space="0" w:color="auto"/>
      </w:divBdr>
    </w:div>
    <w:div w:id="1337686488">
      <w:bodyDiv w:val="1"/>
      <w:marLeft w:val="0"/>
      <w:marRight w:val="0"/>
      <w:marTop w:val="0"/>
      <w:marBottom w:val="0"/>
      <w:divBdr>
        <w:top w:val="none" w:sz="0" w:space="0" w:color="auto"/>
        <w:left w:val="none" w:sz="0" w:space="0" w:color="auto"/>
        <w:bottom w:val="none" w:sz="0" w:space="0" w:color="auto"/>
        <w:right w:val="none" w:sz="0" w:space="0" w:color="auto"/>
      </w:divBdr>
    </w:div>
    <w:div w:id="1348749687">
      <w:bodyDiv w:val="1"/>
      <w:marLeft w:val="0"/>
      <w:marRight w:val="0"/>
      <w:marTop w:val="0"/>
      <w:marBottom w:val="0"/>
      <w:divBdr>
        <w:top w:val="none" w:sz="0" w:space="0" w:color="auto"/>
        <w:left w:val="none" w:sz="0" w:space="0" w:color="auto"/>
        <w:bottom w:val="none" w:sz="0" w:space="0" w:color="auto"/>
        <w:right w:val="none" w:sz="0" w:space="0" w:color="auto"/>
      </w:divBdr>
    </w:div>
    <w:div w:id="1387144506">
      <w:bodyDiv w:val="1"/>
      <w:marLeft w:val="0"/>
      <w:marRight w:val="0"/>
      <w:marTop w:val="0"/>
      <w:marBottom w:val="0"/>
      <w:divBdr>
        <w:top w:val="none" w:sz="0" w:space="0" w:color="auto"/>
        <w:left w:val="none" w:sz="0" w:space="0" w:color="auto"/>
        <w:bottom w:val="none" w:sz="0" w:space="0" w:color="auto"/>
        <w:right w:val="none" w:sz="0" w:space="0" w:color="auto"/>
      </w:divBdr>
    </w:div>
    <w:div w:id="1849901192">
      <w:bodyDiv w:val="1"/>
      <w:marLeft w:val="0"/>
      <w:marRight w:val="0"/>
      <w:marTop w:val="0"/>
      <w:marBottom w:val="0"/>
      <w:divBdr>
        <w:top w:val="none" w:sz="0" w:space="0" w:color="auto"/>
        <w:left w:val="none" w:sz="0" w:space="0" w:color="auto"/>
        <w:bottom w:val="none" w:sz="0" w:space="0" w:color="auto"/>
        <w:right w:val="none" w:sz="0" w:space="0" w:color="auto"/>
      </w:divBdr>
    </w:div>
    <w:div w:id="1860971442">
      <w:bodyDiv w:val="1"/>
      <w:marLeft w:val="0"/>
      <w:marRight w:val="0"/>
      <w:marTop w:val="0"/>
      <w:marBottom w:val="0"/>
      <w:divBdr>
        <w:top w:val="none" w:sz="0" w:space="0" w:color="auto"/>
        <w:left w:val="none" w:sz="0" w:space="0" w:color="auto"/>
        <w:bottom w:val="none" w:sz="0" w:space="0" w:color="auto"/>
        <w:right w:val="none" w:sz="0" w:space="0" w:color="auto"/>
      </w:divBdr>
    </w:div>
    <w:div w:id="1931310922">
      <w:bodyDiv w:val="1"/>
      <w:marLeft w:val="0"/>
      <w:marRight w:val="0"/>
      <w:marTop w:val="0"/>
      <w:marBottom w:val="0"/>
      <w:divBdr>
        <w:top w:val="none" w:sz="0" w:space="0" w:color="auto"/>
        <w:left w:val="none" w:sz="0" w:space="0" w:color="auto"/>
        <w:bottom w:val="none" w:sz="0" w:space="0" w:color="auto"/>
        <w:right w:val="none" w:sz="0" w:space="0" w:color="auto"/>
      </w:divBdr>
    </w:div>
    <w:div w:id="1972007653">
      <w:bodyDiv w:val="1"/>
      <w:marLeft w:val="0"/>
      <w:marRight w:val="0"/>
      <w:marTop w:val="0"/>
      <w:marBottom w:val="0"/>
      <w:divBdr>
        <w:top w:val="none" w:sz="0" w:space="0" w:color="auto"/>
        <w:left w:val="none" w:sz="0" w:space="0" w:color="auto"/>
        <w:bottom w:val="none" w:sz="0" w:space="0" w:color="auto"/>
        <w:right w:val="none" w:sz="0" w:space="0" w:color="auto"/>
      </w:divBdr>
    </w:div>
    <w:div w:id="208051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chart" Target="charts/chart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focam.cz/"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chart" Target="charts/chart3.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chart" Target="charts/chart5.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jpeg"/><Relationship Id="rId22" Type="http://schemas.openxmlformats.org/officeDocument/2006/relationships/footer" Target="footer4.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J:\anal&#253;z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J:\anal&#253;z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J:\anal&#253;z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J:\anal&#253;zy.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J:\anal&#253;zy.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bp\anal&#253;z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'jiné analýzy'!$A$33:$D$33</c:f>
              <c:strCache>
                <c:ptCount val="1"/>
                <c:pt idx="0">
                  <c:v>AKTIVA CELKEM </c:v>
                </c:pt>
              </c:strCache>
            </c:strRef>
          </c:tx>
          <c:marker>
            <c:symbol val="none"/>
          </c:marker>
          <c:cat>
            <c:numRef>
              <c:f>'jiné analýzy'!$E$32:$I$32</c:f>
              <c:numCache>
                <c:formatCode>General</c:formatCode>
                <c:ptCount val="5"/>
                <c:pt idx="0">
                  <c:v>2009</c:v>
                </c:pt>
                <c:pt idx="1">
                  <c:v>2010</c:v>
                </c:pt>
                <c:pt idx="2">
                  <c:v>2011</c:v>
                </c:pt>
                <c:pt idx="3">
                  <c:v>2012</c:v>
                </c:pt>
                <c:pt idx="4">
                  <c:v>2013</c:v>
                </c:pt>
              </c:numCache>
            </c:numRef>
          </c:cat>
          <c:val>
            <c:numRef>
              <c:f>'jiné analýzy'!$E$33:$I$33</c:f>
              <c:numCache>
                <c:formatCode>#,##0</c:formatCode>
                <c:ptCount val="5"/>
                <c:pt idx="0" formatCode="General">
                  <c:v>14813</c:v>
                </c:pt>
                <c:pt idx="1">
                  <c:v>21308</c:v>
                </c:pt>
                <c:pt idx="2">
                  <c:v>16793</c:v>
                </c:pt>
                <c:pt idx="3" formatCode="General">
                  <c:v>15529</c:v>
                </c:pt>
                <c:pt idx="4" formatCode="General">
                  <c:v>13874</c:v>
                </c:pt>
              </c:numCache>
            </c:numRef>
          </c:val>
          <c:smooth val="0"/>
        </c:ser>
        <c:ser>
          <c:idx val="1"/>
          <c:order val="1"/>
          <c:tx>
            <c:strRef>
              <c:f>'jiné analýzy'!$A$34:$D$34</c:f>
              <c:strCache>
                <c:ptCount val="1"/>
                <c:pt idx="0">
                  <c:v>Dlouhodobý majetek </c:v>
                </c:pt>
              </c:strCache>
            </c:strRef>
          </c:tx>
          <c:marker>
            <c:symbol val="none"/>
          </c:marker>
          <c:cat>
            <c:numRef>
              <c:f>'jiné analýzy'!$E$32:$I$32</c:f>
              <c:numCache>
                <c:formatCode>General</c:formatCode>
                <c:ptCount val="5"/>
                <c:pt idx="0">
                  <c:v>2009</c:v>
                </c:pt>
                <c:pt idx="1">
                  <c:v>2010</c:v>
                </c:pt>
                <c:pt idx="2">
                  <c:v>2011</c:v>
                </c:pt>
                <c:pt idx="3">
                  <c:v>2012</c:v>
                </c:pt>
                <c:pt idx="4">
                  <c:v>2013</c:v>
                </c:pt>
              </c:numCache>
            </c:numRef>
          </c:cat>
          <c:val>
            <c:numRef>
              <c:f>'jiné analýzy'!$E$34:$I$34</c:f>
              <c:numCache>
                <c:formatCode>#,##0</c:formatCode>
                <c:ptCount val="5"/>
                <c:pt idx="0" formatCode="General">
                  <c:v>5763</c:v>
                </c:pt>
                <c:pt idx="1">
                  <c:v>11831</c:v>
                </c:pt>
                <c:pt idx="2">
                  <c:v>7510</c:v>
                </c:pt>
                <c:pt idx="3" formatCode="General">
                  <c:v>7510</c:v>
                </c:pt>
                <c:pt idx="4" formatCode="General">
                  <c:v>6524</c:v>
                </c:pt>
              </c:numCache>
            </c:numRef>
          </c:val>
          <c:smooth val="0"/>
        </c:ser>
        <c:ser>
          <c:idx val="2"/>
          <c:order val="2"/>
          <c:tx>
            <c:strRef>
              <c:f>'jiné analýzy'!$A$35:$D$35</c:f>
              <c:strCache>
                <c:ptCount val="1"/>
                <c:pt idx="0">
                  <c:v>Oběžná aktiva</c:v>
                </c:pt>
              </c:strCache>
            </c:strRef>
          </c:tx>
          <c:marker>
            <c:symbol val="none"/>
          </c:marker>
          <c:cat>
            <c:numRef>
              <c:f>'jiné analýzy'!$E$32:$I$32</c:f>
              <c:numCache>
                <c:formatCode>General</c:formatCode>
                <c:ptCount val="5"/>
                <c:pt idx="0">
                  <c:v>2009</c:v>
                </c:pt>
                <c:pt idx="1">
                  <c:v>2010</c:v>
                </c:pt>
                <c:pt idx="2">
                  <c:v>2011</c:v>
                </c:pt>
                <c:pt idx="3">
                  <c:v>2012</c:v>
                </c:pt>
                <c:pt idx="4">
                  <c:v>2013</c:v>
                </c:pt>
              </c:numCache>
            </c:numRef>
          </c:cat>
          <c:val>
            <c:numRef>
              <c:f>'jiné analýzy'!$E$35:$I$35</c:f>
              <c:numCache>
                <c:formatCode>#,##0</c:formatCode>
                <c:ptCount val="5"/>
                <c:pt idx="0" formatCode="General">
                  <c:v>9020</c:v>
                </c:pt>
                <c:pt idx="1">
                  <c:v>9461</c:v>
                </c:pt>
                <c:pt idx="2">
                  <c:v>9279</c:v>
                </c:pt>
                <c:pt idx="3" formatCode="General">
                  <c:v>7933</c:v>
                </c:pt>
                <c:pt idx="4" formatCode="General">
                  <c:v>7284</c:v>
                </c:pt>
              </c:numCache>
            </c:numRef>
          </c:val>
          <c:smooth val="0"/>
        </c:ser>
        <c:dLbls>
          <c:showLegendKey val="0"/>
          <c:showVal val="0"/>
          <c:showCatName val="0"/>
          <c:showSerName val="0"/>
          <c:showPercent val="0"/>
          <c:showBubbleSize val="0"/>
        </c:dLbls>
        <c:marker val="1"/>
        <c:smooth val="0"/>
        <c:axId val="42170240"/>
        <c:axId val="42171776"/>
      </c:lineChart>
      <c:catAx>
        <c:axId val="42170240"/>
        <c:scaling>
          <c:orientation val="minMax"/>
        </c:scaling>
        <c:delete val="0"/>
        <c:axPos val="b"/>
        <c:numFmt formatCode="General" sourceLinked="1"/>
        <c:majorTickMark val="out"/>
        <c:minorTickMark val="none"/>
        <c:tickLblPos val="nextTo"/>
        <c:crossAx val="42171776"/>
        <c:crosses val="autoZero"/>
        <c:auto val="1"/>
        <c:lblAlgn val="ctr"/>
        <c:lblOffset val="100"/>
        <c:noMultiLvlLbl val="0"/>
      </c:catAx>
      <c:valAx>
        <c:axId val="42171776"/>
        <c:scaling>
          <c:orientation val="minMax"/>
        </c:scaling>
        <c:delete val="0"/>
        <c:axPos val="l"/>
        <c:majorGridlines/>
        <c:numFmt formatCode="General" sourceLinked="1"/>
        <c:majorTickMark val="out"/>
        <c:minorTickMark val="none"/>
        <c:tickLblPos val="nextTo"/>
        <c:crossAx val="4217024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'jiné analýzy'!$A$39:$D$39</c:f>
              <c:strCache>
                <c:ptCount val="1"/>
                <c:pt idx="0">
                  <c:v>PASIVA CELKEM  </c:v>
                </c:pt>
              </c:strCache>
            </c:strRef>
          </c:tx>
          <c:marker>
            <c:symbol val="none"/>
          </c:marker>
          <c:cat>
            <c:numRef>
              <c:f>'jiné analýzy'!$E$38:$I$38</c:f>
              <c:numCache>
                <c:formatCode>General</c:formatCode>
                <c:ptCount val="5"/>
                <c:pt idx="0">
                  <c:v>2009</c:v>
                </c:pt>
                <c:pt idx="1">
                  <c:v>2010</c:v>
                </c:pt>
                <c:pt idx="2">
                  <c:v>2011</c:v>
                </c:pt>
                <c:pt idx="3">
                  <c:v>2012</c:v>
                </c:pt>
                <c:pt idx="4">
                  <c:v>2013</c:v>
                </c:pt>
              </c:numCache>
            </c:numRef>
          </c:cat>
          <c:val>
            <c:numRef>
              <c:f>'jiné analýzy'!$E$39:$I$39</c:f>
              <c:numCache>
                <c:formatCode>#,##0</c:formatCode>
                <c:ptCount val="5"/>
                <c:pt idx="0" formatCode="General">
                  <c:v>14813</c:v>
                </c:pt>
                <c:pt idx="1">
                  <c:v>21308</c:v>
                </c:pt>
                <c:pt idx="2">
                  <c:v>16793</c:v>
                </c:pt>
                <c:pt idx="3" formatCode="General">
                  <c:v>15530</c:v>
                </c:pt>
                <c:pt idx="4" formatCode="General">
                  <c:v>13874</c:v>
                </c:pt>
              </c:numCache>
            </c:numRef>
          </c:val>
          <c:smooth val="0"/>
        </c:ser>
        <c:ser>
          <c:idx val="1"/>
          <c:order val="1"/>
          <c:tx>
            <c:strRef>
              <c:f>'jiné analýzy'!$A$40:$D$40</c:f>
              <c:strCache>
                <c:ptCount val="1"/>
                <c:pt idx="0">
                  <c:v>Vlastní kapitál</c:v>
                </c:pt>
              </c:strCache>
            </c:strRef>
          </c:tx>
          <c:marker>
            <c:symbol val="none"/>
          </c:marker>
          <c:cat>
            <c:numRef>
              <c:f>'jiné analýzy'!$E$38:$I$38</c:f>
              <c:numCache>
                <c:formatCode>General</c:formatCode>
                <c:ptCount val="5"/>
                <c:pt idx="0">
                  <c:v>2009</c:v>
                </c:pt>
                <c:pt idx="1">
                  <c:v>2010</c:v>
                </c:pt>
                <c:pt idx="2">
                  <c:v>2011</c:v>
                </c:pt>
                <c:pt idx="3">
                  <c:v>2012</c:v>
                </c:pt>
                <c:pt idx="4">
                  <c:v>2013</c:v>
                </c:pt>
              </c:numCache>
            </c:numRef>
          </c:cat>
          <c:val>
            <c:numRef>
              <c:f>'jiné analýzy'!$E$40:$I$40</c:f>
              <c:numCache>
                <c:formatCode>#,##0</c:formatCode>
                <c:ptCount val="5"/>
                <c:pt idx="0" formatCode="General">
                  <c:v>8075</c:v>
                </c:pt>
                <c:pt idx="1">
                  <c:v>8813</c:v>
                </c:pt>
                <c:pt idx="2">
                  <c:v>9454</c:v>
                </c:pt>
                <c:pt idx="3" formatCode="General">
                  <c:v>9586</c:v>
                </c:pt>
                <c:pt idx="4" formatCode="General">
                  <c:v>9622</c:v>
                </c:pt>
              </c:numCache>
            </c:numRef>
          </c:val>
          <c:smooth val="0"/>
        </c:ser>
        <c:ser>
          <c:idx val="2"/>
          <c:order val="2"/>
          <c:tx>
            <c:strRef>
              <c:f>'jiné analýzy'!$A$41:$D$41</c:f>
              <c:strCache>
                <c:ptCount val="1"/>
                <c:pt idx="0">
                  <c:v>Cizí zdroje </c:v>
                </c:pt>
              </c:strCache>
            </c:strRef>
          </c:tx>
          <c:marker>
            <c:symbol val="none"/>
          </c:marker>
          <c:cat>
            <c:numRef>
              <c:f>'jiné analýzy'!$E$38:$I$38</c:f>
              <c:numCache>
                <c:formatCode>General</c:formatCode>
                <c:ptCount val="5"/>
                <c:pt idx="0">
                  <c:v>2009</c:v>
                </c:pt>
                <c:pt idx="1">
                  <c:v>2010</c:v>
                </c:pt>
                <c:pt idx="2">
                  <c:v>2011</c:v>
                </c:pt>
                <c:pt idx="3">
                  <c:v>2012</c:v>
                </c:pt>
                <c:pt idx="4">
                  <c:v>2013</c:v>
                </c:pt>
              </c:numCache>
            </c:numRef>
          </c:cat>
          <c:val>
            <c:numRef>
              <c:f>'jiné analýzy'!$E$41:$I$41</c:f>
              <c:numCache>
                <c:formatCode>#,##0</c:formatCode>
                <c:ptCount val="5"/>
                <c:pt idx="0" formatCode="General">
                  <c:v>6738</c:v>
                </c:pt>
                <c:pt idx="1">
                  <c:v>12495</c:v>
                </c:pt>
                <c:pt idx="2">
                  <c:v>7291</c:v>
                </c:pt>
                <c:pt idx="3" formatCode="General">
                  <c:v>5944</c:v>
                </c:pt>
                <c:pt idx="4" formatCode="General">
                  <c:v>4252</c:v>
                </c:pt>
              </c:numCache>
            </c:numRef>
          </c:val>
          <c:smooth val="0"/>
        </c:ser>
        <c:dLbls>
          <c:showLegendKey val="0"/>
          <c:showVal val="0"/>
          <c:showCatName val="0"/>
          <c:showSerName val="0"/>
          <c:showPercent val="0"/>
          <c:showBubbleSize val="0"/>
        </c:dLbls>
        <c:marker val="1"/>
        <c:smooth val="0"/>
        <c:axId val="42189568"/>
        <c:axId val="42191104"/>
      </c:lineChart>
      <c:catAx>
        <c:axId val="42189568"/>
        <c:scaling>
          <c:orientation val="minMax"/>
        </c:scaling>
        <c:delete val="0"/>
        <c:axPos val="b"/>
        <c:numFmt formatCode="General" sourceLinked="1"/>
        <c:majorTickMark val="out"/>
        <c:minorTickMark val="none"/>
        <c:tickLblPos val="nextTo"/>
        <c:crossAx val="42191104"/>
        <c:crosses val="autoZero"/>
        <c:auto val="1"/>
        <c:lblAlgn val="ctr"/>
        <c:lblOffset val="100"/>
        <c:noMultiLvlLbl val="0"/>
      </c:catAx>
      <c:valAx>
        <c:axId val="42191104"/>
        <c:scaling>
          <c:orientation val="minMax"/>
        </c:scaling>
        <c:delete val="0"/>
        <c:axPos val="l"/>
        <c:majorGridlines/>
        <c:numFmt formatCode="General" sourceLinked="1"/>
        <c:majorTickMark val="out"/>
        <c:minorTickMark val="none"/>
        <c:tickLblPos val="nextTo"/>
        <c:crossAx val="4218956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ndard"/>
        <c:varyColors val="0"/>
        <c:ser>
          <c:idx val="0"/>
          <c:order val="0"/>
          <c:tx>
            <c:strRef>
              <c:f>'jiné analýzy'!$A$58:$D$58</c:f>
              <c:strCache>
                <c:ptCount val="1"/>
                <c:pt idx="0">
                  <c:v>Výsledek hospodaření za účetní období</c:v>
                </c:pt>
              </c:strCache>
            </c:strRef>
          </c:tx>
          <c:marker>
            <c:symbol val="none"/>
          </c:marker>
          <c:cat>
            <c:numRef>
              <c:f>'jiné analýzy'!$E$57:$I$57</c:f>
              <c:numCache>
                <c:formatCode>General</c:formatCode>
                <c:ptCount val="5"/>
                <c:pt idx="0">
                  <c:v>2009</c:v>
                </c:pt>
                <c:pt idx="1">
                  <c:v>2010</c:v>
                </c:pt>
                <c:pt idx="2">
                  <c:v>2011</c:v>
                </c:pt>
                <c:pt idx="3">
                  <c:v>2012</c:v>
                </c:pt>
                <c:pt idx="4">
                  <c:v>2013</c:v>
                </c:pt>
              </c:numCache>
            </c:numRef>
          </c:cat>
          <c:val>
            <c:numRef>
              <c:f>'jiné analýzy'!$E$58:$I$58</c:f>
              <c:numCache>
                <c:formatCode>General</c:formatCode>
                <c:ptCount val="5"/>
                <c:pt idx="0">
                  <c:v>453</c:v>
                </c:pt>
                <c:pt idx="1">
                  <c:v>737</c:v>
                </c:pt>
                <c:pt idx="2">
                  <c:v>641</c:v>
                </c:pt>
                <c:pt idx="3">
                  <c:v>131</c:v>
                </c:pt>
                <c:pt idx="4">
                  <c:v>37</c:v>
                </c:pt>
              </c:numCache>
            </c:numRef>
          </c:val>
          <c:smooth val="0"/>
        </c:ser>
        <c:dLbls>
          <c:showLegendKey val="0"/>
          <c:showVal val="0"/>
          <c:showCatName val="0"/>
          <c:showSerName val="0"/>
          <c:showPercent val="0"/>
          <c:showBubbleSize val="0"/>
        </c:dLbls>
        <c:marker val="1"/>
        <c:smooth val="0"/>
        <c:axId val="90399104"/>
        <c:axId val="90400640"/>
      </c:lineChart>
      <c:catAx>
        <c:axId val="90399104"/>
        <c:scaling>
          <c:orientation val="minMax"/>
        </c:scaling>
        <c:delete val="0"/>
        <c:axPos val="b"/>
        <c:numFmt formatCode="General" sourceLinked="1"/>
        <c:majorTickMark val="out"/>
        <c:minorTickMark val="none"/>
        <c:tickLblPos val="nextTo"/>
        <c:crossAx val="90400640"/>
        <c:crosses val="autoZero"/>
        <c:auto val="1"/>
        <c:lblAlgn val="ctr"/>
        <c:lblOffset val="100"/>
        <c:noMultiLvlLbl val="0"/>
      </c:catAx>
      <c:valAx>
        <c:axId val="90400640"/>
        <c:scaling>
          <c:orientation val="minMax"/>
        </c:scaling>
        <c:delete val="0"/>
        <c:axPos val="l"/>
        <c:majorGridlines/>
        <c:numFmt formatCode="General" sourceLinked="1"/>
        <c:majorTickMark val="out"/>
        <c:minorTickMark val="none"/>
        <c:tickLblPos val="nextTo"/>
        <c:crossAx val="90399104"/>
        <c:crosses val="autoZero"/>
        <c:crossBetween val="between"/>
      </c:valAx>
    </c:plotArea>
    <c:legend>
      <c:legendPos val="r"/>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barChart>
        <c:barDir val="col"/>
        <c:grouping val="percentStacked"/>
        <c:varyColors val="0"/>
        <c:ser>
          <c:idx val="0"/>
          <c:order val="0"/>
          <c:tx>
            <c:strRef>
              <c:f>'vertikální analýzy rozvahy'!$A$2:$D$2</c:f>
              <c:strCache>
                <c:ptCount val="1"/>
                <c:pt idx="0">
                  <c:v>Dlouhodobý majetek </c:v>
                </c:pt>
              </c:strCache>
            </c:strRef>
          </c:tx>
          <c:invertIfNegative val="0"/>
          <c:cat>
            <c:numRef>
              <c:f>'vertikální analýzy rozvahy'!$E$1:$I$1</c:f>
              <c:numCache>
                <c:formatCode>General</c:formatCode>
                <c:ptCount val="5"/>
                <c:pt idx="0">
                  <c:v>2009</c:v>
                </c:pt>
                <c:pt idx="1">
                  <c:v>2010</c:v>
                </c:pt>
                <c:pt idx="2">
                  <c:v>2011</c:v>
                </c:pt>
                <c:pt idx="3">
                  <c:v>2012</c:v>
                </c:pt>
                <c:pt idx="4">
                  <c:v>2013</c:v>
                </c:pt>
              </c:numCache>
            </c:numRef>
          </c:cat>
          <c:val>
            <c:numRef>
              <c:f>'vertikální analýzy rozvahy'!$E$2:$I$2</c:f>
              <c:numCache>
                <c:formatCode>0.00%</c:formatCode>
                <c:ptCount val="5"/>
                <c:pt idx="0">
                  <c:v>0.38905015864443393</c:v>
                </c:pt>
                <c:pt idx="1">
                  <c:v>0.55523746949502539</c:v>
                </c:pt>
                <c:pt idx="2">
                  <c:v>0.44721014708509499</c:v>
                </c:pt>
                <c:pt idx="3">
                  <c:v>0.48361130787558759</c:v>
                </c:pt>
                <c:pt idx="4">
                  <c:v>0.47023208879919276</c:v>
                </c:pt>
              </c:numCache>
            </c:numRef>
          </c:val>
        </c:ser>
        <c:ser>
          <c:idx val="1"/>
          <c:order val="1"/>
          <c:tx>
            <c:strRef>
              <c:f>'vertikální analýzy rozvahy'!$A$3:$D$3</c:f>
              <c:strCache>
                <c:ptCount val="1"/>
                <c:pt idx="0">
                  <c:v>Oběžná aktiva</c:v>
                </c:pt>
              </c:strCache>
            </c:strRef>
          </c:tx>
          <c:invertIfNegative val="0"/>
          <c:cat>
            <c:numRef>
              <c:f>'vertikální analýzy rozvahy'!$E$1:$I$1</c:f>
              <c:numCache>
                <c:formatCode>General</c:formatCode>
                <c:ptCount val="5"/>
                <c:pt idx="0">
                  <c:v>2009</c:v>
                </c:pt>
                <c:pt idx="1">
                  <c:v>2010</c:v>
                </c:pt>
                <c:pt idx="2">
                  <c:v>2011</c:v>
                </c:pt>
                <c:pt idx="3">
                  <c:v>2012</c:v>
                </c:pt>
                <c:pt idx="4">
                  <c:v>2013</c:v>
                </c:pt>
              </c:numCache>
            </c:numRef>
          </c:cat>
          <c:val>
            <c:numRef>
              <c:f>'vertikální analýzy rozvahy'!$E$3:$I$3</c:f>
              <c:numCache>
                <c:formatCode>0.00%</c:formatCode>
                <c:ptCount val="5"/>
                <c:pt idx="0">
                  <c:v>0.60892459326267467</c:v>
                </c:pt>
                <c:pt idx="1">
                  <c:v>0.44401163882110006</c:v>
                </c:pt>
                <c:pt idx="2">
                  <c:v>0.55255165842910736</c:v>
                </c:pt>
                <c:pt idx="3">
                  <c:v>0.51085066649494493</c:v>
                </c:pt>
                <c:pt idx="4">
                  <c:v>0.5250108115900245</c:v>
                </c:pt>
              </c:numCache>
            </c:numRef>
          </c:val>
        </c:ser>
        <c:ser>
          <c:idx val="2"/>
          <c:order val="2"/>
          <c:tx>
            <c:strRef>
              <c:f>'vertikální analýzy rozvahy'!$A$4:$D$4</c:f>
              <c:strCache>
                <c:ptCount val="1"/>
                <c:pt idx="0">
                  <c:v>Časové rozlišení</c:v>
                </c:pt>
              </c:strCache>
            </c:strRef>
          </c:tx>
          <c:invertIfNegative val="0"/>
          <c:cat>
            <c:numRef>
              <c:f>'vertikální analýzy rozvahy'!$E$1:$I$1</c:f>
              <c:numCache>
                <c:formatCode>General</c:formatCode>
                <c:ptCount val="5"/>
                <c:pt idx="0">
                  <c:v>2009</c:v>
                </c:pt>
                <c:pt idx="1">
                  <c:v>2010</c:v>
                </c:pt>
                <c:pt idx="2">
                  <c:v>2011</c:v>
                </c:pt>
                <c:pt idx="3">
                  <c:v>2012</c:v>
                </c:pt>
                <c:pt idx="4">
                  <c:v>2013</c:v>
                </c:pt>
              </c:numCache>
            </c:numRef>
          </c:cat>
          <c:val>
            <c:numRef>
              <c:f>'vertikální analýzy rozvahy'!$E$4:$I$4</c:f>
              <c:numCache>
                <c:formatCode>0.00%</c:formatCode>
                <c:ptCount val="5"/>
                <c:pt idx="0">
                  <c:v>2.0252480928913794E-3</c:v>
                </c:pt>
                <c:pt idx="1">
                  <c:v>7.508916838746011E-4</c:v>
                </c:pt>
                <c:pt idx="2">
                  <c:v>2.3819448579765379E-4</c:v>
                </c:pt>
                <c:pt idx="3">
                  <c:v>5.538025629467448E-3</c:v>
                </c:pt>
                <c:pt idx="4">
                  <c:v>4.7570996107827593E-3</c:v>
                </c:pt>
              </c:numCache>
            </c:numRef>
          </c:val>
        </c:ser>
        <c:dLbls>
          <c:dLblPos val="ctr"/>
          <c:showLegendKey val="0"/>
          <c:showVal val="1"/>
          <c:showCatName val="0"/>
          <c:showSerName val="0"/>
          <c:showPercent val="0"/>
          <c:showBubbleSize val="0"/>
        </c:dLbls>
        <c:gapWidth val="150"/>
        <c:overlap val="100"/>
        <c:axId val="90428544"/>
        <c:axId val="90430080"/>
      </c:barChart>
      <c:catAx>
        <c:axId val="90428544"/>
        <c:scaling>
          <c:orientation val="minMax"/>
        </c:scaling>
        <c:delete val="0"/>
        <c:axPos val="b"/>
        <c:numFmt formatCode="General" sourceLinked="1"/>
        <c:majorTickMark val="out"/>
        <c:minorTickMark val="none"/>
        <c:tickLblPos val="nextTo"/>
        <c:crossAx val="90430080"/>
        <c:crosses val="autoZero"/>
        <c:auto val="1"/>
        <c:lblAlgn val="ctr"/>
        <c:lblOffset val="100"/>
        <c:noMultiLvlLbl val="0"/>
      </c:catAx>
      <c:valAx>
        <c:axId val="90430080"/>
        <c:scaling>
          <c:orientation val="minMax"/>
        </c:scaling>
        <c:delete val="0"/>
        <c:axPos val="l"/>
        <c:majorGridlines/>
        <c:numFmt formatCode="0%" sourceLinked="1"/>
        <c:majorTickMark val="out"/>
        <c:minorTickMark val="none"/>
        <c:tickLblPos val="nextTo"/>
        <c:crossAx val="90428544"/>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barChart>
        <c:barDir val="col"/>
        <c:grouping val="percentStacked"/>
        <c:varyColors val="0"/>
        <c:ser>
          <c:idx val="0"/>
          <c:order val="0"/>
          <c:tx>
            <c:strRef>
              <c:f>'vertikální analýzy rozvahy'!$A$21:$D$21</c:f>
              <c:strCache>
                <c:ptCount val="1"/>
                <c:pt idx="0">
                  <c:v>Vlastní kapitál</c:v>
                </c:pt>
              </c:strCache>
            </c:strRef>
          </c:tx>
          <c:invertIfNegative val="0"/>
          <c:cat>
            <c:numRef>
              <c:f>'vertikální analýzy rozvahy'!$E$20:$I$20</c:f>
              <c:numCache>
                <c:formatCode>General</c:formatCode>
                <c:ptCount val="5"/>
                <c:pt idx="0">
                  <c:v>2009</c:v>
                </c:pt>
                <c:pt idx="1">
                  <c:v>2010</c:v>
                </c:pt>
                <c:pt idx="2">
                  <c:v>2011</c:v>
                </c:pt>
                <c:pt idx="3">
                  <c:v>2012</c:v>
                </c:pt>
                <c:pt idx="4">
                  <c:v>2013</c:v>
                </c:pt>
              </c:numCache>
            </c:numRef>
          </c:cat>
          <c:val>
            <c:numRef>
              <c:f>'vertikální analýzy rozvahy'!$E$21:$I$21</c:f>
              <c:numCache>
                <c:formatCode>0.00%</c:formatCode>
                <c:ptCount val="5"/>
                <c:pt idx="0">
                  <c:v>0.54512927833659619</c:v>
                </c:pt>
                <c:pt idx="1">
                  <c:v>0.41360052562417871</c:v>
                </c:pt>
                <c:pt idx="2">
                  <c:v>0.56297266718275474</c:v>
                </c:pt>
                <c:pt idx="3">
                  <c:v>0.61725692208628458</c:v>
                </c:pt>
                <c:pt idx="4">
                  <c:v>0.69352746143866228</c:v>
                </c:pt>
              </c:numCache>
            </c:numRef>
          </c:val>
        </c:ser>
        <c:ser>
          <c:idx val="1"/>
          <c:order val="1"/>
          <c:tx>
            <c:strRef>
              <c:f>'vertikální analýzy rozvahy'!$A$22:$D$22</c:f>
              <c:strCache>
                <c:ptCount val="1"/>
                <c:pt idx="0">
                  <c:v>Cizí zdroje </c:v>
                </c:pt>
              </c:strCache>
            </c:strRef>
          </c:tx>
          <c:invertIfNegative val="0"/>
          <c:cat>
            <c:numRef>
              <c:f>'vertikální analýzy rozvahy'!$E$20:$I$20</c:f>
              <c:numCache>
                <c:formatCode>General</c:formatCode>
                <c:ptCount val="5"/>
                <c:pt idx="0">
                  <c:v>2009</c:v>
                </c:pt>
                <c:pt idx="1">
                  <c:v>2010</c:v>
                </c:pt>
                <c:pt idx="2">
                  <c:v>2011</c:v>
                </c:pt>
                <c:pt idx="3">
                  <c:v>2012</c:v>
                </c:pt>
                <c:pt idx="4">
                  <c:v>2013</c:v>
                </c:pt>
              </c:numCache>
            </c:numRef>
          </c:cat>
          <c:val>
            <c:numRef>
              <c:f>'vertikální analýzy rozvahy'!$E$22:$I$22</c:f>
              <c:numCache>
                <c:formatCode>0.00%</c:formatCode>
                <c:ptCount val="5"/>
                <c:pt idx="0">
                  <c:v>0.45487072166340375</c:v>
                </c:pt>
                <c:pt idx="1">
                  <c:v>0.58639947437582129</c:v>
                </c:pt>
                <c:pt idx="2">
                  <c:v>0.43416899898767342</c:v>
                </c:pt>
                <c:pt idx="3">
                  <c:v>0.38274307791371537</c:v>
                </c:pt>
                <c:pt idx="4">
                  <c:v>0.30647253856133777</c:v>
                </c:pt>
              </c:numCache>
            </c:numRef>
          </c:val>
        </c:ser>
        <c:ser>
          <c:idx val="2"/>
          <c:order val="2"/>
          <c:tx>
            <c:strRef>
              <c:f>'vertikální analýzy rozvahy'!$A$23:$D$23</c:f>
              <c:strCache>
                <c:ptCount val="1"/>
                <c:pt idx="0">
                  <c:v>Časové rozlišení</c:v>
                </c:pt>
              </c:strCache>
            </c:strRef>
          </c:tx>
          <c:invertIfNegative val="0"/>
          <c:cat>
            <c:numRef>
              <c:f>'vertikální analýzy rozvahy'!$E$20:$I$20</c:f>
              <c:numCache>
                <c:formatCode>General</c:formatCode>
                <c:ptCount val="5"/>
                <c:pt idx="0">
                  <c:v>2009</c:v>
                </c:pt>
                <c:pt idx="1">
                  <c:v>2010</c:v>
                </c:pt>
                <c:pt idx="2">
                  <c:v>2011</c:v>
                </c:pt>
                <c:pt idx="3">
                  <c:v>2012</c:v>
                </c:pt>
                <c:pt idx="4">
                  <c:v>2013</c:v>
                </c:pt>
              </c:numCache>
            </c:numRef>
          </c:cat>
          <c:val>
            <c:numRef>
              <c:f>'vertikální analýzy rozvahy'!$E$23:$I$23</c:f>
              <c:numCache>
                <c:formatCode>0.00%</c:formatCode>
                <c:ptCount val="5"/>
                <c:pt idx="0">
                  <c:v>0</c:v>
                </c:pt>
                <c:pt idx="1">
                  <c:v>0</c:v>
                </c:pt>
                <c:pt idx="2">
                  <c:v>2.8583338295718455E-3</c:v>
                </c:pt>
                <c:pt idx="3">
                  <c:v>0</c:v>
                </c:pt>
                <c:pt idx="4">
                  <c:v>0</c:v>
                </c:pt>
              </c:numCache>
            </c:numRef>
          </c:val>
        </c:ser>
        <c:dLbls>
          <c:dLblPos val="ctr"/>
          <c:showLegendKey val="0"/>
          <c:showVal val="1"/>
          <c:showCatName val="0"/>
          <c:showSerName val="0"/>
          <c:showPercent val="0"/>
          <c:showBubbleSize val="0"/>
        </c:dLbls>
        <c:gapWidth val="150"/>
        <c:overlap val="100"/>
        <c:axId val="90535424"/>
        <c:axId val="90536960"/>
      </c:barChart>
      <c:catAx>
        <c:axId val="90535424"/>
        <c:scaling>
          <c:orientation val="minMax"/>
        </c:scaling>
        <c:delete val="0"/>
        <c:axPos val="b"/>
        <c:numFmt formatCode="General" sourceLinked="1"/>
        <c:majorTickMark val="out"/>
        <c:minorTickMark val="none"/>
        <c:tickLblPos val="nextTo"/>
        <c:crossAx val="90536960"/>
        <c:crosses val="autoZero"/>
        <c:auto val="1"/>
        <c:lblAlgn val="ctr"/>
        <c:lblOffset val="100"/>
        <c:noMultiLvlLbl val="0"/>
      </c:catAx>
      <c:valAx>
        <c:axId val="90536960"/>
        <c:scaling>
          <c:orientation val="minMax"/>
        </c:scaling>
        <c:delete val="0"/>
        <c:axPos val="l"/>
        <c:majorGridlines/>
        <c:numFmt formatCode="0%" sourceLinked="1"/>
        <c:majorTickMark val="out"/>
        <c:minorTickMark val="none"/>
        <c:tickLblPos val="nextTo"/>
        <c:crossAx val="90535424"/>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'jiné analýzy'!$Y$96</c:f>
              <c:strCache>
                <c:ptCount val="1"/>
                <c:pt idx="0">
                  <c:v>celková zadluženost</c:v>
                </c:pt>
              </c:strCache>
            </c:strRef>
          </c:tx>
          <c:marker>
            <c:symbol val="none"/>
          </c:marker>
          <c:cat>
            <c:numRef>
              <c:f>'jiné analýzy'!$Z$95:$AD$95</c:f>
              <c:numCache>
                <c:formatCode>General</c:formatCode>
                <c:ptCount val="5"/>
                <c:pt idx="0">
                  <c:v>2009</c:v>
                </c:pt>
                <c:pt idx="1">
                  <c:v>2010</c:v>
                </c:pt>
                <c:pt idx="2">
                  <c:v>2011</c:v>
                </c:pt>
                <c:pt idx="3">
                  <c:v>2012</c:v>
                </c:pt>
                <c:pt idx="4">
                  <c:v>2013</c:v>
                </c:pt>
              </c:numCache>
            </c:numRef>
          </c:cat>
          <c:val>
            <c:numRef>
              <c:f>'jiné analýzy'!$Z$96:$AD$96</c:f>
              <c:numCache>
                <c:formatCode>0.00%</c:formatCode>
                <c:ptCount val="5"/>
                <c:pt idx="0">
                  <c:v>0.45487072200000001</c:v>
                </c:pt>
                <c:pt idx="1">
                  <c:v>0.58639947400000003</c:v>
                </c:pt>
                <c:pt idx="2">
                  <c:v>0.434168999</c:v>
                </c:pt>
                <c:pt idx="3">
                  <c:v>0.38274307800000001</c:v>
                </c:pt>
                <c:pt idx="4">
                  <c:v>0.30647253899999999</c:v>
                </c:pt>
              </c:numCache>
            </c:numRef>
          </c:val>
          <c:smooth val="0"/>
        </c:ser>
        <c:ser>
          <c:idx val="1"/>
          <c:order val="1"/>
          <c:tx>
            <c:strRef>
              <c:f>'jiné analýzy'!$Y$97</c:f>
              <c:strCache>
                <c:ptCount val="1"/>
                <c:pt idx="0">
                  <c:v>celková zadluženost v odvětví</c:v>
                </c:pt>
              </c:strCache>
            </c:strRef>
          </c:tx>
          <c:marker>
            <c:symbol val="none"/>
          </c:marker>
          <c:cat>
            <c:numRef>
              <c:f>'jiné analýzy'!$Z$95:$AD$95</c:f>
              <c:numCache>
                <c:formatCode>General</c:formatCode>
                <c:ptCount val="5"/>
                <c:pt idx="0">
                  <c:v>2009</c:v>
                </c:pt>
                <c:pt idx="1">
                  <c:v>2010</c:v>
                </c:pt>
                <c:pt idx="2">
                  <c:v>2011</c:v>
                </c:pt>
                <c:pt idx="3">
                  <c:v>2012</c:v>
                </c:pt>
                <c:pt idx="4">
                  <c:v>2013</c:v>
                </c:pt>
              </c:numCache>
            </c:numRef>
          </c:cat>
          <c:val>
            <c:numRef>
              <c:f>'jiné analýzy'!$Z$97:$AD$97</c:f>
              <c:numCache>
                <c:formatCode>0.00%</c:formatCode>
                <c:ptCount val="5"/>
                <c:pt idx="0">
                  <c:v>0.29089999999999999</c:v>
                </c:pt>
                <c:pt idx="1">
                  <c:v>0.32690000000000002</c:v>
                </c:pt>
                <c:pt idx="2">
                  <c:v>0.33210000000000001</c:v>
                </c:pt>
                <c:pt idx="3">
                  <c:v>0.29449999999999998</c:v>
                </c:pt>
                <c:pt idx="4">
                  <c:v>0.35410000000000003</c:v>
                </c:pt>
              </c:numCache>
            </c:numRef>
          </c:val>
          <c:smooth val="0"/>
        </c:ser>
        <c:dLbls>
          <c:showLegendKey val="0"/>
          <c:showVal val="0"/>
          <c:showCatName val="0"/>
          <c:showSerName val="0"/>
          <c:showPercent val="0"/>
          <c:showBubbleSize val="0"/>
        </c:dLbls>
        <c:marker val="1"/>
        <c:smooth val="0"/>
        <c:axId val="90565632"/>
        <c:axId val="90567424"/>
      </c:lineChart>
      <c:catAx>
        <c:axId val="90565632"/>
        <c:scaling>
          <c:orientation val="minMax"/>
        </c:scaling>
        <c:delete val="0"/>
        <c:axPos val="b"/>
        <c:numFmt formatCode="General" sourceLinked="1"/>
        <c:majorTickMark val="out"/>
        <c:minorTickMark val="none"/>
        <c:tickLblPos val="nextTo"/>
        <c:crossAx val="90567424"/>
        <c:crosses val="autoZero"/>
        <c:auto val="1"/>
        <c:lblAlgn val="ctr"/>
        <c:lblOffset val="100"/>
        <c:noMultiLvlLbl val="0"/>
      </c:catAx>
      <c:valAx>
        <c:axId val="90567424"/>
        <c:scaling>
          <c:orientation val="minMax"/>
        </c:scaling>
        <c:delete val="0"/>
        <c:axPos val="l"/>
        <c:majorGridlines/>
        <c:numFmt formatCode="0.00%" sourceLinked="1"/>
        <c:majorTickMark val="out"/>
        <c:minorTickMark val="none"/>
        <c:tickLblPos val="nextTo"/>
        <c:crossAx val="9056563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EA7DB-1E4F-4855-A10D-33613B78F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56</Pages>
  <Words>13371</Words>
  <Characters>78892</Characters>
  <Application>Microsoft Office Word</Application>
  <DocSecurity>0</DocSecurity>
  <Lines>657</Lines>
  <Paragraphs>184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Vendula Kasalová</dc:creator>
  <cp:lastModifiedBy>Jakub Jirků</cp:lastModifiedBy>
  <cp:revision>4</cp:revision>
  <cp:lastPrinted>2015-04-23T09:23:00Z</cp:lastPrinted>
  <dcterms:created xsi:type="dcterms:W3CDTF">2015-04-23T12:05:00Z</dcterms:created>
  <dcterms:modified xsi:type="dcterms:W3CDTF">2015-04-23T12:53:00Z</dcterms:modified>
</cp:coreProperties>
</file>