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99C" w:rsidRPr="007F6F4E" w:rsidRDefault="00AF399C" w:rsidP="00AF399C">
      <w:pPr>
        <w:pStyle w:val="Zkladntext"/>
        <w:jc w:val="center"/>
        <w:rPr>
          <w:spacing w:val="32"/>
          <w:sz w:val="32"/>
        </w:rPr>
      </w:pPr>
      <w:r w:rsidRPr="007F6F4E">
        <w:rPr>
          <w:spacing w:val="32"/>
          <w:sz w:val="32"/>
        </w:rPr>
        <w:t>Masarykova univerzita</w:t>
      </w:r>
    </w:p>
    <w:p w:rsidR="00AF399C" w:rsidRPr="007F6F4E" w:rsidRDefault="00AF399C" w:rsidP="00AF399C">
      <w:pPr>
        <w:pStyle w:val="Diplomka-textodstavce"/>
        <w:spacing w:before="0" w:after="100" w:line="240" w:lineRule="auto"/>
        <w:jc w:val="center"/>
        <w:rPr>
          <w:bCs/>
          <w:sz w:val="32"/>
        </w:rPr>
      </w:pPr>
      <w:r w:rsidRPr="007F6F4E">
        <w:rPr>
          <w:bCs/>
          <w:sz w:val="32"/>
        </w:rPr>
        <w:t>Ekonomicko</w:t>
      </w:r>
      <w:r w:rsidRPr="007F6F4E">
        <w:rPr>
          <w:bCs/>
          <w:sz w:val="32"/>
        </w:rPr>
        <w:noBreakHyphen/>
        <w:t>správní fakulta</w:t>
      </w:r>
    </w:p>
    <w:p w:rsidR="00AF399C" w:rsidRPr="007F6F4E" w:rsidRDefault="00AF399C" w:rsidP="00AF399C">
      <w:pPr>
        <w:pStyle w:val="Diplomka-textodstavce"/>
        <w:spacing w:before="100" w:after="100" w:line="240" w:lineRule="auto"/>
        <w:jc w:val="center"/>
        <w:rPr>
          <w:b/>
        </w:rPr>
      </w:pPr>
      <w:r w:rsidRPr="007F6F4E">
        <w:rPr>
          <w:b/>
        </w:rPr>
        <w:t xml:space="preserve">Studijní obor: Finance </w:t>
      </w:r>
    </w:p>
    <w:p w:rsidR="00AF399C" w:rsidRPr="007F6F4E" w:rsidRDefault="00AF399C" w:rsidP="00AF399C">
      <w:pPr>
        <w:pStyle w:val="Diplomka-textodstavce"/>
        <w:spacing w:before="100" w:after="100" w:line="240" w:lineRule="auto"/>
        <w:jc w:val="center"/>
        <w:rPr>
          <w:b/>
        </w:rPr>
      </w:pPr>
    </w:p>
    <w:p w:rsidR="00AF399C" w:rsidRPr="007F6F4E" w:rsidRDefault="00AF399C" w:rsidP="00AF399C">
      <w:pPr>
        <w:pStyle w:val="Diplomka-textodstavce"/>
        <w:spacing w:before="100" w:after="100" w:line="240" w:lineRule="auto"/>
        <w:jc w:val="center"/>
        <w:rPr>
          <w:b/>
        </w:rPr>
      </w:pPr>
    </w:p>
    <w:p w:rsidR="00AF399C" w:rsidRPr="007F6F4E" w:rsidRDefault="00AF399C" w:rsidP="00AF399C">
      <w:pPr>
        <w:pStyle w:val="Diplomka-textodstavce"/>
        <w:spacing w:before="100" w:after="100" w:line="240" w:lineRule="auto"/>
        <w:jc w:val="center"/>
        <w:rPr>
          <w:b/>
        </w:rPr>
      </w:pPr>
      <w:r w:rsidRPr="007F6F4E">
        <w:rPr>
          <w:noProof/>
          <w:lang w:eastAsia="cs-CZ"/>
        </w:rPr>
        <w:drawing>
          <wp:anchor distT="0" distB="0" distL="114300" distR="114300" simplePos="0" relativeHeight="251659264" behindDoc="0" locked="0" layoutInCell="1" allowOverlap="1">
            <wp:simplePos x="0" y="0"/>
            <wp:positionH relativeFrom="column">
              <wp:posOffset>2172335</wp:posOffset>
            </wp:positionH>
            <wp:positionV relativeFrom="paragraph">
              <wp:posOffset>22225</wp:posOffset>
            </wp:positionV>
            <wp:extent cx="1450975" cy="1440815"/>
            <wp:effectExtent l="19050" t="0" r="0" b="0"/>
            <wp:wrapSquare wrapText="bothSides"/>
            <wp:docPr id="18" name="obrázek 2" descr="..\..\..\arch\loga\logoESF2008\logo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arch\loga\logoESF2008\logoC.wmf"/>
                    <pic:cNvPicPr>
                      <a:picLocks noChangeAspect="1" noChangeArrowheads="1"/>
                    </pic:cNvPicPr>
                  </pic:nvPicPr>
                  <pic:blipFill>
                    <a:blip r:embed="rId8" cstate="print"/>
                    <a:srcRect/>
                    <a:stretch>
                      <a:fillRect/>
                    </a:stretch>
                  </pic:blipFill>
                  <pic:spPr bwMode="auto">
                    <a:xfrm>
                      <a:off x="0" y="0"/>
                      <a:ext cx="1450975" cy="1440815"/>
                    </a:xfrm>
                    <a:prstGeom prst="rect">
                      <a:avLst/>
                    </a:prstGeom>
                    <a:noFill/>
                    <a:ln w="9525">
                      <a:noFill/>
                      <a:miter lim="800000"/>
                      <a:headEnd/>
                      <a:tailEnd/>
                    </a:ln>
                  </pic:spPr>
                </pic:pic>
              </a:graphicData>
            </a:graphic>
          </wp:anchor>
        </w:drawing>
      </w:r>
    </w:p>
    <w:p w:rsidR="00AF399C" w:rsidRPr="007F6F4E" w:rsidRDefault="00AF399C" w:rsidP="00AF399C">
      <w:pPr>
        <w:pStyle w:val="Diplomka-textodstavce"/>
        <w:spacing w:before="100" w:after="100" w:line="240" w:lineRule="auto"/>
        <w:jc w:val="center"/>
        <w:rPr>
          <w:b/>
        </w:rPr>
      </w:pPr>
    </w:p>
    <w:p w:rsidR="00AF399C" w:rsidRPr="007F6F4E" w:rsidRDefault="00AF399C" w:rsidP="00AF399C">
      <w:pPr>
        <w:pStyle w:val="Diplomka-textodstavce"/>
        <w:spacing w:before="100" w:after="100" w:line="240" w:lineRule="auto"/>
        <w:jc w:val="center"/>
        <w:rPr>
          <w:b/>
        </w:rPr>
      </w:pPr>
    </w:p>
    <w:p w:rsidR="00AF399C" w:rsidRPr="007F6F4E" w:rsidRDefault="00AF399C" w:rsidP="00AF399C">
      <w:pPr>
        <w:pStyle w:val="Diplomka-textodstavce"/>
        <w:spacing w:before="100" w:after="100" w:line="240" w:lineRule="auto"/>
        <w:jc w:val="center"/>
        <w:rPr>
          <w:b/>
        </w:rPr>
      </w:pPr>
    </w:p>
    <w:p w:rsidR="00AF399C" w:rsidRPr="007F6F4E" w:rsidRDefault="00AF399C" w:rsidP="00AF399C">
      <w:pPr>
        <w:pStyle w:val="Zkladntext"/>
        <w:jc w:val="center"/>
      </w:pPr>
    </w:p>
    <w:p w:rsidR="00AF399C" w:rsidRDefault="00AF399C" w:rsidP="00AF399C">
      <w:pPr>
        <w:pStyle w:val="Zkladntext"/>
        <w:jc w:val="center"/>
      </w:pPr>
    </w:p>
    <w:p w:rsidR="00AF399C" w:rsidRPr="007F6F4E" w:rsidRDefault="00AF399C" w:rsidP="00AF399C">
      <w:pPr>
        <w:pStyle w:val="Zkladntext"/>
        <w:jc w:val="center"/>
      </w:pPr>
    </w:p>
    <w:p w:rsidR="00AF399C" w:rsidRPr="007F6F4E" w:rsidRDefault="00AF399C" w:rsidP="00AF399C">
      <w:pPr>
        <w:pStyle w:val="Zkladntext"/>
        <w:jc w:val="center"/>
      </w:pPr>
    </w:p>
    <w:p w:rsidR="00AF399C" w:rsidRPr="007F6F4E" w:rsidRDefault="00AF399C" w:rsidP="00AF399C">
      <w:pPr>
        <w:pStyle w:val="Zkladntext"/>
        <w:jc w:val="center"/>
      </w:pPr>
    </w:p>
    <w:p w:rsidR="00AF399C" w:rsidRPr="00AF399C" w:rsidRDefault="00AF399C" w:rsidP="00AF399C">
      <w:pPr>
        <w:ind w:left="142" w:firstLine="3"/>
        <w:jc w:val="center"/>
        <w:rPr>
          <w:bCs/>
          <w:sz w:val="36"/>
        </w:rPr>
      </w:pPr>
      <w:r w:rsidRPr="00AF399C">
        <w:rPr>
          <w:bCs/>
          <w:noProof/>
          <w:sz w:val="36"/>
        </w:rPr>
        <w:t>SROVNÁNÍ MOŽNOSTÍ INVESTOVÁNÍ PROSTŘEDNICTVÍM FONDŮ ETFs A FONDŮ KOLEKTIVNÍHO INVESTOVÁNÍ</w:t>
      </w:r>
    </w:p>
    <w:p w:rsidR="00AF399C" w:rsidRPr="00AF399C" w:rsidRDefault="00AF399C" w:rsidP="00AF399C">
      <w:pPr>
        <w:ind w:firstLine="3"/>
        <w:jc w:val="center"/>
        <w:rPr>
          <w:sz w:val="36"/>
          <w:szCs w:val="36"/>
        </w:rPr>
      </w:pPr>
      <w:r w:rsidRPr="00AF399C">
        <w:rPr>
          <w:noProof/>
          <w:sz w:val="36"/>
          <w:szCs w:val="36"/>
        </w:rPr>
        <w:t>Performance comparison between exchange-traded funds and mutual funds</w:t>
      </w:r>
    </w:p>
    <w:p w:rsidR="00AF399C" w:rsidRPr="007F6F4E" w:rsidRDefault="00AF399C" w:rsidP="00AF399C">
      <w:pPr>
        <w:spacing w:before="480"/>
        <w:jc w:val="center"/>
        <w:rPr>
          <w:rFonts w:cs="Times New Roman"/>
          <w:bCs/>
          <w:sz w:val="32"/>
        </w:rPr>
      </w:pPr>
      <w:r>
        <w:rPr>
          <w:rFonts w:cs="Times New Roman"/>
          <w:bCs/>
          <w:sz w:val="32"/>
        </w:rPr>
        <w:t>Diplomová</w:t>
      </w:r>
      <w:r w:rsidRPr="007F6F4E">
        <w:rPr>
          <w:rFonts w:cs="Times New Roman"/>
          <w:bCs/>
          <w:sz w:val="32"/>
        </w:rPr>
        <w:t xml:space="preserve"> práce</w:t>
      </w:r>
    </w:p>
    <w:p w:rsidR="00AF399C" w:rsidRDefault="00AF399C" w:rsidP="00AF399C">
      <w:pPr>
        <w:spacing w:before="480"/>
        <w:jc w:val="center"/>
        <w:rPr>
          <w:rFonts w:cs="Times New Roman"/>
          <w:bCs/>
          <w:sz w:val="32"/>
        </w:rPr>
      </w:pPr>
    </w:p>
    <w:p w:rsidR="00AF399C" w:rsidRPr="007F6F4E" w:rsidRDefault="00AF399C" w:rsidP="00AF399C">
      <w:pPr>
        <w:spacing w:before="480"/>
        <w:jc w:val="center"/>
        <w:rPr>
          <w:rFonts w:cs="Times New Roman"/>
          <w:bCs/>
          <w:sz w:val="32"/>
        </w:rPr>
      </w:pPr>
    </w:p>
    <w:p w:rsidR="00AF399C" w:rsidRPr="007F6F4E" w:rsidRDefault="00AF399C" w:rsidP="00AF399C">
      <w:pPr>
        <w:spacing w:before="480"/>
        <w:rPr>
          <w:rFonts w:cs="Times New Roman"/>
          <w:sz w:val="26"/>
        </w:rPr>
      </w:pPr>
      <w:r>
        <w:rPr>
          <w:rFonts w:cs="Times New Roman"/>
          <w:sz w:val="26"/>
        </w:rPr>
        <w:t>V</w:t>
      </w:r>
      <w:r w:rsidRPr="007F6F4E">
        <w:rPr>
          <w:rFonts w:cs="Times New Roman"/>
          <w:sz w:val="26"/>
        </w:rPr>
        <w:t>edoucí práce:</w:t>
      </w:r>
      <w:r w:rsidRPr="007F6F4E">
        <w:rPr>
          <w:rFonts w:cs="Times New Roman"/>
          <w:sz w:val="26"/>
        </w:rPr>
        <w:tab/>
      </w:r>
      <w:r w:rsidRPr="007F6F4E">
        <w:rPr>
          <w:rFonts w:cs="Times New Roman"/>
          <w:sz w:val="26"/>
        </w:rPr>
        <w:tab/>
      </w:r>
      <w:r w:rsidRPr="007F6F4E">
        <w:rPr>
          <w:rFonts w:cs="Times New Roman"/>
          <w:sz w:val="26"/>
        </w:rPr>
        <w:tab/>
      </w:r>
      <w:r w:rsidRPr="007F6F4E">
        <w:rPr>
          <w:rFonts w:cs="Times New Roman"/>
          <w:sz w:val="26"/>
        </w:rPr>
        <w:tab/>
      </w:r>
      <w:r>
        <w:rPr>
          <w:rFonts w:cs="Times New Roman"/>
          <w:sz w:val="26"/>
        </w:rPr>
        <w:tab/>
      </w:r>
      <w:r w:rsidRPr="007F6F4E">
        <w:rPr>
          <w:rFonts w:cs="Times New Roman"/>
          <w:sz w:val="26"/>
        </w:rPr>
        <w:tab/>
      </w:r>
      <w:r w:rsidRPr="007F6F4E">
        <w:rPr>
          <w:rFonts w:cs="Times New Roman"/>
          <w:sz w:val="26"/>
        </w:rPr>
        <w:tab/>
        <w:t>Autor:</w:t>
      </w:r>
    </w:p>
    <w:p w:rsidR="00AF399C" w:rsidRPr="007F6F4E" w:rsidRDefault="0069115C" w:rsidP="00AF399C">
      <w:pPr>
        <w:pStyle w:val="Zkladntext"/>
        <w:jc w:val="left"/>
        <w:rPr>
          <w:caps/>
          <w:sz w:val="26"/>
        </w:rPr>
      </w:pPr>
      <w:r>
        <w:t>Ing</w:t>
      </w:r>
      <w:r w:rsidR="00AF399C">
        <w:t>. Dagmar LINNERTOVÁ</w:t>
      </w:r>
      <w:r w:rsidR="00AF399C">
        <w:tab/>
      </w:r>
      <w:r w:rsidR="00AF399C">
        <w:tab/>
      </w:r>
      <w:r w:rsidR="00AF399C" w:rsidRPr="007F6F4E">
        <w:rPr>
          <w:sz w:val="26"/>
        </w:rPr>
        <w:tab/>
      </w:r>
      <w:r w:rsidR="00AF399C" w:rsidRPr="007F6F4E">
        <w:rPr>
          <w:sz w:val="26"/>
        </w:rPr>
        <w:tab/>
      </w:r>
      <w:r w:rsidR="00AF399C" w:rsidRPr="007F6F4E">
        <w:rPr>
          <w:sz w:val="26"/>
        </w:rPr>
        <w:tab/>
      </w:r>
      <w:r w:rsidR="00AF399C" w:rsidRPr="007F6F4E">
        <w:rPr>
          <w:sz w:val="26"/>
        </w:rPr>
        <w:tab/>
        <w:t>Jana KLEINOVÁ</w:t>
      </w:r>
    </w:p>
    <w:p w:rsidR="008A5AD0" w:rsidRDefault="008A5AD0" w:rsidP="008A5AD0">
      <w:pPr>
        <w:pStyle w:val="Zkladntext"/>
        <w:spacing w:before="1080"/>
        <w:jc w:val="center"/>
        <w:rPr>
          <w:sz w:val="26"/>
        </w:rPr>
        <w:sectPr w:rsidR="008A5AD0" w:rsidSect="008A5AD0">
          <w:footerReference w:type="default" r:id="rId9"/>
          <w:pgSz w:w="11906" w:h="16838"/>
          <w:pgMar w:top="1418" w:right="851" w:bottom="1134" w:left="1985" w:header="709" w:footer="709" w:gutter="0"/>
          <w:cols w:space="708"/>
          <w:titlePg/>
          <w:docGrid w:linePitch="360"/>
        </w:sectPr>
      </w:pPr>
      <w:r>
        <w:rPr>
          <w:sz w:val="26"/>
        </w:rPr>
        <w:t>Brno, 2014</w:t>
      </w:r>
    </w:p>
    <w:p w:rsidR="00AF399C" w:rsidRDefault="00AF399C"/>
    <w:p w:rsidR="00AF399C" w:rsidRPr="002829BD" w:rsidRDefault="00AF399C" w:rsidP="00AF399C">
      <w:pPr>
        <w:spacing w:before="0" w:after="0" w:line="240" w:lineRule="auto"/>
        <w:jc w:val="center"/>
        <w:rPr>
          <w:b/>
          <w:bCs/>
        </w:rPr>
      </w:pPr>
      <w:r w:rsidRPr="002829BD">
        <w:rPr>
          <w:b/>
          <w:bCs/>
        </w:rPr>
        <w:t xml:space="preserve">Masarykova univerzita </w:t>
      </w:r>
    </w:p>
    <w:p w:rsidR="00AF399C" w:rsidRPr="002829BD" w:rsidRDefault="00AF399C" w:rsidP="00AF399C">
      <w:pPr>
        <w:spacing w:before="0" w:after="0" w:line="240" w:lineRule="auto"/>
        <w:jc w:val="center"/>
        <w:rPr>
          <w:b/>
          <w:bCs/>
        </w:rPr>
      </w:pPr>
      <w:r w:rsidRPr="002829BD">
        <w:rPr>
          <w:b/>
          <w:bCs/>
        </w:rPr>
        <w:t>Ekonomicko-správní fakulta</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rPr>
          <w:b/>
          <w:bCs/>
        </w:rPr>
      </w:pPr>
      <w:r w:rsidRPr="002829BD">
        <w:rPr>
          <w:b/>
          <w:bCs/>
        </w:rPr>
        <w:t>Katedra financí</w:t>
      </w:r>
    </w:p>
    <w:p w:rsidR="00AF399C" w:rsidRPr="002829BD" w:rsidRDefault="00AF399C" w:rsidP="00AF399C">
      <w:pPr>
        <w:spacing w:before="0" w:after="0" w:line="240" w:lineRule="auto"/>
        <w:rPr>
          <w:b/>
          <w:bCs/>
        </w:rPr>
      </w:pPr>
    </w:p>
    <w:p w:rsidR="00AF399C" w:rsidRPr="002829BD" w:rsidRDefault="00AF399C" w:rsidP="00AF399C">
      <w:pPr>
        <w:spacing w:before="0" w:after="0" w:line="240" w:lineRule="auto"/>
      </w:pPr>
      <w:r w:rsidRPr="002829BD">
        <w:rPr>
          <w:b/>
          <w:bCs/>
        </w:rPr>
        <w:t>Akademický rok 2013/2014</w:t>
      </w:r>
      <w:r w:rsidRPr="002829BD">
        <w:t xml:space="preserve">  </w:t>
      </w:r>
    </w:p>
    <w:p w:rsidR="00AF399C" w:rsidRPr="002829BD" w:rsidRDefault="00AF399C" w:rsidP="00AF399C">
      <w:pPr>
        <w:spacing w:before="0" w:after="0" w:line="240" w:lineRule="auto"/>
      </w:pPr>
    </w:p>
    <w:p w:rsidR="00AF399C" w:rsidRPr="002829BD" w:rsidRDefault="00AF399C" w:rsidP="00AF399C">
      <w:pPr>
        <w:spacing w:before="0" w:after="0"/>
      </w:pPr>
    </w:p>
    <w:p w:rsidR="00AF399C" w:rsidRPr="002829BD" w:rsidRDefault="00AF399C" w:rsidP="00AF399C"/>
    <w:p w:rsidR="00AF399C" w:rsidRPr="002829BD" w:rsidRDefault="00AF399C" w:rsidP="00AF399C">
      <w:pPr>
        <w:keepNext/>
        <w:spacing w:before="0" w:after="0" w:line="240" w:lineRule="auto"/>
        <w:jc w:val="center"/>
        <w:outlineLvl w:val="0"/>
        <w:rPr>
          <w:b/>
          <w:kern w:val="28"/>
          <w:sz w:val="40"/>
          <w:szCs w:val="20"/>
        </w:rPr>
      </w:pPr>
      <w:bookmarkStart w:id="0" w:name="_Toc385060913"/>
      <w:bookmarkStart w:id="1" w:name="_Toc385523340"/>
      <w:bookmarkStart w:id="2" w:name="_Toc385918623"/>
      <w:bookmarkStart w:id="3" w:name="_Toc385970972"/>
      <w:bookmarkStart w:id="4" w:name="_Toc386061663"/>
      <w:bookmarkStart w:id="5" w:name="_Toc386128794"/>
      <w:bookmarkStart w:id="6" w:name="_Toc386145975"/>
      <w:proofErr w:type="gramStart"/>
      <w:r w:rsidRPr="002829BD">
        <w:rPr>
          <w:b/>
          <w:kern w:val="28"/>
          <w:sz w:val="40"/>
          <w:szCs w:val="20"/>
        </w:rPr>
        <w:t>ZADÁNÍ  DIPLOMOVÉ</w:t>
      </w:r>
      <w:proofErr w:type="gramEnd"/>
      <w:r w:rsidRPr="002829BD">
        <w:rPr>
          <w:b/>
          <w:kern w:val="28"/>
          <w:sz w:val="40"/>
          <w:szCs w:val="20"/>
        </w:rPr>
        <w:t xml:space="preserve">  PRÁCE</w:t>
      </w:r>
      <w:bookmarkEnd w:id="0"/>
      <w:bookmarkEnd w:id="1"/>
      <w:bookmarkEnd w:id="2"/>
      <w:bookmarkEnd w:id="3"/>
      <w:bookmarkEnd w:id="4"/>
      <w:bookmarkEnd w:id="5"/>
      <w:bookmarkEnd w:id="6"/>
    </w:p>
    <w:p w:rsidR="00AF399C" w:rsidRPr="002829BD" w:rsidRDefault="00AF399C" w:rsidP="00AF399C">
      <w:pPr>
        <w:keepNext/>
        <w:spacing w:before="0" w:after="0" w:line="240" w:lineRule="auto"/>
        <w:jc w:val="center"/>
        <w:outlineLvl w:val="0"/>
        <w:rPr>
          <w:b/>
          <w:kern w:val="28"/>
          <w:sz w:val="20"/>
          <w:szCs w:val="20"/>
        </w:rPr>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rPr>
          <w:b/>
          <w:bCs/>
        </w:rPr>
      </w:pPr>
      <w:r w:rsidRPr="002829BD">
        <w:rPr>
          <w:b/>
          <w:bCs/>
        </w:rPr>
        <w:t>Pro:</w:t>
      </w:r>
      <w:r w:rsidRPr="002829BD">
        <w:rPr>
          <w:b/>
          <w:bCs/>
        </w:rPr>
        <w:tab/>
      </w:r>
      <w:r w:rsidRPr="002829BD">
        <w:rPr>
          <w:b/>
          <w:bCs/>
        </w:rPr>
        <w:tab/>
      </w:r>
      <w:r w:rsidRPr="002829BD">
        <w:rPr>
          <w:b/>
          <w:bCs/>
        </w:rPr>
        <w:tab/>
      </w:r>
      <w:r w:rsidRPr="002829BD">
        <w:rPr>
          <w:b/>
          <w:bCs/>
        </w:rPr>
        <w:tab/>
      </w:r>
      <w:r w:rsidRPr="002829BD">
        <w:rPr>
          <w:b/>
          <w:bCs/>
          <w:noProof/>
        </w:rPr>
        <w:t>KLEINOVÁ</w:t>
      </w:r>
      <w:r w:rsidRPr="002829BD">
        <w:rPr>
          <w:b/>
          <w:bCs/>
        </w:rPr>
        <w:t xml:space="preserve"> </w:t>
      </w:r>
      <w:r w:rsidRPr="002829BD">
        <w:rPr>
          <w:b/>
          <w:bCs/>
          <w:noProof/>
        </w:rPr>
        <w:t>Jana</w:t>
      </w:r>
    </w:p>
    <w:p w:rsidR="00AF399C" w:rsidRPr="002829BD" w:rsidRDefault="00AF399C" w:rsidP="00AF399C">
      <w:pPr>
        <w:spacing w:before="0" w:after="0" w:line="240" w:lineRule="auto"/>
      </w:pPr>
    </w:p>
    <w:p w:rsidR="00AF399C" w:rsidRPr="002829BD" w:rsidRDefault="00AF399C" w:rsidP="00AF399C">
      <w:pPr>
        <w:spacing w:before="0" w:after="0" w:line="240" w:lineRule="auto"/>
        <w:rPr>
          <w:b/>
          <w:bCs/>
        </w:rPr>
      </w:pPr>
      <w:r w:rsidRPr="002829BD">
        <w:rPr>
          <w:b/>
          <w:bCs/>
        </w:rPr>
        <w:t>Obor:</w:t>
      </w:r>
      <w:r w:rsidRPr="002829BD">
        <w:rPr>
          <w:b/>
          <w:bCs/>
        </w:rPr>
        <w:tab/>
      </w:r>
      <w:r w:rsidRPr="002829BD">
        <w:rPr>
          <w:b/>
          <w:bCs/>
        </w:rPr>
        <w:tab/>
      </w:r>
      <w:r w:rsidRPr="002829BD">
        <w:rPr>
          <w:b/>
          <w:bCs/>
        </w:rPr>
        <w:tab/>
      </w:r>
      <w:r w:rsidRPr="002829BD">
        <w:rPr>
          <w:b/>
          <w:bCs/>
        </w:rPr>
        <w:tab/>
      </w:r>
      <w:r w:rsidRPr="002829BD">
        <w:rPr>
          <w:b/>
          <w:bCs/>
          <w:noProof/>
        </w:rPr>
        <w:t>Finance</w:t>
      </w:r>
    </w:p>
    <w:p w:rsidR="00AF399C" w:rsidRPr="002829BD" w:rsidRDefault="00AF399C" w:rsidP="00AF399C">
      <w:pPr>
        <w:spacing w:before="0" w:after="0" w:line="240" w:lineRule="auto"/>
      </w:pPr>
    </w:p>
    <w:p w:rsidR="00AF399C" w:rsidRPr="002829BD" w:rsidRDefault="00AF399C" w:rsidP="00AF399C">
      <w:pPr>
        <w:spacing w:before="0" w:after="0" w:line="240" w:lineRule="auto"/>
        <w:ind w:left="2832" w:hanging="2832"/>
        <w:rPr>
          <w:b/>
          <w:bCs/>
        </w:rPr>
      </w:pPr>
      <w:r>
        <w:rPr>
          <w:b/>
          <w:bCs/>
        </w:rPr>
        <w:t xml:space="preserve">Název tématu: </w:t>
      </w:r>
      <w:r>
        <w:rPr>
          <w:b/>
          <w:bCs/>
        </w:rPr>
        <w:tab/>
      </w:r>
      <w:r w:rsidRPr="002829BD">
        <w:rPr>
          <w:b/>
          <w:bCs/>
          <w:noProof/>
        </w:rPr>
        <w:t>SROVNÁNÍ MOŽNOSTÍ INVESTOVÁNÍ PROSTŘEDNICTVÍM FONDŮ ETF</w:t>
      </w:r>
      <w:r>
        <w:rPr>
          <w:b/>
          <w:bCs/>
          <w:noProof/>
        </w:rPr>
        <w:t>s</w:t>
      </w:r>
      <w:r w:rsidRPr="002829BD">
        <w:rPr>
          <w:b/>
          <w:bCs/>
          <w:noProof/>
        </w:rPr>
        <w:t xml:space="preserve"> A FONDŮ KOLEKTIVNÍHO INVESTOVÁNÍ</w:t>
      </w:r>
    </w:p>
    <w:p w:rsidR="00AF399C" w:rsidRPr="002829BD" w:rsidRDefault="00AF399C" w:rsidP="00AF399C">
      <w:pPr>
        <w:spacing w:before="0" w:after="0" w:line="240" w:lineRule="auto"/>
        <w:ind w:left="2124" w:hanging="2124"/>
      </w:pPr>
    </w:p>
    <w:p w:rsidR="00AF399C" w:rsidRPr="002829BD" w:rsidRDefault="00AF399C" w:rsidP="00AF399C">
      <w:pPr>
        <w:spacing w:before="0" w:after="0" w:line="240" w:lineRule="auto"/>
        <w:ind w:left="2832" w:firstLine="3"/>
        <w:rPr>
          <w:b/>
        </w:rPr>
      </w:pPr>
      <w:r w:rsidRPr="002829BD">
        <w:rPr>
          <w:b/>
          <w:noProof/>
        </w:rPr>
        <w:t>Performance comparison between exchange-traded funds and mutual funds</w:t>
      </w:r>
    </w:p>
    <w:p w:rsidR="00AF399C" w:rsidRPr="002829BD" w:rsidRDefault="00AF399C" w:rsidP="00AF399C">
      <w:pPr>
        <w:spacing w:before="0" w:after="0" w:line="240" w:lineRule="auto"/>
        <w:ind w:left="2124" w:hanging="2124"/>
      </w:pPr>
      <w:r w:rsidRPr="002829BD">
        <w:tab/>
      </w:r>
      <w:r w:rsidRPr="002829BD">
        <w:tab/>
      </w:r>
    </w:p>
    <w:p w:rsidR="00AF399C" w:rsidRPr="002829BD" w:rsidRDefault="00AF399C" w:rsidP="00AF399C">
      <w:pPr>
        <w:spacing w:before="0" w:after="0" w:line="240" w:lineRule="auto"/>
        <w:rPr>
          <w:rFonts w:eastAsia="Arial Unicode MS"/>
          <w:b/>
          <w:bCs/>
        </w:rPr>
      </w:pPr>
    </w:p>
    <w:p w:rsidR="00AF399C" w:rsidRPr="002829BD" w:rsidRDefault="00AF399C" w:rsidP="00AF399C">
      <w:pPr>
        <w:spacing w:before="0" w:after="0" w:line="240" w:lineRule="auto"/>
        <w:rPr>
          <w:sz w:val="28"/>
        </w:rPr>
      </w:pPr>
    </w:p>
    <w:p w:rsidR="00AF399C" w:rsidRPr="002829BD" w:rsidRDefault="00AF399C" w:rsidP="00AF399C">
      <w:pPr>
        <w:spacing w:before="0" w:after="0" w:line="240" w:lineRule="auto"/>
        <w:ind w:left="2124" w:firstLine="708"/>
        <w:rPr>
          <w:b/>
          <w:bCs/>
          <w:spacing w:val="60"/>
          <w:sz w:val="28"/>
        </w:rPr>
      </w:pPr>
      <w:r w:rsidRPr="002829BD">
        <w:rPr>
          <w:b/>
          <w:bCs/>
          <w:spacing w:val="60"/>
          <w:sz w:val="28"/>
        </w:rPr>
        <w:t>Zásady pro vypracování:</w:t>
      </w:r>
    </w:p>
    <w:p w:rsidR="00AF399C" w:rsidRDefault="00AF399C" w:rsidP="00AF399C">
      <w:pPr>
        <w:spacing w:before="0" w:after="0" w:line="240" w:lineRule="auto"/>
        <w:jc w:val="center"/>
      </w:pPr>
    </w:p>
    <w:p w:rsidR="00AF399C" w:rsidRPr="002829BD" w:rsidRDefault="00AF399C" w:rsidP="00AF399C">
      <w:pPr>
        <w:spacing w:before="0" w:after="0" w:line="240" w:lineRule="auto"/>
        <w:jc w:val="center"/>
      </w:pPr>
    </w:p>
    <w:p w:rsidR="00AF399C" w:rsidRPr="002829BD" w:rsidRDefault="00AF399C" w:rsidP="00AF399C">
      <w:pPr>
        <w:spacing w:before="0" w:after="0" w:line="240" w:lineRule="auto"/>
      </w:pPr>
    </w:p>
    <w:p w:rsidR="00AF399C" w:rsidRPr="00781E8F" w:rsidRDefault="00AF399C" w:rsidP="00AF399C">
      <w:pPr>
        <w:spacing w:before="0" w:after="0" w:line="240" w:lineRule="auto"/>
        <w:rPr>
          <w:b/>
          <w:noProof/>
        </w:rPr>
      </w:pPr>
      <w:r w:rsidRPr="00781E8F">
        <w:rPr>
          <w:b/>
          <w:noProof/>
        </w:rPr>
        <w:t xml:space="preserve">Cíl práce: </w:t>
      </w:r>
    </w:p>
    <w:p w:rsidR="00AF399C" w:rsidRDefault="00AF399C" w:rsidP="00AF399C">
      <w:pPr>
        <w:spacing w:before="0" w:after="0" w:line="240" w:lineRule="auto"/>
        <w:rPr>
          <w:noProof/>
        </w:rPr>
      </w:pPr>
      <w:r>
        <w:rPr>
          <w:noProof/>
        </w:rPr>
        <w:t>A</w:t>
      </w:r>
      <w:r w:rsidRPr="002829BD">
        <w:rPr>
          <w:noProof/>
        </w:rPr>
        <w:t xml:space="preserve">nalýza ETFs a komparace možností investování prostřednictvím fondů ETFs a fondů kolektivního investování. </w:t>
      </w:r>
    </w:p>
    <w:p w:rsidR="00AF399C" w:rsidRDefault="00AF399C" w:rsidP="00AF399C">
      <w:pPr>
        <w:rPr>
          <w:noProof/>
        </w:rPr>
      </w:pPr>
    </w:p>
    <w:p w:rsidR="00AF399C" w:rsidRPr="00781E8F" w:rsidRDefault="00AF399C" w:rsidP="00AF399C">
      <w:pPr>
        <w:spacing w:before="0" w:after="0" w:line="240" w:lineRule="auto"/>
        <w:rPr>
          <w:b/>
          <w:noProof/>
        </w:rPr>
      </w:pPr>
      <w:r w:rsidRPr="00781E8F">
        <w:rPr>
          <w:b/>
          <w:noProof/>
        </w:rPr>
        <w:t xml:space="preserve">Postup práce a použité metody: </w:t>
      </w:r>
    </w:p>
    <w:p w:rsidR="00AF399C" w:rsidRDefault="00AF399C" w:rsidP="00AF399C">
      <w:pPr>
        <w:spacing w:before="0" w:after="0" w:line="240" w:lineRule="auto"/>
        <w:rPr>
          <w:noProof/>
        </w:rPr>
      </w:pPr>
      <w:r w:rsidRPr="002829BD">
        <w:rPr>
          <w:noProof/>
        </w:rPr>
        <w:t xml:space="preserve">1. Úvod a stanovení cíle práce  </w:t>
      </w:r>
    </w:p>
    <w:p w:rsidR="00AF399C" w:rsidRDefault="00AF399C" w:rsidP="00AF399C">
      <w:pPr>
        <w:spacing w:before="0" w:after="0" w:line="240" w:lineRule="auto"/>
        <w:rPr>
          <w:noProof/>
        </w:rPr>
      </w:pPr>
      <w:r w:rsidRPr="002829BD">
        <w:rPr>
          <w:noProof/>
        </w:rPr>
        <w:t xml:space="preserve">2. Charakteristika a vývoj fondovního investování </w:t>
      </w:r>
    </w:p>
    <w:p w:rsidR="00AF399C" w:rsidRDefault="00AF399C" w:rsidP="00AF399C">
      <w:pPr>
        <w:spacing w:before="0" w:after="0" w:line="240" w:lineRule="auto"/>
        <w:rPr>
          <w:noProof/>
        </w:rPr>
      </w:pPr>
      <w:r w:rsidRPr="002829BD">
        <w:rPr>
          <w:noProof/>
        </w:rPr>
        <w:t xml:space="preserve">3. Analýza možností investování do jednotlivých typů fondů </w:t>
      </w:r>
    </w:p>
    <w:p w:rsidR="00AF399C" w:rsidRDefault="00AF399C" w:rsidP="00AF399C">
      <w:pPr>
        <w:spacing w:before="0" w:after="0" w:line="240" w:lineRule="auto"/>
        <w:rPr>
          <w:noProof/>
        </w:rPr>
      </w:pPr>
      <w:r w:rsidRPr="002829BD">
        <w:rPr>
          <w:noProof/>
        </w:rPr>
        <w:t xml:space="preserve">4. Aplikace zjištěných poznatků na konkrétních typech fondů a následná komparace na základě definovaných kritérií </w:t>
      </w:r>
    </w:p>
    <w:p w:rsidR="00AF399C" w:rsidRDefault="00AF399C" w:rsidP="00AF399C">
      <w:pPr>
        <w:spacing w:before="0" w:after="0" w:line="240" w:lineRule="auto"/>
        <w:rPr>
          <w:noProof/>
        </w:rPr>
      </w:pPr>
      <w:r w:rsidRPr="002829BD">
        <w:rPr>
          <w:noProof/>
        </w:rPr>
        <w:t xml:space="preserve">5. Závěr, zhodnocení a potvrzení definovaných cílů  </w:t>
      </w:r>
    </w:p>
    <w:p w:rsidR="00AF399C" w:rsidRDefault="00AF399C" w:rsidP="00AF399C">
      <w:pPr>
        <w:spacing w:before="0" w:after="0" w:line="240" w:lineRule="auto"/>
        <w:rPr>
          <w:noProof/>
        </w:rPr>
      </w:pPr>
      <w:r w:rsidRPr="002829BD">
        <w:rPr>
          <w:noProof/>
        </w:rPr>
        <w:t xml:space="preserve">Použité metody: </w:t>
      </w:r>
    </w:p>
    <w:p w:rsidR="00AF399C" w:rsidRDefault="00AF399C" w:rsidP="00AF399C">
      <w:pPr>
        <w:spacing w:before="0" w:after="0" w:line="240" w:lineRule="auto"/>
        <w:rPr>
          <w:noProof/>
        </w:rPr>
      </w:pPr>
      <w:r w:rsidRPr="002829BD">
        <w:rPr>
          <w:noProof/>
        </w:rPr>
        <w:t>analýza, komparace, dedukce</w:t>
      </w:r>
      <w:r>
        <w:rPr>
          <w:noProof/>
        </w:rPr>
        <w:t>.</w:t>
      </w:r>
    </w:p>
    <w:p w:rsidR="00AF399C" w:rsidRPr="002829BD" w:rsidRDefault="00AF399C" w:rsidP="00AF399C">
      <w:pPr>
        <w:spacing w:before="0" w:after="0" w:line="240" w:lineRule="auto"/>
      </w:pPr>
      <w:r w:rsidRPr="002829BD">
        <w:br w:type="page"/>
      </w:r>
      <w:r w:rsidRPr="002829BD">
        <w:rPr>
          <w:b/>
          <w:bCs/>
        </w:rPr>
        <w:lastRenderedPageBreak/>
        <w:t>Rozsah grafických prací:</w:t>
      </w:r>
      <w:r w:rsidRPr="002829BD">
        <w:tab/>
      </w:r>
      <w:r w:rsidRPr="002829BD">
        <w:tab/>
      </w:r>
      <w:r w:rsidRPr="002829BD">
        <w:tab/>
        <w:t>dle pokynů vedoucího práce</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r w:rsidRPr="002829BD">
        <w:rPr>
          <w:b/>
          <w:bCs/>
        </w:rPr>
        <w:t>Rozsah práce bez příloh:</w:t>
      </w:r>
      <w:r w:rsidRPr="002829BD">
        <w:tab/>
      </w:r>
      <w:r w:rsidRPr="002829BD">
        <w:tab/>
      </w:r>
      <w:r w:rsidRPr="002829BD">
        <w:tab/>
        <w:t>60 – 80 stran</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r w:rsidRPr="002829BD">
        <w:rPr>
          <w:b/>
          <w:bCs/>
        </w:rPr>
        <w:t>Seznam odborné literatury:</w:t>
      </w:r>
    </w:p>
    <w:p w:rsidR="00AF399C" w:rsidRPr="002829BD" w:rsidRDefault="00AF399C" w:rsidP="00AF399C">
      <w:pPr>
        <w:spacing w:before="0" w:after="0" w:line="240" w:lineRule="auto"/>
        <w:jc w:val="left"/>
      </w:pPr>
      <w:r>
        <w:t xml:space="preserve">WIANDT, Jim a Will MCCLATCHY. </w:t>
      </w:r>
      <w:r>
        <w:rPr>
          <w:i/>
          <w:iCs/>
        </w:rPr>
        <w:t>Exchange traded funds</w:t>
      </w:r>
      <w:r>
        <w:t xml:space="preserve">. New York: John Wiley &amp; Sons, 2002. xx, 284 s. ISBN 0-471-43484-1. </w:t>
      </w:r>
      <w:r>
        <w:br/>
        <w:t xml:space="preserve">LERMAN, David. </w:t>
      </w:r>
      <w:r>
        <w:rPr>
          <w:i/>
          <w:iCs/>
        </w:rPr>
        <w:t>Exchange traded funds and e-mini stock index futures</w:t>
      </w:r>
      <w:r>
        <w:t xml:space="preserve">. New York: John Wiley &amp; Sons, 2001. xi, 324 s. ISBN 0-471-44298-4. </w:t>
      </w:r>
      <w:r>
        <w:br/>
        <w:t xml:space="preserve">ABNER, David J. </w:t>
      </w:r>
      <w:r w:rsidRPr="00781E8F">
        <w:rPr>
          <w:i/>
        </w:rPr>
        <w:t>The ETF handbook: how to value and trade exchange traded funds. Hoboken,</w:t>
      </w:r>
      <w:r>
        <w:t xml:space="preserve"> </w:t>
      </w:r>
      <w:proofErr w:type="gramStart"/>
      <w:r>
        <w:t>N.J.</w:t>
      </w:r>
      <w:proofErr w:type="gramEnd"/>
      <w:r>
        <w:t>: Wiley, c2010, xviii, 253 p. (elektronický zdroj)</w:t>
      </w:r>
      <w:r>
        <w:br/>
        <w:t xml:space="preserve">GASTINEAU, Gary L. </w:t>
      </w:r>
      <w:r w:rsidRPr="00781E8F">
        <w:rPr>
          <w:i/>
        </w:rPr>
        <w:t>The exchange-traded funds manual</w:t>
      </w:r>
      <w:r>
        <w:t xml:space="preserve">. 2nd ed. Hoboken, </w:t>
      </w:r>
      <w:proofErr w:type="gramStart"/>
      <w:r>
        <w:t>N.J.</w:t>
      </w:r>
      <w:proofErr w:type="gramEnd"/>
      <w:r>
        <w:t>: Wiley, 2010, xi, 370 p.</w:t>
      </w:r>
    </w:p>
    <w:p w:rsidR="00AF399C" w:rsidRPr="002829BD" w:rsidRDefault="00AF399C" w:rsidP="00AF399C">
      <w:pPr>
        <w:spacing w:before="0" w:after="0" w:line="240" w:lineRule="auto"/>
      </w:pPr>
    </w:p>
    <w:p w:rsidR="00AF399C" w:rsidRPr="002829BD" w:rsidRDefault="00AF399C" w:rsidP="00AF399C">
      <w:pPr>
        <w:spacing w:before="0" w:after="0" w:line="240" w:lineRule="auto"/>
        <w:rPr>
          <w:b/>
          <w:bCs/>
        </w:rPr>
      </w:pPr>
      <w:r>
        <w:rPr>
          <w:b/>
          <w:bCs/>
        </w:rPr>
        <w:t xml:space="preserve">Vedoucí diplomové </w:t>
      </w:r>
      <w:r w:rsidRPr="002829BD">
        <w:rPr>
          <w:b/>
          <w:bCs/>
        </w:rPr>
        <w:t xml:space="preserve">práce: </w:t>
      </w:r>
      <w:r w:rsidRPr="002829BD">
        <w:rPr>
          <w:b/>
          <w:bCs/>
        </w:rPr>
        <w:tab/>
      </w:r>
      <w:r w:rsidRPr="002829BD">
        <w:rPr>
          <w:b/>
          <w:bCs/>
        </w:rPr>
        <w:tab/>
      </w:r>
      <w:r w:rsidRPr="002829BD">
        <w:rPr>
          <w:b/>
          <w:bCs/>
        </w:rPr>
        <w:tab/>
      </w:r>
      <w:r w:rsidRPr="002829BD">
        <w:rPr>
          <w:b/>
          <w:bCs/>
        </w:rPr>
        <w:tab/>
      </w:r>
      <w:r w:rsidRPr="002829BD">
        <w:rPr>
          <w:b/>
          <w:bCs/>
          <w:noProof/>
        </w:rPr>
        <w:t>Ing. Dagmar Linnertová</w:t>
      </w:r>
      <w:r w:rsidRPr="002829BD">
        <w:rPr>
          <w:b/>
          <w:bCs/>
        </w:rPr>
        <w:tab/>
      </w:r>
      <w:r w:rsidRPr="002829BD">
        <w:rPr>
          <w:b/>
          <w:bCs/>
        </w:rPr>
        <w:tab/>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rPr>
          <w:bCs/>
        </w:rPr>
      </w:pPr>
      <w:r w:rsidRPr="002829BD">
        <w:rPr>
          <w:b/>
          <w:bCs/>
        </w:rPr>
        <w:t>Datum zadání diplomové práce:</w:t>
      </w:r>
      <w:r w:rsidRPr="002829BD">
        <w:tab/>
      </w:r>
      <w:r w:rsidRPr="002829BD">
        <w:tab/>
      </w:r>
      <w:r w:rsidRPr="002829BD">
        <w:tab/>
      </w:r>
      <w:r w:rsidRPr="002829BD">
        <w:rPr>
          <w:b/>
        </w:rPr>
        <w:t>5</w:t>
      </w:r>
      <w:r w:rsidRPr="002829BD">
        <w:rPr>
          <w:b/>
          <w:bCs/>
        </w:rPr>
        <w:t>. 3. 2013</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r w:rsidRPr="002829BD">
        <w:rPr>
          <w:b/>
          <w:bCs/>
        </w:rPr>
        <w:t>Termín odevzdání diplomové práce a vložení do IS je uveden v platném harmonogramu akademického roku.</w:t>
      </w:r>
      <w:r w:rsidRPr="002829BD">
        <w:t> </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Default="00AF399C" w:rsidP="00AF399C">
      <w:pPr>
        <w:spacing w:before="0" w:after="0" w:line="240" w:lineRule="auto"/>
      </w:pPr>
    </w:p>
    <w:p w:rsidR="00AF399C"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r w:rsidRPr="002829BD">
        <w:t xml:space="preserve">…………………………………… </w:t>
      </w:r>
      <w:r w:rsidRPr="002829BD">
        <w:tab/>
      </w:r>
      <w:r w:rsidRPr="002829BD">
        <w:tab/>
      </w:r>
      <w:r w:rsidRPr="002829BD">
        <w:tab/>
        <w:t>…………………………………………</w:t>
      </w:r>
    </w:p>
    <w:p w:rsidR="00AF399C" w:rsidRPr="002829BD" w:rsidRDefault="00AF399C" w:rsidP="00AF399C">
      <w:pPr>
        <w:spacing w:before="0" w:after="0" w:line="240" w:lineRule="auto"/>
        <w:rPr>
          <w:b/>
        </w:rPr>
      </w:pPr>
      <w:r w:rsidRPr="002829BD">
        <w:rPr>
          <w:b/>
        </w:rPr>
        <w:t xml:space="preserve">              vedoucí katedry</w:t>
      </w:r>
      <w:r w:rsidRPr="002829BD">
        <w:rPr>
          <w:b/>
          <w:i/>
        </w:rPr>
        <w:tab/>
      </w:r>
      <w:r w:rsidRPr="002829BD">
        <w:rPr>
          <w:b/>
          <w:i/>
        </w:rPr>
        <w:tab/>
      </w:r>
      <w:r w:rsidRPr="002829BD">
        <w:rPr>
          <w:b/>
          <w:i/>
        </w:rPr>
        <w:tab/>
      </w:r>
      <w:r w:rsidRPr="002829BD">
        <w:rPr>
          <w:b/>
          <w:i/>
        </w:rPr>
        <w:tab/>
      </w:r>
      <w:r w:rsidRPr="002829BD">
        <w:rPr>
          <w:b/>
          <w:i/>
        </w:rPr>
        <w:tab/>
      </w:r>
      <w:r w:rsidRPr="002829BD">
        <w:rPr>
          <w:b/>
        </w:rPr>
        <w:t xml:space="preserve">             děkan</w:t>
      </w: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2829BD" w:rsidRDefault="00AF399C" w:rsidP="00AF399C">
      <w:pPr>
        <w:spacing w:before="0" w:after="0" w:line="240" w:lineRule="auto"/>
      </w:pPr>
    </w:p>
    <w:p w:rsidR="00AF399C" w:rsidRPr="00781E8F" w:rsidRDefault="00AF399C" w:rsidP="00AF399C">
      <w:pPr>
        <w:spacing w:before="0" w:after="0" w:line="240" w:lineRule="auto"/>
        <w:rPr>
          <w:b/>
        </w:rPr>
      </w:pPr>
      <w:r w:rsidRPr="00781E8F">
        <w:rPr>
          <w:b/>
        </w:rPr>
        <w:t xml:space="preserve">V Brně </w:t>
      </w:r>
      <w:proofErr w:type="gramStart"/>
      <w:r w:rsidRPr="00781E8F">
        <w:rPr>
          <w:b/>
        </w:rPr>
        <w:t>dne  5</w:t>
      </w:r>
      <w:r w:rsidRPr="00781E8F">
        <w:rPr>
          <w:b/>
          <w:bCs/>
        </w:rPr>
        <w:t>. 3. 2013</w:t>
      </w:r>
      <w:proofErr w:type="gramEnd"/>
    </w:p>
    <w:p w:rsidR="00AF399C" w:rsidRDefault="00AF399C" w:rsidP="00AF399C">
      <w:pPr>
        <w:spacing w:before="0" w:after="0"/>
      </w:pPr>
    </w:p>
    <w:p w:rsidR="00AF399C" w:rsidRDefault="00AF399C" w:rsidP="00AF399C">
      <w:pPr>
        <w:spacing w:before="0" w:after="0"/>
      </w:pPr>
    </w:p>
    <w:p w:rsidR="00AF399C" w:rsidRDefault="00AF399C" w:rsidP="00AF399C">
      <w:pPr>
        <w:spacing w:before="0" w:after="0"/>
      </w:pPr>
    </w:p>
    <w:p w:rsidR="00AF399C" w:rsidRDefault="00AF399C" w:rsidP="00AF399C">
      <w:pPr>
        <w:spacing w:before="0" w:after="0"/>
      </w:pPr>
    </w:p>
    <w:p w:rsidR="00152481" w:rsidRDefault="00152481" w:rsidP="00AF399C">
      <w:pPr>
        <w:spacing w:before="0" w:after="0"/>
      </w:pPr>
    </w:p>
    <w:p w:rsidR="00AF399C" w:rsidRDefault="00AF399C" w:rsidP="00AF399C">
      <w:pPr>
        <w:spacing w:before="0" w:after="0"/>
      </w:pPr>
    </w:p>
    <w:p w:rsidR="00AF399C" w:rsidRPr="007F6F4E" w:rsidRDefault="00AF399C" w:rsidP="00AF399C">
      <w:pPr>
        <w:spacing w:before="0" w:after="0"/>
        <w:rPr>
          <w:rFonts w:cs="Times New Roman"/>
        </w:rPr>
      </w:pPr>
      <w:r w:rsidRPr="007F6F4E">
        <w:rPr>
          <w:rFonts w:cs="Times New Roman"/>
        </w:rPr>
        <w:lastRenderedPageBreak/>
        <w:t xml:space="preserve">Jméno a příjmení autora: </w:t>
      </w:r>
      <w:r w:rsidRPr="007F6F4E">
        <w:rPr>
          <w:rFonts w:cs="Times New Roman"/>
        </w:rPr>
        <w:tab/>
        <w:t>Jana Kleinová</w:t>
      </w:r>
    </w:p>
    <w:p w:rsidR="003D6D99" w:rsidRDefault="00AF399C" w:rsidP="003D6D99">
      <w:pPr>
        <w:spacing w:before="0" w:after="0"/>
        <w:ind w:left="2832" w:hanging="2832"/>
        <w:rPr>
          <w:rFonts w:cs="Times New Roman"/>
        </w:rPr>
      </w:pPr>
      <w:r w:rsidRPr="007F6F4E">
        <w:rPr>
          <w:rFonts w:cs="Times New Roman"/>
        </w:rPr>
        <w:t xml:space="preserve">Název </w:t>
      </w:r>
      <w:r w:rsidR="003D6D99">
        <w:rPr>
          <w:rFonts w:cs="Times New Roman"/>
        </w:rPr>
        <w:t>diplomové</w:t>
      </w:r>
      <w:r w:rsidRPr="007F6F4E">
        <w:rPr>
          <w:rFonts w:cs="Times New Roman"/>
        </w:rPr>
        <w:t xml:space="preserve"> práce: </w:t>
      </w:r>
      <w:r w:rsidRPr="007F6F4E">
        <w:rPr>
          <w:rFonts w:cs="Times New Roman"/>
        </w:rPr>
        <w:tab/>
      </w:r>
      <w:r w:rsidR="003D6D99" w:rsidRPr="003D6D99">
        <w:rPr>
          <w:bCs/>
          <w:noProof/>
        </w:rPr>
        <w:t>Srovnání možností inves</w:t>
      </w:r>
      <w:r w:rsidR="000B447C">
        <w:rPr>
          <w:bCs/>
          <w:noProof/>
        </w:rPr>
        <w:t>tování prostřednictvím fondů ETF</w:t>
      </w:r>
      <w:r w:rsidR="003D6D99" w:rsidRPr="003D6D99">
        <w:rPr>
          <w:bCs/>
          <w:noProof/>
        </w:rPr>
        <w:t>s a fondů kolektivního investování</w:t>
      </w:r>
      <w:r w:rsidR="003D6D99" w:rsidRPr="007F6F4E">
        <w:rPr>
          <w:rFonts w:cs="Times New Roman"/>
        </w:rPr>
        <w:t xml:space="preserve"> </w:t>
      </w:r>
    </w:p>
    <w:p w:rsidR="00AF399C" w:rsidRPr="003D6D99" w:rsidRDefault="00AF399C" w:rsidP="003D6D99">
      <w:pPr>
        <w:spacing w:before="0" w:after="0"/>
        <w:ind w:left="2832" w:hanging="2832"/>
        <w:rPr>
          <w:b/>
        </w:rPr>
      </w:pPr>
      <w:r w:rsidRPr="007F6F4E">
        <w:rPr>
          <w:rFonts w:cs="Times New Roman"/>
        </w:rPr>
        <w:t>Název práce v angličtině:</w:t>
      </w:r>
      <w:r w:rsidRPr="007F6F4E">
        <w:rPr>
          <w:rFonts w:cs="Times New Roman"/>
        </w:rPr>
        <w:tab/>
      </w:r>
      <w:r w:rsidR="003D6D99" w:rsidRPr="003D6D99">
        <w:rPr>
          <w:noProof/>
        </w:rPr>
        <w:t>Performance comparison between exchange-traded funds and mutual funds</w:t>
      </w:r>
    </w:p>
    <w:p w:rsidR="00AF399C" w:rsidRPr="007F6F4E" w:rsidRDefault="00AF399C" w:rsidP="00AF399C">
      <w:pPr>
        <w:spacing w:before="0" w:after="0"/>
        <w:rPr>
          <w:rFonts w:cs="Times New Roman"/>
        </w:rPr>
      </w:pPr>
      <w:r w:rsidRPr="007F6F4E">
        <w:rPr>
          <w:rFonts w:cs="Times New Roman"/>
        </w:rPr>
        <w:t xml:space="preserve">Katedra: </w:t>
      </w:r>
      <w:r w:rsidRPr="007F6F4E">
        <w:rPr>
          <w:rFonts w:cs="Times New Roman"/>
        </w:rPr>
        <w:tab/>
      </w:r>
      <w:r w:rsidRPr="007F6F4E">
        <w:rPr>
          <w:rFonts w:cs="Times New Roman"/>
        </w:rPr>
        <w:tab/>
      </w:r>
      <w:r w:rsidRPr="007F6F4E">
        <w:rPr>
          <w:rFonts w:cs="Times New Roman"/>
        </w:rPr>
        <w:tab/>
        <w:t>Financí</w:t>
      </w:r>
    </w:p>
    <w:p w:rsidR="00AF399C" w:rsidRPr="007F6F4E" w:rsidRDefault="00AF399C" w:rsidP="00AF399C">
      <w:pPr>
        <w:spacing w:before="0" w:after="0"/>
        <w:rPr>
          <w:rFonts w:cs="Times New Roman"/>
        </w:rPr>
      </w:pPr>
      <w:r w:rsidRPr="007F6F4E">
        <w:rPr>
          <w:rFonts w:cs="Times New Roman"/>
        </w:rPr>
        <w:t>Vedoucí bakalářské práce:</w:t>
      </w:r>
      <w:r w:rsidRPr="007F6F4E">
        <w:rPr>
          <w:rFonts w:cs="Times New Roman"/>
        </w:rPr>
        <w:tab/>
      </w:r>
      <w:r w:rsidR="00275BAD">
        <w:rPr>
          <w:rFonts w:cs="Times New Roman"/>
          <w:bCs/>
          <w:noProof/>
        </w:rPr>
        <w:t>Ing. Dagmar Linnertová</w:t>
      </w:r>
    </w:p>
    <w:p w:rsidR="00AF399C" w:rsidRPr="007F6F4E" w:rsidRDefault="00AF399C" w:rsidP="00AF399C">
      <w:pPr>
        <w:spacing w:before="0" w:after="0"/>
        <w:rPr>
          <w:rFonts w:cs="Times New Roman"/>
        </w:rPr>
      </w:pPr>
      <w:r>
        <w:rPr>
          <w:rFonts w:cs="Times New Roman"/>
        </w:rPr>
        <w:t>Rok obhajoby:</w:t>
      </w:r>
      <w:r>
        <w:rPr>
          <w:rFonts w:cs="Times New Roman"/>
        </w:rPr>
        <w:tab/>
      </w:r>
      <w:r>
        <w:rPr>
          <w:rFonts w:cs="Times New Roman"/>
        </w:rPr>
        <w:tab/>
      </w:r>
      <w:r w:rsidR="00275BAD">
        <w:rPr>
          <w:rFonts w:cs="Times New Roman"/>
        </w:rPr>
        <w:t>2014</w:t>
      </w:r>
    </w:p>
    <w:p w:rsidR="00AF399C" w:rsidRPr="007F6F4E" w:rsidRDefault="00AF399C" w:rsidP="00AF399C">
      <w:pPr>
        <w:spacing w:before="0" w:after="0"/>
        <w:rPr>
          <w:rFonts w:cs="Times New Roman"/>
        </w:rPr>
      </w:pPr>
    </w:p>
    <w:p w:rsidR="00AF399C" w:rsidRPr="007F6F4E" w:rsidRDefault="00AF399C" w:rsidP="00AF399C">
      <w:pPr>
        <w:spacing w:before="0" w:after="0"/>
        <w:rPr>
          <w:rFonts w:cs="Times New Roman"/>
          <w:b/>
        </w:rPr>
      </w:pPr>
      <w:r w:rsidRPr="007F6F4E">
        <w:rPr>
          <w:rFonts w:cs="Times New Roman"/>
          <w:b/>
        </w:rPr>
        <w:t>Anotace</w:t>
      </w:r>
    </w:p>
    <w:p w:rsidR="00C6140C" w:rsidRDefault="00C6140C" w:rsidP="00AF399C">
      <w:pPr>
        <w:spacing w:after="0"/>
        <w:rPr>
          <w:rFonts w:cs="Times New Roman"/>
        </w:rPr>
      </w:pPr>
      <w:r>
        <w:rPr>
          <w:rFonts w:cs="Times New Roman"/>
          <w:lang w:eastAsia="cs-CZ"/>
        </w:rPr>
        <w:t>Diplomová práce“</w:t>
      </w:r>
      <w:r w:rsidRPr="00C6140C">
        <w:rPr>
          <w:bCs/>
          <w:noProof/>
        </w:rPr>
        <w:t xml:space="preserve"> </w:t>
      </w:r>
      <w:r w:rsidRPr="003D6D99">
        <w:rPr>
          <w:bCs/>
          <w:noProof/>
        </w:rPr>
        <w:t>Srovnání možností inves</w:t>
      </w:r>
      <w:r w:rsidR="000B447C">
        <w:rPr>
          <w:bCs/>
          <w:noProof/>
        </w:rPr>
        <w:t>tování prostřednictvím fondů ETF</w:t>
      </w:r>
      <w:r w:rsidRPr="003D6D99">
        <w:rPr>
          <w:bCs/>
          <w:noProof/>
        </w:rPr>
        <w:t>s a fondů kolektivního investování</w:t>
      </w:r>
      <w:r>
        <w:rPr>
          <w:rFonts w:cs="Times New Roman"/>
        </w:rPr>
        <w:t>“ přináší analýzu burzovně obchodovaných fondů. První část práce je věnována základní charakteristice fondů ETFs, jejich typům, právní úpravě nebo například způsobům oceňování a fondům kolektivního investování. Druhá část práce je zaměřena na analýzu trhu ETFs, největším poskytovatelům ETFs a obchodníky s cennými papíry, prostřednictvím nichž je možné v České republice tyto instrumenty obchodovat. Závěrečná část je věnována konkrétním produktům, jejich analýze a vzájemné komparaci.</w:t>
      </w:r>
    </w:p>
    <w:p w:rsidR="00AF399C" w:rsidRPr="007F6F4E" w:rsidRDefault="00AF399C" w:rsidP="00AF399C">
      <w:pPr>
        <w:spacing w:before="0" w:after="0"/>
        <w:rPr>
          <w:rFonts w:cs="Times New Roman"/>
          <w:b/>
        </w:rPr>
      </w:pPr>
    </w:p>
    <w:p w:rsidR="00AF399C" w:rsidRPr="007F6F4E" w:rsidRDefault="00AF399C" w:rsidP="00AF399C">
      <w:pPr>
        <w:spacing w:before="0" w:after="0"/>
        <w:rPr>
          <w:rFonts w:cs="Times New Roman"/>
          <w:b/>
        </w:rPr>
      </w:pPr>
      <w:r w:rsidRPr="007F6F4E">
        <w:rPr>
          <w:rFonts w:cs="Times New Roman"/>
          <w:b/>
        </w:rPr>
        <w:t>Annotation</w:t>
      </w:r>
    </w:p>
    <w:p w:rsidR="00AF399C" w:rsidRPr="007F6F4E" w:rsidRDefault="00564049" w:rsidP="00AF399C">
      <w:pPr>
        <w:spacing w:after="0"/>
        <w:rPr>
          <w:rFonts w:cs="Times New Roman"/>
          <w:b/>
          <w:lang w:val="en-GB"/>
        </w:rPr>
      </w:pPr>
      <w:r>
        <w:t>The goal of the submitted thesis „</w:t>
      </w:r>
      <w:r w:rsidR="001B7C40" w:rsidRPr="003D6D99">
        <w:rPr>
          <w:noProof/>
        </w:rPr>
        <w:t>Performance comparison between exchange-traded funds and mutual funds</w:t>
      </w:r>
      <w:r>
        <w:t>“ is to analyse funds traded on stock exchange. The first part of the thesis deals with basic characteristics of ETFs, their types, legislation, methods of valuation and collective investment funds. The next part is focused on ETFs market analysis, the major providers of ETFs and brokerage companies that offer possibility to trade these instruments in the Czech republic. The last chapter defines specific products, their analysis and comparison.</w:t>
      </w:r>
    </w:p>
    <w:p w:rsidR="00AF399C" w:rsidRPr="007F6F4E" w:rsidRDefault="00AF399C" w:rsidP="00AF399C">
      <w:pPr>
        <w:spacing w:before="0" w:after="0"/>
        <w:rPr>
          <w:rFonts w:cs="Times New Roman"/>
          <w:b/>
        </w:rPr>
      </w:pPr>
    </w:p>
    <w:p w:rsidR="00AF399C" w:rsidRPr="007F6F4E" w:rsidRDefault="00AF399C" w:rsidP="00AF399C">
      <w:pPr>
        <w:spacing w:before="0" w:after="0"/>
        <w:rPr>
          <w:rFonts w:cs="Times New Roman"/>
          <w:b/>
        </w:rPr>
      </w:pPr>
      <w:r w:rsidRPr="007F6F4E">
        <w:rPr>
          <w:rFonts w:cs="Times New Roman"/>
          <w:b/>
        </w:rPr>
        <w:t>Klíčová slova</w:t>
      </w:r>
    </w:p>
    <w:p w:rsidR="00AF399C" w:rsidRDefault="00C6140C" w:rsidP="00AF399C">
      <w:pPr>
        <w:spacing w:before="0" w:after="0"/>
        <w:rPr>
          <w:rFonts w:cs="Times New Roman"/>
        </w:rPr>
      </w:pPr>
      <w:r>
        <w:rPr>
          <w:rFonts w:cs="Times New Roman"/>
        </w:rPr>
        <w:t>Fondy kolektivního investování, Exchange Traded Funds, poskytovatel ETFs, obchodník s cennými papíry, analýza, komparace</w:t>
      </w:r>
    </w:p>
    <w:p w:rsidR="00C6140C" w:rsidRPr="007F6F4E" w:rsidRDefault="00C6140C" w:rsidP="00AF399C">
      <w:pPr>
        <w:spacing w:before="0" w:after="0"/>
        <w:rPr>
          <w:rFonts w:cs="Times New Roman"/>
          <w:b/>
        </w:rPr>
      </w:pPr>
    </w:p>
    <w:p w:rsidR="00AF399C" w:rsidRPr="007F6F4E" w:rsidRDefault="00AF399C" w:rsidP="00AF399C">
      <w:pPr>
        <w:spacing w:before="0" w:after="0"/>
        <w:rPr>
          <w:rFonts w:cs="Times New Roman"/>
          <w:b/>
        </w:rPr>
      </w:pPr>
      <w:r w:rsidRPr="007F6F4E">
        <w:rPr>
          <w:rFonts w:cs="Times New Roman"/>
          <w:b/>
        </w:rPr>
        <w:t>Keywords</w:t>
      </w:r>
    </w:p>
    <w:p w:rsidR="00AF399C" w:rsidRPr="007F6F4E" w:rsidRDefault="00C6140C" w:rsidP="00AF399C">
      <w:pPr>
        <w:rPr>
          <w:rFonts w:cs="Times New Roman"/>
        </w:rPr>
      </w:pPr>
      <w:r>
        <w:rPr>
          <w:rFonts w:cs="Times New Roman"/>
        </w:rPr>
        <w:t xml:space="preserve">Mutual funds, Exchange Traded Funds, provider of ETFs, broker, analysis, comparison </w:t>
      </w:r>
    </w:p>
    <w:p w:rsidR="00AF399C" w:rsidRPr="007F6F4E" w:rsidRDefault="00AF399C" w:rsidP="00AF399C">
      <w:pPr>
        <w:rPr>
          <w:rFonts w:cs="Times New Roman"/>
        </w:rPr>
      </w:pPr>
    </w:p>
    <w:p w:rsidR="00AF399C" w:rsidRPr="007F6F4E" w:rsidRDefault="00AF399C" w:rsidP="00AF399C">
      <w:pPr>
        <w:rPr>
          <w:rFonts w:cs="Times New Roman"/>
        </w:rPr>
      </w:pPr>
    </w:p>
    <w:p w:rsidR="00AF399C" w:rsidRPr="007F6F4E" w:rsidRDefault="00AF399C" w:rsidP="00AF399C">
      <w:pPr>
        <w:rPr>
          <w:rFonts w:cs="Times New Roman"/>
        </w:rPr>
      </w:pPr>
    </w:p>
    <w:p w:rsidR="00AF399C" w:rsidRPr="007F6F4E"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Default="00AF399C" w:rsidP="00AF399C">
      <w:pPr>
        <w:rPr>
          <w:rFonts w:cs="Times New Roman"/>
        </w:rPr>
      </w:pPr>
    </w:p>
    <w:p w:rsidR="00AF399C" w:rsidRPr="007F6F4E" w:rsidRDefault="00AF399C" w:rsidP="00AF399C">
      <w:pPr>
        <w:rPr>
          <w:rFonts w:cs="Times New Roman"/>
        </w:rPr>
      </w:pPr>
      <w:r w:rsidRPr="007F6F4E">
        <w:rPr>
          <w:rFonts w:cs="Times New Roman"/>
        </w:rPr>
        <w:t xml:space="preserve">Prohlašuji, že jsem </w:t>
      </w:r>
      <w:r>
        <w:rPr>
          <w:rFonts w:cs="Times New Roman"/>
        </w:rPr>
        <w:t>diplomovou práci</w:t>
      </w:r>
      <w:r w:rsidRPr="007F6F4E">
        <w:rPr>
          <w:rFonts w:cs="Times New Roman"/>
        </w:rPr>
        <w:t xml:space="preserve"> </w:t>
      </w:r>
      <w:r>
        <w:rPr>
          <w:rFonts w:cs="Times New Roman"/>
        </w:rPr>
        <w:t>„S</w:t>
      </w:r>
      <w:r w:rsidRPr="00AF399C">
        <w:rPr>
          <w:bCs/>
          <w:i/>
          <w:noProof/>
        </w:rPr>
        <w:t>rovnání možností inves</w:t>
      </w:r>
      <w:r w:rsidR="000B447C">
        <w:rPr>
          <w:bCs/>
          <w:i/>
          <w:noProof/>
        </w:rPr>
        <w:t>tování prostřednictvím fondů ETF</w:t>
      </w:r>
      <w:r w:rsidRPr="00AF399C">
        <w:rPr>
          <w:bCs/>
          <w:i/>
          <w:noProof/>
        </w:rPr>
        <w:t>s a fondů kolektivního investování</w:t>
      </w:r>
      <w:r>
        <w:rPr>
          <w:bCs/>
          <w:i/>
          <w:noProof/>
        </w:rPr>
        <w:t>“</w:t>
      </w:r>
      <w:r w:rsidRPr="007F6F4E">
        <w:rPr>
          <w:rFonts w:cs="Times New Roman"/>
        </w:rPr>
        <w:t xml:space="preserve"> vypracovala samostatně pod vedením</w:t>
      </w:r>
      <w:r w:rsidRPr="007F6F4E">
        <w:rPr>
          <w:rFonts w:cs="Times New Roman"/>
          <w:i/>
        </w:rPr>
        <w:t xml:space="preserve"> </w:t>
      </w:r>
      <w:r>
        <w:rPr>
          <w:rFonts w:cs="Times New Roman"/>
          <w:bCs/>
          <w:i/>
          <w:noProof/>
        </w:rPr>
        <w:t>Ing. Dagmar Linnertové</w:t>
      </w:r>
      <w:r w:rsidRPr="007F6F4E">
        <w:rPr>
          <w:rFonts w:cs="Times New Roman"/>
          <w:i/>
        </w:rPr>
        <w:t xml:space="preserve"> </w:t>
      </w:r>
      <w:r w:rsidRPr="007F6F4E">
        <w:rPr>
          <w:rFonts w:cs="Times New Roman"/>
        </w:rPr>
        <w:t>a uvedla v ní všechny použité literární a jiné odborné zdroje v souladu s právními předpisy, vnitřními předpisy Masarykovy univerzity a vnitřními akty řízení Masarykovy univerzity a</w:t>
      </w:r>
      <w:r>
        <w:rPr>
          <w:rFonts w:cs="Times New Roman"/>
        </w:rPr>
        <w:t xml:space="preserve"> Ekonomicko-správní fakulty MU.</w:t>
      </w:r>
    </w:p>
    <w:p w:rsidR="00AF399C" w:rsidRPr="007F6F4E" w:rsidRDefault="00AF399C" w:rsidP="00AF399C">
      <w:pPr>
        <w:rPr>
          <w:rFonts w:cs="Times New Roman"/>
        </w:rPr>
      </w:pPr>
    </w:p>
    <w:p w:rsidR="00AF399C" w:rsidRPr="007F6F4E" w:rsidRDefault="00AF399C" w:rsidP="00AF399C">
      <w:pPr>
        <w:rPr>
          <w:rFonts w:cs="Times New Roman"/>
        </w:rPr>
      </w:pPr>
      <w:r>
        <w:rPr>
          <w:rFonts w:cs="Times New Roman"/>
        </w:rPr>
        <w:t>V Brně dne 10</w:t>
      </w:r>
      <w:r w:rsidR="00152481">
        <w:rPr>
          <w:rFonts w:cs="Times New Roman"/>
        </w:rPr>
        <w:t>. května 2014</w:t>
      </w:r>
      <w:r w:rsidRPr="007F6F4E">
        <w:rPr>
          <w:rFonts w:cs="Times New Roman"/>
        </w:rPr>
        <w:tab/>
      </w:r>
      <w:r w:rsidRPr="007F6F4E">
        <w:rPr>
          <w:rFonts w:cs="Times New Roman"/>
        </w:rPr>
        <w:tab/>
      </w:r>
      <w:r w:rsidRPr="007F6F4E">
        <w:rPr>
          <w:rFonts w:cs="Times New Roman"/>
        </w:rPr>
        <w:tab/>
      </w:r>
      <w:r w:rsidRPr="007F6F4E">
        <w:rPr>
          <w:rFonts w:cs="Times New Roman"/>
        </w:rPr>
        <w:tab/>
      </w:r>
      <w:r w:rsidRPr="007F6F4E">
        <w:rPr>
          <w:rFonts w:cs="Times New Roman"/>
        </w:rPr>
        <w:tab/>
        <w:t>…………………………….</w:t>
      </w:r>
    </w:p>
    <w:p w:rsidR="00AF399C" w:rsidRDefault="00AF399C" w:rsidP="00AF399C">
      <w:pPr>
        <w:ind w:left="4248" w:firstLine="708"/>
        <w:jc w:val="center"/>
        <w:rPr>
          <w:rFonts w:cs="Times New Roman"/>
        </w:rPr>
      </w:pPr>
      <w:r w:rsidRPr="007F6F4E">
        <w:rPr>
          <w:rFonts w:cs="Times New Roman"/>
        </w:rPr>
        <w:t>Podpis autora</w:t>
      </w:r>
    </w:p>
    <w:p w:rsidR="00AF399C" w:rsidRDefault="00AF399C" w:rsidP="00AF399C">
      <w:pPr>
        <w:ind w:left="4248" w:firstLine="708"/>
        <w:jc w:val="center"/>
        <w:rPr>
          <w:rFonts w:cs="Times New Roman"/>
        </w:rPr>
      </w:pPr>
    </w:p>
    <w:p w:rsidR="00AF399C" w:rsidRDefault="00AF399C" w:rsidP="00AF399C">
      <w:pPr>
        <w:ind w:left="4248" w:firstLine="708"/>
        <w:jc w:val="center"/>
        <w:rPr>
          <w:rFonts w:cs="Times New Roman"/>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Default="00AF399C" w:rsidP="00AF399C">
      <w:pPr>
        <w:spacing w:before="0"/>
        <w:jc w:val="left"/>
        <w:rPr>
          <w:rFonts w:cs="Times New Roman"/>
          <w:b/>
        </w:rPr>
      </w:pPr>
    </w:p>
    <w:p w:rsidR="00AF399C" w:rsidRPr="00605370" w:rsidRDefault="00AF399C" w:rsidP="00AF399C">
      <w:pPr>
        <w:spacing w:before="0"/>
        <w:jc w:val="left"/>
        <w:rPr>
          <w:rFonts w:cs="Times New Roman"/>
        </w:rPr>
      </w:pPr>
      <w:r w:rsidRPr="007F6F4E">
        <w:rPr>
          <w:rFonts w:cs="Times New Roman"/>
          <w:b/>
        </w:rPr>
        <w:t>Poděkování</w:t>
      </w:r>
    </w:p>
    <w:p w:rsidR="008A5AD0" w:rsidRDefault="00AF399C" w:rsidP="00AF399C">
      <w:pPr>
        <w:autoSpaceDE w:val="0"/>
        <w:autoSpaceDN w:val="0"/>
        <w:adjustRightInd w:val="0"/>
        <w:spacing w:before="0" w:after="0" w:line="240" w:lineRule="auto"/>
        <w:rPr>
          <w:rFonts w:cs="Times New Roman"/>
        </w:rPr>
      </w:pPr>
      <w:r w:rsidRPr="007F6F4E">
        <w:rPr>
          <w:rFonts w:cs="Times New Roman"/>
        </w:rPr>
        <w:t>Na tomto místě bych ráda poděkovala</w:t>
      </w:r>
      <w:r>
        <w:rPr>
          <w:rFonts w:cs="Times New Roman"/>
        </w:rPr>
        <w:t xml:space="preserve"> Ing. Dagmar Linnertové</w:t>
      </w:r>
      <w:r w:rsidRPr="007F6F4E">
        <w:rPr>
          <w:rFonts w:cs="Times New Roman"/>
        </w:rPr>
        <w:t xml:space="preserve"> za cenné připomínky a odborné rady, které napomohly k vypracování této </w:t>
      </w:r>
      <w:r w:rsidR="00152481">
        <w:rPr>
          <w:rFonts w:cs="Times New Roman"/>
        </w:rPr>
        <w:t>diplomové</w:t>
      </w:r>
      <w:r w:rsidRPr="007F6F4E">
        <w:rPr>
          <w:rFonts w:cs="Times New Roman"/>
        </w:rPr>
        <w:t xml:space="preserve"> práce.</w:t>
      </w:r>
    </w:p>
    <w:p w:rsidR="008A5AD0" w:rsidRDefault="008A5AD0">
      <w:pPr>
        <w:spacing w:before="0"/>
        <w:jc w:val="left"/>
        <w:rPr>
          <w:rFonts w:cs="Times New Roman"/>
        </w:rPr>
      </w:pPr>
      <w:r>
        <w:rPr>
          <w:rFonts w:cs="Times New Roman"/>
        </w:rPr>
        <w:br w:type="page"/>
      </w:r>
    </w:p>
    <w:sdt>
      <w:sdtPr>
        <w:rPr>
          <w:rFonts w:ascii="Times New Roman" w:eastAsiaTheme="minorHAnsi" w:hAnsi="Times New Roman" w:cstheme="minorBidi"/>
          <w:b w:val="0"/>
          <w:bCs w:val="0"/>
          <w:color w:val="auto"/>
          <w:sz w:val="24"/>
          <w:szCs w:val="22"/>
        </w:rPr>
        <w:id w:val="2009865"/>
        <w:docPartObj>
          <w:docPartGallery w:val="Table of Contents"/>
          <w:docPartUnique/>
        </w:docPartObj>
      </w:sdtPr>
      <w:sdtContent>
        <w:p w:rsidR="00371136" w:rsidRDefault="00371136" w:rsidP="00672131">
          <w:pPr>
            <w:pStyle w:val="Nadpisobsahu"/>
            <w:spacing w:before="0"/>
          </w:pPr>
          <w:r w:rsidRPr="00371136">
            <w:rPr>
              <w:rFonts w:ascii="Times New Roman" w:hAnsi="Times New Roman" w:cs="Times New Roman"/>
              <w:color w:val="auto"/>
            </w:rPr>
            <w:t>OBSAH</w:t>
          </w:r>
        </w:p>
        <w:p w:rsidR="00A33B3A" w:rsidRDefault="008B79C7">
          <w:pPr>
            <w:pStyle w:val="Obsah1"/>
            <w:tabs>
              <w:tab w:val="right" w:leader="dot" w:pos="9060"/>
            </w:tabs>
            <w:rPr>
              <w:rFonts w:asciiTheme="minorHAnsi" w:eastAsiaTheme="minorEastAsia" w:hAnsiTheme="minorHAnsi"/>
              <w:noProof/>
              <w:sz w:val="22"/>
              <w:lang w:eastAsia="cs-CZ"/>
            </w:rPr>
          </w:pPr>
          <w:r>
            <w:fldChar w:fldCharType="begin"/>
          </w:r>
          <w:r w:rsidR="00371136">
            <w:instrText xml:space="preserve"> TOC \o "1-3" \h \z \u </w:instrText>
          </w:r>
          <w:r>
            <w:fldChar w:fldCharType="separate"/>
          </w:r>
          <w:hyperlink w:anchor="_Toc386145976" w:history="1">
            <w:r w:rsidR="00A33B3A" w:rsidRPr="005632B2">
              <w:rPr>
                <w:rStyle w:val="Hypertextovodkaz"/>
                <w:noProof/>
              </w:rPr>
              <w:t>ÚVOD</w:t>
            </w:r>
            <w:r w:rsidR="00A33B3A">
              <w:rPr>
                <w:noProof/>
                <w:webHidden/>
              </w:rPr>
              <w:tab/>
            </w:r>
            <w:r>
              <w:rPr>
                <w:noProof/>
                <w:webHidden/>
              </w:rPr>
              <w:fldChar w:fldCharType="begin"/>
            </w:r>
            <w:r w:rsidR="00A33B3A">
              <w:rPr>
                <w:noProof/>
                <w:webHidden/>
              </w:rPr>
              <w:instrText xml:space="preserve"> PAGEREF _Toc386145976 \h </w:instrText>
            </w:r>
            <w:r>
              <w:rPr>
                <w:noProof/>
                <w:webHidden/>
              </w:rPr>
            </w:r>
            <w:r>
              <w:rPr>
                <w:noProof/>
                <w:webHidden/>
              </w:rPr>
              <w:fldChar w:fldCharType="separate"/>
            </w:r>
            <w:r w:rsidR="00A33B3A">
              <w:rPr>
                <w:noProof/>
                <w:webHidden/>
              </w:rPr>
              <w:t>10</w:t>
            </w:r>
            <w:r>
              <w:rPr>
                <w:noProof/>
                <w:webHidden/>
              </w:rPr>
              <w:fldChar w:fldCharType="end"/>
            </w:r>
          </w:hyperlink>
        </w:p>
        <w:p w:rsidR="00A33B3A" w:rsidRDefault="008B79C7">
          <w:pPr>
            <w:pStyle w:val="Obsah1"/>
            <w:tabs>
              <w:tab w:val="left" w:pos="480"/>
              <w:tab w:val="right" w:leader="dot" w:pos="9060"/>
            </w:tabs>
            <w:rPr>
              <w:rFonts w:asciiTheme="minorHAnsi" w:eastAsiaTheme="minorEastAsia" w:hAnsiTheme="minorHAnsi"/>
              <w:noProof/>
              <w:sz w:val="22"/>
              <w:lang w:eastAsia="cs-CZ"/>
            </w:rPr>
          </w:pPr>
          <w:hyperlink w:anchor="_Toc386145977" w:history="1">
            <w:r w:rsidR="00A33B3A" w:rsidRPr="005632B2">
              <w:rPr>
                <w:rStyle w:val="Hypertextovodkaz"/>
                <w:noProof/>
              </w:rPr>
              <w:t>1</w:t>
            </w:r>
            <w:r w:rsidR="00A33B3A">
              <w:rPr>
                <w:rFonts w:asciiTheme="minorHAnsi" w:eastAsiaTheme="minorEastAsia" w:hAnsiTheme="minorHAnsi"/>
                <w:noProof/>
                <w:sz w:val="22"/>
                <w:lang w:eastAsia="cs-CZ"/>
              </w:rPr>
              <w:tab/>
            </w:r>
            <w:r w:rsidR="00A33B3A" w:rsidRPr="005632B2">
              <w:rPr>
                <w:rStyle w:val="Hypertextovodkaz"/>
                <w:noProof/>
              </w:rPr>
              <w:t>KOMPARACE FONDŮ KOLEKTIVNÍHO INVESTOVÁNÍ A ETF</w:t>
            </w:r>
            <w:r w:rsidR="00A33B3A">
              <w:rPr>
                <w:noProof/>
                <w:webHidden/>
              </w:rPr>
              <w:tab/>
            </w:r>
            <w:r>
              <w:rPr>
                <w:noProof/>
                <w:webHidden/>
              </w:rPr>
              <w:fldChar w:fldCharType="begin"/>
            </w:r>
            <w:r w:rsidR="00A33B3A">
              <w:rPr>
                <w:noProof/>
                <w:webHidden/>
              </w:rPr>
              <w:instrText xml:space="preserve"> PAGEREF _Toc386145977 \h </w:instrText>
            </w:r>
            <w:r>
              <w:rPr>
                <w:noProof/>
                <w:webHidden/>
              </w:rPr>
            </w:r>
            <w:r>
              <w:rPr>
                <w:noProof/>
                <w:webHidden/>
              </w:rPr>
              <w:fldChar w:fldCharType="separate"/>
            </w:r>
            <w:r w:rsidR="00A33B3A">
              <w:rPr>
                <w:noProof/>
                <w:webHidden/>
              </w:rPr>
              <w:t>12</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5978" w:history="1">
            <w:r w:rsidR="00A33B3A" w:rsidRPr="005632B2">
              <w:rPr>
                <w:rStyle w:val="Hypertextovodkaz"/>
                <w:noProof/>
              </w:rPr>
              <w:t>1.1</w:t>
            </w:r>
            <w:r w:rsidR="00A33B3A">
              <w:rPr>
                <w:rFonts w:asciiTheme="minorHAnsi" w:eastAsiaTheme="minorEastAsia" w:hAnsiTheme="minorHAnsi"/>
                <w:noProof/>
                <w:sz w:val="22"/>
                <w:lang w:eastAsia="cs-CZ"/>
              </w:rPr>
              <w:tab/>
            </w:r>
            <w:r w:rsidR="00A33B3A" w:rsidRPr="005632B2">
              <w:rPr>
                <w:rStyle w:val="Hypertextovodkaz"/>
                <w:noProof/>
              </w:rPr>
              <w:t>Kolektivní investování a jeho formy</w:t>
            </w:r>
            <w:r w:rsidR="00A33B3A">
              <w:rPr>
                <w:noProof/>
                <w:webHidden/>
              </w:rPr>
              <w:tab/>
            </w:r>
            <w:r>
              <w:rPr>
                <w:noProof/>
                <w:webHidden/>
              </w:rPr>
              <w:fldChar w:fldCharType="begin"/>
            </w:r>
            <w:r w:rsidR="00A33B3A">
              <w:rPr>
                <w:noProof/>
                <w:webHidden/>
              </w:rPr>
              <w:instrText xml:space="preserve"> PAGEREF _Toc386145978 \h </w:instrText>
            </w:r>
            <w:r>
              <w:rPr>
                <w:noProof/>
                <w:webHidden/>
              </w:rPr>
            </w:r>
            <w:r>
              <w:rPr>
                <w:noProof/>
                <w:webHidden/>
              </w:rPr>
              <w:fldChar w:fldCharType="separate"/>
            </w:r>
            <w:r w:rsidR="00A33B3A">
              <w:rPr>
                <w:noProof/>
                <w:webHidden/>
              </w:rPr>
              <w:t>12</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79" w:history="1">
            <w:r w:rsidR="00A33B3A" w:rsidRPr="005632B2">
              <w:rPr>
                <w:rStyle w:val="Hypertextovodkaz"/>
                <w:rFonts w:cs="Times New Roman"/>
                <w:noProof/>
              </w:rPr>
              <w:t>1.1.1</w:t>
            </w:r>
            <w:r w:rsidR="00A33B3A">
              <w:rPr>
                <w:rFonts w:asciiTheme="minorHAnsi" w:eastAsiaTheme="minorEastAsia" w:hAnsiTheme="minorHAnsi"/>
                <w:noProof/>
                <w:sz w:val="22"/>
                <w:lang w:eastAsia="cs-CZ"/>
              </w:rPr>
              <w:tab/>
            </w:r>
            <w:r w:rsidR="00A33B3A" w:rsidRPr="005632B2">
              <w:rPr>
                <w:rStyle w:val="Hypertextovodkaz"/>
                <w:noProof/>
              </w:rPr>
              <w:t>Charakteristika kolektivního investování</w:t>
            </w:r>
            <w:r w:rsidR="00A33B3A">
              <w:rPr>
                <w:noProof/>
                <w:webHidden/>
              </w:rPr>
              <w:tab/>
            </w:r>
            <w:r>
              <w:rPr>
                <w:noProof/>
                <w:webHidden/>
              </w:rPr>
              <w:fldChar w:fldCharType="begin"/>
            </w:r>
            <w:r w:rsidR="00A33B3A">
              <w:rPr>
                <w:noProof/>
                <w:webHidden/>
              </w:rPr>
              <w:instrText xml:space="preserve"> PAGEREF _Toc386145979 \h </w:instrText>
            </w:r>
            <w:r>
              <w:rPr>
                <w:noProof/>
                <w:webHidden/>
              </w:rPr>
            </w:r>
            <w:r>
              <w:rPr>
                <w:noProof/>
                <w:webHidden/>
              </w:rPr>
              <w:fldChar w:fldCharType="separate"/>
            </w:r>
            <w:r w:rsidR="00A33B3A">
              <w:rPr>
                <w:noProof/>
                <w:webHidden/>
              </w:rPr>
              <w:t>12</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0" w:history="1">
            <w:r w:rsidR="00A33B3A" w:rsidRPr="005632B2">
              <w:rPr>
                <w:rStyle w:val="Hypertextovodkaz"/>
                <w:rFonts w:cs="Times New Roman"/>
                <w:noProof/>
              </w:rPr>
              <w:t>1.1.2</w:t>
            </w:r>
            <w:r w:rsidR="00A33B3A">
              <w:rPr>
                <w:rFonts w:asciiTheme="minorHAnsi" w:eastAsiaTheme="minorEastAsia" w:hAnsiTheme="minorHAnsi"/>
                <w:noProof/>
                <w:sz w:val="22"/>
                <w:lang w:eastAsia="cs-CZ"/>
              </w:rPr>
              <w:tab/>
            </w:r>
            <w:r w:rsidR="00A33B3A" w:rsidRPr="005632B2">
              <w:rPr>
                <w:rStyle w:val="Hypertextovodkaz"/>
                <w:noProof/>
              </w:rPr>
              <w:t>Podílové fondy</w:t>
            </w:r>
            <w:r w:rsidR="00A33B3A">
              <w:rPr>
                <w:noProof/>
                <w:webHidden/>
              </w:rPr>
              <w:tab/>
            </w:r>
            <w:r>
              <w:rPr>
                <w:noProof/>
                <w:webHidden/>
              </w:rPr>
              <w:fldChar w:fldCharType="begin"/>
            </w:r>
            <w:r w:rsidR="00A33B3A">
              <w:rPr>
                <w:noProof/>
                <w:webHidden/>
              </w:rPr>
              <w:instrText xml:space="preserve"> PAGEREF _Toc386145980 \h </w:instrText>
            </w:r>
            <w:r>
              <w:rPr>
                <w:noProof/>
                <w:webHidden/>
              </w:rPr>
            </w:r>
            <w:r>
              <w:rPr>
                <w:noProof/>
                <w:webHidden/>
              </w:rPr>
              <w:fldChar w:fldCharType="separate"/>
            </w:r>
            <w:r w:rsidR="00A33B3A">
              <w:rPr>
                <w:noProof/>
                <w:webHidden/>
              </w:rPr>
              <w:t>15</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1" w:history="1">
            <w:r w:rsidR="00A33B3A" w:rsidRPr="005632B2">
              <w:rPr>
                <w:rStyle w:val="Hypertextovodkaz"/>
                <w:rFonts w:cs="Times New Roman"/>
                <w:noProof/>
              </w:rPr>
              <w:t>1.1.3</w:t>
            </w:r>
            <w:r w:rsidR="00A33B3A">
              <w:rPr>
                <w:rFonts w:asciiTheme="minorHAnsi" w:eastAsiaTheme="minorEastAsia" w:hAnsiTheme="minorHAnsi"/>
                <w:noProof/>
                <w:sz w:val="22"/>
                <w:lang w:eastAsia="cs-CZ"/>
              </w:rPr>
              <w:tab/>
            </w:r>
            <w:r w:rsidR="00A33B3A" w:rsidRPr="005632B2">
              <w:rPr>
                <w:rStyle w:val="Hypertextovodkaz"/>
                <w:noProof/>
              </w:rPr>
              <w:t>Investiční fondy</w:t>
            </w:r>
            <w:r w:rsidR="00A33B3A">
              <w:rPr>
                <w:noProof/>
                <w:webHidden/>
              </w:rPr>
              <w:tab/>
            </w:r>
            <w:r>
              <w:rPr>
                <w:noProof/>
                <w:webHidden/>
              </w:rPr>
              <w:fldChar w:fldCharType="begin"/>
            </w:r>
            <w:r w:rsidR="00A33B3A">
              <w:rPr>
                <w:noProof/>
                <w:webHidden/>
              </w:rPr>
              <w:instrText xml:space="preserve"> PAGEREF _Toc386145981 \h </w:instrText>
            </w:r>
            <w:r>
              <w:rPr>
                <w:noProof/>
                <w:webHidden/>
              </w:rPr>
            </w:r>
            <w:r>
              <w:rPr>
                <w:noProof/>
                <w:webHidden/>
              </w:rPr>
              <w:fldChar w:fldCharType="separate"/>
            </w:r>
            <w:r w:rsidR="00A33B3A">
              <w:rPr>
                <w:noProof/>
                <w:webHidden/>
              </w:rPr>
              <w:t>16</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5982" w:history="1">
            <w:r w:rsidR="00A33B3A" w:rsidRPr="005632B2">
              <w:rPr>
                <w:rStyle w:val="Hypertextovodkaz"/>
                <w:noProof/>
              </w:rPr>
              <w:t>1.2</w:t>
            </w:r>
            <w:r w:rsidR="00A33B3A">
              <w:rPr>
                <w:rFonts w:asciiTheme="minorHAnsi" w:eastAsiaTheme="minorEastAsia" w:hAnsiTheme="minorHAnsi"/>
                <w:noProof/>
                <w:sz w:val="22"/>
                <w:lang w:eastAsia="cs-CZ"/>
              </w:rPr>
              <w:tab/>
            </w:r>
            <w:r w:rsidR="00A33B3A" w:rsidRPr="005632B2">
              <w:rPr>
                <w:rStyle w:val="Hypertextovodkaz"/>
                <w:noProof/>
              </w:rPr>
              <w:t>Rizika spojená s fondy kolektivního investování a ETF</w:t>
            </w:r>
            <w:r w:rsidR="00A33B3A">
              <w:rPr>
                <w:noProof/>
                <w:webHidden/>
              </w:rPr>
              <w:tab/>
            </w:r>
            <w:r>
              <w:rPr>
                <w:noProof/>
                <w:webHidden/>
              </w:rPr>
              <w:fldChar w:fldCharType="begin"/>
            </w:r>
            <w:r w:rsidR="00A33B3A">
              <w:rPr>
                <w:noProof/>
                <w:webHidden/>
              </w:rPr>
              <w:instrText xml:space="preserve"> PAGEREF _Toc386145982 \h </w:instrText>
            </w:r>
            <w:r>
              <w:rPr>
                <w:noProof/>
                <w:webHidden/>
              </w:rPr>
            </w:r>
            <w:r>
              <w:rPr>
                <w:noProof/>
                <w:webHidden/>
              </w:rPr>
              <w:fldChar w:fldCharType="separate"/>
            </w:r>
            <w:r w:rsidR="00A33B3A">
              <w:rPr>
                <w:noProof/>
                <w:webHidden/>
              </w:rPr>
              <w:t>17</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5983" w:history="1">
            <w:r w:rsidR="00A33B3A" w:rsidRPr="005632B2">
              <w:rPr>
                <w:rStyle w:val="Hypertextovodkaz"/>
                <w:noProof/>
              </w:rPr>
              <w:t>1.3</w:t>
            </w:r>
            <w:r w:rsidR="00A33B3A">
              <w:rPr>
                <w:rFonts w:asciiTheme="minorHAnsi" w:eastAsiaTheme="minorEastAsia" w:hAnsiTheme="minorHAnsi"/>
                <w:noProof/>
                <w:sz w:val="22"/>
                <w:lang w:eastAsia="cs-CZ"/>
              </w:rPr>
              <w:tab/>
            </w:r>
            <w:r w:rsidR="00A33B3A" w:rsidRPr="005632B2">
              <w:rPr>
                <w:rStyle w:val="Hypertextovodkaz"/>
                <w:noProof/>
              </w:rPr>
              <w:t>Charakteristika a vývoj ETFs</w:t>
            </w:r>
            <w:r w:rsidR="00A33B3A">
              <w:rPr>
                <w:noProof/>
                <w:webHidden/>
              </w:rPr>
              <w:tab/>
            </w:r>
            <w:r>
              <w:rPr>
                <w:noProof/>
                <w:webHidden/>
              </w:rPr>
              <w:fldChar w:fldCharType="begin"/>
            </w:r>
            <w:r w:rsidR="00A33B3A">
              <w:rPr>
                <w:noProof/>
                <w:webHidden/>
              </w:rPr>
              <w:instrText xml:space="preserve"> PAGEREF _Toc386145983 \h </w:instrText>
            </w:r>
            <w:r>
              <w:rPr>
                <w:noProof/>
                <w:webHidden/>
              </w:rPr>
            </w:r>
            <w:r>
              <w:rPr>
                <w:noProof/>
                <w:webHidden/>
              </w:rPr>
              <w:fldChar w:fldCharType="separate"/>
            </w:r>
            <w:r w:rsidR="00A33B3A">
              <w:rPr>
                <w:noProof/>
                <w:webHidden/>
              </w:rPr>
              <w:t>18</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4" w:history="1">
            <w:r w:rsidR="00A33B3A" w:rsidRPr="005632B2">
              <w:rPr>
                <w:rStyle w:val="Hypertextovodkaz"/>
                <w:rFonts w:cs="Times New Roman"/>
                <w:noProof/>
              </w:rPr>
              <w:t>1.3.1</w:t>
            </w:r>
            <w:r w:rsidR="00A33B3A">
              <w:rPr>
                <w:rFonts w:asciiTheme="minorHAnsi" w:eastAsiaTheme="minorEastAsia" w:hAnsiTheme="minorHAnsi"/>
                <w:noProof/>
                <w:sz w:val="22"/>
                <w:lang w:eastAsia="cs-CZ"/>
              </w:rPr>
              <w:tab/>
            </w:r>
            <w:r w:rsidR="00A33B3A" w:rsidRPr="005632B2">
              <w:rPr>
                <w:rStyle w:val="Hypertextovodkaz"/>
                <w:noProof/>
              </w:rPr>
              <w:t>Charakteristika, vznik a vývoj ETFs</w:t>
            </w:r>
            <w:r w:rsidR="00A33B3A">
              <w:rPr>
                <w:noProof/>
                <w:webHidden/>
              </w:rPr>
              <w:tab/>
            </w:r>
            <w:r>
              <w:rPr>
                <w:noProof/>
                <w:webHidden/>
              </w:rPr>
              <w:fldChar w:fldCharType="begin"/>
            </w:r>
            <w:r w:rsidR="00A33B3A">
              <w:rPr>
                <w:noProof/>
                <w:webHidden/>
              </w:rPr>
              <w:instrText xml:space="preserve"> PAGEREF _Toc386145984 \h </w:instrText>
            </w:r>
            <w:r>
              <w:rPr>
                <w:noProof/>
                <w:webHidden/>
              </w:rPr>
            </w:r>
            <w:r>
              <w:rPr>
                <w:noProof/>
                <w:webHidden/>
              </w:rPr>
              <w:fldChar w:fldCharType="separate"/>
            </w:r>
            <w:r w:rsidR="00A33B3A">
              <w:rPr>
                <w:noProof/>
                <w:webHidden/>
              </w:rPr>
              <w:t>18</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5" w:history="1">
            <w:r w:rsidR="00A33B3A" w:rsidRPr="005632B2">
              <w:rPr>
                <w:rStyle w:val="Hypertextovodkaz"/>
                <w:rFonts w:cs="Times New Roman"/>
                <w:noProof/>
              </w:rPr>
              <w:t>1.3.2</w:t>
            </w:r>
            <w:r w:rsidR="00A33B3A">
              <w:rPr>
                <w:rFonts w:asciiTheme="minorHAnsi" w:eastAsiaTheme="minorEastAsia" w:hAnsiTheme="minorHAnsi"/>
                <w:noProof/>
                <w:sz w:val="22"/>
                <w:lang w:eastAsia="cs-CZ"/>
              </w:rPr>
              <w:tab/>
            </w:r>
            <w:r w:rsidR="00A33B3A" w:rsidRPr="005632B2">
              <w:rPr>
                <w:rStyle w:val="Hypertextovodkaz"/>
                <w:noProof/>
              </w:rPr>
              <w:t>Právní vymezení ETF</w:t>
            </w:r>
            <w:r w:rsidR="00A33B3A">
              <w:rPr>
                <w:noProof/>
                <w:webHidden/>
              </w:rPr>
              <w:tab/>
            </w:r>
            <w:r>
              <w:rPr>
                <w:noProof/>
                <w:webHidden/>
              </w:rPr>
              <w:fldChar w:fldCharType="begin"/>
            </w:r>
            <w:r w:rsidR="00A33B3A">
              <w:rPr>
                <w:noProof/>
                <w:webHidden/>
              </w:rPr>
              <w:instrText xml:space="preserve"> PAGEREF _Toc386145985 \h </w:instrText>
            </w:r>
            <w:r>
              <w:rPr>
                <w:noProof/>
                <w:webHidden/>
              </w:rPr>
            </w:r>
            <w:r>
              <w:rPr>
                <w:noProof/>
                <w:webHidden/>
              </w:rPr>
              <w:fldChar w:fldCharType="separate"/>
            </w:r>
            <w:r w:rsidR="00A33B3A">
              <w:rPr>
                <w:noProof/>
                <w:webHidden/>
              </w:rPr>
              <w:t>24</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6" w:history="1">
            <w:r w:rsidR="00A33B3A" w:rsidRPr="005632B2">
              <w:rPr>
                <w:rStyle w:val="Hypertextovodkaz"/>
                <w:rFonts w:cs="Times New Roman"/>
                <w:noProof/>
              </w:rPr>
              <w:t>1.3.3</w:t>
            </w:r>
            <w:r w:rsidR="00A33B3A">
              <w:rPr>
                <w:rFonts w:asciiTheme="minorHAnsi" w:eastAsiaTheme="minorEastAsia" w:hAnsiTheme="minorHAnsi"/>
                <w:noProof/>
                <w:sz w:val="22"/>
                <w:lang w:eastAsia="cs-CZ"/>
              </w:rPr>
              <w:tab/>
            </w:r>
            <w:r w:rsidR="00A33B3A" w:rsidRPr="005632B2">
              <w:rPr>
                <w:rStyle w:val="Hypertextovodkaz"/>
                <w:noProof/>
              </w:rPr>
              <w:t>ETF jako forma investice</w:t>
            </w:r>
            <w:r w:rsidR="00A33B3A">
              <w:rPr>
                <w:noProof/>
                <w:webHidden/>
              </w:rPr>
              <w:tab/>
            </w:r>
            <w:r>
              <w:rPr>
                <w:noProof/>
                <w:webHidden/>
              </w:rPr>
              <w:fldChar w:fldCharType="begin"/>
            </w:r>
            <w:r w:rsidR="00A33B3A">
              <w:rPr>
                <w:noProof/>
                <w:webHidden/>
              </w:rPr>
              <w:instrText xml:space="preserve"> PAGEREF _Toc386145986 \h </w:instrText>
            </w:r>
            <w:r>
              <w:rPr>
                <w:noProof/>
                <w:webHidden/>
              </w:rPr>
            </w:r>
            <w:r>
              <w:rPr>
                <w:noProof/>
                <w:webHidden/>
              </w:rPr>
              <w:fldChar w:fldCharType="separate"/>
            </w:r>
            <w:r w:rsidR="00A33B3A">
              <w:rPr>
                <w:noProof/>
                <w:webHidden/>
              </w:rPr>
              <w:t>26</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87" w:history="1">
            <w:r w:rsidR="00A33B3A" w:rsidRPr="005632B2">
              <w:rPr>
                <w:rStyle w:val="Hypertextovodkaz"/>
                <w:noProof/>
              </w:rPr>
              <w:t>1.3.3.1</w:t>
            </w:r>
            <w:r w:rsidR="00A33B3A">
              <w:rPr>
                <w:rFonts w:asciiTheme="minorHAnsi" w:eastAsiaTheme="minorEastAsia" w:hAnsiTheme="minorHAnsi"/>
                <w:noProof/>
                <w:sz w:val="22"/>
                <w:lang w:eastAsia="cs-CZ"/>
              </w:rPr>
              <w:tab/>
            </w:r>
            <w:r w:rsidR="00A33B3A" w:rsidRPr="005632B2">
              <w:rPr>
                <w:rStyle w:val="Hypertextovodkaz"/>
                <w:noProof/>
              </w:rPr>
              <w:t>Proces vzniku a konstrukce ETF</w:t>
            </w:r>
            <w:r w:rsidR="00A33B3A">
              <w:rPr>
                <w:noProof/>
                <w:webHidden/>
              </w:rPr>
              <w:tab/>
            </w:r>
            <w:r>
              <w:rPr>
                <w:noProof/>
                <w:webHidden/>
              </w:rPr>
              <w:fldChar w:fldCharType="begin"/>
            </w:r>
            <w:r w:rsidR="00A33B3A">
              <w:rPr>
                <w:noProof/>
                <w:webHidden/>
              </w:rPr>
              <w:instrText xml:space="preserve"> PAGEREF _Toc386145987 \h </w:instrText>
            </w:r>
            <w:r>
              <w:rPr>
                <w:noProof/>
                <w:webHidden/>
              </w:rPr>
            </w:r>
            <w:r>
              <w:rPr>
                <w:noProof/>
                <w:webHidden/>
              </w:rPr>
              <w:fldChar w:fldCharType="separate"/>
            </w:r>
            <w:r w:rsidR="00A33B3A">
              <w:rPr>
                <w:noProof/>
                <w:webHidden/>
              </w:rPr>
              <w:t>26</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88" w:history="1">
            <w:r w:rsidR="00A33B3A" w:rsidRPr="005632B2">
              <w:rPr>
                <w:rStyle w:val="Hypertextovodkaz"/>
                <w:noProof/>
              </w:rPr>
              <w:t>1.3.3.2</w:t>
            </w:r>
            <w:r w:rsidR="00A33B3A">
              <w:rPr>
                <w:rFonts w:asciiTheme="minorHAnsi" w:eastAsiaTheme="minorEastAsia" w:hAnsiTheme="minorHAnsi"/>
                <w:noProof/>
                <w:sz w:val="22"/>
                <w:lang w:eastAsia="cs-CZ"/>
              </w:rPr>
              <w:tab/>
            </w:r>
            <w:r w:rsidR="00A33B3A" w:rsidRPr="005632B2">
              <w:rPr>
                <w:rStyle w:val="Hypertextovodkaz"/>
                <w:noProof/>
              </w:rPr>
              <w:t>Oceňování ETF</w:t>
            </w:r>
            <w:r w:rsidR="00A33B3A">
              <w:rPr>
                <w:noProof/>
                <w:webHidden/>
              </w:rPr>
              <w:tab/>
            </w:r>
            <w:r>
              <w:rPr>
                <w:noProof/>
                <w:webHidden/>
              </w:rPr>
              <w:fldChar w:fldCharType="begin"/>
            </w:r>
            <w:r w:rsidR="00A33B3A">
              <w:rPr>
                <w:noProof/>
                <w:webHidden/>
              </w:rPr>
              <w:instrText xml:space="preserve"> PAGEREF _Toc386145988 \h </w:instrText>
            </w:r>
            <w:r>
              <w:rPr>
                <w:noProof/>
                <w:webHidden/>
              </w:rPr>
            </w:r>
            <w:r>
              <w:rPr>
                <w:noProof/>
                <w:webHidden/>
              </w:rPr>
              <w:fldChar w:fldCharType="separate"/>
            </w:r>
            <w:r w:rsidR="00A33B3A">
              <w:rPr>
                <w:noProof/>
                <w:webHidden/>
              </w:rPr>
              <w:t>28</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89" w:history="1">
            <w:r w:rsidR="00A33B3A" w:rsidRPr="005632B2">
              <w:rPr>
                <w:rStyle w:val="Hypertextovodkaz"/>
                <w:rFonts w:cs="Times New Roman"/>
                <w:noProof/>
              </w:rPr>
              <w:t>1.3.4</w:t>
            </w:r>
            <w:r w:rsidR="00A33B3A">
              <w:rPr>
                <w:rFonts w:asciiTheme="minorHAnsi" w:eastAsiaTheme="minorEastAsia" w:hAnsiTheme="minorHAnsi"/>
                <w:noProof/>
                <w:sz w:val="22"/>
                <w:lang w:eastAsia="cs-CZ"/>
              </w:rPr>
              <w:tab/>
            </w:r>
            <w:r w:rsidR="00A33B3A" w:rsidRPr="005632B2">
              <w:rPr>
                <w:rStyle w:val="Hypertextovodkaz"/>
                <w:noProof/>
              </w:rPr>
              <w:t>Pozitiva a negativa ETFs</w:t>
            </w:r>
            <w:r w:rsidR="00A33B3A">
              <w:rPr>
                <w:noProof/>
                <w:webHidden/>
              </w:rPr>
              <w:tab/>
            </w:r>
            <w:r>
              <w:rPr>
                <w:noProof/>
                <w:webHidden/>
              </w:rPr>
              <w:fldChar w:fldCharType="begin"/>
            </w:r>
            <w:r w:rsidR="00A33B3A">
              <w:rPr>
                <w:noProof/>
                <w:webHidden/>
              </w:rPr>
              <w:instrText xml:space="preserve"> PAGEREF _Toc386145989 \h </w:instrText>
            </w:r>
            <w:r>
              <w:rPr>
                <w:noProof/>
                <w:webHidden/>
              </w:rPr>
            </w:r>
            <w:r>
              <w:rPr>
                <w:noProof/>
                <w:webHidden/>
              </w:rPr>
              <w:fldChar w:fldCharType="separate"/>
            </w:r>
            <w:r w:rsidR="00A33B3A">
              <w:rPr>
                <w:noProof/>
                <w:webHidden/>
              </w:rPr>
              <w:t>32</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0" w:history="1">
            <w:r w:rsidR="00A33B3A" w:rsidRPr="005632B2">
              <w:rPr>
                <w:rStyle w:val="Hypertextovodkaz"/>
                <w:noProof/>
              </w:rPr>
              <w:t>1.3.4.1</w:t>
            </w:r>
            <w:r w:rsidR="00A33B3A">
              <w:rPr>
                <w:rFonts w:asciiTheme="minorHAnsi" w:eastAsiaTheme="minorEastAsia" w:hAnsiTheme="minorHAnsi"/>
                <w:noProof/>
                <w:sz w:val="22"/>
                <w:lang w:eastAsia="cs-CZ"/>
              </w:rPr>
              <w:tab/>
            </w:r>
            <w:r w:rsidR="00A33B3A" w:rsidRPr="005632B2">
              <w:rPr>
                <w:rStyle w:val="Hypertextovodkaz"/>
                <w:noProof/>
              </w:rPr>
              <w:t>Výhody ETFs</w:t>
            </w:r>
            <w:r w:rsidR="00A33B3A">
              <w:rPr>
                <w:noProof/>
                <w:webHidden/>
              </w:rPr>
              <w:tab/>
            </w:r>
            <w:r>
              <w:rPr>
                <w:noProof/>
                <w:webHidden/>
              </w:rPr>
              <w:fldChar w:fldCharType="begin"/>
            </w:r>
            <w:r w:rsidR="00A33B3A">
              <w:rPr>
                <w:noProof/>
                <w:webHidden/>
              </w:rPr>
              <w:instrText xml:space="preserve"> PAGEREF _Toc386145990 \h </w:instrText>
            </w:r>
            <w:r>
              <w:rPr>
                <w:noProof/>
                <w:webHidden/>
              </w:rPr>
            </w:r>
            <w:r>
              <w:rPr>
                <w:noProof/>
                <w:webHidden/>
              </w:rPr>
              <w:fldChar w:fldCharType="separate"/>
            </w:r>
            <w:r w:rsidR="00A33B3A">
              <w:rPr>
                <w:noProof/>
                <w:webHidden/>
              </w:rPr>
              <w:t>32</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1" w:history="1">
            <w:r w:rsidR="00A33B3A" w:rsidRPr="005632B2">
              <w:rPr>
                <w:rStyle w:val="Hypertextovodkaz"/>
                <w:noProof/>
              </w:rPr>
              <w:t>1.3.4.2</w:t>
            </w:r>
            <w:r w:rsidR="00A33B3A">
              <w:rPr>
                <w:rFonts w:asciiTheme="minorHAnsi" w:eastAsiaTheme="minorEastAsia" w:hAnsiTheme="minorHAnsi"/>
                <w:noProof/>
                <w:sz w:val="22"/>
                <w:lang w:eastAsia="cs-CZ"/>
              </w:rPr>
              <w:tab/>
            </w:r>
            <w:r w:rsidR="00A33B3A" w:rsidRPr="005632B2">
              <w:rPr>
                <w:rStyle w:val="Hypertextovodkaz"/>
                <w:noProof/>
              </w:rPr>
              <w:t>Nevýhody ETFs</w:t>
            </w:r>
            <w:r w:rsidR="00A33B3A">
              <w:rPr>
                <w:noProof/>
                <w:webHidden/>
              </w:rPr>
              <w:tab/>
            </w:r>
            <w:r>
              <w:rPr>
                <w:noProof/>
                <w:webHidden/>
              </w:rPr>
              <w:fldChar w:fldCharType="begin"/>
            </w:r>
            <w:r w:rsidR="00A33B3A">
              <w:rPr>
                <w:noProof/>
                <w:webHidden/>
              </w:rPr>
              <w:instrText xml:space="preserve"> PAGEREF _Toc386145991 \h </w:instrText>
            </w:r>
            <w:r>
              <w:rPr>
                <w:noProof/>
                <w:webHidden/>
              </w:rPr>
            </w:r>
            <w:r>
              <w:rPr>
                <w:noProof/>
                <w:webHidden/>
              </w:rPr>
              <w:fldChar w:fldCharType="separate"/>
            </w:r>
            <w:r w:rsidR="00A33B3A">
              <w:rPr>
                <w:noProof/>
                <w:webHidden/>
              </w:rPr>
              <w:t>33</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92" w:history="1">
            <w:r w:rsidR="00A33B3A" w:rsidRPr="005632B2">
              <w:rPr>
                <w:rStyle w:val="Hypertextovodkaz"/>
                <w:rFonts w:cs="Times New Roman"/>
                <w:noProof/>
              </w:rPr>
              <w:t>1.3.5</w:t>
            </w:r>
            <w:r w:rsidR="00A33B3A">
              <w:rPr>
                <w:rFonts w:asciiTheme="minorHAnsi" w:eastAsiaTheme="minorEastAsia" w:hAnsiTheme="minorHAnsi"/>
                <w:noProof/>
                <w:sz w:val="22"/>
                <w:lang w:eastAsia="cs-CZ"/>
              </w:rPr>
              <w:tab/>
            </w:r>
            <w:r w:rsidR="00A33B3A" w:rsidRPr="005632B2">
              <w:rPr>
                <w:rStyle w:val="Hypertextovodkaz"/>
                <w:noProof/>
              </w:rPr>
              <w:t>Dělení ETFs</w:t>
            </w:r>
            <w:r w:rsidR="00A33B3A">
              <w:rPr>
                <w:noProof/>
                <w:webHidden/>
              </w:rPr>
              <w:tab/>
            </w:r>
            <w:r>
              <w:rPr>
                <w:noProof/>
                <w:webHidden/>
              </w:rPr>
              <w:fldChar w:fldCharType="begin"/>
            </w:r>
            <w:r w:rsidR="00A33B3A">
              <w:rPr>
                <w:noProof/>
                <w:webHidden/>
              </w:rPr>
              <w:instrText xml:space="preserve"> PAGEREF _Toc386145992 \h </w:instrText>
            </w:r>
            <w:r>
              <w:rPr>
                <w:noProof/>
                <w:webHidden/>
              </w:rPr>
            </w:r>
            <w:r>
              <w:rPr>
                <w:noProof/>
                <w:webHidden/>
              </w:rPr>
              <w:fldChar w:fldCharType="separate"/>
            </w:r>
            <w:r w:rsidR="00A33B3A">
              <w:rPr>
                <w:noProof/>
                <w:webHidden/>
              </w:rPr>
              <w:t>34</w:t>
            </w:r>
            <w:r>
              <w:rPr>
                <w:noProof/>
                <w:webHidden/>
              </w:rPr>
              <w:fldChar w:fldCharType="end"/>
            </w:r>
          </w:hyperlink>
        </w:p>
        <w:p w:rsidR="00A33B3A" w:rsidRDefault="008B79C7">
          <w:pPr>
            <w:pStyle w:val="Obsah1"/>
            <w:tabs>
              <w:tab w:val="left" w:pos="480"/>
              <w:tab w:val="right" w:leader="dot" w:pos="9060"/>
            </w:tabs>
            <w:rPr>
              <w:rFonts w:asciiTheme="minorHAnsi" w:eastAsiaTheme="minorEastAsia" w:hAnsiTheme="minorHAnsi"/>
              <w:noProof/>
              <w:sz w:val="22"/>
              <w:lang w:eastAsia="cs-CZ"/>
            </w:rPr>
          </w:pPr>
          <w:hyperlink w:anchor="_Toc386145993" w:history="1">
            <w:r w:rsidR="00A33B3A" w:rsidRPr="005632B2">
              <w:rPr>
                <w:rStyle w:val="Hypertextovodkaz"/>
                <w:noProof/>
              </w:rPr>
              <w:t>2</w:t>
            </w:r>
            <w:r w:rsidR="00A33B3A">
              <w:rPr>
                <w:rFonts w:asciiTheme="minorHAnsi" w:eastAsiaTheme="minorEastAsia" w:hAnsiTheme="minorHAnsi"/>
                <w:noProof/>
                <w:sz w:val="22"/>
                <w:lang w:eastAsia="cs-CZ"/>
              </w:rPr>
              <w:tab/>
            </w:r>
            <w:r w:rsidR="00A33B3A" w:rsidRPr="005632B2">
              <w:rPr>
                <w:rStyle w:val="Hypertextovodkaz"/>
                <w:noProof/>
              </w:rPr>
              <w:t>ANALÝZA TRHU EXCHANGE TRADED FUNDs</w:t>
            </w:r>
            <w:r w:rsidR="00A33B3A">
              <w:rPr>
                <w:noProof/>
                <w:webHidden/>
              </w:rPr>
              <w:tab/>
            </w:r>
            <w:r>
              <w:rPr>
                <w:noProof/>
                <w:webHidden/>
              </w:rPr>
              <w:fldChar w:fldCharType="begin"/>
            </w:r>
            <w:r w:rsidR="00A33B3A">
              <w:rPr>
                <w:noProof/>
                <w:webHidden/>
              </w:rPr>
              <w:instrText xml:space="preserve"> PAGEREF _Toc386145993 \h </w:instrText>
            </w:r>
            <w:r>
              <w:rPr>
                <w:noProof/>
                <w:webHidden/>
              </w:rPr>
            </w:r>
            <w:r>
              <w:rPr>
                <w:noProof/>
                <w:webHidden/>
              </w:rPr>
              <w:fldChar w:fldCharType="separate"/>
            </w:r>
            <w:r w:rsidR="00A33B3A">
              <w:rPr>
                <w:noProof/>
                <w:webHidden/>
              </w:rPr>
              <w:t>40</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5994" w:history="1">
            <w:r w:rsidR="00A33B3A" w:rsidRPr="005632B2">
              <w:rPr>
                <w:rStyle w:val="Hypertextovodkaz"/>
                <w:noProof/>
              </w:rPr>
              <w:t>2.1</w:t>
            </w:r>
            <w:r w:rsidR="00A33B3A">
              <w:rPr>
                <w:rFonts w:asciiTheme="minorHAnsi" w:eastAsiaTheme="minorEastAsia" w:hAnsiTheme="minorHAnsi"/>
                <w:noProof/>
                <w:sz w:val="22"/>
                <w:lang w:eastAsia="cs-CZ"/>
              </w:rPr>
              <w:tab/>
            </w:r>
            <w:r w:rsidR="00A33B3A" w:rsidRPr="005632B2">
              <w:rPr>
                <w:rStyle w:val="Hypertextovodkaz"/>
                <w:noProof/>
              </w:rPr>
              <w:t>Možnosti investováním prostřednictvím ETP</w:t>
            </w:r>
            <w:r w:rsidR="00A33B3A">
              <w:rPr>
                <w:noProof/>
                <w:webHidden/>
              </w:rPr>
              <w:tab/>
            </w:r>
            <w:r>
              <w:rPr>
                <w:noProof/>
                <w:webHidden/>
              </w:rPr>
              <w:fldChar w:fldCharType="begin"/>
            </w:r>
            <w:r w:rsidR="00A33B3A">
              <w:rPr>
                <w:noProof/>
                <w:webHidden/>
              </w:rPr>
              <w:instrText xml:space="preserve"> PAGEREF _Toc386145994 \h </w:instrText>
            </w:r>
            <w:r>
              <w:rPr>
                <w:noProof/>
                <w:webHidden/>
              </w:rPr>
            </w:r>
            <w:r>
              <w:rPr>
                <w:noProof/>
                <w:webHidden/>
              </w:rPr>
              <w:fldChar w:fldCharType="separate"/>
            </w:r>
            <w:r w:rsidR="00A33B3A">
              <w:rPr>
                <w:noProof/>
                <w:webHidden/>
              </w:rPr>
              <w:t>40</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5995" w:history="1">
            <w:r w:rsidR="00A33B3A" w:rsidRPr="005632B2">
              <w:rPr>
                <w:rStyle w:val="Hypertextovodkaz"/>
                <w:rFonts w:cs="Times New Roman"/>
                <w:noProof/>
              </w:rPr>
              <w:t>2.1.1</w:t>
            </w:r>
            <w:r w:rsidR="00A33B3A">
              <w:rPr>
                <w:rFonts w:asciiTheme="minorHAnsi" w:eastAsiaTheme="minorEastAsia" w:hAnsiTheme="minorHAnsi"/>
                <w:noProof/>
                <w:sz w:val="22"/>
                <w:lang w:eastAsia="cs-CZ"/>
              </w:rPr>
              <w:tab/>
            </w:r>
            <w:r w:rsidR="00A33B3A" w:rsidRPr="005632B2">
              <w:rPr>
                <w:rStyle w:val="Hypertextovodkaz"/>
                <w:noProof/>
              </w:rPr>
              <w:t>Analýza největších poskytovatelů ETPs</w:t>
            </w:r>
            <w:r w:rsidR="00A33B3A">
              <w:rPr>
                <w:noProof/>
                <w:webHidden/>
              </w:rPr>
              <w:tab/>
            </w:r>
            <w:r>
              <w:rPr>
                <w:noProof/>
                <w:webHidden/>
              </w:rPr>
              <w:fldChar w:fldCharType="begin"/>
            </w:r>
            <w:r w:rsidR="00A33B3A">
              <w:rPr>
                <w:noProof/>
                <w:webHidden/>
              </w:rPr>
              <w:instrText xml:space="preserve"> PAGEREF _Toc386145995 \h </w:instrText>
            </w:r>
            <w:r>
              <w:rPr>
                <w:noProof/>
                <w:webHidden/>
              </w:rPr>
            </w:r>
            <w:r>
              <w:rPr>
                <w:noProof/>
                <w:webHidden/>
              </w:rPr>
              <w:fldChar w:fldCharType="separate"/>
            </w:r>
            <w:r w:rsidR="00A33B3A">
              <w:rPr>
                <w:noProof/>
                <w:webHidden/>
              </w:rPr>
              <w:t>40</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6" w:history="1">
            <w:r w:rsidR="00A33B3A" w:rsidRPr="005632B2">
              <w:rPr>
                <w:rStyle w:val="Hypertextovodkaz"/>
                <w:noProof/>
              </w:rPr>
              <w:t>2.1.1.1</w:t>
            </w:r>
            <w:r w:rsidR="00A33B3A">
              <w:rPr>
                <w:rFonts w:asciiTheme="minorHAnsi" w:eastAsiaTheme="minorEastAsia" w:hAnsiTheme="minorHAnsi"/>
                <w:noProof/>
                <w:sz w:val="22"/>
                <w:lang w:eastAsia="cs-CZ"/>
              </w:rPr>
              <w:tab/>
            </w:r>
            <w:r w:rsidR="00A33B3A" w:rsidRPr="005632B2">
              <w:rPr>
                <w:rStyle w:val="Hypertextovodkaz"/>
                <w:noProof/>
              </w:rPr>
              <w:t>Skupina iShares</w:t>
            </w:r>
            <w:r w:rsidR="00A33B3A">
              <w:rPr>
                <w:noProof/>
                <w:webHidden/>
              </w:rPr>
              <w:tab/>
            </w:r>
            <w:r>
              <w:rPr>
                <w:noProof/>
                <w:webHidden/>
              </w:rPr>
              <w:fldChar w:fldCharType="begin"/>
            </w:r>
            <w:r w:rsidR="00A33B3A">
              <w:rPr>
                <w:noProof/>
                <w:webHidden/>
              </w:rPr>
              <w:instrText xml:space="preserve"> PAGEREF _Toc386145996 \h </w:instrText>
            </w:r>
            <w:r>
              <w:rPr>
                <w:noProof/>
                <w:webHidden/>
              </w:rPr>
            </w:r>
            <w:r>
              <w:rPr>
                <w:noProof/>
                <w:webHidden/>
              </w:rPr>
              <w:fldChar w:fldCharType="separate"/>
            </w:r>
            <w:r w:rsidR="00A33B3A">
              <w:rPr>
                <w:noProof/>
                <w:webHidden/>
              </w:rPr>
              <w:t>41</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7" w:history="1">
            <w:r w:rsidR="00A33B3A" w:rsidRPr="005632B2">
              <w:rPr>
                <w:rStyle w:val="Hypertextovodkaz"/>
                <w:noProof/>
              </w:rPr>
              <w:t>2.1.1.2</w:t>
            </w:r>
            <w:r w:rsidR="00A33B3A">
              <w:rPr>
                <w:rFonts w:asciiTheme="minorHAnsi" w:eastAsiaTheme="minorEastAsia" w:hAnsiTheme="minorHAnsi"/>
                <w:noProof/>
                <w:sz w:val="22"/>
                <w:lang w:eastAsia="cs-CZ"/>
              </w:rPr>
              <w:tab/>
            </w:r>
            <w:r w:rsidR="00A33B3A" w:rsidRPr="005632B2">
              <w:rPr>
                <w:rStyle w:val="Hypertextovodkaz"/>
                <w:noProof/>
              </w:rPr>
              <w:t>Skupina State Street</w:t>
            </w:r>
            <w:r w:rsidR="00A33B3A">
              <w:rPr>
                <w:noProof/>
                <w:webHidden/>
              </w:rPr>
              <w:tab/>
            </w:r>
            <w:r>
              <w:rPr>
                <w:noProof/>
                <w:webHidden/>
              </w:rPr>
              <w:fldChar w:fldCharType="begin"/>
            </w:r>
            <w:r w:rsidR="00A33B3A">
              <w:rPr>
                <w:noProof/>
                <w:webHidden/>
              </w:rPr>
              <w:instrText xml:space="preserve"> PAGEREF _Toc386145997 \h </w:instrText>
            </w:r>
            <w:r>
              <w:rPr>
                <w:noProof/>
                <w:webHidden/>
              </w:rPr>
            </w:r>
            <w:r>
              <w:rPr>
                <w:noProof/>
                <w:webHidden/>
              </w:rPr>
              <w:fldChar w:fldCharType="separate"/>
            </w:r>
            <w:r w:rsidR="00A33B3A">
              <w:rPr>
                <w:noProof/>
                <w:webHidden/>
              </w:rPr>
              <w:t>42</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8" w:history="1">
            <w:r w:rsidR="00A33B3A" w:rsidRPr="005632B2">
              <w:rPr>
                <w:rStyle w:val="Hypertextovodkaz"/>
                <w:noProof/>
              </w:rPr>
              <w:t>2.1.1.3</w:t>
            </w:r>
            <w:r w:rsidR="00A33B3A">
              <w:rPr>
                <w:rFonts w:asciiTheme="minorHAnsi" w:eastAsiaTheme="minorEastAsia" w:hAnsiTheme="minorHAnsi"/>
                <w:noProof/>
                <w:sz w:val="22"/>
                <w:lang w:eastAsia="cs-CZ"/>
              </w:rPr>
              <w:tab/>
            </w:r>
            <w:r w:rsidR="00A33B3A" w:rsidRPr="005632B2">
              <w:rPr>
                <w:rStyle w:val="Hypertextovodkaz"/>
                <w:noProof/>
              </w:rPr>
              <w:t>Vanguard</w:t>
            </w:r>
            <w:r w:rsidR="00A33B3A">
              <w:rPr>
                <w:noProof/>
                <w:webHidden/>
              </w:rPr>
              <w:tab/>
            </w:r>
            <w:r>
              <w:rPr>
                <w:noProof/>
                <w:webHidden/>
              </w:rPr>
              <w:fldChar w:fldCharType="begin"/>
            </w:r>
            <w:r w:rsidR="00A33B3A">
              <w:rPr>
                <w:noProof/>
                <w:webHidden/>
              </w:rPr>
              <w:instrText xml:space="preserve"> PAGEREF _Toc386145998 \h </w:instrText>
            </w:r>
            <w:r>
              <w:rPr>
                <w:noProof/>
                <w:webHidden/>
              </w:rPr>
            </w:r>
            <w:r>
              <w:rPr>
                <w:noProof/>
                <w:webHidden/>
              </w:rPr>
              <w:fldChar w:fldCharType="separate"/>
            </w:r>
            <w:r w:rsidR="00A33B3A">
              <w:rPr>
                <w:noProof/>
                <w:webHidden/>
              </w:rPr>
              <w:t>43</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5999" w:history="1">
            <w:r w:rsidR="00A33B3A" w:rsidRPr="005632B2">
              <w:rPr>
                <w:rStyle w:val="Hypertextovodkaz"/>
                <w:noProof/>
              </w:rPr>
              <w:t>2.1.1.4</w:t>
            </w:r>
            <w:r w:rsidR="00A33B3A">
              <w:rPr>
                <w:rFonts w:asciiTheme="minorHAnsi" w:eastAsiaTheme="minorEastAsia" w:hAnsiTheme="minorHAnsi"/>
                <w:noProof/>
                <w:sz w:val="22"/>
                <w:lang w:eastAsia="cs-CZ"/>
              </w:rPr>
              <w:tab/>
            </w:r>
            <w:r w:rsidR="00A33B3A" w:rsidRPr="005632B2">
              <w:rPr>
                <w:rStyle w:val="Hypertextovodkaz"/>
                <w:noProof/>
              </w:rPr>
              <w:t>Invesco Power Shares</w:t>
            </w:r>
            <w:r w:rsidR="00A33B3A">
              <w:rPr>
                <w:noProof/>
                <w:webHidden/>
              </w:rPr>
              <w:tab/>
            </w:r>
            <w:r>
              <w:rPr>
                <w:noProof/>
                <w:webHidden/>
              </w:rPr>
              <w:fldChar w:fldCharType="begin"/>
            </w:r>
            <w:r w:rsidR="00A33B3A">
              <w:rPr>
                <w:noProof/>
                <w:webHidden/>
              </w:rPr>
              <w:instrText xml:space="preserve"> PAGEREF _Toc386145999 \h </w:instrText>
            </w:r>
            <w:r>
              <w:rPr>
                <w:noProof/>
                <w:webHidden/>
              </w:rPr>
            </w:r>
            <w:r>
              <w:rPr>
                <w:noProof/>
                <w:webHidden/>
              </w:rPr>
              <w:fldChar w:fldCharType="separate"/>
            </w:r>
            <w:r w:rsidR="00A33B3A">
              <w:rPr>
                <w:noProof/>
                <w:webHidden/>
              </w:rPr>
              <w:t>43</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0" w:history="1">
            <w:r w:rsidR="00A33B3A" w:rsidRPr="005632B2">
              <w:rPr>
                <w:rStyle w:val="Hypertextovodkaz"/>
                <w:noProof/>
              </w:rPr>
              <w:t>2.1.1.5</w:t>
            </w:r>
            <w:r w:rsidR="00A33B3A">
              <w:rPr>
                <w:rFonts w:asciiTheme="minorHAnsi" w:eastAsiaTheme="minorEastAsia" w:hAnsiTheme="minorHAnsi"/>
                <w:noProof/>
                <w:sz w:val="22"/>
                <w:lang w:eastAsia="cs-CZ"/>
              </w:rPr>
              <w:tab/>
            </w:r>
            <w:r w:rsidR="00A33B3A" w:rsidRPr="005632B2">
              <w:rPr>
                <w:rStyle w:val="Hypertextovodkaz"/>
                <w:noProof/>
              </w:rPr>
              <w:t>Deutsche Asset and Wealth Management</w:t>
            </w:r>
            <w:r w:rsidR="00A33B3A">
              <w:rPr>
                <w:noProof/>
                <w:webHidden/>
              </w:rPr>
              <w:tab/>
            </w:r>
            <w:r>
              <w:rPr>
                <w:noProof/>
                <w:webHidden/>
              </w:rPr>
              <w:fldChar w:fldCharType="begin"/>
            </w:r>
            <w:r w:rsidR="00A33B3A">
              <w:rPr>
                <w:noProof/>
                <w:webHidden/>
              </w:rPr>
              <w:instrText xml:space="preserve"> PAGEREF _Toc386146000 \h </w:instrText>
            </w:r>
            <w:r>
              <w:rPr>
                <w:noProof/>
                <w:webHidden/>
              </w:rPr>
            </w:r>
            <w:r>
              <w:rPr>
                <w:noProof/>
                <w:webHidden/>
              </w:rPr>
              <w:fldChar w:fldCharType="separate"/>
            </w:r>
            <w:r w:rsidR="00A33B3A">
              <w:rPr>
                <w:noProof/>
                <w:webHidden/>
              </w:rPr>
              <w:t>44</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01" w:history="1">
            <w:r w:rsidR="00A33B3A" w:rsidRPr="005632B2">
              <w:rPr>
                <w:rStyle w:val="Hypertextovodkaz"/>
                <w:rFonts w:cs="Times New Roman"/>
                <w:noProof/>
              </w:rPr>
              <w:t>2.1.2</w:t>
            </w:r>
            <w:r w:rsidR="00A33B3A">
              <w:rPr>
                <w:rFonts w:asciiTheme="minorHAnsi" w:eastAsiaTheme="minorEastAsia" w:hAnsiTheme="minorHAnsi"/>
                <w:noProof/>
                <w:sz w:val="22"/>
                <w:lang w:eastAsia="cs-CZ"/>
              </w:rPr>
              <w:tab/>
            </w:r>
            <w:r w:rsidR="00A33B3A" w:rsidRPr="005632B2">
              <w:rPr>
                <w:rStyle w:val="Hypertextovodkaz"/>
                <w:noProof/>
              </w:rPr>
              <w:t>Analýza vybraných trhů ETPs</w:t>
            </w:r>
            <w:r w:rsidR="00A33B3A">
              <w:rPr>
                <w:noProof/>
                <w:webHidden/>
              </w:rPr>
              <w:tab/>
            </w:r>
            <w:r>
              <w:rPr>
                <w:noProof/>
                <w:webHidden/>
              </w:rPr>
              <w:fldChar w:fldCharType="begin"/>
            </w:r>
            <w:r w:rsidR="00A33B3A">
              <w:rPr>
                <w:noProof/>
                <w:webHidden/>
              </w:rPr>
              <w:instrText xml:space="preserve"> PAGEREF _Toc386146001 \h </w:instrText>
            </w:r>
            <w:r>
              <w:rPr>
                <w:noProof/>
                <w:webHidden/>
              </w:rPr>
            </w:r>
            <w:r>
              <w:rPr>
                <w:noProof/>
                <w:webHidden/>
              </w:rPr>
              <w:fldChar w:fldCharType="separate"/>
            </w:r>
            <w:r w:rsidR="00A33B3A">
              <w:rPr>
                <w:noProof/>
                <w:webHidden/>
              </w:rPr>
              <w:t>45</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2" w:history="1">
            <w:r w:rsidR="00A33B3A" w:rsidRPr="005632B2">
              <w:rPr>
                <w:rStyle w:val="Hypertextovodkaz"/>
                <w:noProof/>
              </w:rPr>
              <w:t>2.1.2.1</w:t>
            </w:r>
            <w:r w:rsidR="00A33B3A">
              <w:rPr>
                <w:rFonts w:asciiTheme="minorHAnsi" w:eastAsiaTheme="minorEastAsia" w:hAnsiTheme="minorHAnsi"/>
                <w:noProof/>
                <w:sz w:val="22"/>
                <w:lang w:eastAsia="cs-CZ"/>
              </w:rPr>
              <w:tab/>
            </w:r>
            <w:r w:rsidR="00A33B3A" w:rsidRPr="005632B2">
              <w:rPr>
                <w:rStyle w:val="Hypertextovodkaz"/>
                <w:noProof/>
              </w:rPr>
              <w:t>Trh Spojených států amerických</w:t>
            </w:r>
            <w:r w:rsidR="00A33B3A">
              <w:rPr>
                <w:noProof/>
                <w:webHidden/>
              </w:rPr>
              <w:tab/>
            </w:r>
            <w:r>
              <w:rPr>
                <w:noProof/>
                <w:webHidden/>
              </w:rPr>
              <w:fldChar w:fldCharType="begin"/>
            </w:r>
            <w:r w:rsidR="00A33B3A">
              <w:rPr>
                <w:noProof/>
                <w:webHidden/>
              </w:rPr>
              <w:instrText xml:space="preserve"> PAGEREF _Toc386146002 \h </w:instrText>
            </w:r>
            <w:r>
              <w:rPr>
                <w:noProof/>
                <w:webHidden/>
              </w:rPr>
            </w:r>
            <w:r>
              <w:rPr>
                <w:noProof/>
                <w:webHidden/>
              </w:rPr>
              <w:fldChar w:fldCharType="separate"/>
            </w:r>
            <w:r w:rsidR="00A33B3A">
              <w:rPr>
                <w:noProof/>
                <w:webHidden/>
              </w:rPr>
              <w:t>45</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3" w:history="1">
            <w:r w:rsidR="00A33B3A" w:rsidRPr="005632B2">
              <w:rPr>
                <w:rStyle w:val="Hypertextovodkaz"/>
                <w:noProof/>
              </w:rPr>
              <w:t>2.1.2.2</w:t>
            </w:r>
            <w:r w:rsidR="00A33B3A">
              <w:rPr>
                <w:rFonts w:asciiTheme="minorHAnsi" w:eastAsiaTheme="minorEastAsia" w:hAnsiTheme="minorHAnsi"/>
                <w:noProof/>
                <w:sz w:val="22"/>
                <w:lang w:eastAsia="cs-CZ"/>
              </w:rPr>
              <w:tab/>
            </w:r>
            <w:r w:rsidR="00A33B3A" w:rsidRPr="005632B2">
              <w:rPr>
                <w:rStyle w:val="Hypertextovodkaz"/>
                <w:noProof/>
              </w:rPr>
              <w:t>Evropský trh</w:t>
            </w:r>
            <w:r w:rsidR="00A33B3A">
              <w:rPr>
                <w:noProof/>
                <w:webHidden/>
              </w:rPr>
              <w:tab/>
            </w:r>
            <w:r>
              <w:rPr>
                <w:noProof/>
                <w:webHidden/>
              </w:rPr>
              <w:fldChar w:fldCharType="begin"/>
            </w:r>
            <w:r w:rsidR="00A33B3A">
              <w:rPr>
                <w:noProof/>
                <w:webHidden/>
              </w:rPr>
              <w:instrText xml:space="preserve"> PAGEREF _Toc386146003 \h </w:instrText>
            </w:r>
            <w:r>
              <w:rPr>
                <w:noProof/>
                <w:webHidden/>
              </w:rPr>
            </w:r>
            <w:r>
              <w:rPr>
                <w:noProof/>
                <w:webHidden/>
              </w:rPr>
              <w:fldChar w:fldCharType="separate"/>
            </w:r>
            <w:r w:rsidR="00A33B3A">
              <w:rPr>
                <w:noProof/>
                <w:webHidden/>
              </w:rPr>
              <w:t>47</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4" w:history="1">
            <w:r w:rsidR="00A33B3A" w:rsidRPr="005632B2">
              <w:rPr>
                <w:rStyle w:val="Hypertextovodkaz"/>
                <w:noProof/>
              </w:rPr>
              <w:t>2.1.2.3</w:t>
            </w:r>
            <w:r w:rsidR="00A33B3A">
              <w:rPr>
                <w:rFonts w:asciiTheme="minorHAnsi" w:eastAsiaTheme="minorEastAsia" w:hAnsiTheme="minorHAnsi"/>
                <w:noProof/>
                <w:sz w:val="22"/>
                <w:lang w:eastAsia="cs-CZ"/>
              </w:rPr>
              <w:tab/>
            </w:r>
            <w:r w:rsidR="00A33B3A" w:rsidRPr="005632B2">
              <w:rPr>
                <w:rStyle w:val="Hypertextovodkaz"/>
                <w:noProof/>
              </w:rPr>
              <w:t>Kanadský trh</w:t>
            </w:r>
            <w:r w:rsidR="00A33B3A">
              <w:rPr>
                <w:noProof/>
                <w:webHidden/>
              </w:rPr>
              <w:tab/>
            </w:r>
            <w:r>
              <w:rPr>
                <w:noProof/>
                <w:webHidden/>
              </w:rPr>
              <w:fldChar w:fldCharType="begin"/>
            </w:r>
            <w:r w:rsidR="00A33B3A">
              <w:rPr>
                <w:noProof/>
                <w:webHidden/>
              </w:rPr>
              <w:instrText xml:space="preserve"> PAGEREF _Toc386146004 \h </w:instrText>
            </w:r>
            <w:r>
              <w:rPr>
                <w:noProof/>
                <w:webHidden/>
              </w:rPr>
            </w:r>
            <w:r>
              <w:rPr>
                <w:noProof/>
                <w:webHidden/>
              </w:rPr>
              <w:fldChar w:fldCharType="separate"/>
            </w:r>
            <w:r w:rsidR="00A33B3A">
              <w:rPr>
                <w:noProof/>
                <w:webHidden/>
              </w:rPr>
              <w:t>48</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5" w:history="1">
            <w:r w:rsidR="00A33B3A" w:rsidRPr="005632B2">
              <w:rPr>
                <w:rStyle w:val="Hypertextovodkaz"/>
                <w:noProof/>
              </w:rPr>
              <w:t>2.1.2.4</w:t>
            </w:r>
            <w:r w:rsidR="00A33B3A">
              <w:rPr>
                <w:rFonts w:asciiTheme="minorHAnsi" w:eastAsiaTheme="minorEastAsia" w:hAnsiTheme="minorHAnsi"/>
                <w:noProof/>
                <w:sz w:val="22"/>
                <w:lang w:eastAsia="cs-CZ"/>
              </w:rPr>
              <w:tab/>
            </w:r>
            <w:r w:rsidR="00A33B3A" w:rsidRPr="005632B2">
              <w:rPr>
                <w:rStyle w:val="Hypertextovodkaz"/>
                <w:noProof/>
              </w:rPr>
              <w:t>Trh Latinské Ameriky</w:t>
            </w:r>
            <w:r w:rsidR="00A33B3A">
              <w:rPr>
                <w:noProof/>
                <w:webHidden/>
              </w:rPr>
              <w:tab/>
            </w:r>
            <w:r>
              <w:rPr>
                <w:noProof/>
                <w:webHidden/>
              </w:rPr>
              <w:fldChar w:fldCharType="begin"/>
            </w:r>
            <w:r w:rsidR="00A33B3A">
              <w:rPr>
                <w:noProof/>
                <w:webHidden/>
              </w:rPr>
              <w:instrText xml:space="preserve"> PAGEREF _Toc386146005 \h </w:instrText>
            </w:r>
            <w:r>
              <w:rPr>
                <w:noProof/>
                <w:webHidden/>
              </w:rPr>
            </w:r>
            <w:r>
              <w:rPr>
                <w:noProof/>
                <w:webHidden/>
              </w:rPr>
              <w:fldChar w:fldCharType="separate"/>
            </w:r>
            <w:r w:rsidR="00A33B3A">
              <w:rPr>
                <w:noProof/>
                <w:webHidden/>
              </w:rPr>
              <w:t>50</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6" w:history="1">
            <w:r w:rsidR="00A33B3A" w:rsidRPr="005632B2">
              <w:rPr>
                <w:rStyle w:val="Hypertextovodkaz"/>
                <w:noProof/>
              </w:rPr>
              <w:t>2.1.2.5</w:t>
            </w:r>
            <w:r w:rsidR="00A33B3A">
              <w:rPr>
                <w:rFonts w:asciiTheme="minorHAnsi" w:eastAsiaTheme="minorEastAsia" w:hAnsiTheme="minorHAnsi"/>
                <w:noProof/>
                <w:sz w:val="22"/>
                <w:lang w:eastAsia="cs-CZ"/>
              </w:rPr>
              <w:tab/>
            </w:r>
            <w:r w:rsidR="00A33B3A" w:rsidRPr="005632B2">
              <w:rPr>
                <w:rStyle w:val="Hypertextovodkaz"/>
                <w:noProof/>
              </w:rPr>
              <w:t>Trh Asie a Tichomoří</w:t>
            </w:r>
            <w:r w:rsidR="00A33B3A">
              <w:rPr>
                <w:noProof/>
                <w:webHidden/>
              </w:rPr>
              <w:tab/>
            </w:r>
            <w:r>
              <w:rPr>
                <w:noProof/>
                <w:webHidden/>
              </w:rPr>
              <w:fldChar w:fldCharType="begin"/>
            </w:r>
            <w:r w:rsidR="00A33B3A">
              <w:rPr>
                <w:noProof/>
                <w:webHidden/>
              </w:rPr>
              <w:instrText xml:space="preserve"> PAGEREF _Toc386146006 \h </w:instrText>
            </w:r>
            <w:r>
              <w:rPr>
                <w:noProof/>
                <w:webHidden/>
              </w:rPr>
            </w:r>
            <w:r>
              <w:rPr>
                <w:noProof/>
                <w:webHidden/>
              </w:rPr>
              <w:fldChar w:fldCharType="separate"/>
            </w:r>
            <w:r w:rsidR="00A33B3A">
              <w:rPr>
                <w:noProof/>
                <w:webHidden/>
              </w:rPr>
              <w:t>51</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07" w:history="1">
            <w:r w:rsidR="00A33B3A" w:rsidRPr="005632B2">
              <w:rPr>
                <w:rStyle w:val="Hypertextovodkaz"/>
                <w:rFonts w:cs="Times New Roman"/>
                <w:noProof/>
              </w:rPr>
              <w:t>2.1.3</w:t>
            </w:r>
            <w:r w:rsidR="00A33B3A">
              <w:rPr>
                <w:rFonts w:asciiTheme="minorHAnsi" w:eastAsiaTheme="minorEastAsia" w:hAnsiTheme="minorHAnsi"/>
                <w:noProof/>
                <w:sz w:val="22"/>
                <w:lang w:eastAsia="cs-CZ"/>
              </w:rPr>
              <w:tab/>
            </w:r>
            <w:r w:rsidR="00A33B3A" w:rsidRPr="005632B2">
              <w:rPr>
                <w:rStyle w:val="Hypertextovodkaz"/>
                <w:noProof/>
              </w:rPr>
              <w:t>Obchodníci s cennými papíry v České republice</w:t>
            </w:r>
            <w:r w:rsidR="00A33B3A">
              <w:rPr>
                <w:noProof/>
                <w:webHidden/>
              </w:rPr>
              <w:tab/>
            </w:r>
            <w:r>
              <w:rPr>
                <w:noProof/>
                <w:webHidden/>
              </w:rPr>
              <w:fldChar w:fldCharType="begin"/>
            </w:r>
            <w:r w:rsidR="00A33B3A">
              <w:rPr>
                <w:noProof/>
                <w:webHidden/>
              </w:rPr>
              <w:instrText xml:space="preserve"> PAGEREF _Toc386146007 \h </w:instrText>
            </w:r>
            <w:r>
              <w:rPr>
                <w:noProof/>
                <w:webHidden/>
              </w:rPr>
            </w:r>
            <w:r>
              <w:rPr>
                <w:noProof/>
                <w:webHidden/>
              </w:rPr>
              <w:fldChar w:fldCharType="separate"/>
            </w:r>
            <w:r w:rsidR="00A33B3A">
              <w:rPr>
                <w:noProof/>
                <w:webHidden/>
              </w:rPr>
              <w:t>53</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8" w:history="1">
            <w:r w:rsidR="00A33B3A" w:rsidRPr="005632B2">
              <w:rPr>
                <w:rStyle w:val="Hypertextovodkaz"/>
                <w:noProof/>
              </w:rPr>
              <w:t>2.1.3.1</w:t>
            </w:r>
            <w:r w:rsidR="00A33B3A">
              <w:rPr>
                <w:rFonts w:asciiTheme="minorHAnsi" w:eastAsiaTheme="minorEastAsia" w:hAnsiTheme="minorHAnsi"/>
                <w:noProof/>
                <w:sz w:val="22"/>
                <w:lang w:eastAsia="cs-CZ"/>
              </w:rPr>
              <w:tab/>
            </w:r>
            <w:r w:rsidR="00A33B3A" w:rsidRPr="005632B2">
              <w:rPr>
                <w:rStyle w:val="Hypertextovodkaz"/>
                <w:noProof/>
              </w:rPr>
              <w:t>Cyrrus a.s.</w:t>
            </w:r>
            <w:r w:rsidR="00A33B3A">
              <w:rPr>
                <w:noProof/>
                <w:webHidden/>
              </w:rPr>
              <w:tab/>
            </w:r>
            <w:r>
              <w:rPr>
                <w:noProof/>
                <w:webHidden/>
              </w:rPr>
              <w:fldChar w:fldCharType="begin"/>
            </w:r>
            <w:r w:rsidR="00A33B3A">
              <w:rPr>
                <w:noProof/>
                <w:webHidden/>
              </w:rPr>
              <w:instrText xml:space="preserve"> PAGEREF _Toc386146008 \h </w:instrText>
            </w:r>
            <w:r>
              <w:rPr>
                <w:noProof/>
                <w:webHidden/>
              </w:rPr>
            </w:r>
            <w:r>
              <w:rPr>
                <w:noProof/>
                <w:webHidden/>
              </w:rPr>
              <w:fldChar w:fldCharType="separate"/>
            </w:r>
            <w:r w:rsidR="00A33B3A">
              <w:rPr>
                <w:noProof/>
                <w:webHidden/>
              </w:rPr>
              <w:t>53</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09" w:history="1">
            <w:r w:rsidR="00A33B3A" w:rsidRPr="005632B2">
              <w:rPr>
                <w:rStyle w:val="Hypertextovodkaz"/>
                <w:noProof/>
              </w:rPr>
              <w:t>2.1.3.2</w:t>
            </w:r>
            <w:r w:rsidR="00A33B3A">
              <w:rPr>
                <w:rFonts w:asciiTheme="minorHAnsi" w:eastAsiaTheme="minorEastAsia" w:hAnsiTheme="minorHAnsi"/>
                <w:noProof/>
                <w:sz w:val="22"/>
                <w:lang w:eastAsia="cs-CZ"/>
              </w:rPr>
              <w:tab/>
            </w:r>
            <w:r w:rsidR="00A33B3A" w:rsidRPr="005632B2">
              <w:rPr>
                <w:rStyle w:val="Hypertextovodkaz"/>
                <w:noProof/>
              </w:rPr>
              <w:t>Brokerjet České spořitelny</w:t>
            </w:r>
            <w:r w:rsidR="00A33B3A">
              <w:rPr>
                <w:noProof/>
                <w:webHidden/>
              </w:rPr>
              <w:tab/>
            </w:r>
            <w:r>
              <w:rPr>
                <w:noProof/>
                <w:webHidden/>
              </w:rPr>
              <w:fldChar w:fldCharType="begin"/>
            </w:r>
            <w:r w:rsidR="00A33B3A">
              <w:rPr>
                <w:noProof/>
                <w:webHidden/>
              </w:rPr>
              <w:instrText xml:space="preserve"> PAGEREF _Toc386146009 \h </w:instrText>
            </w:r>
            <w:r>
              <w:rPr>
                <w:noProof/>
                <w:webHidden/>
              </w:rPr>
            </w:r>
            <w:r>
              <w:rPr>
                <w:noProof/>
                <w:webHidden/>
              </w:rPr>
              <w:fldChar w:fldCharType="separate"/>
            </w:r>
            <w:r w:rsidR="00A33B3A">
              <w:rPr>
                <w:noProof/>
                <w:webHidden/>
              </w:rPr>
              <w:t>54</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10" w:history="1">
            <w:r w:rsidR="00A33B3A" w:rsidRPr="005632B2">
              <w:rPr>
                <w:rStyle w:val="Hypertextovodkaz"/>
                <w:noProof/>
              </w:rPr>
              <w:t>2.1.3.3</w:t>
            </w:r>
            <w:r w:rsidR="00A33B3A">
              <w:rPr>
                <w:rFonts w:asciiTheme="minorHAnsi" w:eastAsiaTheme="minorEastAsia" w:hAnsiTheme="minorHAnsi"/>
                <w:noProof/>
                <w:sz w:val="22"/>
                <w:lang w:eastAsia="cs-CZ"/>
              </w:rPr>
              <w:tab/>
            </w:r>
            <w:r w:rsidR="00A33B3A" w:rsidRPr="005632B2">
              <w:rPr>
                <w:rStyle w:val="Hypertextovodkaz"/>
                <w:noProof/>
              </w:rPr>
              <w:t>X-Trade Brokers</w:t>
            </w:r>
            <w:r w:rsidR="00A33B3A">
              <w:rPr>
                <w:noProof/>
                <w:webHidden/>
              </w:rPr>
              <w:tab/>
            </w:r>
            <w:r>
              <w:rPr>
                <w:noProof/>
                <w:webHidden/>
              </w:rPr>
              <w:fldChar w:fldCharType="begin"/>
            </w:r>
            <w:r w:rsidR="00A33B3A">
              <w:rPr>
                <w:noProof/>
                <w:webHidden/>
              </w:rPr>
              <w:instrText xml:space="preserve"> PAGEREF _Toc386146010 \h </w:instrText>
            </w:r>
            <w:r>
              <w:rPr>
                <w:noProof/>
                <w:webHidden/>
              </w:rPr>
            </w:r>
            <w:r>
              <w:rPr>
                <w:noProof/>
                <w:webHidden/>
              </w:rPr>
              <w:fldChar w:fldCharType="separate"/>
            </w:r>
            <w:r w:rsidR="00A33B3A">
              <w:rPr>
                <w:noProof/>
                <w:webHidden/>
              </w:rPr>
              <w:t>55</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11" w:history="1">
            <w:r w:rsidR="00A33B3A" w:rsidRPr="005632B2">
              <w:rPr>
                <w:rStyle w:val="Hypertextovodkaz"/>
                <w:noProof/>
              </w:rPr>
              <w:t>2.1.3.4</w:t>
            </w:r>
            <w:r w:rsidR="00A33B3A">
              <w:rPr>
                <w:rFonts w:asciiTheme="minorHAnsi" w:eastAsiaTheme="minorEastAsia" w:hAnsiTheme="minorHAnsi"/>
                <w:noProof/>
                <w:sz w:val="22"/>
                <w:lang w:eastAsia="cs-CZ"/>
              </w:rPr>
              <w:tab/>
            </w:r>
            <w:r w:rsidR="00A33B3A" w:rsidRPr="005632B2">
              <w:rPr>
                <w:rStyle w:val="Hypertextovodkaz"/>
                <w:noProof/>
              </w:rPr>
              <w:t>Fio banka</w:t>
            </w:r>
            <w:r w:rsidR="00A33B3A">
              <w:rPr>
                <w:noProof/>
                <w:webHidden/>
              </w:rPr>
              <w:tab/>
            </w:r>
            <w:r>
              <w:rPr>
                <w:noProof/>
                <w:webHidden/>
              </w:rPr>
              <w:fldChar w:fldCharType="begin"/>
            </w:r>
            <w:r w:rsidR="00A33B3A">
              <w:rPr>
                <w:noProof/>
                <w:webHidden/>
              </w:rPr>
              <w:instrText xml:space="preserve"> PAGEREF _Toc386146011 \h </w:instrText>
            </w:r>
            <w:r>
              <w:rPr>
                <w:noProof/>
                <w:webHidden/>
              </w:rPr>
            </w:r>
            <w:r>
              <w:rPr>
                <w:noProof/>
                <w:webHidden/>
              </w:rPr>
              <w:fldChar w:fldCharType="separate"/>
            </w:r>
            <w:r w:rsidR="00A33B3A">
              <w:rPr>
                <w:noProof/>
                <w:webHidden/>
              </w:rPr>
              <w:t>56</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12" w:history="1">
            <w:r w:rsidR="00A33B3A" w:rsidRPr="005632B2">
              <w:rPr>
                <w:rStyle w:val="Hypertextovodkaz"/>
                <w:noProof/>
              </w:rPr>
              <w:t>2.1.3.5</w:t>
            </w:r>
            <w:r w:rsidR="00A33B3A">
              <w:rPr>
                <w:rFonts w:asciiTheme="minorHAnsi" w:eastAsiaTheme="minorEastAsia" w:hAnsiTheme="minorHAnsi"/>
                <w:noProof/>
                <w:sz w:val="22"/>
                <w:lang w:eastAsia="cs-CZ"/>
              </w:rPr>
              <w:tab/>
            </w:r>
            <w:r w:rsidR="00A33B3A" w:rsidRPr="005632B2">
              <w:rPr>
                <w:rStyle w:val="Hypertextovodkaz"/>
                <w:noProof/>
              </w:rPr>
              <w:t>Patria Direct</w:t>
            </w:r>
            <w:r w:rsidR="00A33B3A">
              <w:rPr>
                <w:noProof/>
                <w:webHidden/>
              </w:rPr>
              <w:tab/>
            </w:r>
            <w:r>
              <w:rPr>
                <w:noProof/>
                <w:webHidden/>
              </w:rPr>
              <w:fldChar w:fldCharType="begin"/>
            </w:r>
            <w:r w:rsidR="00A33B3A">
              <w:rPr>
                <w:noProof/>
                <w:webHidden/>
              </w:rPr>
              <w:instrText xml:space="preserve"> PAGEREF _Toc386146012 \h </w:instrText>
            </w:r>
            <w:r>
              <w:rPr>
                <w:noProof/>
                <w:webHidden/>
              </w:rPr>
            </w:r>
            <w:r>
              <w:rPr>
                <w:noProof/>
                <w:webHidden/>
              </w:rPr>
              <w:fldChar w:fldCharType="separate"/>
            </w:r>
            <w:r w:rsidR="00A33B3A">
              <w:rPr>
                <w:noProof/>
                <w:webHidden/>
              </w:rPr>
              <w:t>56</w:t>
            </w:r>
            <w:r>
              <w:rPr>
                <w:noProof/>
                <w:webHidden/>
              </w:rPr>
              <w:fldChar w:fldCharType="end"/>
            </w:r>
          </w:hyperlink>
        </w:p>
        <w:p w:rsidR="00A33B3A" w:rsidRDefault="008B79C7">
          <w:pPr>
            <w:pStyle w:val="Obsah3"/>
            <w:tabs>
              <w:tab w:val="left" w:pos="1540"/>
              <w:tab w:val="right" w:leader="dot" w:pos="9060"/>
            </w:tabs>
            <w:rPr>
              <w:rFonts w:asciiTheme="minorHAnsi" w:eastAsiaTheme="minorEastAsia" w:hAnsiTheme="minorHAnsi"/>
              <w:noProof/>
              <w:sz w:val="22"/>
              <w:lang w:eastAsia="cs-CZ"/>
            </w:rPr>
          </w:pPr>
          <w:hyperlink w:anchor="_Toc386146013" w:history="1">
            <w:r w:rsidR="00A33B3A" w:rsidRPr="005632B2">
              <w:rPr>
                <w:rStyle w:val="Hypertextovodkaz"/>
                <w:noProof/>
              </w:rPr>
              <w:t>2.1.3.6</w:t>
            </w:r>
            <w:r w:rsidR="00A33B3A">
              <w:rPr>
                <w:rFonts w:asciiTheme="minorHAnsi" w:eastAsiaTheme="minorEastAsia" w:hAnsiTheme="minorHAnsi"/>
                <w:noProof/>
                <w:sz w:val="22"/>
                <w:lang w:eastAsia="cs-CZ"/>
              </w:rPr>
              <w:tab/>
            </w:r>
            <w:r w:rsidR="00A33B3A" w:rsidRPr="005632B2">
              <w:rPr>
                <w:rStyle w:val="Hypertextovodkaz"/>
                <w:noProof/>
              </w:rPr>
              <w:t>Volba obchodníka s cennými papíry</w:t>
            </w:r>
            <w:r w:rsidR="00A33B3A">
              <w:rPr>
                <w:noProof/>
                <w:webHidden/>
              </w:rPr>
              <w:tab/>
            </w:r>
            <w:r>
              <w:rPr>
                <w:noProof/>
                <w:webHidden/>
              </w:rPr>
              <w:fldChar w:fldCharType="begin"/>
            </w:r>
            <w:r w:rsidR="00A33B3A">
              <w:rPr>
                <w:noProof/>
                <w:webHidden/>
              </w:rPr>
              <w:instrText xml:space="preserve"> PAGEREF _Toc386146013 \h </w:instrText>
            </w:r>
            <w:r>
              <w:rPr>
                <w:noProof/>
                <w:webHidden/>
              </w:rPr>
            </w:r>
            <w:r>
              <w:rPr>
                <w:noProof/>
                <w:webHidden/>
              </w:rPr>
              <w:fldChar w:fldCharType="separate"/>
            </w:r>
            <w:r w:rsidR="00A33B3A">
              <w:rPr>
                <w:noProof/>
                <w:webHidden/>
              </w:rPr>
              <w:t>57</w:t>
            </w:r>
            <w:r>
              <w:rPr>
                <w:noProof/>
                <w:webHidden/>
              </w:rPr>
              <w:fldChar w:fldCharType="end"/>
            </w:r>
          </w:hyperlink>
        </w:p>
        <w:p w:rsidR="00A33B3A" w:rsidRDefault="008B79C7">
          <w:pPr>
            <w:pStyle w:val="Obsah1"/>
            <w:tabs>
              <w:tab w:val="left" w:pos="480"/>
              <w:tab w:val="right" w:leader="dot" w:pos="9060"/>
            </w:tabs>
            <w:rPr>
              <w:rFonts w:asciiTheme="minorHAnsi" w:eastAsiaTheme="minorEastAsia" w:hAnsiTheme="minorHAnsi"/>
              <w:noProof/>
              <w:sz w:val="22"/>
              <w:lang w:eastAsia="cs-CZ"/>
            </w:rPr>
          </w:pPr>
          <w:hyperlink w:anchor="_Toc386146014" w:history="1">
            <w:r w:rsidR="00A33B3A" w:rsidRPr="005632B2">
              <w:rPr>
                <w:rStyle w:val="Hypertextovodkaz"/>
                <w:noProof/>
              </w:rPr>
              <w:t>3</w:t>
            </w:r>
            <w:r w:rsidR="00A33B3A">
              <w:rPr>
                <w:rFonts w:asciiTheme="minorHAnsi" w:eastAsiaTheme="minorEastAsia" w:hAnsiTheme="minorHAnsi"/>
                <w:noProof/>
                <w:sz w:val="22"/>
                <w:lang w:eastAsia="cs-CZ"/>
              </w:rPr>
              <w:tab/>
            </w:r>
            <w:r w:rsidR="00A33B3A" w:rsidRPr="005632B2">
              <w:rPr>
                <w:rStyle w:val="Hypertextovodkaz"/>
                <w:noProof/>
              </w:rPr>
              <w:t>APLIKACE ZJIŠTĚNÝCH POZNATKŮ NA KONKRÉTNÍCH TYPECH FONDŮ A NÁSLEDNÁ KOMPARACE</w:t>
            </w:r>
            <w:r w:rsidR="00A33B3A">
              <w:rPr>
                <w:noProof/>
                <w:webHidden/>
              </w:rPr>
              <w:tab/>
            </w:r>
            <w:r>
              <w:rPr>
                <w:noProof/>
                <w:webHidden/>
              </w:rPr>
              <w:fldChar w:fldCharType="begin"/>
            </w:r>
            <w:r w:rsidR="00A33B3A">
              <w:rPr>
                <w:noProof/>
                <w:webHidden/>
              </w:rPr>
              <w:instrText xml:space="preserve"> PAGEREF _Toc386146014 \h </w:instrText>
            </w:r>
            <w:r>
              <w:rPr>
                <w:noProof/>
                <w:webHidden/>
              </w:rPr>
            </w:r>
            <w:r>
              <w:rPr>
                <w:noProof/>
                <w:webHidden/>
              </w:rPr>
              <w:fldChar w:fldCharType="separate"/>
            </w:r>
            <w:r w:rsidR="00A33B3A">
              <w:rPr>
                <w:noProof/>
                <w:webHidden/>
              </w:rPr>
              <w:t>59</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6015" w:history="1">
            <w:r w:rsidR="00A33B3A" w:rsidRPr="005632B2">
              <w:rPr>
                <w:rStyle w:val="Hypertextovodkaz"/>
                <w:noProof/>
              </w:rPr>
              <w:t>3.1</w:t>
            </w:r>
            <w:r w:rsidR="00A33B3A">
              <w:rPr>
                <w:rFonts w:asciiTheme="minorHAnsi" w:eastAsiaTheme="minorEastAsia" w:hAnsiTheme="minorHAnsi"/>
                <w:noProof/>
                <w:sz w:val="22"/>
                <w:lang w:eastAsia="cs-CZ"/>
              </w:rPr>
              <w:tab/>
            </w:r>
            <w:r w:rsidR="00A33B3A" w:rsidRPr="005632B2">
              <w:rPr>
                <w:rStyle w:val="Hypertextovodkaz"/>
                <w:noProof/>
              </w:rPr>
              <w:t>Charakteristika vybraných ukazatelů</w:t>
            </w:r>
            <w:r w:rsidR="00A33B3A">
              <w:rPr>
                <w:noProof/>
                <w:webHidden/>
              </w:rPr>
              <w:tab/>
            </w:r>
            <w:r>
              <w:rPr>
                <w:noProof/>
                <w:webHidden/>
              </w:rPr>
              <w:fldChar w:fldCharType="begin"/>
            </w:r>
            <w:r w:rsidR="00A33B3A">
              <w:rPr>
                <w:noProof/>
                <w:webHidden/>
              </w:rPr>
              <w:instrText xml:space="preserve"> PAGEREF _Toc386146015 \h </w:instrText>
            </w:r>
            <w:r>
              <w:rPr>
                <w:noProof/>
                <w:webHidden/>
              </w:rPr>
            </w:r>
            <w:r>
              <w:rPr>
                <w:noProof/>
                <w:webHidden/>
              </w:rPr>
              <w:fldChar w:fldCharType="separate"/>
            </w:r>
            <w:r w:rsidR="00A33B3A">
              <w:rPr>
                <w:noProof/>
                <w:webHidden/>
              </w:rPr>
              <w:t>59</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16" w:history="1">
            <w:r w:rsidR="00A33B3A" w:rsidRPr="005632B2">
              <w:rPr>
                <w:rStyle w:val="Hypertextovodkaz"/>
                <w:rFonts w:cs="Times New Roman"/>
                <w:noProof/>
              </w:rPr>
              <w:t>3.1.1</w:t>
            </w:r>
            <w:r w:rsidR="00A33B3A">
              <w:rPr>
                <w:rFonts w:asciiTheme="minorHAnsi" w:eastAsiaTheme="minorEastAsia" w:hAnsiTheme="minorHAnsi"/>
                <w:noProof/>
                <w:sz w:val="22"/>
                <w:lang w:eastAsia="cs-CZ"/>
              </w:rPr>
              <w:tab/>
            </w:r>
            <w:r w:rsidR="00A33B3A" w:rsidRPr="005632B2">
              <w:rPr>
                <w:rStyle w:val="Hypertextovodkaz"/>
                <w:noProof/>
              </w:rPr>
              <w:t>Výnosnost produktu</w:t>
            </w:r>
            <w:r w:rsidR="00A33B3A">
              <w:rPr>
                <w:noProof/>
                <w:webHidden/>
              </w:rPr>
              <w:tab/>
            </w:r>
            <w:r>
              <w:rPr>
                <w:noProof/>
                <w:webHidden/>
              </w:rPr>
              <w:fldChar w:fldCharType="begin"/>
            </w:r>
            <w:r w:rsidR="00A33B3A">
              <w:rPr>
                <w:noProof/>
                <w:webHidden/>
              </w:rPr>
              <w:instrText xml:space="preserve"> PAGEREF _Toc386146016 \h </w:instrText>
            </w:r>
            <w:r>
              <w:rPr>
                <w:noProof/>
                <w:webHidden/>
              </w:rPr>
            </w:r>
            <w:r>
              <w:rPr>
                <w:noProof/>
                <w:webHidden/>
              </w:rPr>
              <w:fldChar w:fldCharType="separate"/>
            </w:r>
            <w:r w:rsidR="00A33B3A">
              <w:rPr>
                <w:noProof/>
                <w:webHidden/>
              </w:rPr>
              <w:t>59</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17" w:history="1">
            <w:r w:rsidR="00A33B3A" w:rsidRPr="005632B2">
              <w:rPr>
                <w:rStyle w:val="Hypertextovodkaz"/>
                <w:rFonts w:cs="Times New Roman"/>
                <w:noProof/>
              </w:rPr>
              <w:t>3.1.2</w:t>
            </w:r>
            <w:r w:rsidR="00A33B3A">
              <w:rPr>
                <w:rFonts w:asciiTheme="minorHAnsi" w:eastAsiaTheme="minorEastAsia" w:hAnsiTheme="minorHAnsi"/>
                <w:noProof/>
                <w:sz w:val="22"/>
                <w:lang w:eastAsia="cs-CZ"/>
              </w:rPr>
              <w:tab/>
            </w:r>
            <w:r w:rsidR="00A33B3A" w:rsidRPr="005632B2">
              <w:rPr>
                <w:rStyle w:val="Hypertextovodkaz"/>
                <w:noProof/>
              </w:rPr>
              <w:t>Rizikovost produktu</w:t>
            </w:r>
            <w:r w:rsidR="00A33B3A">
              <w:rPr>
                <w:noProof/>
                <w:webHidden/>
              </w:rPr>
              <w:tab/>
            </w:r>
            <w:r>
              <w:rPr>
                <w:noProof/>
                <w:webHidden/>
              </w:rPr>
              <w:fldChar w:fldCharType="begin"/>
            </w:r>
            <w:r w:rsidR="00A33B3A">
              <w:rPr>
                <w:noProof/>
                <w:webHidden/>
              </w:rPr>
              <w:instrText xml:space="preserve"> PAGEREF _Toc386146017 \h </w:instrText>
            </w:r>
            <w:r>
              <w:rPr>
                <w:noProof/>
                <w:webHidden/>
              </w:rPr>
            </w:r>
            <w:r>
              <w:rPr>
                <w:noProof/>
                <w:webHidden/>
              </w:rPr>
              <w:fldChar w:fldCharType="separate"/>
            </w:r>
            <w:r w:rsidR="00A33B3A">
              <w:rPr>
                <w:noProof/>
                <w:webHidden/>
              </w:rPr>
              <w:t>60</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18" w:history="1">
            <w:r w:rsidR="00A33B3A" w:rsidRPr="005632B2">
              <w:rPr>
                <w:rStyle w:val="Hypertextovodkaz"/>
                <w:rFonts w:cs="Times New Roman"/>
                <w:noProof/>
              </w:rPr>
              <w:t>3.1.3</w:t>
            </w:r>
            <w:r w:rsidR="00A33B3A">
              <w:rPr>
                <w:rFonts w:asciiTheme="minorHAnsi" w:eastAsiaTheme="minorEastAsia" w:hAnsiTheme="minorHAnsi"/>
                <w:noProof/>
                <w:sz w:val="22"/>
                <w:lang w:eastAsia="cs-CZ"/>
              </w:rPr>
              <w:tab/>
            </w:r>
            <w:r w:rsidR="00A33B3A" w:rsidRPr="005632B2">
              <w:rPr>
                <w:rStyle w:val="Hypertextovodkaz"/>
                <w:noProof/>
              </w:rPr>
              <w:t>Sharpe ratio</w:t>
            </w:r>
            <w:r w:rsidR="00A33B3A">
              <w:rPr>
                <w:noProof/>
                <w:webHidden/>
              </w:rPr>
              <w:tab/>
            </w:r>
            <w:r>
              <w:rPr>
                <w:noProof/>
                <w:webHidden/>
              </w:rPr>
              <w:fldChar w:fldCharType="begin"/>
            </w:r>
            <w:r w:rsidR="00A33B3A">
              <w:rPr>
                <w:noProof/>
                <w:webHidden/>
              </w:rPr>
              <w:instrText xml:space="preserve"> PAGEREF _Toc386146018 \h </w:instrText>
            </w:r>
            <w:r>
              <w:rPr>
                <w:noProof/>
                <w:webHidden/>
              </w:rPr>
            </w:r>
            <w:r>
              <w:rPr>
                <w:noProof/>
                <w:webHidden/>
              </w:rPr>
              <w:fldChar w:fldCharType="separate"/>
            </w:r>
            <w:r w:rsidR="00A33B3A">
              <w:rPr>
                <w:noProof/>
                <w:webHidden/>
              </w:rPr>
              <w:t>61</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19" w:history="1">
            <w:r w:rsidR="00A33B3A" w:rsidRPr="005632B2">
              <w:rPr>
                <w:rStyle w:val="Hypertextovodkaz"/>
                <w:rFonts w:cs="Times New Roman"/>
                <w:noProof/>
              </w:rPr>
              <w:t>3.1.4</w:t>
            </w:r>
            <w:r w:rsidR="00A33B3A">
              <w:rPr>
                <w:rFonts w:asciiTheme="minorHAnsi" w:eastAsiaTheme="minorEastAsia" w:hAnsiTheme="minorHAnsi"/>
                <w:noProof/>
                <w:sz w:val="22"/>
                <w:lang w:eastAsia="cs-CZ"/>
              </w:rPr>
              <w:tab/>
            </w:r>
            <w:r w:rsidR="00A33B3A" w:rsidRPr="005632B2">
              <w:rPr>
                <w:rStyle w:val="Hypertextovodkaz"/>
                <w:noProof/>
              </w:rPr>
              <w:t>Information ratio</w:t>
            </w:r>
            <w:r w:rsidR="00A33B3A">
              <w:rPr>
                <w:noProof/>
                <w:webHidden/>
              </w:rPr>
              <w:tab/>
            </w:r>
            <w:r>
              <w:rPr>
                <w:noProof/>
                <w:webHidden/>
              </w:rPr>
              <w:fldChar w:fldCharType="begin"/>
            </w:r>
            <w:r w:rsidR="00A33B3A">
              <w:rPr>
                <w:noProof/>
                <w:webHidden/>
              </w:rPr>
              <w:instrText xml:space="preserve"> PAGEREF _Toc386146019 \h </w:instrText>
            </w:r>
            <w:r>
              <w:rPr>
                <w:noProof/>
                <w:webHidden/>
              </w:rPr>
            </w:r>
            <w:r>
              <w:rPr>
                <w:noProof/>
                <w:webHidden/>
              </w:rPr>
              <w:fldChar w:fldCharType="separate"/>
            </w:r>
            <w:r w:rsidR="00A33B3A">
              <w:rPr>
                <w:noProof/>
                <w:webHidden/>
              </w:rPr>
              <w:t>62</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6020" w:history="1">
            <w:r w:rsidR="00A33B3A" w:rsidRPr="005632B2">
              <w:rPr>
                <w:rStyle w:val="Hypertextovodkaz"/>
                <w:noProof/>
              </w:rPr>
              <w:t>3.2</w:t>
            </w:r>
            <w:r w:rsidR="00A33B3A">
              <w:rPr>
                <w:rFonts w:asciiTheme="minorHAnsi" w:eastAsiaTheme="minorEastAsia" w:hAnsiTheme="minorHAnsi"/>
                <w:noProof/>
                <w:sz w:val="22"/>
                <w:lang w:eastAsia="cs-CZ"/>
              </w:rPr>
              <w:tab/>
            </w:r>
            <w:r w:rsidR="00A33B3A" w:rsidRPr="005632B2">
              <w:rPr>
                <w:rStyle w:val="Hypertextovodkaz"/>
                <w:noProof/>
              </w:rPr>
              <w:t>Charakteristika jednotlivých investic</w:t>
            </w:r>
            <w:r w:rsidR="00A33B3A">
              <w:rPr>
                <w:noProof/>
                <w:webHidden/>
              </w:rPr>
              <w:tab/>
            </w:r>
            <w:r>
              <w:rPr>
                <w:noProof/>
                <w:webHidden/>
              </w:rPr>
              <w:fldChar w:fldCharType="begin"/>
            </w:r>
            <w:r w:rsidR="00A33B3A">
              <w:rPr>
                <w:noProof/>
                <w:webHidden/>
              </w:rPr>
              <w:instrText xml:space="preserve"> PAGEREF _Toc386146020 \h </w:instrText>
            </w:r>
            <w:r>
              <w:rPr>
                <w:noProof/>
                <w:webHidden/>
              </w:rPr>
            </w:r>
            <w:r>
              <w:rPr>
                <w:noProof/>
                <w:webHidden/>
              </w:rPr>
              <w:fldChar w:fldCharType="separate"/>
            </w:r>
            <w:r w:rsidR="00A33B3A">
              <w:rPr>
                <w:noProof/>
                <w:webHidden/>
              </w:rPr>
              <w:t>63</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1" w:history="1">
            <w:r w:rsidR="00A33B3A" w:rsidRPr="005632B2">
              <w:rPr>
                <w:rStyle w:val="Hypertextovodkaz"/>
                <w:rFonts w:cs="Times New Roman"/>
                <w:noProof/>
              </w:rPr>
              <w:t>3.2.1</w:t>
            </w:r>
            <w:r w:rsidR="00A33B3A">
              <w:rPr>
                <w:rFonts w:asciiTheme="minorHAnsi" w:eastAsiaTheme="minorEastAsia" w:hAnsiTheme="minorHAnsi"/>
                <w:noProof/>
                <w:sz w:val="22"/>
                <w:lang w:eastAsia="cs-CZ"/>
              </w:rPr>
              <w:tab/>
            </w:r>
            <w:r w:rsidR="00A33B3A" w:rsidRPr="005632B2">
              <w:rPr>
                <w:rStyle w:val="Hypertextovodkaz"/>
                <w:noProof/>
              </w:rPr>
              <w:t>Srovnávací index S&amp;P 500</w:t>
            </w:r>
            <w:r w:rsidR="00A33B3A">
              <w:rPr>
                <w:noProof/>
                <w:webHidden/>
              </w:rPr>
              <w:tab/>
            </w:r>
            <w:r>
              <w:rPr>
                <w:noProof/>
                <w:webHidden/>
              </w:rPr>
              <w:fldChar w:fldCharType="begin"/>
            </w:r>
            <w:r w:rsidR="00A33B3A">
              <w:rPr>
                <w:noProof/>
                <w:webHidden/>
              </w:rPr>
              <w:instrText xml:space="preserve"> PAGEREF _Toc386146021 \h </w:instrText>
            </w:r>
            <w:r>
              <w:rPr>
                <w:noProof/>
                <w:webHidden/>
              </w:rPr>
            </w:r>
            <w:r>
              <w:rPr>
                <w:noProof/>
                <w:webHidden/>
              </w:rPr>
              <w:fldChar w:fldCharType="separate"/>
            </w:r>
            <w:r w:rsidR="00A33B3A">
              <w:rPr>
                <w:noProof/>
                <w:webHidden/>
              </w:rPr>
              <w:t>63</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2" w:history="1">
            <w:r w:rsidR="00A33B3A" w:rsidRPr="005632B2">
              <w:rPr>
                <w:rStyle w:val="Hypertextovodkaz"/>
                <w:rFonts w:cs="Times New Roman"/>
                <w:noProof/>
              </w:rPr>
              <w:t>3.2.2</w:t>
            </w:r>
            <w:r w:rsidR="00A33B3A">
              <w:rPr>
                <w:rFonts w:asciiTheme="minorHAnsi" w:eastAsiaTheme="minorEastAsia" w:hAnsiTheme="minorHAnsi"/>
                <w:noProof/>
                <w:sz w:val="22"/>
                <w:lang w:eastAsia="cs-CZ"/>
              </w:rPr>
              <w:tab/>
            </w:r>
            <w:r w:rsidR="00A33B3A" w:rsidRPr="005632B2">
              <w:rPr>
                <w:rStyle w:val="Hypertextovodkaz"/>
                <w:noProof/>
              </w:rPr>
              <w:t>Určení produktů pro analýzu a komparaci</w:t>
            </w:r>
            <w:r w:rsidR="00A33B3A">
              <w:rPr>
                <w:noProof/>
                <w:webHidden/>
              </w:rPr>
              <w:tab/>
            </w:r>
            <w:r>
              <w:rPr>
                <w:noProof/>
                <w:webHidden/>
              </w:rPr>
              <w:fldChar w:fldCharType="begin"/>
            </w:r>
            <w:r w:rsidR="00A33B3A">
              <w:rPr>
                <w:noProof/>
                <w:webHidden/>
              </w:rPr>
              <w:instrText xml:space="preserve"> PAGEREF _Toc386146022 \h </w:instrText>
            </w:r>
            <w:r>
              <w:rPr>
                <w:noProof/>
                <w:webHidden/>
              </w:rPr>
            </w:r>
            <w:r>
              <w:rPr>
                <w:noProof/>
                <w:webHidden/>
              </w:rPr>
              <w:fldChar w:fldCharType="separate"/>
            </w:r>
            <w:r w:rsidR="00A33B3A">
              <w:rPr>
                <w:noProof/>
                <w:webHidden/>
              </w:rPr>
              <w:t>64</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3" w:history="1">
            <w:r w:rsidR="00A33B3A" w:rsidRPr="005632B2">
              <w:rPr>
                <w:rStyle w:val="Hypertextovodkaz"/>
                <w:rFonts w:cs="Times New Roman"/>
                <w:noProof/>
              </w:rPr>
              <w:t>3.2.3</w:t>
            </w:r>
            <w:r w:rsidR="00A33B3A">
              <w:rPr>
                <w:rFonts w:asciiTheme="minorHAnsi" w:eastAsiaTheme="minorEastAsia" w:hAnsiTheme="minorHAnsi"/>
                <w:noProof/>
                <w:sz w:val="22"/>
                <w:lang w:eastAsia="cs-CZ"/>
              </w:rPr>
              <w:tab/>
            </w:r>
            <w:r w:rsidR="00A33B3A" w:rsidRPr="005632B2">
              <w:rPr>
                <w:rStyle w:val="Hypertextovodkaz"/>
                <w:noProof/>
              </w:rPr>
              <w:t>Investice do vybraného podílového fondu</w:t>
            </w:r>
            <w:r w:rsidR="00A33B3A">
              <w:rPr>
                <w:noProof/>
                <w:webHidden/>
              </w:rPr>
              <w:tab/>
            </w:r>
            <w:r>
              <w:rPr>
                <w:noProof/>
                <w:webHidden/>
              </w:rPr>
              <w:fldChar w:fldCharType="begin"/>
            </w:r>
            <w:r w:rsidR="00A33B3A">
              <w:rPr>
                <w:noProof/>
                <w:webHidden/>
              </w:rPr>
              <w:instrText xml:space="preserve"> PAGEREF _Toc386146023 \h </w:instrText>
            </w:r>
            <w:r>
              <w:rPr>
                <w:noProof/>
                <w:webHidden/>
              </w:rPr>
            </w:r>
            <w:r>
              <w:rPr>
                <w:noProof/>
                <w:webHidden/>
              </w:rPr>
              <w:fldChar w:fldCharType="separate"/>
            </w:r>
            <w:r w:rsidR="00A33B3A">
              <w:rPr>
                <w:noProof/>
                <w:webHidden/>
              </w:rPr>
              <w:t>65</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4" w:history="1">
            <w:r w:rsidR="00A33B3A" w:rsidRPr="005632B2">
              <w:rPr>
                <w:rStyle w:val="Hypertextovodkaz"/>
                <w:rFonts w:cs="Times New Roman"/>
                <w:noProof/>
              </w:rPr>
              <w:t>3.2.4</w:t>
            </w:r>
            <w:r w:rsidR="00A33B3A">
              <w:rPr>
                <w:rFonts w:asciiTheme="minorHAnsi" w:eastAsiaTheme="minorEastAsia" w:hAnsiTheme="minorHAnsi"/>
                <w:noProof/>
                <w:sz w:val="22"/>
                <w:lang w:eastAsia="cs-CZ"/>
              </w:rPr>
              <w:tab/>
            </w:r>
            <w:r w:rsidR="00A33B3A" w:rsidRPr="005632B2">
              <w:rPr>
                <w:rStyle w:val="Hypertextovodkaz"/>
                <w:noProof/>
              </w:rPr>
              <w:t>Investice do vybraného ETF</w:t>
            </w:r>
            <w:r w:rsidR="00A33B3A">
              <w:rPr>
                <w:noProof/>
                <w:webHidden/>
              </w:rPr>
              <w:tab/>
            </w:r>
            <w:r>
              <w:rPr>
                <w:noProof/>
                <w:webHidden/>
              </w:rPr>
              <w:fldChar w:fldCharType="begin"/>
            </w:r>
            <w:r w:rsidR="00A33B3A">
              <w:rPr>
                <w:noProof/>
                <w:webHidden/>
              </w:rPr>
              <w:instrText xml:space="preserve"> PAGEREF _Toc386146024 \h </w:instrText>
            </w:r>
            <w:r>
              <w:rPr>
                <w:noProof/>
                <w:webHidden/>
              </w:rPr>
            </w:r>
            <w:r>
              <w:rPr>
                <w:noProof/>
                <w:webHidden/>
              </w:rPr>
              <w:fldChar w:fldCharType="separate"/>
            </w:r>
            <w:r w:rsidR="00A33B3A">
              <w:rPr>
                <w:noProof/>
                <w:webHidden/>
              </w:rPr>
              <w:t>69</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5" w:history="1">
            <w:r w:rsidR="00A33B3A" w:rsidRPr="005632B2">
              <w:rPr>
                <w:rStyle w:val="Hypertextovodkaz"/>
                <w:rFonts w:cs="Times New Roman"/>
                <w:noProof/>
              </w:rPr>
              <w:t>3.2.5</w:t>
            </w:r>
            <w:r w:rsidR="00A33B3A">
              <w:rPr>
                <w:rFonts w:asciiTheme="minorHAnsi" w:eastAsiaTheme="minorEastAsia" w:hAnsiTheme="minorHAnsi"/>
                <w:noProof/>
                <w:sz w:val="22"/>
                <w:lang w:eastAsia="cs-CZ"/>
              </w:rPr>
              <w:tab/>
            </w:r>
            <w:r w:rsidR="00A33B3A" w:rsidRPr="005632B2">
              <w:rPr>
                <w:rStyle w:val="Hypertextovodkaz"/>
                <w:noProof/>
              </w:rPr>
              <w:t>Investice do vybraného ETF využívajícího páky</w:t>
            </w:r>
            <w:r w:rsidR="00A33B3A">
              <w:rPr>
                <w:noProof/>
                <w:webHidden/>
              </w:rPr>
              <w:tab/>
            </w:r>
            <w:r>
              <w:rPr>
                <w:noProof/>
                <w:webHidden/>
              </w:rPr>
              <w:fldChar w:fldCharType="begin"/>
            </w:r>
            <w:r w:rsidR="00A33B3A">
              <w:rPr>
                <w:noProof/>
                <w:webHidden/>
              </w:rPr>
              <w:instrText xml:space="preserve"> PAGEREF _Toc386146025 \h </w:instrText>
            </w:r>
            <w:r>
              <w:rPr>
                <w:noProof/>
                <w:webHidden/>
              </w:rPr>
            </w:r>
            <w:r>
              <w:rPr>
                <w:noProof/>
                <w:webHidden/>
              </w:rPr>
              <w:fldChar w:fldCharType="separate"/>
            </w:r>
            <w:r w:rsidR="00A33B3A">
              <w:rPr>
                <w:noProof/>
                <w:webHidden/>
              </w:rPr>
              <w:t>72</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6" w:history="1">
            <w:r w:rsidR="00A33B3A" w:rsidRPr="005632B2">
              <w:rPr>
                <w:rStyle w:val="Hypertextovodkaz"/>
                <w:rFonts w:cs="Times New Roman"/>
                <w:noProof/>
              </w:rPr>
              <w:t>3.2.6</w:t>
            </w:r>
            <w:r w:rsidR="00A33B3A">
              <w:rPr>
                <w:rFonts w:asciiTheme="minorHAnsi" w:eastAsiaTheme="minorEastAsia" w:hAnsiTheme="minorHAnsi"/>
                <w:noProof/>
                <w:sz w:val="22"/>
                <w:lang w:eastAsia="cs-CZ"/>
              </w:rPr>
              <w:tab/>
            </w:r>
            <w:r w:rsidR="00A33B3A" w:rsidRPr="005632B2">
              <w:rPr>
                <w:rStyle w:val="Hypertextovodkaz"/>
                <w:noProof/>
              </w:rPr>
              <w:t>Investice do vybraného inverzního ETF využívajícího páky</w:t>
            </w:r>
            <w:r w:rsidR="00A33B3A">
              <w:rPr>
                <w:noProof/>
                <w:webHidden/>
              </w:rPr>
              <w:tab/>
            </w:r>
            <w:r>
              <w:rPr>
                <w:noProof/>
                <w:webHidden/>
              </w:rPr>
              <w:fldChar w:fldCharType="begin"/>
            </w:r>
            <w:r w:rsidR="00A33B3A">
              <w:rPr>
                <w:noProof/>
                <w:webHidden/>
              </w:rPr>
              <w:instrText xml:space="preserve"> PAGEREF _Toc386146026 \h </w:instrText>
            </w:r>
            <w:r>
              <w:rPr>
                <w:noProof/>
                <w:webHidden/>
              </w:rPr>
            </w:r>
            <w:r>
              <w:rPr>
                <w:noProof/>
                <w:webHidden/>
              </w:rPr>
              <w:fldChar w:fldCharType="separate"/>
            </w:r>
            <w:r w:rsidR="00A33B3A">
              <w:rPr>
                <w:noProof/>
                <w:webHidden/>
              </w:rPr>
              <w:t>76</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6027" w:history="1">
            <w:r w:rsidR="00A33B3A" w:rsidRPr="005632B2">
              <w:rPr>
                <w:rStyle w:val="Hypertextovodkaz"/>
                <w:noProof/>
              </w:rPr>
              <w:t>3.3</w:t>
            </w:r>
            <w:r w:rsidR="00A33B3A">
              <w:rPr>
                <w:rFonts w:asciiTheme="minorHAnsi" w:eastAsiaTheme="minorEastAsia" w:hAnsiTheme="minorHAnsi"/>
                <w:noProof/>
                <w:sz w:val="22"/>
                <w:lang w:eastAsia="cs-CZ"/>
              </w:rPr>
              <w:tab/>
            </w:r>
            <w:r w:rsidR="00A33B3A" w:rsidRPr="005632B2">
              <w:rPr>
                <w:rStyle w:val="Hypertextovodkaz"/>
                <w:noProof/>
              </w:rPr>
              <w:t>Zhodnocení výkonnosti a nákladovosti jednotlivých investic</w:t>
            </w:r>
            <w:r w:rsidR="00A33B3A">
              <w:rPr>
                <w:noProof/>
                <w:webHidden/>
              </w:rPr>
              <w:tab/>
            </w:r>
            <w:r>
              <w:rPr>
                <w:noProof/>
                <w:webHidden/>
              </w:rPr>
              <w:fldChar w:fldCharType="begin"/>
            </w:r>
            <w:r w:rsidR="00A33B3A">
              <w:rPr>
                <w:noProof/>
                <w:webHidden/>
              </w:rPr>
              <w:instrText xml:space="preserve"> PAGEREF _Toc386146027 \h </w:instrText>
            </w:r>
            <w:r>
              <w:rPr>
                <w:noProof/>
                <w:webHidden/>
              </w:rPr>
            </w:r>
            <w:r>
              <w:rPr>
                <w:noProof/>
                <w:webHidden/>
              </w:rPr>
              <w:fldChar w:fldCharType="separate"/>
            </w:r>
            <w:r w:rsidR="00A33B3A">
              <w:rPr>
                <w:noProof/>
                <w:webHidden/>
              </w:rPr>
              <w:t>80</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8" w:history="1">
            <w:r w:rsidR="00A33B3A" w:rsidRPr="005632B2">
              <w:rPr>
                <w:rStyle w:val="Hypertextovodkaz"/>
                <w:rFonts w:cs="Times New Roman"/>
                <w:noProof/>
              </w:rPr>
              <w:t>3.3.1</w:t>
            </w:r>
            <w:r w:rsidR="00A33B3A">
              <w:rPr>
                <w:rFonts w:asciiTheme="minorHAnsi" w:eastAsiaTheme="minorEastAsia" w:hAnsiTheme="minorHAnsi"/>
                <w:noProof/>
                <w:sz w:val="22"/>
                <w:lang w:eastAsia="cs-CZ"/>
              </w:rPr>
              <w:tab/>
            </w:r>
            <w:r w:rsidR="00A33B3A" w:rsidRPr="005632B2">
              <w:rPr>
                <w:rStyle w:val="Hypertextovodkaz"/>
                <w:noProof/>
              </w:rPr>
              <w:t>Komparace výnosnosti a volatility</w:t>
            </w:r>
            <w:r w:rsidR="00A33B3A">
              <w:rPr>
                <w:noProof/>
                <w:webHidden/>
              </w:rPr>
              <w:tab/>
            </w:r>
            <w:r>
              <w:rPr>
                <w:noProof/>
                <w:webHidden/>
              </w:rPr>
              <w:fldChar w:fldCharType="begin"/>
            </w:r>
            <w:r w:rsidR="00A33B3A">
              <w:rPr>
                <w:noProof/>
                <w:webHidden/>
              </w:rPr>
              <w:instrText xml:space="preserve"> PAGEREF _Toc386146028 \h </w:instrText>
            </w:r>
            <w:r>
              <w:rPr>
                <w:noProof/>
                <w:webHidden/>
              </w:rPr>
            </w:r>
            <w:r>
              <w:rPr>
                <w:noProof/>
                <w:webHidden/>
              </w:rPr>
              <w:fldChar w:fldCharType="separate"/>
            </w:r>
            <w:r w:rsidR="00A33B3A">
              <w:rPr>
                <w:noProof/>
                <w:webHidden/>
              </w:rPr>
              <w:t>80</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29" w:history="1">
            <w:r w:rsidR="00A33B3A" w:rsidRPr="005632B2">
              <w:rPr>
                <w:rStyle w:val="Hypertextovodkaz"/>
                <w:rFonts w:cs="Times New Roman"/>
                <w:noProof/>
              </w:rPr>
              <w:t>3.3.2</w:t>
            </w:r>
            <w:r w:rsidR="00A33B3A">
              <w:rPr>
                <w:rFonts w:asciiTheme="minorHAnsi" w:eastAsiaTheme="minorEastAsia" w:hAnsiTheme="minorHAnsi"/>
                <w:noProof/>
                <w:sz w:val="22"/>
                <w:lang w:eastAsia="cs-CZ"/>
              </w:rPr>
              <w:tab/>
            </w:r>
            <w:r w:rsidR="00A33B3A" w:rsidRPr="005632B2">
              <w:rPr>
                <w:rStyle w:val="Hypertextovodkaz"/>
                <w:noProof/>
              </w:rPr>
              <w:t>Komparace Sharpe ratio</w:t>
            </w:r>
            <w:r w:rsidR="00A33B3A">
              <w:rPr>
                <w:noProof/>
                <w:webHidden/>
              </w:rPr>
              <w:tab/>
            </w:r>
            <w:r>
              <w:rPr>
                <w:noProof/>
                <w:webHidden/>
              </w:rPr>
              <w:fldChar w:fldCharType="begin"/>
            </w:r>
            <w:r w:rsidR="00A33B3A">
              <w:rPr>
                <w:noProof/>
                <w:webHidden/>
              </w:rPr>
              <w:instrText xml:space="preserve"> PAGEREF _Toc386146029 \h </w:instrText>
            </w:r>
            <w:r>
              <w:rPr>
                <w:noProof/>
                <w:webHidden/>
              </w:rPr>
            </w:r>
            <w:r>
              <w:rPr>
                <w:noProof/>
                <w:webHidden/>
              </w:rPr>
              <w:fldChar w:fldCharType="separate"/>
            </w:r>
            <w:r w:rsidR="00A33B3A">
              <w:rPr>
                <w:noProof/>
                <w:webHidden/>
              </w:rPr>
              <w:t>81</w:t>
            </w:r>
            <w:r>
              <w:rPr>
                <w:noProof/>
                <w:webHidden/>
              </w:rPr>
              <w:fldChar w:fldCharType="end"/>
            </w:r>
          </w:hyperlink>
        </w:p>
        <w:p w:rsidR="00A33B3A" w:rsidRDefault="008B79C7">
          <w:pPr>
            <w:pStyle w:val="Obsah3"/>
            <w:tabs>
              <w:tab w:val="left" w:pos="1320"/>
              <w:tab w:val="right" w:leader="dot" w:pos="9060"/>
            </w:tabs>
            <w:rPr>
              <w:rFonts w:asciiTheme="minorHAnsi" w:eastAsiaTheme="minorEastAsia" w:hAnsiTheme="minorHAnsi"/>
              <w:noProof/>
              <w:sz w:val="22"/>
              <w:lang w:eastAsia="cs-CZ"/>
            </w:rPr>
          </w:pPr>
          <w:hyperlink w:anchor="_Toc386146030" w:history="1">
            <w:r w:rsidR="00A33B3A" w:rsidRPr="005632B2">
              <w:rPr>
                <w:rStyle w:val="Hypertextovodkaz"/>
                <w:rFonts w:cs="Times New Roman"/>
                <w:noProof/>
              </w:rPr>
              <w:t>3.3.3</w:t>
            </w:r>
            <w:r w:rsidR="00A33B3A">
              <w:rPr>
                <w:rFonts w:asciiTheme="minorHAnsi" w:eastAsiaTheme="minorEastAsia" w:hAnsiTheme="minorHAnsi"/>
                <w:noProof/>
                <w:sz w:val="22"/>
                <w:lang w:eastAsia="cs-CZ"/>
              </w:rPr>
              <w:tab/>
            </w:r>
            <w:r w:rsidR="00A33B3A" w:rsidRPr="005632B2">
              <w:rPr>
                <w:rStyle w:val="Hypertextovodkaz"/>
                <w:noProof/>
              </w:rPr>
              <w:t>Komparace Information ratio</w:t>
            </w:r>
            <w:r w:rsidR="00A33B3A">
              <w:rPr>
                <w:noProof/>
                <w:webHidden/>
              </w:rPr>
              <w:tab/>
            </w:r>
            <w:r>
              <w:rPr>
                <w:noProof/>
                <w:webHidden/>
              </w:rPr>
              <w:fldChar w:fldCharType="begin"/>
            </w:r>
            <w:r w:rsidR="00A33B3A">
              <w:rPr>
                <w:noProof/>
                <w:webHidden/>
              </w:rPr>
              <w:instrText xml:space="preserve"> PAGEREF _Toc386146030 \h </w:instrText>
            </w:r>
            <w:r>
              <w:rPr>
                <w:noProof/>
                <w:webHidden/>
              </w:rPr>
            </w:r>
            <w:r>
              <w:rPr>
                <w:noProof/>
                <w:webHidden/>
              </w:rPr>
              <w:fldChar w:fldCharType="separate"/>
            </w:r>
            <w:r w:rsidR="00A33B3A">
              <w:rPr>
                <w:noProof/>
                <w:webHidden/>
              </w:rPr>
              <w:t>82</w:t>
            </w:r>
            <w:r>
              <w:rPr>
                <w:noProof/>
                <w:webHidden/>
              </w:rPr>
              <w:fldChar w:fldCharType="end"/>
            </w:r>
          </w:hyperlink>
        </w:p>
        <w:p w:rsidR="00A33B3A" w:rsidRDefault="008B79C7">
          <w:pPr>
            <w:pStyle w:val="Obsah2"/>
            <w:tabs>
              <w:tab w:val="left" w:pos="880"/>
              <w:tab w:val="right" w:leader="dot" w:pos="9060"/>
            </w:tabs>
            <w:rPr>
              <w:rFonts w:asciiTheme="minorHAnsi" w:eastAsiaTheme="minorEastAsia" w:hAnsiTheme="minorHAnsi"/>
              <w:noProof/>
              <w:sz w:val="22"/>
              <w:lang w:eastAsia="cs-CZ"/>
            </w:rPr>
          </w:pPr>
          <w:hyperlink w:anchor="_Toc386146031" w:history="1">
            <w:r w:rsidR="00A33B3A" w:rsidRPr="005632B2">
              <w:rPr>
                <w:rStyle w:val="Hypertextovodkaz"/>
                <w:noProof/>
              </w:rPr>
              <w:t>3.4</w:t>
            </w:r>
            <w:r w:rsidR="00A33B3A">
              <w:rPr>
                <w:rFonts w:asciiTheme="minorHAnsi" w:eastAsiaTheme="minorEastAsia" w:hAnsiTheme="minorHAnsi"/>
                <w:noProof/>
                <w:sz w:val="22"/>
                <w:lang w:eastAsia="cs-CZ"/>
              </w:rPr>
              <w:tab/>
            </w:r>
            <w:r w:rsidR="00A33B3A" w:rsidRPr="005632B2">
              <w:rPr>
                <w:rStyle w:val="Hypertextovodkaz"/>
                <w:noProof/>
              </w:rPr>
              <w:t>Shrnutí a zhodnocení dosažených výsledků</w:t>
            </w:r>
            <w:r w:rsidR="00A33B3A">
              <w:rPr>
                <w:noProof/>
                <w:webHidden/>
              </w:rPr>
              <w:tab/>
            </w:r>
            <w:r>
              <w:rPr>
                <w:noProof/>
                <w:webHidden/>
              </w:rPr>
              <w:fldChar w:fldCharType="begin"/>
            </w:r>
            <w:r w:rsidR="00A33B3A">
              <w:rPr>
                <w:noProof/>
                <w:webHidden/>
              </w:rPr>
              <w:instrText xml:space="preserve"> PAGEREF _Toc386146031 \h </w:instrText>
            </w:r>
            <w:r>
              <w:rPr>
                <w:noProof/>
                <w:webHidden/>
              </w:rPr>
            </w:r>
            <w:r>
              <w:rPr>
                <w:noProof/>
                <w:webHidden/>
              </w:rPr>
              <w:fldChar w:fldCharType="separate"/>
            </w:r>
            <w:r w:rsidR="00A33B3A">
              <w:rPr>
                <w:noProof/>
                <w:webHidden/>
              </w:rPr>
              <w:t>83</w:t>
            </w:r>
            <w:r>
              <w:rPr>
                <w:noProof/>
                <w:webHidden/>
              </w:rPr>
              <w:fldChar w:fldCharType="end"/>
            </w:r>
          </w:hyperlink>
        </w:p>
        <w:p w:rsidR="00A33B3A" w:rsidRDefault="008B79C7">
          <w:pPr>
            <w:pStyle w:val="Obsah1"/>
            <w:tabs>
              <w:tab w:val="right" w:leader="dot" w:pos="9060"/>
            </w:tabs>
            <w:rPr>
              <w:rFonts w:asciiTheme="minorHAnsi" w:eastAsiaTheme="minorEastAsia" w:hAnsiTheme="minorHAnsi"/>
              <w:noProof/>
              <w:sz w:val="22"/>
              <w:lang w:eastAsia="cs-CZ"/>
            </w:rPr>
          </w:pPr>
          <w:hyperlink w:anchor="_Toc386146032" w:history="1">
            <w:r w:rsidR="00A33B3A" w:rsidRPr="005632B2">
              <w:rPr>
                <w:rStyle w:val="Hypertextovodkaz"/>
                <w:noProof/>
              </w:rPr>
              <w:t>ZÁVĚR</w:t>
            </w:r>
            <w:r w:rsidR="00A33B3A">
              <w:rPr>
                <w:noProof/>
                <w:webHidden/>
              </w:rPr>
              <w:tab/>
            </w:r>
            <w:r>
              <w:rPr>
                <w:noProof/>
                <w:webHidden/>
              </w:rPr>
              <w:fldChar w:fldCharType="begin"/>
            </w:r>
            <w:r w:rsidR="00A33B3A">
              <w:rPr>
                <w:noProof/>
                <w:webHidden/>
              </w:rPr>
              <w:instrText xml:space="preserve"> PAGEREF _Toc386146032 \h </w:instrText>
            </w:r>
            <w:r>
              <w:rPr>
                <w:noProof/>
                <w:webHidden/>
              </w:rPr>
            </w:r>
            <w:r>
              <w:rPr>
                <w:noProof/>
                <w:webHidden/>
              </w:rPr>
              <w:fldChar w:fldCharType="separate"/>
            </w:r>
            <w:r w:rsidR="00A33B3A">
              <w:rPr>
                <w:noProof/>
                <w:webHidden/>
              </w:rPr>
              <w:t>86</w:t>
            </w:r>
            <w:r>
              <w:rPr>
                <w:noProof/>
                <w:webHidden/>
              </w:rPr>
              <w:fldChar w:fldCharType="end"/>
            </w:r>
          </w:hyperlink>
        </w:p>
        <w:p w:rsidR="00A33B3A" w:rsidRDefault="008B79C7">
          <w:pPr>
            <w:pStyle w:val="Obsah1"/>
            <w:tabs>
              <w:tab w:val="right" w:leader="dot" w:pos="9060"/>
            </w:tabs>
            <w:rPr>
              <w:rFonts w:asciiTheme="minorHAnsi" w:eastAsiaTheme="minorEastAsia" w:hAnsiTheme="minorHAnsi"/>
              <w:noProof/>
              <w:sz w:val="22"/>
              <w:lang w:eastAsia="cs-CZ"/>
            </w:rPr>
          </w:pPr>
          <w:hyperlink w:anchor="_Toc386146033" w:history="1">
            <w:r w:rsidR="00A33B3A" w:rsidRPr="005632B2">
              <w:rPr>
                <w:rStyle w:val="Hypertextovodkaz"/>
                <w:noProof/>
              </w:rPr>
              <w:t>ZDROJE</w:t>
            </w:r>
            <w:r w:rsidR="00A33B3A">
              <w:rPr>
                <w:noProof/>
                <w:webHidden/>
              </w:rPr>
              <w:tab/>
            </w:r>
            <w:r>
              <w:rPr>
                <w:noProof/>
                <w:webHidden/>
              </w:rPr>
              <w:fldChar w:fldCharType="begin"/>
            </w:r>
            <w:r w:rsidR="00A33B3A">
              <w:rPr>
                <w:noProof/>
                <w:webHidden/>
              </w:rPr>
              <w:instrText xml:space="preserve"> PAGEREF _Toc386146033 \h </w:instrText>
            </w:r>
            <w:r>
              <w:rPr>
                <w:noProof/>
                <w:webHidden/>
              </w:rPr>
            </w:r>
            <w:r>
              <w:rPr>
                <w:noProof/>
                <w:webHidden/>
              </w:rPr>
              <w:fldChar w:fldCharType="separate"/>
            </w:r>
            <w:r w:rsidR="00A33B3A">
              <w:rPr>
                <w:noProof/>
                <w:webHidden/>
              </w:rPr>
              <w:t>88</w:t>
            </w:r>
            <w:r>
              <w:rPr>
                <w:noProof/>
                <w:webHidden/>
              </w:rPr>
              <w:fldChar w:fldCharType="end"/>
            </w:r>
          </w:hyperlink>
        </w:p>
        <w:p w:rsidR="00A33B3A" w:rsidRDefault="008B79C7">
          <w:pPr>
            <w:pStyle w:val="Obsah1"/>
            <w:tabs>
              <w:tab w:val="right" w:leader="dot" w:pos="9060"/>
            </w:tabs>
            <w:rPr>
              <w:rFonts w:asciiTheme="minorHAnsi" w:eastAsiaTheme="minorEastAsia" w:hAnsiTheme="minorHAnsi"/>
              <w:noProof/>
              <w:sz w:val="22"/>
              <w:lang w:eastAsia="cs-CZ"/>
            </w:rPr>
          </w:pPr>
          <w:hyperlink w:anchor="_Toc386146034" w:history="1">
            <w:r w:rsidR="00A33B3A" w:rsidRPr="005632B2">
              <w:rPr>
                <w:rStyle w:val="Hypertextovodkaz"/>
                <w:noProof/>
              </w:rPr>
              <w:t>SEZNAM TABULEK, GRAFŮ, OBRÁZKŮ</w:t>
            </w:r>
            <w:r w:rsidR="00A33B3A">
              <w:rPr>
                <w:noProof/>
                <w:webHidden/>
              </w:rPr>
              <w:tab/>
            </w:r>
            <w:r>
              <w:rPr>
                <w:noProof/>
                <w:webHidden/>
              </w:rPr>
              <w:fldChar w:fldCharType="begin"/>
            </w:r>
            <w:r w:rsidR="00A33B3A">
              <w:rPr>
                <w:noProof/>
                <w:webHidden/>
              </w:rPr>
              <w:instrText xml:space="preserve"> PAGEREF _Toc386146034 \h </w:instrText>
            </w:r>
            <w:r>
              <w:rPr>
                <w:noProof/>
                <w:webHidden/>
              </w:rPr>
            </w:r>
            <w:r>
              <w:rPr>
                <w:noProof/>
                <w:webHidden/>
              </w:rPr>
              <w:fldChar w:fldCharType="separate"/>
            </w:r>
            <w:r w:rsidR="00A33B3A">
              <w:rPr>
                <w:noProof/>
                <w:webHidden/>
              </w:rPr>
              <w:t>91</w:t>
            </w:r>
            <w:r>
              <w:rPr>
                <w:noProof/>
                <w:webHidden/>
              </w:rPr>
              <w:fldChar w:fldCharType="end"/>
            </w:r>
          </w:hyperlink>
        </w:p>
        <w:p w:rsidR="008A5AD0" w:rsidRDefault="008B79C7" w:rsidP="008A5AD0">
          <w:pPr>
            <w:sectPr w:rsidR="008A5AD0" w:rsidSect="008A5AD0">
              <w:footerReference w:type="default" r:id="rId10"/>
              <w:pgSz w:w="11906" w:h="16838"/>
              <w:pgMar w:top="1418" w:right="851" w:bottom="1134" w:left="1985" w:header="709" w:footer="709" w:gutter="0"/>
              <w:pgNumType w:start="8"/>
              <w:cols w:space="708"/>
              <w:docGrid w:linePitch="360"/>
            </w:sectPr>
          </w:pPr>
          <w:r>
            <w:fldChar w:fldCharType="end"/>
          </w:r>
        </w:p>
      </w:sdtContent>
    </w:sdt>
    <w:p w:rsidR="00AF399C" w:rsidRDefault="00AF399C" w:rsidP="008A5AD0">
      <w:pPr>
        <w:pStyle w:val="Nadpis1"/>
        <w:numPr>
          <w:ilvl w:val="0"/>
          <w:numId w:val="0"/>
        </w:numPr>
        <w:tabs>
          <w:tab w:val="left" w:pos="5739"/>
        </w:tabs>
        <w:spacing w:before="0"/>
      </w:pPr>
      <w:bookmarkStart w:id="7" w:name="_Toc386145976"/>
      <w:r>
        <w:lastRenderedPageBreak/>
        <w:t>ÚVOD</w:t>
      </w:r>
      <w:bookmarkEnd w:id="7"/>
      <w:r w:rsidR="008A5AD0">
        <w:tab/>
      </w:r>
    </w:p>
    <w:p w:rsidR="00E46977" w:rsidRDefault="00D25FBB" w:rsidP="00431ECD">
      <w:pPr>
        <w:spacing w:line="360" w:lineRule="auto"/>
      </w:pPr>
      <w:r>
        <w:t>Pokud se člověk rozhodně již dnes odkládat část svých příjmů na stáří, má celou řadu možností, kam tyto prostředky vložit. Obecně čeští investoři patří spíše ke konzervativnějším, využívají tedy spíše termínovaných vkladů, případně podílových či investičních fondů</w:t>
      </w:r>
      <w:r w:rsidR="00431ECD">
        <w:t xml:space="preserve"> či dluhopisů</w:t>
      </w:r>
      <w:r>
        <w:t xml:space="preserve">. </w:t>
      </w:r>
      <w:r w:rsidR="00431ECD">
        <w:t>Co se investování do dalších instrumentů týče, pak například do akcií investuje jen malá část obyvatelstva. Drobný český investor nemá příliš dobré zkušenosti s investicemi na kapitálovém trhu. Po vzniku České republiky se začala objevovat celá řada akciových společností, které se však na trhu neudržely a lidé přišli o své vložené prostředky. Dle mého názoru je právě toto jedním z důvodů, proč se Češi drží od investic do akcií spíše dále a volí jiné investiční příležitosti.</w:t>
      </w:r>
    </w:p>
    <w:p w:rsidR="00431ECD" w:rsidRDefault="00431ECD" w:rsidP="00431ECD">
      <w:pPr>
        <w:spacing w:line="360" w:lineRule="auto"/>
      </w:pPr>
      <w:r>
        <w:t>Jako alternativa k výše zmíněným se v posledních letech začaly rozšiřovat burzovně obchodované fondy, známější spíše pod anglickým názvem Exchange Traded Funds</w:t>
      </w:r>
      <w:r w:rsidR="00D057DC">
        <w:t xml:space="preserve"> (ETFs)</w:t>
      </w:r>
      <w:r>
        <w:t xml:space="preserve">. </w:t>
      </w:r>
      <w:r w:rsidR="00D057DC">
        <w:t xml:space="preserve">Jedná se o moderní investiční nástroj, který představuje přímou konkurenci fondům kolektivního investování. Dle zaměření mohou kopírovat například určitý index, koš aktiv, dluhopisy, komodity či například měny. Díky tomu, že podkladem není například akcie či dluhopis pouze jedné společnosti, jedná se o diverzifikovaný investiční nástroj. Prostřednictvím tohoto instrumentu je možné investovat do takových aktiv, do kterých by jinak běžný investor neměl možnost zainventovat a to ať už z důvodu velmi vysokých transakčních nákladů nebo například kvůli tomu, že daný instrument je obchodován na burze, kam nemá přístup. </w:t>
      </w:r>
    </w:p>
    <w:p w:rsidR="00D057DC" w:rsidRDefault="00D057DC" w:rsidP="00431ECD">
      <w:pPr>
        <w:spacing w:line="360" w:lineRule="auto"/>
      </w:pPr>
      <w:r>
        <w:t xml:space="preserve">Celá tato práce je zaměřená zejména na ETFs, tedy na jejich charakteristiku, základní vlastnosti a možnosti investování do tohoto nástroje. </w:t>
      </w:r>
      <w:r w:rsidR="001B7C40">
        <w:t>Parciálními cílem bude jednak analýza trhu s ETFs, tedy jak se investice do tohoto instrumentu vyvíjejí v posledních letech v různých částech světa. Dalším dílčím cílem je komparace vybraných ukazatelů u sledovaných produktů a na základě zjištěného zvolit vhodný investiční nástroj pro drobného investora. Všechny tyto cíle přitom směřují k naplnění globálního cíle</w:t>
      </w:r>
      <w:r>
        <w:t xml:space="preserve"> práce</w:t>
      </w:r>
      <w:r w:rsidR="001B7C40">
        <w:t>, kterým</w:t>
      </w:r>
      <w:r>
        <w:t xml:space="preserve"> je tedy analýza ETFs a srovnání možností investování do ETFs a fondů kolektivního investování. </w:t>
      </w:r>
      <w:r w:rsidR="001B7C40">
        <w:t>V práci budou využity metody analýza, komparace a dedukce.</w:t>
      </w:r>
    </w:p>
    <w:p w:rsidR="003B0ADB" w:rsidRDefault="00D057DC" w:rsidP="00431ECD">
      <w:pPr>
        <w:spacing w:line="360" w:lineRule="auto"/>
      </w:pPr>
      <w:r>
        <w:t>První část práce je věnována základní</w:t>
      </w:r>
      <w:r w:rsidR="003B0ADB">
        <w:t xml:space="preserve"> teoretické</w:t>
      </w:r>
      <w:r>
        <w:t xml:space="preserve"> charakteristice ETFs, jejich historii, vlastnostem, hlavním výhodám a nevýhodám, dále způsobům oceňování těchto instrumentů</w:t>
      </w:r>
      <w:r w:rsidR="003B0ADB">
        <w:t>, právnímu vymezení</w:t>
      </w:r>
      <w:r>
        <w:t xml:space="preserve"> či jejich </w:t>
      </w:r>
      <w:r w:rsidR="003B0ADB">
        <w:t>základními druhy</w:t>
      </w:r>
      <w:r>
        <w:t xml:space="preserve">. </w:t>
      </w:r>
      <w:r w:rsidR="003B0ADB">
        <w:t xml:space="preserve">Společně s tím zde bude uvedena krátká charakteristika ostatních fondů kolektivního investování, tedy podílových a investičních </w:t>
      </w:r>
      <w:r w:rsidR="003B0ADB">
        <w:lastRenderedPageBreak/>
        <w:t xml:space="preserve">fondů, a také jejich krátká historie a obecná rizika spojená s investicí do všech výše zmíněných instrumentů. </w:t>
      </w:r>
    </w:p>
    <w:p w:rsidR="003B0ADB" w:rsidRDefault="003B0ADB" w:rsidP="00431ECD">
      <w:pPr>
        <w:spacing w:line="360" w:lineRule="auto"/>
      </w:pPr>
      <w:r>
        <w:t xml:space="preserve">Druhá část práce je zaměřena na analýzu trhu ETFs, budou zde tedy rozebrány základní charakteristiky hlavním trhů ETFs (trh USA, Evropy, Kanady, Asie a Tichomoří a Latinské Ameriky). Zkoumáno bude především zaměření těchto trhů ETFs, tedy na které instrumenty se tyto trhy zejména zaměřují a kteří hlavní poskytovatelé ETFs zde působí. V návaznosti na to se poté zaměřím na vybrané obchodníky s cennými papíry působící v České republice </w:t>
      </w:r>
      <w:r w:rsidR="003541F5">
        <w:t xml:space="preserve">a na základě zjištěných poznatků se pokusím vybrat vhodného obchodníka pro drobného českého investora. </w:t>
      </w:r>
    </w:p>
    <w:p w:rsidR="00C6140C" w:rsidRDefault="003541F5" w:rsidP="00431ECD">
      <w:pPr>
        <w:spacing w:line="360" w:lineRule="auto"/>
      </w:pPr>
      <w:r>
        <w:t xml:space="preserve">Poslední třetí část práce se zabývá již konkrétními vybranými instrumenty ETFs a komparací základních ukazatelů těchto produktů s vybraným podílovým fondem. Na základě zjištěných údajů </w:t>
      </w:r>
      <w:r w:rsidR="00C6140C">
        <w:t>se pokusím vyvodit závěry ohledně vhodnosti jednotlivých investic pro drobného investora za daných podmínek.</w:t>
      </w:r>
    </w:p>
    <w:p w:rsidR="003541F5" w:rsidRPr="00E46977" w:rsidRDefault="003541F5" w:rsidP="00431ECD">
      <w:pPr>
        <w:spacing w:line="360" w:lineRule="auto"/>
        <w:sectPr w:rsidR="003541F5" w:rsidRPr="00E46977" w:rsidSect="008A5AD0">
          <w:footerReference w:type="default" r:id="rId11"/>
          <w:pgSz w:w="11906" w:h="16838"/>
          <w:pgMar w:top="1418" w:right="851" w:bottom="1134" w:left="1985" w:header="709" w:footer="709" w:gutter="0"/>
          <w:pgNumType w:start="10"/>
          <w:cols w:space="708"/>
          <w:docGrid w:linePitch="360"/>
        </w:sectPr>
      </w:pPr>
      <w:r>
        <w:t xml:space="preserve"> </w:t>
      </w:r>
    </w:p>
    <w:p w:rsidR="00AF399C" w:rsidRPr="00F9637A" w:rsidRDefault="00AF399C" w:rsidP="00AF399C">
      <w:pPr>
        <w:pStyle w:val="Nadpis1"/>
        <w:numPr>
          <w:ilvl w:val="0"/>
          <w:numId w:val="10"/>
        </w:numPr>
        <w:spacing w:before="0" w:line="360" w:lineRule="auto"/>
        <w:rPr>
          <w:sz w:val="28"/>
        </w:rPr>
      </w:pPr>
      <w:bookmarkStart w:id="8" w:name="_Toc386145977"/>
      <w:r w:rsidRPr="00F9637A">
        <w:rPr>
          <w:sz w:val="28"/>
        </w:rPr>
        <w:lastRenderedPageBreak/>
        <w:t>KOMPARACE FONDŮ KOLEKTIVNÍHO INVESTOVÁNÍ A ETF</w:t>
      </w:r>
      <w:bookmarkEnd w:id="8"/>
    </w:p>
    <w:p w:rsidR="00AF399C" w:rsidRPr="001B143D" w:rsidRDefault="00AF399C" w:rsidP="00AF399C">
      <w:pPr>
        <w:spacing w:after="240" w:line="360" w:lineRule="auto"/>
      </w:pPr>
      <w:r>
        <w:t>V současné době si spotřebitelé mohou vybrat z celé řady možností, kam vložit své volné finanční prostředky za účelem jejich zhodnocení. Od běžných vkladových či spořicích účtů, přes investice do termínovaných vkladů, podílových listů až po dluhopisy, akcie a další investiční nástroje. Pro drobné investory, kteří by rádi investovali do celé škály produktů a zajistili tak diverzifikaci svého portfolia, se jeví jako vhodný investiční nástroj fond kolektivního investování. Jako alternativa tohoto produktu se v nedávné době vyvinuly burzov</w:t>
      </w:r>
      <w:r w:rsidR="003D6D99">
        <w:t>ně obchodované fondy (Exchange Traded F</w:t>
      </w:r>
      <w:r>
        <w:t>unds – ETF</w:t>
      </w:r>
      <w:r w:rsidR="007A43D0">
        <w:t>s</w:t>
      </w:r>
      <w:r>
        <w:t xml:space="preserve">), které jsou stále se rozvíjejícím konkurentem klasických fondů kolektivního investování. První kapitola bude věnována krátké charakteristice fondů kolektivního investování a zejména pak představení ETF, jejich základní charakteristice, principu fungování, konstrukci, historii a vývoji. </w:t>
      </w:r>
    </w:p>
    <w:p w:rsidR="00AF399C" w:rsidRPr="00862EF0" w:rsidRDefault="00AF399C" w:rsidP="00371136">
      <w:pPr>
        <w:pStyle w:val="Nadpis2"/>
      </w:pPr>
      <w:bookmarkStart w:id="9" w:name="_Toc386145978"/>
      <w:r w:rsidRPr="00862EF0">
        <w:rPr>
          <w:rStyle w:val="null"/>
        </w:rPr>
        <w:t>Kolektivní investování a jeho formy</w:t>
      </w:r>
      <w:bookmarkEnd w:id="9"/>
      <w:r w:rsidRPr="00862EF0">
        <w:rPr>
          <w:rStyle w:val="null"/>
        </w:rPr>
        <w:t xml:space="preserve"> </w:t>
      </w:r>
    </w:p>
    <w:p w:rsidR="00AF399C" w:rsidRPr="00F9637A" w:rsidRDefault="00AF399C" w:rsidP="00AF399C">
      <w:pPr>
        <w:spacing w:after="240" w:line="360" w:lineRule="auto"/>
        <w:rPr>
          <w:rStyle w:val="null"/>
        </w:rPr>
      </w:pPr>
      <w:r>
        <w:rPr>
          <w:rStyle w:val="null"/>
        </w:rPr>
        <w:t>Hlavní ideou kolektivního investování je, že drobný investor nemá dostatek prostředků a možností pro tvorbu dostatečně diverzifikovaného portfolia produktů, které by zabezpečilo ochranu j</w:t>
      </w:r>
      <w:r w:rsidR="007E0945">
        <w:rPr>
          <w:rStyle w:val="null"/>
        </w:rPr>
        <w:t>ím</w:t>
      </w:r>
      <w:r>
        <w:rPr>
          <w:rStyle w:val="null"/>
        </w:rPr>
        <w:t xml:space="preserve"> vloženého kapitálu. Z tohoto důvodu se vyvinuly fondy kolektivního investování, kam investor vkládá své volné peněžní prostředky výměnou za podílové listy nebo akcie investičních fondů. Investiční fondy nebo investiční společnosti nabízejí investorům celou škálu produktů různého zaměření, čímž má drobný investor možnost si vybrat takový fond, který sedí nejlépe jeho představám. V této části budou představeny tzv. „klasické“ fondy kolektivního investování.</w:t>
      </w:r>
    </w:p>
    <w:p w:rsidR="00AF399C" w:rsidRPr="00862EF0" w:rsidRDefault="00AF399C" w:rsidP="00371136">
      <w:pPr>
        <w:pStyle w:val="Nadpis3"/>
        <w:rPr>
          <w:rStyle w:val="null"/>
          <w:i/>
        </w:rPr>
      </w:pPr>
      <w:r>
        <w:rPr>
          <w:rStyle w:val="null"/>
        </w:rPr>
        <w:t xml:space="preserve"> </w:t>
      </w:r>
      <w:bookmarkStart w:id="10" w:name="_Toc386145979"/>
      <w:r>
        <w:rPr>
          <w:rStyle w:val="null"/>
        </w:rPr>
        <w:t>Charakteristika kolektivního investování</w:t>
      </w:r>
      <w:bookmarkEnd w:id="10"/>
    </w:p>
    <w:p w:rsidR="00AF399C" w:rsidRDefault="00AF399C" w:rsidP="00AF399C">
      <w:pPr>
        <w:spacing w:after="240" w:line="360" w:lineRule="auto"/>
        <w:rPr>
          <w:rStyle w:val="null"/>
          <w:rFonts w:eastAsiaTheme="majorEastAsia"/>
        </w:rPr>
      </w:pPr>
      <w:r w:rsidRPr="00862EF0">
        <w:rPr>
          <w:rStyle w:val="null"/>
          <w:rFonts w:eastAsiaTheme="majorEastAsia"/>
          <w:b/>
        </w:rPr>
        <w:t xml:space="preserve"> </w:t>
      </w:r>
      <w:r>
        <w:rPr>
          <w:rStyle w:val="null"/>
          <w:rFonts w:eastAsiaTheme="majorEastAsia"/>
        </w:rPr>
        <w:t xml:space="preserve">Myšlenka kolektivního investování začala vznikat již zhruba v polovině 19. století v Evropě, ve větší míře bylo ale rozšířeno až ve 20. letech minulého století v USA. V západní Evropě došlo k rozvoji kolektivního investování až po 2. světové válce, ve střední a východní pak až po rozpadu sovětského bloku v 90. letech. </w:t>
      </w:r>
    </w:p>
    <w:p w:rsidR="00AF399C" w:rsidRDefault="00AF399C" w:rsidP="00AF399C">
      <w:pPr>
        <w:spacing w:after="240" w:line="360" w:lineRule="auto"/>
        <w:rPr>
          <w:rStyle w:val="null"/>
          <w:rFonts w:eastAsiaTheme="majorEastAsia"/>
        </w:rPr>
      </w:pPr>
      <w:r>
        <w:rPr>
          <w:rStyle w:val="null"/>
          <w:rFonts w:eastAsiaTheme="majorEastAsia"/>
        </w:rPr>
        <w:t xml:space="preserve">Podstatou kolektivního investování je shromažďování peněžních prostředků od předem neurčeného a neomezeného počtu osob za účelem jejich použití k podnikání na základě principu rozptýlení rizika způsoby, které dovoluje zákon. Soustřeďování peněžních </w:t>
      </w:r>
      <w:r>
        <w:rPr>
          <w:rStyle w:val="null"/>
          <w:rFonts w:eastAsiaTheme="majorEastAsia"/>
        </w:rPr>
        <w:lastRenderedPageBreak/>
        <w:t>prostředků a jejich použití musí probíhat jen formami, které jsou zákonem povoleny, jinak musí být uloženy na zvláštním účtu u banky, která je označována jako depozitář.</w:t>
      </w:r>
      <w:r>
        <w:rPr>
          <w:rStyle w:val="Znakapoznpodarou"/>
          <w:rFonts w:eastAsiaTheme="majorEastAsia"/>
        </w:rPr>
        <w:footnoteReference w:id="1"/>
      </w:r>
    </w:p>
    <w:p w:rsidR="00AF399C" w:rsidRDefault="00AF399C" w:rsidP="00AF399C">
      <w:pPr>
        <w:spacing w:after="240" w:line="360" w:lineRule="auto"/>
        <w:rPr>
          <w:rStyle w:val="null"/>
          <w:rFonts w:eastAsiaTheme="majorEastAsia"/>
        </w:rPr>
      </w:pPr>
      <w:r>
        <w:rPr>
          <w:rStyle w:val="null"/>
          <w:rFonts w:eastAsiaTheme="majorEastAsia"/>
        </w:rPr>
        <w:t xml:space="preserve">Fondem kolektivního investování se ze zákona rozumí </w:t>
      </w:r>
      <w:r w:rsidRPr="00350193">
        <w:rPr>
          <w:i/>
        </w:rPr>
        <w:t>právnická osoba se sídlem v České republice, která je oprávněna shromažďovat peněžní prostředky od veřejnosti vydáváním akcií a provádět společné investování shromážděných peněžních prostředků na základě určené investiční strategie na principu rozložení rizika ve prospěch vlastníků těchto akcií, a dále spravovat tento majetek, a podílový fond, jehož účelem je shromažďování peněžních prostředků od veřejnosti vydáváním podílových listů a společné investování shromážděných peněžních prostředků na základě určené investiční strategie na principu rozložení rizika ve prospěch vlastníků těchto podílových listů a další správa tohoto majetku</w:t>
      </w:r>
      <w:r>
        <w:t>.</w:t>
      </w:r>
      <w:r>
        <w:rPr>
          <w:rStyle w:val="Znakapoznpodarou"/>
        </w:rPr>
        <w:footnoteReference w:id="2"/>
      </w:r>
    </w:p>
    <w:p w:rsidR="00AF399C" w:rsidRDefault="00AF399C" w:rsidP="008A6499">
      <w:pPr>
        <w:spacing w:after="0" w:line="360" w:lineRule="auto"/>
        <w:rPr>
          <w:rStyle w:val="null"/>
        </w:rPr>
      </w:pPr>
      <w:r>
        <w:rPr>
          <w:rStyle w:val="null"/>
        </w:rPr>
        <w:t xml:space="preserve">Fondy kolektivního investování jsou vhodné zejména pro investory, kteří nemají dostatek znalostí a zkušeností s investicemi na kapitálových trzích, aby aktivně sami řídili své investice. Dále jsou vhodné pro investory, kteří sice potřebnými znalostmi disponují, ale nechtějí nést transakční náklady na pořízení celého portfolia a nechtějí čelit rizikům spojeným s konkrétní investicí do akcií či dluhopisů. Pro drobného investora je tento způsob investování vhodný i v případě, že má jen omezené prostředky určené pro investování, případně pokud chce investovat pravidelně v menších dávkách. </w:t>
      </w:r>
    </w:p>
    <w:p w:rsidR="00AF399C" w:rsidRDefault="00AF399C" w:rsidP="008A6499">
      <w:pPr>
        <w:spacing w:after="0" w:line="360" w:lineRule="auto"/>
        <w:rPr>
          <w:rStyle w:val="null"/>
        </w:rPr>
      </w:pPr>
      <w:r>
        <w:rPr>
          <w:rStyle w:val="null"/>
        </w:rPr>
        <w:t>Fondy kolektivního investování mohou podléhat aktivní nebo pasivní správě portfolia. Aktivní správa spočívá v tom, že manažer fondu dle svého uvážení, avšak v rámci zákonných omezení, rozhoduje o skladbě portfolia fondu. Rozhoduje tedy o tom, kdy a jaké cenné papíry budou nakoupeny resp. prodány do resp. z portfolia fondu. Snahou portfolio manažera je dosáhnout vyššího výnosu a překonat benchmark trhu. Při tomto způsobu správy fondu se investor vzdává možnosti jakkoli ovlivňovat skladbu portfolia</w:t>
      </w:r>
      <w:r>
        <w:rPr>
          <w:rStyle w:val="Znakapoznpodarou"/>
        </w:rPr>
        <w:footnoteReference w:id="3"/>
      </w:r>
      <w:r>
        <w:rPr>
          <w:rStyle w:val="null"/>
        </w:rPr>
        <w:t xml:space="preserve">, je plně odkázán na zkušenosti a schopnosti manažera fondu. </w:t>
      </w:r>
    </w:p>
    <w:p w:rsidR="00AF399C" w:rsidRDefault="00AF399C" w:rsidP="008A6499">
      <w:pPr>
        <w:spacing w:after="0" w:line="360" w:lineRule="auto"/>
        <w:rPr>
          <w:rStyle w:val="null"/>
        </w:rPr>
      </w:pPr>
      <w:r>
        <w:rPr>
          <w:rStyle w:val="null"/>
        </w:rPr>
        <w:t xml:space="preserve">Pasivní správa fondu oproti tomu neusiluje o překonání benchmarku, většinou je kopírován předem vybraný index nebo odvětví. Při tomto způsobu investování je spoléháno víceméně na to, že kapitálové trhy mají obecně rostoucí tendenci, tedy že ceny nakoupených aktiv rostou. </w:t>
      </w:r>
      <w:r w:rsidR="008A6499">
        <w:rPr>
          <w:rStyle w:val="null"/>
        </w:rPr>
        <w:t>J</w:t>
      </w:r>
      <w:r>
        <w:rPr>
          <w:rStyle w:val="null"/>
        </w:rPr>
        <w:t xml:space="preserve">e zde praktikována strategie buy and hold, v počátku jsou nakoupeny cenné papíry kopírující </w:t>
      </w:r>
      <w:r>
        <w:rPr>
          <w:rStyle w:val="null"/>
        </w:rPr>
        <w:lastRenderedPageBreak/>
        <w:t>určitý index a tyto jsou drženy po celou dobu trvání fondu.</w:t>
      </w:r>
      <w:r>
        <w:rPr>
          <w:rStyle w:val="Znakapoznpodarou"/>
        </w:rPr>
        <w:footnoteReference w:id="4"/>
      </w:r>
      <w:r>
        <w:rPr>
          <w:rStyle w:val="null"/>
        </w:rPr>
        <w:t xml:space="preserve"> Ani zde nemá drobný investor možnost ovlivnit, které cenné papíry budou nakoupeny či prodány, nicméně jelikož v tomto případě nebude docházet k aktivnímu obchodování, je zde oproti předchozímu případu sníženo riziko lidské chyby takřka na minimum. V souvislosti s tím zde existují také nižší poplatky za správu portfolia, to plyne mimo jiné z toho, že není třeba platit průběžně žádné transakční náklady spojené s nákupem a prodejem cenných papírů a není potřeba platit aktivního manažera. Na druhou stranu zde nelze očekávat vyšší výnos oproti benchmarku.</w:t>
      </w:r>
    </w:p>
    <w:p w:rsidR="00AF399C" w:rsidRDefault="00AF399C" w:rsidP="00AF399C">
      <w:pPr>
        <w:spacing w:after="240" w:line="360" w:lineRule="auto"/>
        <w:rPr>
          <w:rStyle w:val="null"/>
        </w:rPr>
      </w:pPr>
      <w:r>
        <w:rPr>
          <w:rStyle w:val="null"/>
        </w:rPr>
        <w:t xml:space="preserve">Ve spojitosti s investováním do těchto fondů plyne pro investory celá řada výhod. Díky nim je zabezpečena diverzifikace rizika spojena s obchodováním, toto je dosaženo díky tomu, že každý fond má ze zákona povinnost co nejvíce snížit riziko. Fond, který shromažďuje finanční prostředky od široké veřejnosti, má dostatek financí k vytvoření diverzifikovaného portfolia. Portfolio je spravováno profesionálním portfolio manažerem, který již má zkušenosti s obchodováním a přístup k moderním technologiím, které mu napomáhají při rozhodování, do kterých aktiv investovat. Finanční gramotnost v České republice se nachází na nízké úrovni, není ani v silách běžného občana věnovat se a vzdělávat se v oblasti investic na kapitálovém trhu, je proto pro mnohé jednodušší vložit své prostředky do rukou profesionálů. Díky úsporám z rozsahu zde klesají také transakční náklady, jak již bylo zmíněno výše. Oproti nástrojům peněžního trhu, vkladovým účtům či termínovaným vkladům obvykle tyto fondy vykazují vyšší zhodnocení. Dalším pozitivem, které investoři jistě ocení, je, že mají možnost investovat do takových cenných papírů, které by pro ně v případě individuálního samostatného investování byly nedosažitelné, ať již z hlediska nákladů, či geografického zaměření. Pokud by chtěl například drobný investor nakoupit akcie obchodované na některém z asijských trhů, musel by nejdříve nalézt takového obchodníka, který má na tyto burzy přístup. </w:t>
      </w:r>
    </w:p>
    <w:p w:rsidR="00AF399C" w:rsidRPr="005D5E68" w:rsidRDefault="00AF399C" w:rsidP="00AF399C">
      <w:pPr>
        <w:spacing w:after="240" w:line="360" w:lineRule="auto"/>
        <w:rPr>
          <w:rStyle w:val="null"/>
        </w:rPr>
      </w:pPr>
      <w:r>
        <w:rPr>
          <w:rStyle w:val="null"/>
        </w:rPr>
        <w:t xml:space="preserve">Na druhou stranu je potřeba také počítat s určitými nevýhodami. První z nich jsou například poplatky spojené se správou fondu, jak již bylo uvedeno, tyto mají zvláštní význam především v případě aktivně řízených fondů. Stejně tak ztráta investiční volnosti tu už byla zmíněna, investor nemá žádný způsob, jakým by mohl ovlivnit konkrétní investice. Samozřejmě může vybrat zaměření fondu jako takového (zda chce zaměření na určitý index, na rozvíjející se trhy, energetiku, nemovitosti…). Je také zapotřebí upozornit, že v případě </w:t>
      </w:r>
      <w:r>
        <w:rPr>
          <w:rStyle w:val="null"/>
        </w:rPr>
        <w:lastRenderedPageBreak/>
        <w:t>klasických fondů kolektivního investování neexistuje pojištění vkladu</w:t>
      </w:r>
      <w:r>
        <w:rPr>
          <w:rStyle w:val="Znakapoznpodarou"/>
        </w:rPr>
        <w:footnoteReference w:id="5"/>
      </w:r>
      <w:r>
        <w:rPr>
          <w:rStyle w:val="null"/>
        </w:rPr>
        <w:t>, tak jak je tomu například u bank</w:t>
      </w:r>
      <w:r>
        <w:rPr>
          <w:rStyle w:val="Znakapoznpodarou"/>
        </w:rPr>
        <w:footnoteReference w:id="6"/>
      </w:r>
      <w:r>
        <w:rPr>
          <w:rStyle w:val="null"/>
        </w:rPr>
        <w:t xml:space="preserve"> nebo obchodníků s cennými papíry</w:t>
      </w:r>
      <w:r>
        <w:rPr>
          <w:rStyle w:val="Znakapoznpodarou"/>
        </w:rPr>
        <w:footnoteReference w:id="7"/>
      </w:r>
      <w:r>
        <w:rPr>
          <w:rStyle w:val="null"/>
        </w:rPr>
        <w:t xml:space="preserve">. </w:t>
      </w:r>
    </w:p>
    <w:p w:rsidR="00AF399C" w:rsidRPr="00862EF0" w:rsidRDefault="00AF399C" w:rsidP="00371136">
      <w:pPr>
        <w:pStyle w:val="Nadpis3"/>
        <w:rPr>
          <w:rStyle w:val="null"/>
          <w:i/>
        </w:rPr>
      </w:pPr>
      <w:r>
        <w:rPr>
          <w:rStyle w:val="null"/>
        </w:rPr>
        <w:t xml:space="preserve"> </w:t>
      </w:r>
      <w:bookmarkStart w:id="11" w:name="_Toc386145980"/>
      <w:r>
        <w:rPr>
          <w:rStyle w:val="null"/>
        </w:rPr>
        <w:t>Podílové fondy</w:t>
      </w:r>
      <w:bookmarkEnd w:id="11"/>
    </w:p>
    <w:p w:rsidR="00AF399C" w:rsidRDefault="00AF399C" w:rsidP="00AF399C">
      <w:pPr>
        <w:spacing w:after="240" w:line="360" w:lineRule="auto"/>
        <w:rPr>
          <w:rStyle w:val="null"/>
        </w:rPr>
      </w:pPr>
      <w:r>
        <w:rPr>
          <w:rStyle w:val="null"/>
        </w:rPr>
        <w:t>Prvním typem fondu kolektivního investování jsou podílové fondy. Tyto fondy nemají právní subjektivitu, jedná se pouze o soubor majetku náležející podílníkům příslušného podílového fondu v poměru podle počtu vlastněných podílových listů. To znamená, že musí být vždy spravovány některou investiční společností, přičemž vložené prostředky investorů zůstávají jejich majetkem a investiční společnost je pouze spravuje v souladu se statutem příslušného podílového fondu.</w:t>
      </w:r>
      <w:r>
        <w:rPr>
          <w:rStyle w:val="Znakapoznpodarou"/>
        </w:rPr>
        <w:footnoteReference w:id="8"/>
      </w:r>
      <w:r>
        <w:rPr>
          <w:rStyle w:val="null"/>
        </w:rPr>
        <w:t xml:space="preserve"> Prostředky, které jsou určeny k investování, jsou získávány vydáváním a prodejem podílových listů.</w:t>
      </w:r>
      <w:r>
        <w:rPr>
          <w:rStyle w:val="Znakapoznpodarou"/>
        </w:rPr>
        <w:footnoteReference w:id="9"/>
      </w:r>
    </w:p>
    <w:p w:rsidR="00AF399C" w:rsidRDefault="00AF399C" w:rsidP="00AF399C">
      <w:pPr>
        <w:spacing w:after="240" w:line="360" w:lineRule="auto"/>
        <w:rPr>
          <w:rStyle w:val="null"/>
        </w:rPr>
      </w:pPr>
      <w:r>
        <w:rPr>
          <w:rStyle w:val="null"/>
        </w:rPr>
        <w:t>Podílové fondy mohou existovat ve formě uzavřených či otevřených podílových fondů.</w:t>
      </w:r>
    </w:p>
    <w:p w:rsidR="00AF399C" w:rsidRDefault="00AF399C" w:rsidP="00AF399C">
      <w:pPr>
        <w:spacing w:after="240" w:line="360" w:lineRule="auto"/>
        <w:rPr>
          <w:rStyle w:val="null"/>
        </w:rPr>
      </w:pPr>
      <w:r>
        <w:rPr>
          <w:rStyle w:val="null"/>
        </w:rPr>
        <w:t>Uzavřené podílové fondy jsou charakteristické tím, že investiční společnost, která je spravuje, neodkupuje v době existence fondu jeho podílové listy.</w:t>
      </w:r>
      <w:r>
        <w:rPr>
          <w:rStyle w:val="Znakapoznpodarou"/>
        </w:rPr>
        <w:footnoteReference w:id="10"/>
      </w:r>
      <w:r>
        <w:rPr>
          <w:rStyle w:val="null"/>
        </w:rPr>
        <w:t xml:space="preserve"> Ze zákona jsou však stanovené lhůty, kdy vzniká povinnost odkupu podílových listů v případě zájmu investora</w:t>
      </w:r>
      <w:r w:rsidR="007E0945">
        <w:rPr>
          <w:rStyle w:val="null"/>
        </w:rPr>
        <w:t>. P</w:t>
      </w:r>
      <w:r>
        <w:rPr>
          <w:rStyle w:val="null"/>
        </w:rPr>
        <w:t>odílové listy však mohou být veřejně obchodovatelné</w:t>
      </w:r>
      <w:r>
        <w:rPr>
          <w:rStyle w:val="Znakapoznpodarou"/>
        </w:rPr>
        <w:footnoteReference w:id="11"/>
      </w:r>
      <w:r>
        <w:rPr>
          <w:rStyle w:val="null"/>
        </w:rPr>
        <w:t>, a to i burzovně. Kurzy se prakticky nerovnají tzv. aktuálním hodnotám, bývá zpravidla o něco nižší, přičemž rozdíl, o který je kurz podílového listu uzavřeného podílového fondu proti jeho aktuální hodnotě, se označuje jako diskont. Hodnota diskontu se vypočítá dle následujícího vzorce</w:t>
      </w:r>
      <w:r w:rsidR="00765A90">
        <w:rPr>
          <w:rStyle w:val="null"/>
        </w:rPr>
        <w:t xml:space="preserve"> </w:t>
      </w:r>
      <w:proofErr w:type="gramStart"/>
      <w:r w:rsidR="00765A90">
        <w:rPr>
          <w:rStyle w:val="null"/>
        </w:rPr>
        <w:t>č.1</w:t>
      </w:r>
      <w:r>
        <w:rPr>
          <w:rStyle w:val="null"/>
        </w:rPr>
        <w:t>:</w:t>
      </w:r>
      <w:proofErr w:type="gramEnd"/>
    </w:p>
    <w:p w:rsidR="00AF399C" w:rsidRDefault="00AF399C" w:rsidP="00AF399C">
      <w:pPr>
        <w:spacing w:after="240" w:line="360" w:lineRule="auto"/>
        <w:rPr>
          <w:rStyle w:val="null"/>
        </w:rPr>
      </w:pPr>
    </w:p>
    <w:p w:rsidR="00AF399C" w:rsidRDefault="007A43D0" w:rsidP="001B7C40">
      <w:pPr>
        <w:spacing w:after="240"/>
        <w:ind w:left="142"/>
        <w:rPr>
          <w:rStyle w:val="null"/>
        </w:rPr>
      </w:pPr>
      <m:oMath>
        <m:r>
          <w:rPr>
            <w:rStyle w:val="null"/>
            <w:rFonts w:ascii="Cambria Math" w:hAnsi="Cambria Math"/>
          </w:rPr>
          <m:t>diskont podílového listu=</m:t>
        </m:r>
        <m:d>
          <m:dPr>
            <m:begChr m:val="["/>
            <m:endChr m:val="]"/>
            <m:ctrlPr>
              <w:rPr>
                <w:rStyle w:val="null"/>
                <w:rFonts w:ascii="Cambria Math" w:hAnsi="Cambria Math"/>
                <w:i/>
              </w:rPr>
            </m:ctrlPr>
          </m:dPr>
          <m:e>
            <m:r>
              <w:rPr>
                <w:rStyle w:val="null"/>
                <w:rFonts w:ascii="Cambria Math" w:hAnsi="Cambria Math"/>
              </w:rPr>
              <m:t xml:space="preserve">1- </m:t>
            </m:r>
            <m:f>
              <m:fPr>
                <m:ctrlPr>
                  <w:rPr>
                    <w:rStyle w:val="null"/>
                    <w:rFonts w:ascii="Cambria Math" w:hAnsi="Cambria Math"/>
                    <w:i/>
                  </w:rPr>
                </m:ctrlPr>
              </m:fPr>
              <m:num>
                <m:r>
                  <w:rPr>
                    <w:rStyle w:val="null"/>
                    <w:rFonts w:ascii="Cambria Math" w:hAnsi="Cambria Math"/>
                  </w:rPr>
                  <m:t>kurz podílového listu</m:t>
                </m:r>
              </m:num>
              <m:den>
                <m:r>
                  <w:rPr>
                    <w:rStyle w:val="null"/>
                    <w:rFonts w:ascii="Cambria Math" w:hAnsi="Cambria Math"/>
                  </w:rPr>
                  <m:t>aktuální hodnota podílového listu</m:t>
                </m:r>
              </m:den>
            </m:f>
          </m:e>
        </m:d>
        <m:r>
          <w:rPr>
            <w:rStyle w:val="null"/>
            <w:rFonts w:ascii="Cambria Math" w:hAnsi="Cambria Math"/>
          </w:rPr>
          <m:t xml:space="preserve">*100 </m:t>
        </m:r>
        <m:d>
          <m:dPr>
            <m:begChr m:val="["/>
            <m:endChr m:val="]"/>
            <m:ctrlPr>
              <w:rPr>
                <w:rStyle w:val="null"/>
                <w:rFonts w:ascii="Cambria Math" w:hAnsi="Cambria Math"/>
                <w:i/>
              </w:rPr>
            </m:ctrlPr>
          </m:dPr>
          <m:e>
            <m:r>
              <w:rPr>
                <w:rStyle w:val="null"/>
                <w:rFonts w:ascii="Cambria Math" w:hAnsi="Cambria Math"/>
              </w:rPr>
              <m:t>%</m:t>
            </m:r>
          </m:e>
        </m:d>
      </m:oMath>
      <w:r w:rsidR="001B7C40">
        <w:rPr>
          <w:rStyle w:val="null"/>
        </w:rPr>
        <w:t xml:space="preserve">   </w:t>
      </w:r>
      <w:r w:rsidR="001B7C40">
        <w:rPr>
          <w:rStyle w:val="null"/>
        </w:rPr>
        <w:tab/>
      </w:r>
      <w:r w:rsidR="001B7C40">
        <w:rPr>
          <w:rStyle w:val="null"/>
        </w:rPr>
        <w:tab/>
        <w:t xml:space="preserve"> [1]</w:t>
      </w:r>
    </w:p>
    <w:p w:rsidR="00AF399C" w:rsidRDefault="00AF399C" w:rsidP="00AF399C">
      <w:pPr>
        <w:spacing w:after="240" w:line="360" w:lineRule="auto"/>
        <w:rPr>
          <w:rStyle w:val="null"/>
        </w:rPr>
      </w:pPr>
      <w:r>
        <w:rPr>
          <w:rStyle w:val="null"/>
        </w:rPr>
        <w:lastRenderedPageBreak/>
        <w:t xml:space="preserve">Je – li výše diskontu vyšší </w:t>
      </w:r>
      <w:r w:rsidRPr="008410A8">
        <w:rPr>
          <w:rStyle w:val="null"/>
        </w:rPr>
        <w:t>než cca 10 – 15 %, má se všeobecně</w:t>
      </w:r>
      <w:r>
        <w:rPr>
          <w:rStyle w:val="null"/>
        </w:rPr>
        <w:t xml:space="preserve"> za to, že management fondu nemá dostatečnou důvěru investorů.</w:t>
      </w:r>
      <w:r w:rsidR="008410A8">
        <w:rPr>
          <w:rStyle w:val="Znakapoznpodarou"/>
        </w:rPr>
        <w:footnoteReference w:id="12"/>
      </w:r>
      <w:r>
        <w:rPr>
          <w:rStyle w:val="null"/>
        </w:rPr>
        <w:t xml:space="preserve"> Z výše uvedeného plyne, že investor nemá nárok na zpětný odkup podílových listů, zároveň však, jelikož podílový fond nemá právní subjektivitu, nemá ani právo podílet se na řízení tohoto fondu ani nemá možnost ovlivnit skladbu portfolia. Investor je po celou dobu fungování fondu odkázán na odborné kvality portfolio manažera či správce fondu, je zde podstupováno vyšší riziko, což se promítá do vyšších hodnot diskontu než například u investičních fondů (viz dále).</w:t>
      </w:r>
    </w:p>
    <w:p w:rsidR="00AF399C" w:rsidRDefault="00AF399C" w:rsidP="00AF399C">
      <w:pPr>
        <w:spacing w:after="240" w:line="360" w:lineRule="auto"/>
        <w:rPr>
          <w:rStyle w:val="null"/>
        </w:rPr>
      </w:pPr>
      <w:r>
        <w:rPr>
          <w:rStyle w:val="null"/>
        </w:rPr>
        <w:t>Druhou formou podílových fondů jsou otevřené podílové fondy. Oproti předchozímu případu většinou nebývají zakládány na dobu určitou a nebývá nijak omezována doba ani počet emitovaných kusů podílových listů. Jedná se o nejoblíbenější formu kolektivního investování.</w:t>
      </w:r>
    </w:p>
    <w:p w:rsidR="00AF399C" w:rsidRDefault="00AF399C" w:rsidP="00AF399C">
      <w:pPr>
        <w:spacing w:after="240" w:line="360" w:lineRule="auto"/>
      </w:pPr>
      <w:r>
        <w:rPr>
          <w:rStyle w:val="null"/>
        </w:rPr>
        <w:t>Nejvýznamnějším charakteristickým rysem</w:t>
      </w:r>
      <w:r w:rsidR="00765A90">
        <w:rPr>
          <w:rStyle w:val="null"/>
        </w:rPr>
        <w:t xml:space="preserve"> otevřených podílových fondů</w:t>
      </w:r>
      <w:r>
        <w:rPr>
          <w:rStyle w:val="null"/>
        </w:rPr>
        <w:t xml:space="preserve"> je pak právo investora kdykoli požádat investiční společnost, která fond spravuje, o odkup podílových listů za cenu odpovídající jejich aktuální hodnotě. Aktuální hodnota podílového listu je definována jako aktuální hodnota majetku připadající na jeden podílový list. Podílové listy otevřených podílových fondů nebývají zpravidla obchodované na organizovaných sekundárních trzích, a tudíž u nich neexistuje diskont.</w:t>
      </w:r>
      <w:r w:rsidRPr="0026128E">
        <w:rPr>
          <w:rStyle w:val="Znakapoznpodarou"/>
        </w:rPr>
        <w:t xml:space="preserve"> </w:t>
      </w:r>
      <w:r>
        <w:rPr>
          <w:rStyle w:val="Znakapoznpodarou"/>
        </w:rPr>
        <w:footnoteReference w:id="13"/>
      </w:r>
    </w:p>
    <w:p w:rsidR="00AF399C" w:rsidRDefault="00AF399C" w:rsidP="00AF399C">
      <w:pPr>
        <w:spacing w:after="240" w:line="360" w:lineRule="auto"/>
        <w:rPr>
          <w:rStyle w:val="null"/>
        </w:rPr>
      </w:pPr>
      <w:r>
        <w:rPr>
          <w:rStyle w:val="null"/>
        </w:rPr>
        <w:t>Výnosy fondů kolektivního investování mohou být vypláceny různým způsobem, který je uveden ve statutu fondu. Dosažený hospodářský výsledek může být buď v plné míře reinvestován, čímž pak dojde ke zvýšení hodnoty cenných papírů, případně může fond výnos vyplácet ve formě důchodu. Alternativu k těmto dvěma způsobům tvoří vyvážené fondy, které kombinují obě výše zmíněné varianty.</w:t>
      </w:r>
    </w:p>
    <w:p w:rsidR="00AF399C" w:rsidRPr="00080B5D" w:rsidRDefault="00AF399C" w:rsidP="00371136">
      <w:pPr>
        <w:pStyle w:val="Nadpis3"/>
        <w:rPr>
          <w:rStyle w:val="null"/>
          <w:i/>
        </w:rPr>
      </w:pPr>
      <w:r>
        <w:rPr>
          <w:rStyle w:val="null"/>
        </w:rPr>
        <w:t xml:space="preserve"> </w:t>
      </w:r>
      <w:bookmarkStart w:id="12" w:name="_Toc386145981"/>
      <w:r>
        <w:rPr>
          <w:rStyle w:val="null"/>
        </w:rPr>
        <w:t>Investiční fondy</w:t>
      </w:r>
      <w:bookmarkEnd w:id="12"/>
    </w:p>
    <w:p w:rsidR="00AF399C" w:rsidRDefault="00AF399C" w:rsidP="00AF399C">
      <w:pPr>
        <w:spacing w:after="240" w:line="360" w:lineRule="auto"/>
        <w:rPr>
          <w:rStyle w:val="null"/>
        </w:rPr>
      </w:pPr>
      <w:r>
        <w:rPr>
          <w:rStyle w:val="null"/>
        </w:rPr>
        <w:t xml:space="preserve">Druhým typem fondu kolektivního investování jsou investiční fondy. Tyto již na rozdíl od podílových mají právní subjektivitu a nemusí být proto obhospodařovány investiční společností. </w:t>
      </w:r>
    </w:p>
    <w:p w:rsidR="00AF399C" w:rsidRDefault="00AF399C" w:rsidP="00AF399C">
      <w:pPr>
        <w:spacing w:after="240" w:line="360" w:lineRule="auto"/>
        <w:rPr>
          <w:rStyle w:val="null"/>
          <w:i/>
        </w:rPr>
      </w:pPr>
      <w:r>
        <w:rPr>
          <w:rStyle w:val="null"/>
        </w:rPr>
        <w:t xml:space="preserve">Ze zákona je </w:t>
      </w:r>
      <w:r w:rsidRPr="008926E2">
        <w:rPr>
          <w:rStyle w:val="null"/>
          <w:i/>
        </w:rPr>
        <w:t>„Samosprávným investičním fondem je investiční</w:t>
      </w:r>
      <w:r>
        <w:rPr>
          <w:rStyle w:val="null"/>
          <w:i/>
        </w:rPr>
        <w:t xml:space="preserve"> </w:t>
      </w:r>
      <w:r w:rsidRPr="008926E2">
        <w:rPr>
          <w:rStyle w:val="null"/>
          <w:i/>
        </w:rPr>
        <w:t xml:space="preserve">fond s právní osobností, který je na základě povolení k činnosti samosprávného investičního fondu uděleného Českou národní bankou oprávněn se obhospodařovat, popřípadě provádět svou administraci. </w:t>
      </w:r>
      <w:r w:rsidRPr="008926E2">
        <w:rPr>
          <w:rStyle w:val="null"/>
          <w:i/>
        </w:rPr>
        <w:lastRenderedPageBreak/>
        <w:t>Samosprávným investičním fondem není investiční fond s právní osobností, který má individuální statutární orgán, jímž je právnická osoba oprávněná obhospodařovat tento investiční fond.“</w:t>
      </w:r>
      <w:r>
        <w:rPr>
          <w:rStyle w:val="Znakapoznpodarou"/>
          <w:i/>
        </w:rPr>
        <w:footnoteReference w:id="14"/>
      </w:r>
    </w:p>
    <w:p w:rsidR="00AF399C" w:rsidRPr="008926E2" w:rsidRDefault="00AF399C" w:rsidP="00AF399C">
      <w:pPr>
        <w:spacing w:after="240" w:line="360" w:lineRule="auto"/>
        <w:rPr>
          <w:rStyle w:val="null"/>
        </w:rPr>
      </w:pPr>
      <w:r>
        <w:rPr>
          <w:rStyle w:val="null"/>
        </w:rPr>
        <w:t>Investiční fondy mívají zpravidla podobu akciové společnosti, nákupem akcií se tedy investor stává akcionářem daného fondu, s čímž jsou spojena klasická akcionářská práva a povinnosti. Stejně jako v předešlém případě se ani v případě investičních fondů často kurz akcie nerovná aktuální hodnotě akcie, tzn. hodnotě majetku společnosti připadající na jednotku akcie. Výpočet diskontu, tj. rozdíl, o který je kurz akcie investičního fondu oproti její aktuální hodnotě nižší, probíhá následovně:</w:t>
      </w:r>
    </w:p>
    <w:p w:rsidR="00AF399C" w:rsidRDefault="007A43D0" w:rsidP="001B7C40">
      <w:pPr>
        <w:spacing w:after="240"/>
        <w:ind w:left="142"/>
        <w:jc w:val="left"/>
        <w:rPr>
          <w:rStyle w:val="null"/>
        </w:rPr>
      </w:pPr>
      <w:r w:rsidRPr="001B7C40">
        <w:rPr>
          <w:rStyle w:val="null"/>
          <w:rFonts w:eastAsiaTheme="minorEastAsia"/>
        </w:rPr>
        <w:tab/>
      </w:r>
      <w:r w:rsidRPr="001B7C40">
        <w:rPr>
          <w:rStyle w:val="null"/>
          <w:rFonts w:eastAsiaTheme="minorEastAsia"/>
        </w:rPr>
        <w:tab/>
      </w:r>
      <w:r w:rsidRPr="001B7C40">
        <w:rPr>
          <w:rStyle w:val="null"/>
          <w:rFonts w:eastAsiaTheme="minorEastAsia"/>
        </w:rPr>
        <w:tab/>
      </w:r>
      <m:oMath>
        <m:r>
          <w:rPr>
            <w:rStyle w:val="null"/>
            <w:rFonts w:ascii="Cambria Math" w:hAnsi="Cambria Math"/>
          </w:rPr>
          <m:t>diskont akcie=</m:t>
        </m:r>
        <m:d>
          <m:dPr>
            <m:begChr m:val="["/>
            <m:endChr m:val="]"/>
            <m:ctrlPr>
              <w:rPr>
                <w:rStyle w:val="null"/>
                <w:rFonts w:ascii="Cambria Math" w:hAnsi="Cambria Math"/>
                <w:i/>
              </w:rPr>
            </m:ctrlPr>
          </m:dPr>
          <m:e>
            <m:r>
              <w:rPr>
                <w:rStyle w:val="null"/>
                <w:rFonts w:ascii="Cambria Math" w:hAnsi="Cambria Math"/>
              </w:rPr>
              <m:t xml:space="preserve">1- </m:t>
            </m:r>
            <m:f>
              <m:fPr>
                <m:ctrlPr>
                  <w:rPr>
                    <w:rStyle w:val="null"/>
                    <w:rFonts w:ascii="Cambria Math" w:hAnsi="Cambria Math"/>
                    <w:i/>
                  </w:rPr>
                </m:ctrlPr>
              </m:fPr>
              <m:num>
                <m:r>
                  <w:rPr>
                    <w:rStyle w:val="null"/>
                    <w:rFonts w:ascii="Cambria Math" w:hAnsi="Cambria Math"/>
                  </w:rPr>
                  <m:t>kurz akcie</m:t>
                </m:r>
              </m:num>
              <m:den>
                <m:r>
                  <w:rPr>
                    <w:rStyle w:val="null"/>
                    <w:rFonts w:ascii="Cambria Math" w:hAnsi="Cambria Math"/>
                  </w:rPr>
                  <m:t>aktuální hodnota akcie</m:t>
                </m:r>
              </m:den>
            </m:f>
          </m:e>
        </m:d>
        <m:r>
          <w:rPr>
            <w:rStyle w:val="null"/>
            <w:rFonts w:ascii="Cambria Math" w:hAnsi="Cambria Math"/>
          </w:rPr>
          <m:t xml:space="preserve">*100 </m:t>
        </m:r>
        <m:d>
          <m:dPr>
            <m:begChr m:val="["/>
            <m:endChr m:val="]"/>
            <m:ctrlPr>
              <w:rPr>
                <w:rStyle w:val="null"/>
                <w:rFonts w:ascii="Cambria Math" w:hAnsi="Cambria Math"/>
                <w:i/>
              </w:rPr>
            </m:ctrlPr>
          </m:dPr>
          <m:e>
            <m:r>
              <w:rPr>
                <w:rStyle w:val="null"/>
                <w:rFonts w:ascii="Cambria Math" w:hAnsi="Cambria Math"/>
              </w:rPr>
              <m:t>%</m:t>
            </m:r>
          </m:e>
        </m:d>
      </m:oMath>
      <w:r w:rsidR="001B7C40" w:rsidRPr="001B7C40">
        <w:rPr>
          <w:rStyle w:val="null"/>
          <w:rFonts w:eastAsiaTheme="minorEastAsia"/>
        </w:rPr>
        <w:tab/>
      </w:r>
      <w:r w:rsidR="001B7C40" w:rsidRPr="001B7C40">
        <w:rPr>
          <w:rStyle w:val="null"/>
          <w:rFonts w:eastAsiaTheme="minorEastAsia"/>
        </w:rPr>
        <w:tab/>
      </w:r>
      <w:r w:rsidR="001B7C40">
        <w:rPr>
          <w:rStyle w:val="null"/>
        </w:rPr>
        <w:t>[2]</w:t>
      </w:r>
    </w:p>
    <w:p w:rsidR="00AF399C" w:rsidRPr="00862EF0" w:rsidRDefault="00AF399C" w:rsidP="00AF399C">
      <w:pPr>
        <w:spacing w:after="240" w:line="360" w:lineRule="auto"/>
        <w:rPr>
          <w:rStyle w:val="null"/>
        </w:rPr>
      </w:pPr>
      <w:r>
        <w:rPr>
          <w:rStyle w:val="null"/>
        </w:rPr>
        <w:t>V roce 2013 naznaly investiční fondy rozsáhlou právní novelizaci, která nově umožňuje zakládat investiční fondy jako akciové společnosti s proměnným základním kapitálem. Poté jsou rozlišovány dva typy akcií, a sice Zakladatelské akcie</w:t>
      </w:r>
      <w:r>
        <w:rPr>
          <w:rStyle w:val="Znakapoznpodarou"/>
        </w:rPr>
        <w:footnoteReference w:id="15"/>
      </w:r>
      <w:r>
        <w:rPr>
          <w:rStyle w:val="null"/>
        </w:rPr>
        <w:t xml:space="preserve"> a Investiční akcie</w:t>
      </w:r>
      <w:r>
        <w:rPr>
          <w:rStyle w:val="Znakapoznpodarou"/>
        </w:rPr>
        <w:footnoteReference w:id="16"/>
      </w:r>
      <w:r>
        <w:rPr>
          <w:rStyle w:val="null"/>
        </w:rPr>
        <w:t>. Tím je dosaženo toho, že nově může investiční fond fungovat jako fond otevřeného typu, což doposud nebylo možné. Před vstupem výše zmíněné novelizace mohly investiční fondy existovat pouze ve formě uzavřeného fondu.</w:t>
      </w:r>
    </w:p>
    <w:p w:rsidR="00AF399C" w:rsidRPr="00862EF0" w:rsidRDefault="00AF399C" w:rsidP="00AF399C">
      <w:pPr>
        <w:spacing w:after="240" w:line="360" w:lineRule="auto"/>
      </w:pPr>
      <w:r>
        <w:t>Stejně jako u podílových fondů, u zde musí být ve statutu určen způsob vyplácení divi</w:t>
      </w:r>
      <w:r w:rsidR="003D6D99">
        <w:t xml:space="preserve">dend, </w:t>
      </w:r>
      <w:proofErr w:type="gramStart"/>
      <w:r w:rsidR="003D6D99">
        <w:t>tzn.</w:t>
      </w:r>
      <w:r>
        <w:t>zda</w:t>
      </w:r>
      <w:proofErr w:type="gramEnd"/>
      <w:r>
        <w:t xml:space="preserve"> jsou vypláceny, reinvestovány, případně zda je část vyplácena a část reinvestována. </w:t>
      </w:r>
    </w:p>
    <w:p w:rsidR="00AF399C" w:rsidRPr="004769F9" w:rsidRDefault="00AF399C" w:rsidP="00371136">
      <w:pPr>
        <w:pStyle w:val="Nadpis2"/>
        <w:rPr>
          <w:i/>
        </w:rPr>
      </w:pPr>
      <w:bookmarkStart w:id="13" w:name="_Toc386145982"/>
      <w:r w:rsidRPr="002925B2">
        <w:t>Rizika spojená s fondy kolektivního investování a ETF</w:t>
      </w:r>
      <w:bookmarkEnd w:id="13"/>
      <w:r w:rsidR="001B7C40">
        <w:t>s</w:t>
      </w:r>
    </w:p>
    <w:p w:rsidR="00AF399C" w:rsidRDefault="00AF399C" w:rsidP="00AF399C">
      <w:pPr>
        <w:spacing w:after="240" w:line="360" w:lineRule="auto"/>
      </w:pPr>
      <w:r>
        <w:t xml:space="preserve">Každá investice s sebou nese řadu rizik. Vzhledem k tomu, že základním cílem investorů bývá dosažení co nejvyšší výnosnosti, je možno v daném případě rizikovost investic vztáhnout k tomuto cíli a chápat ji jako nejistotu investora spojenou s tím, že se mu nepodaří z předmětného investičního instrumentu dosáhnout očekávané výnosnosti. </w:t>
      </w:r>
    </w:p>
    <w:p w:rsidR="00AF399C" w:rsidRDefault="00AF399C" w:rsidP="00AF399C">
      <w:pPr>
        <w:spacing w:after="240" w:line="360" w:lineRule="auto"/>
      </w:pPr>
      <w:r>
        <w:t xml:space="preserve">Na tomto místě proto krátce charakterizuji jednotlivá rizika, která by měl drobný investor při svých investicích brát v potaz. Investiční riziko může být buď systematické, tzn. vztahující se </w:t>
      </w:r>
      <w:r>
        <w:lastRenderedPageBreak/>
        <w:t>k trhu jako celku a nedá se tedy odstranit diverzifikací v rámci daného trhu, a nesystematické (jedinečné), které je spojeno s držbou konkrétního cenného papíru.</w:t>
      </w:r>
    </w:p>
    <w:p w:rsidR="00AF399C" w:rsidRDefault="00AF399C" w:rsidP="00AF399C">
      <w:pPr>
        <w:spacing w:after="240" w:line="360" w:lineRule="auto"/>
      </w:pPr>
      <w:r>
        <w:t>Hlavní rizika, která by měla být brána v úvahu, jsou například následující:</w:t>
      </w:r>
    </w:p>
    <w:p w:rsidR="00AF399C" w:rsidRDefault="00AF399C" w:rsidP="00AF399C">
      <w:pPr>
        <w:pStyle w:val="Odstavecseseznamem"/>
        <w:numPr>
          <w:ilvl w:val="0"/>
          <w:numId w:val="13"/>
        </w:numPr>
        <w:spacing w:after="240"/>
      </w:pPr>
      <w:r w:rsidRPr="00B617D7">
        <w:rPr>
          <w:i/>
        </w:rPr>
        <w:t>riziko změn tržních úrokových měr</w:t>
      </w:r>
      <w:r>
        <w:t xml:space="preserve"> – úrokové míry ovlivňují ceny téměř všech finančních instrumentů, pokud drží cenné papíry za určitých podmínek a drží je ve svém portfoliu, má negativní dopad zejména vzestup úrokových měr</w:t>
      </w:r>
    </w:p>
    <w:p w:rsidR="00AF399C" w:rsidRDefault="00AF399C" w:rsidP="00AF399C">
      <w:pPr>
        <w:pStyle w:val="Odstavecseseznamem"/>
        <w:numPr>
          <w:ilvl w:val="0"/>
          <w:numId w:val="13"/>
        </w:numPr>
        <w:spacing w:after="240"/>
      </w:pPr>
      <w:r w:rsidRPr="00B617D7">
        <w:rPr>
          <w:i/>
        </w:rPr>
        <w:t>riziko událostí</w:t>
      </w:r>
      <w:r>
        <w:t xml:space="preserve"> – souvisí se zveřejněním nepříznivých a neočekávaných informací, které mají dopad na kurz cenného papíru, pokud jsou takové informace vyhodnoceny negativně investorskou veřejností, pak i dopad na kurzy cenných papírů je negativní</w:t>
      </w:r>
    </w:p>
    <w:p w:rsidR="00AF399C" w:rsidRDefault="00AF399C" w:rsidP="00AF399C">
      <w:pPr>
        <w:pStyle w:val="Odstavecseseznamem"/>
        <w:numPr>
          <w:ilvl w:val="0"/>
          <w:numId w:val="13"/>
        </w:numPr>
        <w:spacing w:after="240"/>
      </w:pPr>
      <w:r w:rsidRPr="00B617D7">
        <w:rPr>
          <w:i/>
        </w:rPr>
        <w:t>riziko likvidity</w:t>
      </w:r>
      <w:r>
        <w:t xml:space="preserve"> – dělíme na riziko tržní likvidity, které spočívá v tom, že v době, kdy investor chce odprodat či nakoupit cenný papír, nebude na trhu dostatečná likvidita pro realizaci jeho záměrů, a riziko cash-flow</w:t>
      </w:r>
    </w:p>
    <w:p w:rsidR="00AF399C" w:rsidRDefault="00AF399C" w:rsidP="00AF399C">
      <w:pPr>
        <w:pStyle w:val="Odstavecseseznamem"/>
        <w:numPr>
          <w:ilvl w:val="0"/>
          <w:numId w:val="13"/>
        </w:numPr>
        <w:spacing w:after="240"/>
      </w:pPr>
      <w:r w:rsidRPr="00B617D7">
        <w:rPr>
          <w:i/>
        </w:rPr>
        <w:t>operační riziko</w:t>
      </w:r>
      <w:r>
        <w:t xml:space="preserve"> – riziko spojené se všemi obchody, jedná se například o lidské chyby, výpadky informačních systémů, podvody, …</w:t>
      </w:r>
    </w:p>
    <w:p w:rsidR="00AF399C" w:rsidRDefault="00AF399C" w:rsidP="00AF399C">
      <w:pPr>
        <w:pStyle w:val="Odstavecseseznamem"/>
        <w:numPr>
          <w:ilvl w:val="0"/>
          <w:numId w:val="13"/>
        </w:numPr>
        <w:spacing w:after="240"/>
      </w:pPr>
      <w:r w:rsidRPr="00B617D7">
        <w:rPr>
          <w:i/>
        </w:rPr>
        <w:t>úvěrové riziko</w:t>
      </w:r>
      <w:r>
        <w:t xml:space="preserve"> – riziko vyskytující se na straně věřitele, který se obává, že dlužník nedostojí svým závazkům dle podmínek kontraktu</w:t>
      </w:r>
    </w:p>
    <w:p w:rsidR="00AF399C" w:rsidRDefault="00AF399C" w:rsidP="00AF399C">
      <w:pPr>
        <w:pStyle w:val="Odstavecseseznamem"/>
        <w:numPr>
          <w:ilvl w:val="0"/>
          <w:numId w:val="13"/>
        </w:numPr>
        <w:spacing w:after="240"/>
      </w:pPr>
      <w:r w:rsidRPr="00B617D7">
        <w:rPr>
          <w:i/>
        </w:rPr>
        <w:t>riziko právní</w:t>
      </w:r>
      <w:r>
        <w:t xml:space="preserve"> – souvisí s právním systémem v dané zemi, existuje riziko možné ztráty investice například z důvodu neprosaditelnosti kontraktu</w:t>
      </w:r>
    </w:p>
    <w:p w:rsidR="00AF399C" w:rsidRDefault="00AF399C" w:rsidP="00AF399C">
      <w:pPr>
        <w:pStyle w:val="Odstavecseseznamem"/>
        <w:numPr>
          <w:ilvl w:val="0"/>
          <w:numId w:val="13"/>
        </w:numPr>
        <w:spacing w:after="240"/>
      </w:pPr>
      <w:r w:rsidRPr="00B617D7">
        <w:rPr>
          <w:i/>
        </w:rPr>
        <w:t>riziko měnové</w:t>
      </w:r>
      <w:r>
        <w:t xml:space="preserve"> – pokud investor bude investovat do cenných papírů denominovaných v cizí měně, je vždy vystaven možnosti ztrát plynoucích z pohybu měnových kurzů</w:t>
      </w:r>
    </w:p>
    <w:p w:rsidR="00AF399C" w:rsidRPr="00E43922" w:rsidRDefault="00AF399C" w:rsidP="00371136">
      <w:pPr>
        <w:pStyle w:val="Nadpis2"/>
        <w:rPr>
          <w:i/>
          <w:sz w:val="20"/>
        </w:rPr>
      </w:pPr>
      <w:bookmarkStart w:id="14" w:name="_Toc386145983"/>
      <w:r>
        <w:t>Charakteristika a vývoj ETF</w:t>
      </w:r>
      <w:r w:rsidR="007A43D0">
        <w:t>s</w:t>
      </w:r>
      <w:bookmarkEnd w:id="14"/>
    </w:p>
    <w:p w:rsidR="00AF399C" w:rsidRPr="002900AA" w:rsidRDefault="003D6D99" w:rsidP="00AF399C">
      <w:pPr>
        <w:spacing w:after="240" w:line="360" w:lineRule="auto"/>
      </w:pPr>
      <w:r>
        <w:t>Exchange Traded F</w:t>
      </w:r>
      <w:r w:rsidR="00AF399C" w:rsidRPr="002900AA">
        <w:t>unds (ETF</w:t>
      </w:r>
      <w:r w:rsidR="007A43D0">
        <w:t>s</w:t>
      </w:r>
      <w:r w:rsidR="00AF399C" w:rsidRPr="002900AA">
        <w:t>) nebo také burzovně obchodovatelné fondy představují alternativu k fondům kolektivního investování, jako jsou podílové či investiční fondy. Můžeme se také setkat s terminologií „veřejně obchodovatelné fondy“</w:t>
      </w:r>
      <w:r w:rsidR="00AF399C" w:rsidRPr="002900AA">
        <w:rPr>
          <w:rStyle w:val="Znakapoznpodarou"/>
        </w:rPr>
        <w:footnoteReference w:id="17"/>
      </w:r>
      <w:r w:rsidR="00AF399C" w:rsidRPr="002900AA">
        <w:t>, nicméně v praxi se využívá spíše anglická zkratka ETF</w:t>
      </w:r>
      <w:r w:rsidR="001A4EE9">
        <w:t>s</w:t>
      </w:r>
      <w:r w:rsidR="00AF399C" w:rsidRPr="002900AA">
        <w:t xml:space="preserve">. </w:t>
      </w:r>
    </w:p>
    <w:p w:rsidR="00AF399C" w:rsidRPr="00E43922" w:rsidRDefault="00AF399C" w:rsidP="00371136">
      <w:pPr>
        <w:pStyle w:val="Nadpis3"/>
        <w:rPr>
          <w:sz w:val="20"/>
        </w:rPr>
      </w:pPr>
      <w:bookmarkStart w:id="15" w:name="_Toc386145984"/>
      <w:r>
        <w:t>Charakteristika, v</w:t>
      </w:r>
      <w:r w:rsidRPr="00BF0C76">
        <w:t>znik a vývoj ETF</w:t>
      </w:r>
      <w:r w:rsidR="001A4EE9">
        <w:t>s</w:t>
      </w:r>
      <w:bookmarkEnd w:id="15"/>
    </w:p>
    <w:p w:rsidR="00AF399C" w:rsidRDefault="00AF399C" w:rsidP="00AF399C">
      <w:pPr>
        <w:spacing w:after="240" w:line="360" w:lineRule="auto"/>
      </w:pPr>
      <w:r w:rsidRPr="002900AA">
        <w:t>ETF</w:t>
      </w:r>
      <w:r w:rsidR="001A4EE9">
        <w:t>s</w:t>
      </w:r>
      <w:r w:rsidRPr="002900AA">
        <w:t xml:space="preserve"> lze charakterizovat jako fondy určené pro drobné i institucionální investory, které jsou, stejně jako standardní fondy kolektivního investování, tvořeny majetkem skládajícím se </w:t>
      </w:r>
      <w:r w:rsidRPr="002900AA">
        <w:lastRenderedPageBreak/>
        <w:t xml:space="preserve">z různých aktiv. Pro investory to znamená, že v případě likvidace fondu mají držitelé jeho cenných papírů nárok na příslušný podíl z jeho majetku. </w:t>
      </w:r>
    </w:p>
    <w:p w:rsidR="00AF399C" w:rsidRDefault="00AF399C" w:rsidP="00AF399C">
      <w:pPr>
        <w:spacing w:after="240" w:line="360" w:lineRule="auto"/>
      </w:pPr>
      <w:r w:rsidRPr="002900AA">
        <w:t>Hlavním charakteristickým rysem ETF je fakt, že ačkoli jsou všeobecně považovány za fondy otevřeného typu, tak jimi emitované cenné papíry jsou veřejně obchodovatelné.</w:t>
      </w:r>
      <w:r>
        <w:t xml:space="preserve"> Transakce (tzn. nákupy a prodeje ETF) lze provádět na burze prostřednictvím obchodníků s cennými papíry, při výběru obchodníka je třeba zkoumat, na které trhy a burzy má přístup, aby se drobný investor mohl zapojit do tohoto procesu. Oproti klasickým fondům kolektivního investování může investor provádět obchody v průběhu obchodních hodin dané burzy.</w:t>
      </w:r>
    </w:p>
    <w:p w:rsidR="00AF399C" w:rsidRDefault="00AF399C" w:rsidP="00AF399C">
      <w:pPr>
        <w:spacing w:after="240" w:line="360" w:lineRule="auto"/>
      </w:pPr>
      <w:r>
        <w:t>Samotný vznik burzovně obchodovaných fondů je datován do 90. letech minulého století, nicméně jisté alternativy ETF existovaly již dříve</w:t>
      </w:r>
      <w:r>
        <w:rPr>
          <w:rStyle w:val="Znakapoznpodarou"/>
        </w:rPr>
        <w:footnoteReference w:id="18"/>
      </w:r>
      <w:r>
        <w:t>. První myšlenka tvorby produktu, prostřednictvím něhož by bylo možné investovat do celého indexu</w:t>
      </w:r>
      <w:r w:rsidR="003D6D99">
        <w:t>,</w:t>
      </w:r>
      <w:r>
        <w:t xml:space="preserve"> se projevila při tvorbě tzv. portfoliových investic. Princip fungování portfoliových investic spočíval v tom, že obchodník nakoupil akcie v co možná nejpřesnějším poměru, v jaké jsou zastoupeny v určitém indexu</w:t>
      </w:r>
      <w:r w:rsidR="003D6D99">
        <w:t>,</w:t>
      </w:r>
      <w:r>
        <w:t xml:space="preserve"> a tyto poté držel na svých účtech. </w:t>
      </w:r>
      <w:r>
        <w:rPr>
          <w:rStyle w:val="Znakapoznpodarou"/>
        </w:rPr>
        <w:footnoteReference w:id="19"/>
      </w:r>
    </w:p>
    <w:p w:rsidR="00AF399C" w:rsidRDefault="00AF399C" w:rsidP="00AF399C">
      <w:pPr>
        <w:spacing w:after="240" w:line="360" w:lineRule="auto"/>
      </w:pPr>
      <w:r>
        <w:t xml:space="preserve">Tento typ obchodování byl vhodnější zejména pro velké institucionální investory, pro drobné se nehodil zejména díky vysoké nákladovosti. Kdyby chtěl drobný investor tímto způsobem kopírovat složení indexu, bylo by pro něj velice náročné zapojit ty akcie, které jsou zastoupeny pouze zlomkem procenta. Nicméně i pro institucionální investory se tento způsob investic jevil jako značně nákladový a přesné kopírování skladby portfolia bylo velmi obtížné. </w:t>
      </w:r>
    </w:p>
    <w:p w:rsidR="00AF399C" w:rsidRDefault="00AF399C" w:rsidP="00AF399C">
      <w:pPr>
        <w:spacing w:after="240" w:line="360" w:lineRule="auto"/>
      </w:pPr>
      <w:r>
        <w:t>Jako reakce na výše uvedené problémy došlo ke vzniku syntetických produktů, které umožňovaly investici do celého indexu prostřednictvím jediného cenného papíru.</w:t>
      </w:r>
      <w:r w:rsidR="00460B97">
        <w:rPr>
          <w:rStyle w:val="Znakapoznpodarou"/>
        </w:rPr>
        <w:footnoteReference w:id="20"/>
      </w:r>
      <w:r>
        <w:t xml:space="preserve"> Tyto produkty byly nazývány Index Participation Shares (IPS). IPS jsou považovány za první předchůdce burzovně obchodovaných fondů. Prvním aktivněji obchodovaným IPS byl IPS na S&amp;P 500, který byl obchodován již v roce 1989 na American Stock Exchange a Philadelphia Stock Exchange. Obchodování IPS bylo ovšem krátce na to ukončeno z toho důvodu, že bylo soudem v Chicagu rozhodnuto o tom, že se jedná o futures kontrakty a musí být proto obchodovány na příslušných derivátových burzách</w:t>
      </w:r>
      <w:r w:rsidR="005E47A8">
        <w:t>,</w:t>
      </w:r>
      <w:r>
        <w:t xml:space="preserve"> ze spotových burz musely být odstraněny. Ukončení obchodování v USA tedy zapříčinilo právní vymezení IPS, což mělo za následek, </w:t>
      </w:r>
      <w:r>
        <w:lastRenderedPageBreak/>
        <w:t xml:space="preserve">že v zemích, kde nebyla regulace až tak přísná, se s obchodováním těchto syntetických produktů i nadále pokračovalo. </w:t>
      </w:r>
    </w:p>
    <w:p w:rsidR="00AF399C" w:rsidRDefault="00AF399C" w:rsidP="00AF399C">
      <w:pPr>
        <w:spacing w:after="240" w:line="360" w:lineRule="auto"/>
        <w:rPr>
          <w:bCs/>
          <w:szCs w:val="24"/>
        </w:rPr>
      </w:pPr>
      <w:r w:rsidRPr="00971D9B">
        <w:rPr>
          <w:szCs w:val="24"/>
        </w:rPr>
        <w:t xml:space="preserve">Jako nástupce IPS byly tzv. </w:t>
      </w:r>
      <w:r w:rsidRPr="00971D9B">
        <w:rPr>
          <w:bCs/>
          <w:szCs w:val="24"/>
        </w:rPr>
        <w:t>Toronto Stock Exchange Index Partcipations</w:t>
      </w:r>
      <w:r>
        <w:rPr>
          <w:bCs/>
          <w:szCs w:val="24"/>
        </w:rPr>
        <w:t xml:space="preserve"> (TIPs), což byly cenné papíry emitované v Kanadě a jejichž cílem bylo kopírovat indexy TSE-35 a později TSE-100. Tyto cenné papíry se staly velmi populární nejen v Kanadě, ale po celém světě. Poplatky spojené s obchodováním byly však natolik nízké, že nestačily pokrýt náklady, a proto bylo obchodování TIPs ukončeno v roce 2000. </w:t>
      </w:r>
    </w:p>
    <w:p w:rsidR="00AF399C" w:rsidRDefault="00AF399C" w:rsidP="00AF399C">
      <w:pPr>
        <w:spacing w:after="240" w:line="360" w:lineRule="auto"/>
        <w:rPr>
          <w:bCs/>
          <w:szCs w:val="24"/>
        </w:rPr>
      </w:pPr>
      <w:r>
        <w:rPr>
          <w:bCs/>
          <w:szCs w:val="24"/>
        </w:rPr>
        <w:t>První cenný papír, který se dá klasifikovat jako ETF, byl k obchodování schválen roku 1992.</w:t>
      </w:r>
      <w:r>
        <w:rPr>
          <w:rStyle w:val="Znakapoznpodarou"/>
          <w:bCs/>
          <w:szCs w:val="24"/>
        </w:rPr>
        <w:footnoteReference w:id="21"/>
      </w:r>
      <w:r>
        <w:rPr>
          <w:bCs/>
          <w:szCs w:val="24"/>
        </w:rPr>
        <w:t xml:space="preserve"> Uvedení tohoto produktu na trh s sebou neslo řadu komplikací, schvalovací proces americké Komise pro cenné papíry (SEC) trval celé 2 roky. Tento produkt v sobě kombinoval prvky otevřených i uzavřených fondů, společně s opčními prvky. Jelikož byl však tento produkt značně komplikovaný ve své struktuře, požadované vysoké prvotní náklady na investici zapříčinily, že tento cenný papír nebyl nikdy aktivně obchodován a následně tedy odstraněn z obchodování. </w:t>
      </w:r>
    </w:p>
    <w:p w:rsidR="00AF399C" w:rsidRDefault="00AF399C" w:rsidP="00AF399C">
      <w:pPr>
        <w:spacing w:after="240" w:line="360" w:lineRule="auto"/>
      </w:pPr>
      <w:r>
        <w:rPr>
          <w:bCs/>
          <w:szCs w:val="24"/>
        </w:rPr>
        <w:t xml:space="preserve">V roce 1993 byl poprvé uveden na burzu produkt, který se snaží klást důraz na jednoduchost, transparentnost, přehlednost, snaží se být co nejkomfortnější pro drobného investora, což znamená, že se snaží o co nejnižší transakční náklady a co možná nejnižší hodnotu minimální investice. Tento pasivně spravovaný fond navázaný na index amerických akcií </w:t>
      </w:r>
      <w:r>
        <w:t>S&amp;P 500 byl uveden na americkou burzu AMEX a stal se velmi brzy oblíbeným mezi širokou veřejností.</w:t>
      </w:r>
      <w:r w:rsidR="00460B97">
        <w:t xml:space="preserve"> </w:t>
      </w:r>
      <w:r>
        <w:t>Tímto uvedením se začala psát historie ETF</w:t>
      </w:r>
      <w:r w:rsidR="005E47A8">
        <w:t>s</w:t>
      </w:r>
      <w:r>
        <w:t xml:space="preserve"> na americkém kontinentě.</w:t>
      </w:r>
    </w:p>
    <w:p w:rsidR="00AF399C" w:rsidRDefault="00AF399C" w:rsidP="00AF399C">
      <w:pPr>
        <w:spacing w:after="240" w:line="360" w:lineRule="auto"/>
      </w:pPr>
      <w:r>
        <w:t>Co se Evropy týče, zde se ETF</w:t>
      </w:r>
      <w:r w:rsidR="005E47A8">
        <w:t>s začaly</w:t>
      </w:r>
      <w:r>
        <w:t xml:space="preserve"> objevovat o něco později. První evropské ETF bylo uvedeno na trh v Německu v dubnu 2000 a bylo navázáno na evropský index Euro Stoxx 50, druhé ETF vydané nedlouho poté sledovalo index Stoxx Europe. Postupně začaly vznikat nové ETF ve Švýcarsku a dalších zemí Evropy, stoupal počet emitovaných ETF</w:t>
      </w:r>
      <w:r w:rsidR="005E47A8">
        <w:t>s</w:t>
      </w:r>
      <w:r>
        <w:t xml:space="preserve"> a zároveň s tím i objemy investovaných prostředků.</w:t>
      </w:r>
      <w:r>
        <w:rPr>
          <w:rStyle w:val="Znakapoznpodarou"/>
        </w:rPr>
        <w:footnoteReference w:id="22"/>
      </w:r>
    </w:p>
    <w:p w:rsidR="00460B97" w:rsidRDefault="00460B97" w:rsidP="00AF399C">
      <w:pPr>
        <w:spacing w:after="240" w:line="360" w:lineRule="auto"/>
      </w:pPr>
    </w:p>
    <w:p w:rsidR="00460B97" w:rsidRDefault="00460B97" w:rsidP="00AF399C">
      <w:pPr>
        <w:spacing w:after="240" w:line="360" w:lineRule="auto"/>
      </w:pPr>
    </w:p>
    <w:p w:rsidR="005E5134" w:rsidRPr="005E5134" w:rsidRDefault="005E5134" w:rsidP="005E5134">
      <w:pPr>
        <w:pStyle w:val="Titulek"/>
        <w:spacing w:after="0" w:line="360" w:lineRule="auto"/>
        <w:jc w:val="center"/>
        <w:rPr>
          <w:color w:val="auto"/>
          <w:sz w:val="24"/>
        </w:rPr>
      </w:pPr>
      <w:bookmarkStart w:id="16" w:name="_Toc385970602"/>
      <w:r w:rsidRPr="005E5134">
        <w:rPr>
          <w:color w:val="auto"/>
          <w:sz w:val="24"/>
        </w:rPr>
        <w:lastRenderedPageBreak/>
        <w:t xml:space="preserve">Graf č. </w:t>
      </w:r>
      <w:r w:rsidR="008B79C7" w:rsidRPr="005E5134">
        <w:rPr>
          <w:color w:val="auto"/>
          <w:sz w:val="24"/>
        </w:rPr>
        <w:fldChar w:fldCharType="begin"/>
      </w:r>
      <w:r w:rsidRPr="005E5134">
        <w:rPr>
          <w:color w:val="auto"/>
          <w:sz w:val="24"/>
        </w:rPr>
        <w:instrText xml:space="preserve"> SEQ Graf_č. \* ARABIC </w:instrText>
      </w:r>
      <w:r w:rsidR="008B79C7" w:rsidRPr="005E5134">
        <w:rPr>
          <w:color w:val="auto"/>
          <w:sz w:val="24"/>
        </w:rPr>
        <w:fldChar w:fldCharType="separate"/>
      </w:r>
      <w:r w:rsidR="002E0A33">
        <w:rPr>
          <w:noProof/>
          <w:color w:val="auto"/>
          <w:sz w:val="24"/>
        </w:rPr>
        <w:t>1</w:t>
      </w:r>
      <w:r w:rsidR="008B79C7" w:rsidRPr="005E5134">
        <w:rPr>
          <w:color w:val="auto"/>
          <w:sz w:val="24"/>
        </w:rPr>
        <w:fldChar w:fldCharType="end"/>
      </w:r>
      <w:r w:rsidRPr="005E5134">
        <w:rPr>
          <w:color w:val="auto"/>
          <w:sz w:val="24"/>
        </w:rPr>
        <w:t>: Počet burzovně obcho</w:t>
      </w:r>
      <w:r>
        <w:rPr>
          <w:color w:val="auto"/>
          <w:sz w:val="24"/>
        </w:rPr>
        <w:t>dovaných ETP v letech 2000-2013</w:t>
      </w:r>
      <w:bookmarkEnd w:id="16"/>
      <w:r w:rsidR="00460B97">
        <w:rPr>
          <w:color w:val="auto"/>
          <w:sz w:val="24"/>
        </w:rPr>
        <w:t>, celosvětově</w:t>
      </w:r>
    </w:p>
    <w:p w:rsidR="00AF399C" w:rsidRPr="00A84C19" w:rsidRDefault="00AF399C" w:rsidP="00AF399C">
      <w:pPr>
        <w:spacing w:after="240" w:line="360" w:lineRule="auto"/>
        <w:rPr>
          <w:bCs/>
          <w:szCs w:val="24"/>
        </w:rPr>
      </w:pPr>
      <w:r>
        <w:rPr>
          <w:noProof/>
          <w:lang w:eastAsia="cs-CZ"/>
        </w:rPr>
        <w:drawing>
          <wp:inline distT="0" distB="0" distL="0" distR="0">
            <wp:extent cx="5752214" cy="3009013"/>
            <wp:effectExtent l="0" t="0" r="0" b="0"/>
            <wp:docPr id="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399C" w:rsidRPr="005E5134" w:rsidRDefault="00AF399C" w:rsidP="005E5134">
      <w:pPr>
        <w:pStyle w:val="Titulek"/>
        <w:spacing w:after="0" w:line="276" w:lineRule="auto"/>
        <w:jc w:val="center"/>
        <w:rPr>
          <w:b w:val="0"/>
          <w:color w:val="auto"/>
          <w:sz w:val="22"/>
          <w:szCs w:val="22"/>
        </w:rPr>
      </w:pPr>
      <w:r w:rsidRPr="005E5134">
        <w:rPr>
          <w:b w:val="0"/>
          <w:color w:val="auto"/>
          <w:sz w:val="22"/>
          <w:szCs w:val="22"/>
        </w:rPr>
        <w:t>Zdroj: vlastní zpracování dle údajů</w:t>
      </w:r>
    </w:p>
    <w:p w:rsidR="00AF399C" w:rsidRPr="005E5134" w:rsidRDefault="00AF399C" w:rsidP="005E5134">
      <w:pPr>
        <w:spacing w:before="0" w:after="240"/>
        <w:jc w:val="center"/>
        <w:rPr>
          <w:sz w:val="22"/>
        </w:rPr>
      </w:pPr>
      <w:r w:rsidRPr="005E5134">
        <w:rPr>
          <w:sz w:val="22"/>
        </w:rPr>
        <w:t xml:space="preserve">ETP Landscape. </w:t>
      </w:r>
      <w:r w:rsidRPr="005E5134">
        <w:rPr>
          <w:i/>
          <w:iCs/>
          <w:sz w:val="22"/>
        </w:rPr>
        <w:t>BlackRock</w:t>
      </w:r>
      <w:r w:rsidRPr="005E5134">
        <w:rPr>
          <w:sz w:val="22"/>
        </w:rPr>
        <w:t xml:space="preserve"> [online]. 2014 [cit. 2014-03-15]. Dostupné z: http://www.blackrocklatam.com/content/groups/internationalsite/documents/literature/etfl_industryhilight_dec13.pdf</w:t>
      </w:r>
    </w:p>
    <w:p w:rsidR="00AF399C" w:rsidRDefault="00AF399C" w:rsidP="005E5134">
      <w:pPr>
        <w:spacing w:before="0" w:line="360" w:lineRule="auto"/>
      </w:pPr>
      <w:r w:rsidRPr="00A84C19">
        <w:t xml:space="preserve">Vývoj </w:t>
      </w:r>
      <w:r>
        <w:t>počtu burzovně obchodovaných ETP</w:t>
      </w:r>
      <w:r w:rsidR="005E47A8">
        <w:t>s</w:t>
      </w:r>
      <w:r>
        <w:rPr>
          <w:rStyle w:val="Znakapoznpodarou"/>
        </w:rPr>
        <w:footnoteReference w:id="23"/>
      </w:r>
      <w:r w:rsidRPr="00A84C19">
        <w:t xml:space="preserve"> vyobrazuje graf č. 1. V roce 2000 bylo po celém s</w:t>
      </w:r>
      <w:r>
        <w:t>větě obchodováno pouhých 106 ETP</w:t>
      </w:r>
      <w:r w:rsidR="005E47A8">
        <w:t>s</w:t>
      </w:r>
      <w:r w:rsidRPr="00A84C19">
        <w:t xml:space="preserve">, zatím se tedy tyto cenné papíry nedostaly do povědomí široké veřejnosti. Rok od roku počet burzovně obchodovaných </w:t>
      </w:r>
      <w:r w:rsidR="005E47A8">
        <w:t>produktů</w:t>
      </w:r>
      <w:r w:rsidRPr="00A84C19">
        <w:t xml:space="preserve"> rostl vcelku rychlým tempem a rozšířil se z amerického kontinentu i do dalších částí světa. V letech 2002 a 2003 m</w:t>
      </w:r>
      <w:r>
        <w:t>ůžeme pozorovat, že se počet ETP</w:t>
      </w:r>
      <w:r w:rsidRPr="00A84C19">
        <w:t xml:space="preserve"> v podstatě nezměnil, jejich počet se stále pohyboval kolem 300. Tuto stagnaci osobně zdůvodňuji finanční krizí a tím i nedůvěrou investorů ve finanční trh. Společně s finanční krizí také přichází fakt, že ačkoli by investoři rádi investovali do cenných papírů, schází jim k tomuto prostředky, případně volí jin</w:t>
      </w:r>
      <w:r>
        <w:t>á</w:t>
      </w:r>
      <w:r w:rsidRPr="00A84C19">
        <w:t xml:space="preserve">, z jejich pohledu bezpečnější aktiva. </w:t>
      </w:r>
    </w:p>
    <w:p w:rsidR="008410A8" w:rsidRDefault="008410A8" w:rsidP="005E5134">
      <w:pPr>
        <w:spacing w:before="0" w:line="360" w:lineRule="auto"/>
      </w:pPr>
    </w:p>
    <w:p w:rsidR="00460B97" w:rsidRDefault="00460B97" w:rsidP="005E5134">
      <w:pPr>
        <w:spacing w:before="0" w:line="360" w:lineRule="auto"/>
      </w:pPr>
    </w:p>
    <w:p w:rsidR="00460B97" w:rsidRDefault="00460B97" w:rsidP="005E5134">
      <w:pPr>
        <w:spacing w:before="0" w:line="360" w:lineRule="auto"/>
      </w:pPr>
    </w:p>
    <w:p w:rsidR="00460B97" w:rsidRDefault="00460B97" w:rsidP="005E5134">
      <w:pPr>
        <w:spacing w:before="0" w:line="360" w:lineRule="auto"/>
      </w:pPr>
    </w:p>
    <w:p w:rsidR="005E5134" w:rsidRDefault="005E5134" w:rsidP="005E47A8">
      <w:pPr>
        <w:pStyle w:val="Titulek"/>
        <w:spacing w:after="0" w:line="360" w:lineRule="auto"/>
        <w:jc w:val="center"/>
      </w:pPr>
      <w:bookmarkStart w:id="17" w:name="_Toc385970603"/>
      <w:r w:rsidRPr="005E5134">
        <w:rPr>
          <w:color w:val="auto"/>
          <w:sz w:val="24"/>
          <w:szCs w:val="22"/>
        </w:rPr>
        <w:lastRenderedPageBreak/>
        <w:t xml:space="preserve">Graf č. </w:t>
      </w:r>
      <w:r w:rsidR="008B79C7" w:rsidRPr="005E5134">
        <w:rPr>
          <w:color w:val="auto"/>
          <w:sz w:val="24"/>
          <w:szCs w:val="22"/>
        </w:rPr>
        <w:fldChar w:fldCharType="begin"/>
      </w:r>
      <w:r w:rsidRPr="005E5134">
        <w:rPr>
          <w:color w:val="auto"/>
          <w:sz w:val="24"/>
          <w:szCs w:val="22"/>
        </w:rPr>
        <w:instrText xml:space="preserve"> SEQ Graf_č. \* ARABIC </w:instrText>
      </w:r>
      <w:r w:rsidR="008B79C7" w:rsidRPr="005E5134">
        <w:rPr>
          <w:color w:val="auto"/>
          <w:sz w:val="24"/>
          <w:szCs w:val="22"/>
        </w:rPr>
        <w:fldChar w:fldCharType="separate"/>
      </w:r>
      <w:r w:rsidR="002E0A33">
        <w:rPr>
          <w:noProof/>
          <w:color w:val="auto"/>
          <w:sz w:val="24"/>
          <w:szCs w:val="22"/>
        </w:rPr>
        <w:t>2</w:t>
      </w:r>
      <w:r w:rsidR="008B79C7" w:rsidRPr="005E5134">
        <w:rPr>
          <w:color w:val="auto"/>
          <w:sz w:val="24"/>
          <w:szCs w:val="22"/>
        </w:rPr>
        <w:fldChar w:fldCharType="end"/>
      </w:r>
      <w:r w:rsidRPr="005E5134">
        <w:rPr>
          <w:color w:val="auto"/>
          <w:sz w:val="24"/>
          <w:szCs w:val="22"/>
        </w:rPr>
        <w:t>: Srovnání počtu ETP emitovaných v US a Evropě</w:t>
      </w:r>
      <w:bookmarkEnd w:id="17"/>
    </w:p>
    <w:p w:rsidR="00AF399C" w:rsidRPr="00A84C19" w:rsidRDefault="00AF399C" w:rsidP="00AF399C">
      <w:pPr>
        <w:spacing w:line="360" w:lineRule="auto"/>
      </w:pPr>
      <w:r>
        <w:rPr>
          <w:b/>
          <w:noProof/>
          <w:sz w:val="20"/>
          <w:lang w:eastAsia="cs-CZ"/>
        </w:rPr>
        <w:drawing>
          <wp:inline distT="0" distB="0" distL="0" distR="0">
            <wp:extent cx="5760720" cy="3306486"/>
            <wp:effectExtent l="19050" t="0" r="0" b="0"/>
            <wp:docPr id="4"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399C" w:rsidRPr="003B6D94" w:rsidRDefault="00AF399C" w:rsidP="005E5134">
      <w:pPr>
        <w:pStyle w:val="Titulek"/>
        <w:spacing w:after="0" w:line="276" w:lineRule="auto"/>
        <w:jc w:val="center"/>
        <w:rPr>
          <w:b w:val="0"/>
          <w:color w:val="auto"/>
          <w:sz w:val="22"/>
          <w:szCs w:val="22"/>
        </w:rPr>
      </w:pPr>
      <w:r w:rsidRPr="003B6D94">
        <w:rPr>
          <w:b w:val="0"/>
          <w:color w:val="auto"/>
          <w:sz w:val="22"/>
          <w:szCs w:val="22"/>
        </w:rPr>
        <w:t>Zdroj: vlastní zpracování dle údajů</w:t>
      </w:r>
    </w:p>
    <w:p w:rsidR="00AF399C" w:rsidRPr="005E47A8" w:rsidRDefault="00AF399C" w:rsidP="005E47A8">
      <w:pPr>
        <w:jc w:val="center"/>
        <w:rPr>
          <w:sz w:val="22"/>
        </w:rPr>
      </w:pPr>
      <w:r w:rsidRPr="003B6D94">
        <w:rPr>
          <w:sz w:val="22"/>
        </w:rPr>
        <w:t xml:space="preserve">ETP Landscape. </w:t>
      </w:r>
      <w:r w:rsidRPr="003B6D94">
        <w:rPr>
          <w:i/>
          <w:iCs/>
          <w:sz w:val="22"/>
        </w:rPr>
        <w:t>BlackRock</w:t>
      </w:r>
      <w:r w:rsidRPr="003B6D94">
        <w:rPr>
          <w:sz w:val="22"/>
        </w:rPr>
        <w:t xml:space="preserve"> [online]. 2014 [cit. 2014-03-15]. Dostupné z: http://www.blackrocklatam.com/content/groups/internationalsite/documents/literature/etfl_industryhilight_dec13.pdf</w:t>
      </w:r>
    </w:p>
    <w:p w:rsidR="00AF399C" w:rsidRDefault="00AF399C" w:rsidP="00AF399C">
      <w:pPr>
        <w:spacing w:after="240" w:line="360" w:lineRule="auto"/>
      </w:pPr>
      <w:r w:rsidRPr="004B7E5B">
        <w:t>Další</w:t>
      </w:r>
      <w:r>
        <w:t xml:space="preserve"> zajímavost při vývoji ETP</w:t>
      </w:r>
      <w:r w:rsidR="005E47A8">
        <w:t>s</w:t>
      </w:r>
      <w:r w:rsidRPr="004B7E5B">
        <w:t xml:space="preserve"> vyjadřuje graf č. 2, který srovná</w:t>
      </w:r>
      <w:r>
        <w:t>vá vývoj počtu obchodovaných ETP</w:t>
      </w:r>
      <w:r w:rsidR="005E47A8">
        <w:t>s</w:t>
      </w:r>
      <w:r w:rsidRPr="004B7E5B">
        <w:t xml:space="preserve"> na americkém trhu a v Evropě. </w:t>
      </w:r>
      <w:r>
        <w:t>Na počátku sledovaného období v roce 2000 je jasně patrná převaha ETP</w:t>
      </w:r>
      <w:r w:rsidR="005E47A8">
        <w:t>s</w:t>
      </w:r>
      <w:r>
        <w:t xml:space="preserve"> na americkém trhu, kde jich bylo v té době obchodované 95, zatímco na evropských trzích pouhých 6 </w:t>
      </w:r>
      <w:r>
        <w:rPr>
          <w:rStyle w:val="Znakapoznpodarou"/>
        </w:rPr>
        <w:footnoteReference w:id="24"/>
      </w:r>
      <w:r>
        <w:t>. Jak již bylo řečeno, obchodování ETP</w:t>
      </w:r>
      <w:r w:rsidR="005E47A8">
        <w:t>s</w:t>
      </w:r>
      <w:r>
        <w:t xml:space="preserve"> v Evropě započalo o 7 let později než na trzích v USA, vývoj zde byl rychlejší, v roce 2008 se počet burzovně obchodovaných fondů v USA a Evropě víceméně srovnal. Od této chvíle již počet evropských ETP</w:t>
      </w:r>
      <w:r w:rsidR="005E47A8">
        <w:t>s</w:t>
      </w:r>
      <w:r>
        <w:t xml:space="preserve"> překonával vývoj americký vývoj. </w:t>
      </w:r>
    </w:p>
    <w:p w:rsidR="00AF399C" w:rsidRDefault="00AF399C" w:rsidP="00AF399C">
      <w:pPr>
        <w:spacing w:after="240" w:line="360" w:lineRule="auto"/>
      </w:pPr>
      <w:r>
        <w:t>Co se týče dalších regionů světa, pak zde není vývoj až tak živý, ETP</w:t>
      </w:r>
      <w:r w:rsidR="005E47A8">
        <w:t>s</w:t>
      </w:r>
      <w:r>
        <w:t xml:space="preserve"> jsou sice obchodována v podstatě po celém světě, ale počet emitovaných ETP</w:t>
      </w:r>
      <w:r w:rsidR="005E47A8">
        <w:t>s</w:t>
      </w:r>
      <w:r>
        <w:t xml:space="preserve"> v porovnání s výše zmíněnými regiony zde není nikterak závratný. V Asii byl v roce 2001 počet ETP</w:t>
      </w:r>
      <w:r w:rsidR="005E47A8">
        <w:t>s</w:t>
      </w:r>
      <w:r>
        <w:t xml:space="preserve"> pouhých 10, jejich počet však nerostl ani zdaleka tak rychle, v roce 2008 se jejich počet vyšplhal na pouhých 52 a ke konci roku 2013 na 168. Kanadský trh v roce 2003 evidoval pouhá 3 ETP</w:t>
      </w:r>
      <w:r w:rsidR="005E47A8">
        <w:t>s</w:t>
      </w:r>
      <w:r>
        <w:t>, v roce 2008 byl počet ETP</w:t>
      </w:r>
      <w:r w:rsidR="005E47A8">
        <w:t>s</w:t>
      </w:r>
      <w:r>
        <w:t xml:space="preserve"> zde jen 16 ETP a ke konci roku 2013 se jejich počet vyšplhal na 60 kusů. Co </w:t>
      </w:r>
      <w:r>
        <w:lastRenderedPageBreak/>
        <w:t>se například Latinské Ameriky týče, tak zde se první ETP objevilo až v roce 2003 a na konci roku 2013 zde bylo obchodováno pouhých 38 ETP</w:t>
      </w:r>
      <w:r w:rsidR="005E47A8">
        <w:t>s</w:t>
      </w:r>
      <w:r>
        <w:t>.</w:t>
      </w:r>
      <w:r>
        <w:rPr>
          <w:rStyle w:val="Znakapoznpodarou"/>
        </w:rPr>
        <w:footnoteReference w:id="25"/>
      </w:r>
      <w:r>
        <w:t xml:space="preserve"> </w:t>
      </w:r>
    </w:p>
    <w:p w:rsidR="00AF399C" w:rsidRDefault="00AF399C" w:rsidP="00AF399C">
      <w:pPr>
        <w:spacing w:after="240" w:line="360" w:lineRule="auto"/>
      </w:pPr>
      <w:r>
        <w:t>Pro srovnání uvedu, že ve 3. čtvrtletí roku 2013 bylo celosvětově evidováno 75 274 fondů kolektivního investování, zatímco v roce 2008 byl tento počet pouze 68 574.</w:t>
      </w:r>
      <w:r>
        <w:rPr>
          <w:rStyle w:val="Znakapoznpodarou"/>
        </w:rPr>
        <w:footnoteReference w:id="26"/>
      </w:r>
      <w:r>
        <w:t xml:space="preserve"> I zde tedy vidíme stále rostoucí tendenci. Klasické fondy kolektivního investování mají dlouholetou tradici a méně zkušenější investoři se dle mého názoru stále přiklánějí právě k těmto již zaběhlým fondům. V roce 2009 počet fondů kolektivního investování klesl zhruba o 1 000, což bylo způsobeno dle mého názoru právě finanční krizí a krachem mnoha bankovních i nebankovních subjektů. Každopádně i nadále mají stále tyto fondy mnohem širší zastoupení, než ETF</w:t>
      </w:r>
      <w:r w:rsidR="005E47A8">
        <w:t>s</w:t>
      </w:r>
      <w:r>
        <w:t>.</w:t>
      </w:r>
    </w:p>
    <w:p w:rsidR="00AF399C" w:rsidRDefault="00AF399C" w:rsidP="00AF399C">
      <w:pPr>
        <w:spacing w:after="240" w:line="360" w:lineRule="auto"/>
      </w:pPr>
      <w:r>
        <w:t>Zajímavým srovnáním může být i zaměření fondů ETF oproti klasickým fondům kolektivního investování. Zaměření fondů ukazují názorně graf</w:t>
      </w:r>
      <w:r w:rsidR="005E47A8">
        <w:t xml:space="preserve"> č 3 a graf č. 4</w:t>
      </w:r>
      <w:r>
        <w:t xml:space="preserve">. </w:t>
      </w:r>
    </w:p>
    <w:p w:rsidR="005E5134" w:rsidRPr="005E5134" w:rsidRDefault="005E5134" w:rsidP="005E5134">
      <w:pPr>
        <w:pStyle w:val="Titulek"/>
        <w:spacing w:after="0" w:line="360" w:lineRule="auto"/>
        <w:jc w:val="center"/>
        <w:rPr>
          <w:color w:val="auto"/>
          <w:sz w:val="24"/>
          <w:szCs w:val="22"/>
        </w:rPr>
      </w:pPr>
      <w:bookmarkStart w:id="18" w:name="_Toc385970604"/>
      <w:r w:rsidRPr="005E5134">
        <w:rPr>
          <w:color w:val="auto"/>
          <w:sz w:val="24"/>
          <w:szCs w:val="22"/>
        </w:rPr>
        <w:t xml:space="preserve">Graf č. </w:t>
      </w:r>
      <w:r w:rsidR="008B79C7" w:rsidRPr="005E5134">
        <w:rPr>
          <w:color w:val="auto"/>
          <w:sz w:val="24"/>
          <w:szCs w:val="22"/>
        </w:rPr>
        <w:fldChar w:fldCharType="begin"/>
      </w:r>
      <w:r w:rsidRPr="005E5134">
        <w:rPr>
          <w:color w:val="auto"/>
          <w:sz w:val="24"/>
          <w:szCs w:val="22"/>
        </w:rPr>
        <w:instrText xml:space="preserve"> SEQ Graf_č. \* ARABIC </w:instrText>
      </w:r>
      <w:r w:rsidR="008B79C7" w:rsidRPr="005E5134">
        <w:rPr>
          <w:color w:val="auto"/>
          <w:sz w:val="24"/>
          <w:szCs w:val="22"/>
        </w:rPr>
        <w:fldChar w:fldCharType="separate"/>
      </w:r>
      <w:r w:rsidR="002E0A33">
        <w:rPr>
          <w:noProof/>
          <w:color w:val="auto"/>
          <w:sz w:val="24"/>
          <w:szCs w:val="22"/>
        </w:rPr>
        <w:t>3</w:t>
      </w:r>
      <w:r w:rsidR="008B79C7" w:rsidRPr="005E5134">
        <w:rPr>
          <w:color w:val="auto"/>
          <w:sz w:val="24"/>
          <w:szCs w:val="22"/>
        </w:rPr>
        <w:fldChar w:fldCharType="end"/>
      </w:r>
      <w:r w:rsidRPr="005E5134">
        <w:rPr>
          <w:color w:val="auto"/>
          <w:sz w:val="24"/>
          <w:szCs w:val="22"/>
        </w:rPr>
        <w:t>: Procento počtu fondů kolektivního investování dle zaměření fondu</w:t>
      </w:r>
      <w:bookmarkEnd w:id="18"/>
    </w:p>
    <w:p w:rsidR="00AF399C" w:rsidRDefault="00AF399C" w:rsidP="00AF399C">
      <w:pPr>
        <w:spacing w:after="240" w:line="360" w:lineRule="auto"/>
      </w:pPr>
      <w:r>
        <w:rPr>
          <w:noProof/>
          <w:lang w:eastAsia="cs-CZ"/>
        </w:rPr>
        <w:drawing>
          <wp:inline distT="0" distB="0" distL="0" distR="0">
            <wp:extent cx="5677786" cy="1881963"/>
            <wp:effectExtent l="0" t="0" r="0" b="0"/>
            <wp:docPr id="12"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399C" w:rsidRPr="00673138" w:rsidRDefault="00AF399C" w:rsidP="005E5134">
      <w:pPr>
        <w:spacing w:after="240"/>
        <w:jc w:val="center"/>
        <w:rPr>
          <w:sz w:val="22"/>
        </w:rPr>
      </w:pPr>
      <w:r w:rsidRPr="00673138">
        <w:rPr>
          <w:sz w:val="22"/>
        </w:rPr>
        <w:t xml:space="preserve">Zdroj: Worldwide Mutual Fund Assets and Flows. </w:t>
      </w:r>
      <w:r w:rsidRPr="00673138">
        <w:rPr>
          <w:i/>
          <w:iCs/>
          <w:sz w:val="22"/>
        </w:rPr>
        <w:t>Investment Company Institute</w:t>
      </w:r>
      <w:r w:rsidRPr="00673138">
        <w:rPr>
          <w:sz w:val="22"/>
        </w:rPr>
        <w:t xml:space="preserve"> [online]. 2013 [cit. 2014-03-20]. Dostupné z: http://www.ici.org/research/stats/worldwide/ww_09_13</w:t>
      </w:r>
    </w:p>
    <w:p w:rsidR="00AF399C" w:rsidRDefault="00AF399C" w:rsidP="00AF399C">
      <w:pPr>
        <w:spacing w:after="240" w:line="360" w:lineRule="auto"/>
      </w:pPr>
      <w:r>
        <w:t xml:space="preserve">37 % klasických fondů kolektivního investování je zamřeno na investice do akcií, 18 % fondů investuje do dluhopisů, takřka čtvrtina je smíšená, investuje tedy jak do akcií, tak do dluhopisů. </w:t>
      </w:r>
    </w:p>
    <w:p w:rsidR="00AF399C" w:rsidRPr="00A4259E" w:rsidRDefault="00AF399C" w:rsidP="00AF399C">
      <w:pPr>
        <w:spacing w:line="360" w:lineRule="auto"/>
      </w:pPr>
      <w:r>
        <w:lastRenderedPageBreak/>
        <w:t>V případě ETF je rozdělení zaměření odlišné. Více než polovina ETF je zaměřena na akcie, na druhém místě se s 18 % umístilo komoditní zaměření fondů, tedy investice do energetiky, cenných kovů atd. Až na třetím místě stojí dluhopisy se 14 %.</w:t>
      </w:r>
    </w:p>
    <w:p w:rsidR="005E5134" w:rsidRPr="005E5134" w:rsidRDefault="005E5134" w:rsidP="005E5134">
      <w:pPr>
        <w:pStyle w:val="Titulek"/>
        <w:spacing w:line="360" w:lineRule="auto"/>
        <w:jc w:val="center"/>
        <w:rPr>
          <w:color w:val="auto"/>
          <w:sz w:val="24"/>
        </w:rPr>
      </w:pPr>
      <w:bookmarkStart w:id="19" w:name="_Toc385970605"/>
      <w:r w:rsidRPr="005E5134">
        <w:rPr>
          <w:color w:val="auto"/>
          <w:sz w:val="24"/>
        </w:rPr>
        <w:t xml:space="preserve">Graf č. </w:t>
      </w:r>
      <w:r w:rsidR="008B79C7" w:rsidRPr="005E5134">
        <w:rPr>
          <w:color w:val="auto"/>
          <w:sz w:val="24"/>
        </w:rPr>
        <w:fldChar w:fldCharType="begin"/>
      </w:r>
      <w:r w:rsidRPr="005E5134">
        <w:rPr>
          <w:color w:val="auto"/>
          <w:sz w:val="24"/>
        </w:rPr>
        <w:instrText xml:space="preserve"> SEQ Graf_č. \* ARABIC </w:instrText>
      </w:r>
      <w:r w:rsidR="008B79C7" w:rsidRPr="005E5134">
        <w:rPr>
          <w:color w:val="auto"/>
          <w:sz w:val="24"/>
        </w:rPr>
        <w:fldChar w:fldCharType="separate"/>
      </w:r>
      <w:r w:rsidR="002E0A33">
        <w:rPr>
          <w:noProof/>
          <w:color w:val="auto"/>
          <w:sz w:val="24"/>
        </w:rPr>
        <w:t>4</w:t>
      </w:r>
      <w:r w:rsidR="008B79C7" w:rsidRPr="005E5134">
        <w:rPr>
          <w:color w:val="auto"/>
          <w:sz w:val="24"/>
        </w:rPr>
        <w:fldChar w:fldCharType="end"/>
      </w:r>
      <w:r w:rsidRPr="005E5134">
        <w:rPr>
          <w:color w:val="auto"/>
          <w:sz w:val="24"/>
        </w:rPr>
        <w:t>: Procento počtu ETF dle zaměření fondu</w:t>
      </w:r>
      <w:bookmarkEnd w:id="19"/>
    </w:p>
    <w:p w:rsidR="00AF399C" w:rsidRPr="009E5902" w:rsidRDefault="00AF399C" w:rsidP="00AF399C">
      <w:pPr>
        <w:spacing w:line="360" w:lineRule="auto"/>
      </w:pPr>
    </w:p>
    <w:p w:rsidR="00AF399C" w:rsidRDefault="00AF399C" w:rsidP="00AF399C">
      <w:pPr>
        <w:spacing w:line="360" w:lineRule="auto"/>
      </w:pPr>
      <w:r>
        <w:rPr>
          <w:noProof/>
          <w:lang w:eastAsia="cs-CZ"/>
        </w:rPr>
        <w:drawing>
          <wp:inline distT="0" distB="0" distL="0" distR="0">
            <wp:extent cx="5677200" cy="1879423"/>
            <wp:effectExtent l="0" t="0" r="0" b="0"/>
            <wp:docPr id="14"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F399C" w:rsidRPr="00470790" w:rsidRDefault="00AF399C" w:rsidP="005E5134">
      <w:pPr>
        <w:spacing w:after="240"/>
        <w:jc w:val="center"/>
        <w:rPr>
          <w:sz w:val="22"/>
        </w:rPr>
      </w:pPr>
      <w:r w:rsidRPr="00470790">
        <w:rPr>
          <w:sz w:val="22"/>
        </w:rPr>
        <w:t xml:space="preserve">Zdroj: vlastní zpracování na základě údajů: ETP Landscape. </w:t>
      </w:r>
      <w:r w:rsidRPr="00470790">
        <w:rPr>
          <w:i/>
          <w:iCs/>
          <w:sz w:val="22"/>
        </w:rPr>
        <w:t>BlackRock</w:t>
      </w:r>
      <w:r w:rsidRPr="00470790">
        <w:rPr>
          <w:sz w:val="22"/>
        </w:rPr>
        <w:t xml:space="preserve"> [online]. 2014 [cit. 2014-03-15]. Dostupné z: http://www.blackrocklatam.com/content/groups/internationalsite/documents/literature/etfl_industryhilight_dec13.pdf</w:t>
      </w:r>
    </w:p>
    <w:p w:rsidR="00AF399C" w:rsidRPr="00C43E54" w:rsidRDefault="00AF399C" w:rsidP="00AF399C">
      <w:pPr>
        <w:spacing w:after="240" w:line="360" w:lineRule="auto"/>
      </w:pPr>
      <w:r>
        <w:t>Při pohledu na oba grafy tedy lze říci, že ETF</w:t>
      </w:r>
      <w:r w:rsidR="005E47A8">
        <w:t>s</w:t>
      </w:r>
      <w:r>
        <w:t xml:space="preserve"> se mnohem více zaměřují na akcie</w:t>
      </w:r>
      <w:r>
        <w:rPr>
          <w:rStyle w:val="Znakapoznpodarou"/>
        </w:rPr>
        <w:footnoteReference w:id="27"/>
      </w:r>
      <w:r>
        <w:t xml:space="preserve"> a na komodity, kterým v případě klasických fondů kolektivního investování není kladen žádný zvláštní důraz. Zhruba stejné procentní zastoupení mají v obou typech dluhopisy, které představují variantu pro konzervativnější investory s averzí vůči riziku. </w:t>
      </w:r>
    </w:p>
    <w:p w:rsidR="00AF399C" w:rsidRPr="003A11D2" w:rsidRDefault="00AF399C" w:rsidP="00371136">
      <w:pPr>
        <w:pStyle w:val="Nadpis3"/>
        <w:rPr>
          <w:sz w:val="20"/>
        </w:rPr>
      </w:pPr>
      <w:r>
        <w:t xml:space="preserve"> </w:t>
      </w:r>
      <w:bookmarkStart w:id="20" w:name="_Toc386145985"/>
      <w:r>
        <w:t>Právní vymezení ETF</w:t>
      </w:r>
      <w:bookmarkEnd w:id="20"/>
    </w:p>
    <w:p w:rsidR="00AF399C" w:rsidRDefault="00AF399C" w:rsidP="00AF399C">
      <w:pPr>
        <w:spacing w:after="240" w:line="360" w:lineRule="auto"/>
      </w:pPr>
      <w:r>
        <w:t>Hned v úvodu mohu říci, že pr</w:t>
      </w:r>
      <w:r w:rsidR="005E47A8">
        <w:t>ávní vymezení Exchange Traded F</w:t>
      </w:r>
      <w:r>
        <w:t>unds není nikde přesně určeno. V žádném zákoně nejsou uvedena ETF</w:t>
      </w:r>
      <w:r w:rsidR="005E47A8">
        <w:t>s</w:t>
      </w:r>
      <w:r>
        <w:t xml:space="preserve"> jako samostatná forma investice, je potřeba tedy určit, pod kterou investiční formu vůbec tyto produkty patří. </w:t>
      </w:r>
    </w:p>
    <w:p w:rsidR="00AF399C" w:rsidRDefault="00AF399C" w:rsidP="00AF399C">
      <w:pPr>
        <w:spacing w:after="240" w:line="360" w:lineRule="auto"/>
      </w:pPr>
      <w:r>
        <w:t>Jelikož kolébkou ETF</w:t>
      </w:r>
      <w:r w:rsidR="005E47A8">
        <w:t>s</w:t>
      </w:r>
      <w:r>
        <w:t xml:space="preserve"> </w:t>
      </w:r>
      <w:r w:rsidR="005E47A8">
        <w:t>jsou</w:t>
      </w:r>
      <w:r>
        <w:t xml:space="preserve"> USA, považuji za vhodné na tomto místě krátce představit, jakým způsobem jsou zde tyto produkty regulovány. ETF jsou regulovány množstvím divizí Securities and Exchange Commision (SEC), jako například divize Investment Management, která reguluje veškeré fondy nebo Trading and Market divize, která se zabývá samotnými obchody. Základním dokumentem upravujícím fondy kolektivního investování je The Investment Company Act z roku 1940, který je také výchozím dokumentem pro úpravu ETF</w:t>
      </w:r>
      <w:r w:rsidR="005E47A8">
        <w:t>s</w:t>
      </w:r>
      <w:r>
        <w:t xml:space="preserve">. </w:t>
      </w:r>
      <w:r>
        <w:lastRenderedPageBreak/>
        <w:t>Jak již bylo řečeno, jedná se o základní regulatorní rámec z roku 1940, kdy ještě ETF</w:t>
      </w:r>
      <w:r w:rsidR="005E47A8">
        <w:t>s</w:t>
      </w:r>
      <w:r>
        <w:t xml:space="preserve"> neexistovala ve své pravé podobě. </w:t>
      </w:r>
      <w:r w:rsidR="005E47A8">
        <w:t>Jde</w:t>
      </w:r>
      <w:r>
        <w:t xml:space="preserve"> tedy o specifickou formu, proto byla stanovena řada výjimek, které tento regulatorní rámec přizpůsobují podstatě ETFs. Tyto výjimky či úlevy se týkají zejména emitentů ETF, umožňují prodávat emise ve velkých objemech (viz. </w:t>
      </w:r>
      <w:proofErr w:type="gramStart"/>
      <w:r>
        <w:t>kap.</w:t>
      </w:r>
      <w:proofErr w:type="gramEnd"/>
      <w:r>
        <w:t xml:space="preserve"> 1.3.3.1. Proces vzniku a konstrukce ETF) nebo například řeší úlevy pro jiné investiční společnosti</w:t>
      </w:r>
      <w:r w:rsidR="005E47A8">
        <w:t>,</w:t>
      </w:r>
      <w:r>
        <w:t xml:space="preserve"> a sice takové, aby bylo možné nakoupit podíly fondu přesahující rámec stanov fondu. Vzhledem k rapidnímu růstu počtu a typů ETF</w:t>
      </w:r>
      <w:r w:rsidR="005E47A8">
        <w:t>s</w:t>
      </w:r>
      <w:r>
        <w:t xml:space="preserve"> se neustále rozšiřuje rozsah úlev pro emitenty ETF</w:t>
      </w:r>
      <w:r w:rsidR="005E47A8">
        <w:t>s</w:t>
      </w:r>
      <w:r>
        <w:t>.</w:t>
      </w:r>
      <w:r w:rsidRPr="001A169C">
        <w:rPr>
          <w:rStyle w:val="Znakapoznpodarou"/>
        </w:rPr>
        <w:t xml:space="preserve"> </w:t>
      </w:r>
      <w:r>
        <w:rPr>
          <w:rStyle w:val="Znakapoznpodarou"/>
        </w:rPr>
        <w:footnoteReference w:id="28"/>
      </w:r>
    </w:p>
    <w:p w:rsidR="00AF399C" w:rsidRDefault="00AF399C" w:rsidP="00AF399C">
      <w:pPr>
        <w:spacing w:after="240" w:line="360" w:lineRule="auto"/>
      </w:pPr>
      <w:r>
        <w:t>Ani v české či evropské právní úpravě není jasně vytyčena podstata ETF</w:t>
      </w:r>
      <w:r w:rsidR="005E47A8">
        <w:t>s</w:t>
      </w:r>
      <w:r>
        <w:t xml:space="preserve"> jako samostatného typu fondu či investičního nástroje. Celou věc objasňuje vyjádření České národní banky, přičemž je potřeba rozlišovat typ ETF</w:t>
      </w:r>
      <w:r w:rsidR="005E47A8">
        <w:t>s</w:t>
      </w:r>
      <w:r>
        <w:rPr>
          <w:rStyle w:val="Znakapoznpodarou"/>
        </w:rPr>
        <w:footnoteReference w:id="29"/>
      </w:r>
      <w:r>
        <w:t>:</w:t>
      </w:r>
    </w:p>
    <w:p w:rsidR="00AF399C" w:rsidRDefault="00AF399C" w:rsidP="00AF399C">
      <w:pPr>
        <w:spacing w:after="240" w:line="360" w:lineRule="auto"/>
        <w:rPr>
          <w:i/>
        </w:rPr>
      </w:pPr>
      <w:r w:rsidRPr="00E333DE">
        <w:rPr>
          <w:i/>
        </w:rPr>
        <w:t xml:space="preserve">Z pohledu směrnice 85/611/EHS (dále jen „UCITS“) lze ETF charakterizovat jako subjekt kolektivního investování do převoditelných cenných papírů, který je obvykle založen jako otevřený podílový </w:t>
      </w:r>
      <w:proofErr w:type="gramStart"/>
      <w:r w:rsidRPr="00E333DE">
        <w:rPr>
          <w:i/>
        </w:rPr>
        <w:t>fond.1 Výbor</w:t>
      </w:r>
      <w:proofErr w:type="gramEnd"/>
      <w:r w:rsidRPr="00E333DE">
        <w:rPr>
          <w:i/>
        </w:rPr>
        <w:t xml:space="preserve"> evropských orgánů dohledu nad kapitálovým trhem (CESR) ve svém materiálu „MiFID – complex and non-complex financial instruments for the purposes of the Directive´s appropriateness requirements“ z 3.11. 2009 řadí ETF mezi fondy kolektivního investování, a pokud jsou založeny podle směrnice UCITS, pak cenné papíry jimi vydané posuzuje jako tzv. jednoduché (non-complex) nástroje podle čl. 19 odst. 6 směrnice 2004/39/ES (MiFID).</w:t>
      </w:r>
    </w:p>
    <w:p w:rsidR="00AF399C" w:rsidRPr="00E333DE" w:rsidRDefault="00AF399C" w:rsidP="00AF399C">
      <w:pPr>
        <w:spacing w:after="240" w:line="360" w:lineRule="auto"/>
        <w:rPr>
          <w:i/>
        </w:rPr>
      </w:pPr>
      <w:r w:rsidRPr="00E333DE">
        <w:rPr>
          <w:i/>
        </w:rPr>
        <w:t>ETF lze charakterizovat jako fond, který drží majetek skládající se z různých aktiv, a který vydává cenné papíry, jež jsou obchodovány na burze. Obvyklým pojmovým znakem ETF je, že cenný papír vydaný ETF představuje určitý podíl na majetku ETF a v případě likvidace připadne každému držiteli cenného papíru</w:t>
      </w:r>
      <w:r>
        <w:rPr>
          <w:i/>
        </w:rPr>
        <w:t xml:space="preserve"> příslušný podíl z majetku ETF.</w:t>
      </w:r>
    </w:p>
    <w:p w:rsidR="00AF399C" w:rsidRPr="00E333DE" w:rsidRDefault="00AF399C" w:rsidP="00AF399C">
      <w:pPr>
        <w:spacing w:after="240" w:line="360" w:lineRule="auto"/>
        <w:rPr>
          <w:i/>
        </w:rPr>
      </w:pPr>
      <w:r w:rsidRPr="00E333DE">
        <w:rPr>
          <w:i/>
        </w:rPr>
        <w:t xml:space="preserve">Z pohledu českého práva ETF shora uvedenou charakteristikou naplňují znaky definice podílového fondu podle § 6 odst. 2 zákona č. 189/2004 Sb., o kolektivním investování – soubor majetku, který náleží všem vlastníkům podílových listů podílového fondu v poměru podle vlastněných podílových listů. Z hlediska kategorizace investičních nástrojů podle § 3 odst. 1 ZPKT lze cenné papíry vydané ETF podřadit pod cenné papíry kolektivního </w:t>
      </w:r>
      <w:r w:rsidRPr="00E333DE">
        <w:rPr>
          <w:i/>
        </w:rPr>
        <w:lastRenderedPageBreak/>
        <w:t>investování, a pokud jsou založeny podle směrnice UCITS, pak je lze považovat podle § 15k odst. 2 ZPKT za jednoduché investiční nástroje.</w:t>
      </w:r>
    </w:p>
    <w:p w:rsidR="00AF399C" w:rsidRDefault="00AF399C" w:rsidP="00AF399C">
      <w:pPr>
        <w:spacing w:after="240" w:line="360" w:lineRule="auto"/>
        <w:rPr>
          <w:b/>
          <w:sz w:val="20"/>
        </w:rPr>
      </w:pPr>
      <w:r w:rsidRPr="00E333DE">
        <w:rPr>
          <w:i/>
        </w:rPr>
        <w:t>Cenné papíry vydané ostatními ETF, nezaloženými podle směrnice UCITS, včetně pákových ETF a inverzních ETF, je nutné považovat za komplexní investiční nástroje, a obchodník s cennými papíry při poskytování hlavní investiční služby uvedené § 4 odst. 2 písm. a) nebo b) ZPKT je povinen provádět tzv. test přiměřenosti podle § 15i odst. 1 a násl. ZPKT.</w:t>
      </w:r>
    </w:p>
    <w:p w:rsidR="00AF399C" w:rsidRDefault="00AF399C" w:rsidP="00371136">
      <w:pPr>
        <w:pStyle w:val="Nadpis3"/>
      </w:pPr>
      <w:r>
        <w:t xml:space="preserve"> </w:t>
      </w:r>
      <w:bookmarkStart w:id="21" w:name="_Toc386145986"/>
      <w:r>
        <w:t>ETF jako forma investice</w:t>
      </w:r>
      <w:bookmarkEnd w:id="21"/>
    </w:p>
    <w:p w:rsidR="00AF399C" w:rsidRPr="003941C0" w:rsidRDefault="00AF399C" w:rsidP="00AF399C">
      <w:pPr>
        <w:spacing w:after="240" w:line="360" w:lineRule="auto"/>
      </w:pPr>
      <w:r>
        <w:t xml:space="preserve">Obchodování ETF probíhá v zásadě na stejném principu jako jakýchkoli jiných burzovně obchodovaných cenných papírů, proces vzniku je ale poněkud odlišný. </w:t>
      </w:r>
    </w:p>
    <w:p w:rsidR="00AF399C" w:rsidRDefault="00AF399C" w:rsidP="00371136">
      <w:pPr>
        <w:pStyle w:val="Nadpis3"/>
        <w:numPr>
          <w:ilvl w:val="3"/>
          <w:numId w:val="11"/>
        </w:numPr>
      </w:pPr>
      <w:bookmarkStart w:id="22" w:name="_Toc386145987"/>
      <w:r>
        <w:t>Proces vzniku a konstrukce ETF</w:t>
      </w:r>
      <w:bookmarkEnd w:id="22"/>
    </w:p>
    <w:p w:rsidR="00AF399C" w:rsidRDefault="00AF399C" w:rsidP="00AF399C">
      <w:pPr>
        <w:spacing w:after="240" w:line="360" w:lineRule="auto"/>
      </w:pPr>
      <w:r>
        <w:t>Proces vzniku ETF je obrácený oproti postupu vzniku ostatních fondů kolektivního investován</w:t>
      </w:r>
      <w:r w:rsidR="005E47A8">
        <w:t>í</w:t>
      </w:r>
      <w:r>
        <w:t>, ty jsou závislé na peněžních vkladech i</w:t>
      </w:r>
      <w:r w:rsidR="005E47A8">
        <w:t>nvestorů. Oproti tomu Exchange T</w:t>
      </w:r>
      <w:r>
        <w:t>r</w:t>
      </w:r>
      <w:r w:rsidR="005E47A8">
        <w:t>aded F</w:t>
      </w:r>
      <w:r>
        <w:t>unds nejdříve vzniknou a až poté jsou jejich podíly nabízeny široké veřejnosti, z toho je tedy patrné, že na jejich vzniku se podílejí licencované finanční instituce.</w:t>
      </w:r>
      <w:r>
        <w:rPr>
          <w:rStyle w:val="Znakapoznpodarou"/>
        </w:rPr>
        <w:footnoteReference w:id="30"/>
      </w:r>
      <w:r>
        <w:t xml:space="preserve"> Celý proces (tzv. creation process) probíhá v několika fázích.</w:t>
      </w:r>
    </w:p>
    <w:p w:rsidR="00AF399C" w:rsidRDefault="00AF399C" w:rsidP="00AF399C">
      <w:pPr>
        <w:spacing w:after="240" w:line="360" w:lineRule="auto"/>
      </w:pPr>
      <w:r>
        <w:t>Investiční společnost či investiční banka (budoucí manager fondu) vytvoří nejdříve prospekt, ve kterém jsou obsaženy zákonem stanovené informační povinnosti, tato instituce je nazývána sponzor. Prospekt podléhá poté schválení regulatorního orgánu. Mezi informace obsažené v prospektu patří například záměr fondu, složení aktiv, označení burzy, kde budou ETF</w:t>
      </w:r>
      <w:r w:rsidR="00301F42">
        <w:t>s</w:t>
      </w:r>
      <w:r>
        <w:t xml:space="preserve"> obchodována, způsoby nakládání s výnosy apod. </w:t>
      </w:r>
      <w:r>
        <w:rPr>
          <w:rStyle w:val="Znakapoznpodarou"/>
        </w:rPr>
        <w:footnoteReference w:id="31"/>
      </w:r>
    </w:p>
    <w:p w:rsidR="00AF399C" w:rsidRDefault="00AF399C" w:rsidP="00AF399C">
      <w:pPr>
        <w:spacing w:after="240" w:line="360" w:lineRule="auto"/>
      </w:pPr>
      <w:r>
        <w:t xml:space="preserve">Jakmile získá manager fondu povolení, přichází na řadu tzv. autorizační účastníci (authorized participant - AP), což jsou institucionální investoři s povolením vykonávat činnost obchodníků s cennými papíry. Sponzor sdělí AP složení portfolia ETF a AP se poté podílí na jeho samotné formě. AP nakoupí a dodá investiční nástroje dle předmětného složení portfolia daného fondu a smění je s emitentem ETF za tzv. creations unit. Pod tímto pojmem si lze představit tisíce kusů cenných papírů (akcií či podílových listů) ETF, které emitent ETF dodá. </w:t>
      </w:r>
      <w:r w:rsidR="00301F42">
        <w:t xml:space="preserve">Až doposud probíhal celý proces na primárním trhu. </w:t>
      </w:r>
      <w:r>
        <w:t>AP poté nabízí část těchto cenných papírů drobným investorům na veřejných burzách,</w:t>
      </w:r>
      <w:r w:rsidR="00301F42">
        <w:t xml:space="preserve"> obchodování se tedy přesouvá na </w:t>
      </w:r>
      <w:r w:rsidR="00301F42">
        <w:lastRenderedPageBreak/>
        <w:t xml:space="preserve">sekundární trh. </w:t>
      </w:r>
      <w:r>
        <w:t xml:space="preserve"> </w:t>
      </w:r>
      <w:r w:rsidR="00301F42">
        <w:t>Velkou</w:t>
      </w:r>
      <w:r>
        <w:t xml:space="preserve"> část </w:t>
      </w:r>
      <w:r w:rsidR="00301F42">
        <w:t xml:space="preserve">jednotek </w:t>
      </w:r>
      <w:r>
        <w:t>si však ponechává pro případné vlastní arbitrážní obchody.</w:t>
      </w:r>
      <w:r>
        <w:rPr>
          <w:rStyle w:val="Znakapoznpodarou"/>
        </w:rPr>
        <w:footnoteReference w:id="32"/>
      </w:r>
      <w:r>
        <w:t xml:space="preserve"> </w:t>
      </w:r>
      <w:r w:rsidR="00301F42">
        <w:t>Prosec vzniku ETFs</w:t>
      </w:r>
      <w:r>
        <w:t xml:space="preserve"> je zjednodušeně znázorněn na obr. č. 1.</w:t>
      </w:r>
    </w:p>
    <w:p w:rsidR="00AF399C" w:rsidRDefault="00AF399C" w:rsidP="00AF399C">
      <w:pPr>
        <w:spacing w:after="240" w:line="360" w:lineRule="auto"/>
      </w:pPr>
      <w:r>
        <w:t>Cena ETF je tvořena na burze prostřednictvím nabídky a poptávky po tomto instrumentu. Tato cena ale nemusí vždy korespondovat s aktuální hodnotou majetku, který připadá na jednu akcii ETF. V případě, že cena na burze klesne výrazně, pak AP začne kupovat tyto cenné papíry. Prvním následkem tohoto zásahu bude, že se opět cena dostane na přibližnou úroveň hodnoty majetku připadající na jednotku ETF. Druhým krokem pak je, že tyto nakoupené ETF prodá zpět emitentovi a AP obdrží aktuální hodnotu připadající na jednotku, čímž AP realizuje zisk. Princip tohoto je sice logický, ale v reálném světě se používá zřídkakdy a to z toho důvodu, že dnešní trhy jsou již vysoce efektivní a prostor pro arbitrážní obchody zde je mizivý, dále s arbitrážními operacemi jsou spojeny vysoké poplatky, které by snižovaly profit. AP vystupují zároveň v roli market makera, hlavní profit jim plyne z rozdílu mezi nabídkovou a poptávkovou cenou.</w:t>
      </w:r>
      <w:r>
        <w:rPr>
          <w:rStyle w:val="Znakapoznpodarou"/>
        </w:rPr>
        <w:footnoteReference w:id="33"/>
      </w:r>
      <w:r>
        <w:t xml:space="preserve"> </w:t>
      </w:r>
    </w:p>
    <w:p w:rsidR="005E5134" w:rsidRPr="005E5134" w:rsidRDefault="005E5134" w:rsidP="005E5134">
      <w:pPr>
        <w:pStyle w:val="Titulek"/>
        <w:spacing w:line="360" w:lineRule="auto"/>
        <w:jc w:val="center"/>
        <w:rPr>
          <w:color w:val="auto"/>
          <w:sz w:val="24"/>
          <w:szCs w:val="22"/>
        </w:rPr>
      </w:pPr>
      <w:bookmarkStart w:id="23" w:name="_Toc385970147"/>
      <w:bookmarkStart w:id="24" w:name="_Toc385970290"/>
      <w:r w:rsidRPr="005E5134">
        <w:rPr>
          <w:color w:val="auto"/>
          <w:sz w:val="24"/>
          <w:szCs w:val="22"/>
        </w:rPr>
        <w:t xml:space="preserve">Obr. č. </w:t>
      </w:r>
      <w:r w:rsidR="008B79C7" w:rsidRPr="005E5134">
        <w:rPr>
          <w:color w:val="auto"/>
          <w:sz w:val="24"/>
          <w:szCs w:val="22"/>
        </w:rPr>
        <w:fldChar w:fldCharType="begin"/>
      </w:r>
      <w:r w:rsidRPr="005E5134">
        <w:rPr>
          <w:color w:val="auto"/>
          <w:sz w:val="24"/>
          <w:szCs w:val="22"/>
        </w:rPr>
        <w:instrText xml:space="preserve"> SEQ Obr._č. \* ARABIC </w:instrText>
      </w:r>
      <w:r w:rsidR="008B79C7" w:rsidRPr="005E5134">
        <w:rPr>
          <w:color w:val="auto"/>
          <w:sz w:val="24"/>
          <w:szCs w:val="22"/>
        </w:rPr>
        <w:fldChar w:fldCharType="separate"/>
      </w:r>
      <w:r w:rsidRPr="005E5134">
        <w:rPr>
          <w:noProof/>
          <w:color w:val="auto"/>
          <w:sz w:val="24"/>
          <w:szCs w:val="22"/>
        </w:rPr>
        <w:t>1</w:t>
      </w:r>
      <w:r w:rsidR="008B79C7" w:rsidRPr="005E5134">
        <w:rPr>
          <w:color w:val="auto"/>
          <w:sz w:val="24"/>
          <w:szCs w:val="22"/>
        </w:rPr>
        <w:fldChar w:fldCharType="end"/>
      </w:r>
      <w:r w:rsidRPr="005E5134">
        <w:rPr>
          <w:color w:val="auto"/>
          <w:sz w:val="24"/>
          <w:szCs w:val="22"/>
        </w:rPr>
        <w:t>:  Proces vzniku ETF</w:t>
      </w:r>
      <w:bookmarkEnd w:id="23"/>
      <w:bookmarkEnd w:id="24"/>
    </w:p>
    <w:p w:rsidR="00AF399C" w:rsidRDefault="008B79C7" w:rsidP="00460B97">
      <w:pPr>
        <w:spacing w:after="240" w:line="360" w:lineRule="auto"/>
      </w:pPr>
      <w:r>
        <w:rPr>
          <w:noProof/>
          <w:lang w:eastAsia="cs-CZ"/>
        </w:rPr>
      </w:r>
      <w:r>
        <w:rPr>
          <w:noProof/>
          <w:lang w:eastAsia="cs-CZ"/>
        </w:rPr>
        <w:pict>
          <v:group id="_x0000_s1027" editas="canvas" style="width:476.5pt;height:134.1pt;mso-position-horizontal-relative:char;mso-position-vertical-relative:line" coordsize="60515,17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515;height:17030;visibility:visible">
              <v:fill o:detectmouseclick="t"/>
              <v:path o:connecttype="none"/>
            </v:shape>
            <v:shapetype id="_x0000_t202" coordsize="21600,21600" o:spt="202" path="m,l,21600r21600,l21600,xe">
              <v:stroke joinstyle="miter"/>
              <v:path gradientshapeok="t" o:connecttype="rect"/>
            </v:shapetype>
            <v:shape id="Text Box 17" o:spid="_x0000_s1029" type="#_x0000_t202" style="position:absolute;left:1632;top:6254;width:9144;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style="mso-next-textbox:#Text Box 17">
                <w:txbxContent>
                  <w:p w:rsidR="0069115C" w:rsidRPr="00F34A5A" w:rsidRDefault="0069115C" w:rsidP="00AF399C">
                    <w:pPr>
                      <w:spacing w:before="240"/>
                      <w:jc w:val="center"/>
                    </w:pPr>
                    <w:r>
                      <w:t>Emitent ETF</w:t>
                    </w:r>
                  </w:p>
                </w:txbxContent>
              </v:textbox>
            </v:shape>
            <v:shape id="Text Box 18" o:spid="_x0000_s1030" type="#_x0000_t202" style="position:absolute;left:51359;top:6254;width:9156;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style="mso-next-textbox:#Text Box 18">
                <w:txbxContent>
                  <w:p w:rsidR="0069115C" w:rsidRDefault="0069115C" w:rsidP="00AF399C">
                    <w:pPr>
                      <w:spacing w:before="240"/>
                      <w:jc w:val="center"/>
                    </w:pPr>
                    <w:r>
                      <w:t>Investoři</w:t>
                    </w:r>
                  </w:p>
                </w:txbxContent>
              </v:textbox>
            </v:shape>
            <v:shapetype id="_x0000_t32" coordsize="21600,21600" o:spt="32" o:oned="t" path="m,l21600,21600e" filled="f">
              <v:path arrowok="t" fillok="f" o:connecttype="none"/>
              <o:lock v:ext="edit" shapetype="t"/>
            </v:shapetype>
            <v:shape id="AutoShape 19" o:spid="_x0000_s1031" type="#_x0000_t32" style="position:absolute;left:40214;top:14554;width:8186;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Text Box 20" o:spid="_x0000_s1032" type="#_x0000_t202" style="position:absolute;left:14573;top:10020;width:10484;height:3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a8sIA&#10;AADbAAAADwAAAGRycy9kb3ducmV2LnhtbESP3YrCMBSE7xd8h3AEbxZN/au7XaOooHjrzwMcm2Nb&#10;tjkpTbT17Y0geDnMzDfMfNmaUtypdoVlBcNBBII4tbrgTMH5tO3/gHAeWWNpmRQ8yMFy0fmaY6Jt&#10;wwe6H30mAoRdggpy76tESpfmZNANbEUcvKutDfog60zqGpsAN6UcRVEsDRYcFnKsaJNT+n+8GQXX&#10;ffM9/W0uO3+eHSbxGovZxT6U6nXb1R8IT63/hN/tvVYwju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ZrywgAAANsAAAAPAAAAAAAAAAAAAAAAAJgCAABkcnMvZG93&#10;bnJldi54bWxQSwUGAAAAAAQABAD1AAAAhwMAAAAA&#10;" stroked="f">
              <v:textbox style="mso-next-textbox:#Text Box 20">
                <w:txbxContent>
                  <w:p w:rsidR="0069115C" w:rsidRPr="00405021" w:rsidRDefault="0069115C" w:rsidP="00AF399C">
                    <w:pPr>
                      <w:spacing w:line="240" w:lineRule="auto"/>
                      <w:rPr>
                        <w:sz w:val="20"/>
                      </w:rPr>
                    </w:pPr>
                    <w:r w:rsidRPr="00405021">
                      <w:rPr>
                        <w:sz w:val="20"/>
                      </w:rPr>
                      <w:t>creation units</w:t>
                    </w:r>
                  </w:p>
                  <w:p w:rsidR="0069115C" w:rsidRPr="00405021" w:rsidRDefault="0069115C" w:rsidP="00AF399C"/>
                </w:txbxContent>
              </v:textbox>
            </v:shape>
            <v:shape id="AutoShape 21" o:spid="_x0000_s1033" type="#_x0000_t32" style="position:absolute;left:14573;top:14560;width:8179;height: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Text Box 22" o:spid="_x0000_s1034" type="#_x0000_t202" style="position:absolute;left:26803;top:6254;width:9151;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style="mso-next-textbox:#Text Box 22">
                <w:txbxContent>
                  <w:p w:rsidR="0069115C" w:rsidRDefault="0069115C" w:rsidP="00AF399C">
                    <w:pPr>
                      <w:spacing w:before="240"/>
                      <w:jc w:val="center"/>
                    </w:pPr>
                    <w:r>
                      <w:t>Authorized Participant</w:t>
                    </w:r>
                  </w:p>
                  <w:p w:rsidR="0069115C" w:rsidRDefault="0069115C" w:rsidP="00AF399C">
                    <w:pPr>
                      <w:spacing w:before="240"/>
                      <w:jc w:val="center"/>
                    </w:pPr>
                  </w:p>
                </w:txbxContent>
              </v:textbox>
            </v:shape>
            <v:shape id="Text Box 23" o:spid="_x0000_s1035" type="#_x0000_t202" style="position:absolute;left:39662;top:9582;width:9569;height:37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style="mso-next-textbox:#Text Box 23">
                <w:txbxContent>
                  <w:p w:rsidR="0069115C" w:rsidRPr="00405021" w:rsidRDefault="0069115C" w:rsidP="00AF399C">
                    <w:pPr>
                      <w:rPr>
                        <w:sz w:val="18"/>
                      </w:rPr>
                    </w:pPr>
                    <w:r w:rsidRPr="00405021">
                      <w:rPr>
                        <w:sz w:val="18"/>
                      </w:rPr>
                      <w:t>jednotky ETF</w:t>
                    </w:r>
                  </w:p>
                </w:txbxContent>
              </v:textbox>
            </v:shape>
            <v:shape id="AutoShape 27" o:spid="_x0000_s1038" type="#_x0000_t32" style="position:absolute;left:40214;top:8185;width:8186;height: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Text Box 26" o:spid="_x0000_s1026" type="#_x0000_t202" style="position:absolute;left:39662;top:3276;width:9030;height:4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7JCgQIAABA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" stroked="f">
              <v:textbox style="mso-next-textbox:#Text Box 26">
                <w:txbxContent>
                  <w:p w:rsidR="0069115C" w:rsidRPr="00405021" w:rsidRDefault="0069115C" w:rsidP="00AF399C">
                    <w:pPr>
                      <w:spacing w:line="240" w:lineRule="auto"/>
                      <w:rPr>
                        <w:sz w:val="18"/>
                      </w:rPr>
                    </w:pPr>
                    <w:r w:rsidRPr="00405021">
                      <w:rPr>
                        <w:sz w:val="18"/>
                      </w:rPr>
                      <w:t>peněžní prostřed</w:t>
                    </w:r>
                    <w:r>
                      <w:rPr>
                        <w:sz w:val="18"/>
                      </w:rPr>
                      <w:t>k</w:t>
                    </w:r>
                    <w:r w:rsidRPr="00405021">
                      <w:rPr>
                        <w:sz w:val="18"/>
                      </w:rPr>
                      <w:t>y</w:t>
                    </w:r>
                  </w:p>
                </w:txbxContent>
              </v:textbox>
            </v:shape>
            <v:shape id="_x0000_s1053" type="#_x0000_t202" style="position:absolute;left:1632;top:616;width:28480;height:2660" strokecolor="black [3213]">
              <v:textbox style="mso-next-textbox:#_x0000_s1053">
                <w:txbxContent>
                  <w:p w:rsidR="0069115C" w:rsidRDefault="0069115C" w:rsidP="00301F42">
                    <w:pPr>
                      <w:spacing w:before="0" w:line="240" w:lineRule="auto"/>
                    </w:pPr>
                    <w:r>
                      <w:t>Primární trh</w:t>
                    </w:r>
                  </w:p>
                </w:txbxContent>
              </v:textbox>
            </v:shape>
            <v:shape id="Text Box 24" o:spid="_x0000_s1036" type="#_x0000_t202" style="position:absolute;left:14573;top:4254;width:9487;height:5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LUYLwA&#10;AADbAAAADwAAAGRycy9kb3ducmV2LnhtbERPSwrCMBDdC94hjOBGNFX8VqOooLj1c4CxGdtiMylN&#10;tPX2ZiG4fLz/atOYQrypcrllBcNBBII4sTrnVMHteujPQTiPrLGwTAo+5GCzbrdWGGtb85neF5+K&#10;EMIuRgWZ92UspUsyMugGtiQO3MNWBn2AVSp1hXUIN4UcRdFUGsw5NGRY0j6j5Hl5GQWPU92bLOr7&#10;0d9m5/F0h/nsbj9KdTvNdgnCU+P/4p/7pBW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0tRgvAAAANsAAAAPAAAAAAAAAAAAAAAAAJgCAABkcnMvZG93bnJldi54&#10;bWxQSwUGAAAAAAQABAD1AAAAgQMAAAAA&#10;" stroked="f">
              <v:textbox style="mso-next-textbox:#Text Box 24">
                <w:txbxContent>
                  <w:p w:rsidR="0069115C" w:rsidRPr="007A43D0" w:rsidRDefault="0069115C" w:rsidP="007A43D0">
                    <w:pPr>
                      <w:spacing w:before="0" w:line="240" w:lineRule="auto"/>
                      <w:rPr>
                        <w:sz w:val="18"/>
                      </w:rPr>
                    </w:pPr>
                    <w:r w:rsidRPr="007A43D0">
                      <w:rPr>
                        <w:sz w:val="18"/>
                      </w:rPr>
                      <w:t>koš podkladových aktiv</w:t>
                    </w:r>
                  </w:p>
                </w:txbxContent>
              </v:textbox>
            </v:shape>
            <v:shape id="_x0000_s1054" type="#_x0000_t202" style="position:absolute;left:31915;top:616;width:28600;height:2660">
              <v:textbox style="mso-next-textbox:#_x0000_s1054">
                <w:txbxContent>
                  <w:p w:rsidR="0069115C" w:rsidRDefault="0069115C" w:rsidP="00301F42">
                    <w:pPr>
                      <w:spacing w:before="0" w:after="0" w:line="240" w:lineRule="auto"/>
                    </w:pPr>
                    <w:r>
                      <w:t>Sekundární trh</w:t>
                    </w:r>
                  </w:p>
                </w:txbxContent>
              </v:textbox>
            </v:shape>
            <v:shape id="AutoShape 25" o:spid="_x0000_s1037" type="#_x0000_t32" style="position:absolute;left:14573;top:8845;width:8179;height: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Wa3cMAAADbAAAADwAAAGRycy9kb3ducmV2LnhtbESPT2sCMRTE7wW/Q3hCb92s0hZZjaJC&#10;QXop/gE9PjbP3eDmZdnEzfrtm4LQ4zAzv2EWq8E2oqfOG8cKJlkOgrh02nCl4HT8epuB8AFZY+OY&#10;FDzIw2o5ellgoV3kPfWHUIkEYV+ggjqEtpDSlzVZ9JlriZN3dZ3FkGRXSd1hTHDbyGmef0qLhtNC&#10;jS1taypvh7tVYOKP6dvdNm6+zxevI5nHhzNKvY6H9RxEoCH8h5/tnVbwP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Fmt3DAAAA2wAAAA8AAAAAAAAAAAAA&#10;AAAAoQIAAGRycy9kb3ducmV2LnhtbFBLBQYAAAAABAAEAPkAAACRAwAAAAA=&#10;">
              <v:stroke endarrow="block"/>
            </v:shape>
            <w10:wrap type="none"/>
            <w10:anchorlock/>
          </v:group>
        </w:pict>
      </w:r>
    </w:p>
    <w:p w:rsidR="00AF399C" w:rsidRPr="00736B50" w:rsidRDefault="00AF399C" w:rsidP="00AF399C">
      <w:pPr>
        <w:spacing w:after="240" w:line="360" w:lineRule="auto"/>
        <w:jc w:val="center"/>
        <w:rPr>
          <w:sz w:val="22"/>
        </w:rPr>
      </w:pPr>
      <w:r w:rsidRPr="00736B50">
        <w:rPr>
          <w:sz w:val="22"/>
        </w:rPr>
        <w:t xml:space="preserve">Zdroj: Vlastní zpracování na základě: ABNER, David J. </w:t>
      </w:r>
      <w:r w:rsidRPr="00736B50">
        <w:rPr>
          <w:i/>
          <w:iCs/>
          <w:sz w:val="22"/>
        </w:rPr>
        <w:t>The ETF Handbook: How to Value and Trade Exchange-Traded Funds</w:t>
      </w:r>
      <w:r w:rsidRPr="00736B50">
        <w:rPr>
          <w:sz w:val="22"/>
        </w:rPr>
        <w:t>. USA: John Wiley &amp; Sons, Inc., 2010. ISBN 978-0-470-55682-5. str. 15</w:t>
      </w:r>
    </w:p>
    <w:p w:rsidR="00AF399C" w:rsidRDefault="00AF399C" w:rsidP="00AF399C">
      <w:pPr>
        <w:spacing w:after="240" w:line="360" w:lineRule="auto"/>
      </w:pPr>
      <w:r>
        <w:t>V </w:t>
      </w:r>
      <w:r w:rsidR="00301F42">
        <w:t>případě, že dojde k poklesu zájmu</w:t>
      </w:r>
      <w:r>
        <w:t xml:space="preserve"> investorů o ETF, dochází k tzv. redemption process, neboli proces</w:t>
      </w:r>
      <w:r w:rsidR="00301F42">
        <w:t>u</w:t>
      </w:r>
      <w:r>
        <w:t xml:space="preserve"> zpětného odkupu. Pokud již není dostatečná poptávka po ETF, AP postupně vykupuje tyto cenné papíry, čímž dojde ke stažení z oběhu. Poté tyto opět smění s emitentem ETF.  Graficky je postup zpětného odkupu jednotek ETF znázorněn na obrázku č. 2.</w:t>
      </w:r>
      <w:r w:rsidR="000E46AC">
        <w:t xml:space="preserve"> </w:t>
      </w:r>
    </w:p>
    <w:p w:rsidR="008410A8" w:rsidRDefault="008410A8" w:rsidP="005E5134">
      <w:pPr>
        <w:pStyle w:val="Titulek"/>
        <w:spacing w:line="360" w:lineRule="auto"/>
        <w:jc w:val="center"/>
        <w:rPr>
          <w:color w:val="auto"/>
          <w:sz w:val="24"/>
          <w:szCs w:val="22"/>
        </w:rPr>
      </w:pPr>
      <w:bookmarkStart w:id="25" w:name="_Toc385970148"/>
      <w:bookmarkStart w:id="26" w:name="_Toc385970291"/>
    </w:p>
    <w:p w:rsidR="005E5134" w:rsidRDefault="005E5134" w:rsidP="005E5134">
      <w:pPr>
        <w:pStyle w:val="Titulek"/>
        <w:spacing w:line="360" w:lineRule="auto"/>
        <w:jc w:val="center"/>
        <w:rPr>
          <w:color w:val="auto"/>
          <w:sz w:val="24"/>
          <w:szCs w:val="22"/>
        </w:rPr>
      </w:pPr>
      <w:r w:rsidRPr="005E5134">
        <w:rPr>
          <w:color w:val="auto"/>
          <w:sz w:val="24"/>
          <w:szCs w:val="22"/>
        </w:rPr>
        <w:lastRenderedPageBreak/>
        <w:t xml:space="preserve">Obr. č. </w:t>
      </w:r>
      <w:proofErr w:type="gramStart"/>
      <w:r w:rsidR="008B79C7" w:rsidRPr="005E5134">
        <w:rPr>
          <w:color w:val="auto"/>
          <w:sz w:val="24"/>
          <w:szCs w:val="22"/>
        </w:rPr>
        <w:fldChar w:fldCharType="begin"/>
      </w:r>
      <w:r w:rsidRPr="005E5134">
        <w:rPr>
          <w:color w:val="auto"/>
          <w:sz w:val="24"/>
          <w:szCs w:val="22"/>
        </w:rPr>
        <w:instrText xml:space="preserve"> SEQ Obr._č. \* ARABIC </w:instrText>
      </w:r>
      <w:r w:rsidR="008B79C7" w:rsidRPr="005E5134">
        <w:rPr>
          <w:color w:val="auto"/>
          <w:sz w:val="24"/>
          <w:szCs w:val="22"/>
        </w:rPr>
        <w:fldChar w:fldCharType="separate"/>
      </w:r>
      <w:r w:rsidRPr="005E5134">
        <w:rPr>
          <w:noProof/>
          <w:color w:val="auto"/>
          <w:sz w:val="24"/>
          <w:szCs w:val="22"/>
        </w:rPr>
        <w:t>2</w:t>
      </w:r>
      <w:r w:rsidR="008B79C7" w:rsidRPr="005E5134">
        <w:rPr>
          <w:color w:val="auto"/>
          <w:sz w:val="24"/>
          <w:szCs w:val="22"/>
        </w:rPr>
        <w:fldChar w:fldCharType="end"/>
      </w:r>
      <w:r w:rsidRPr="005E5134">
        <w:rPr>
          <w:color w:val="auto"/>
          <w:sz w:val="24"/>
          <w:szCs w:val="22"/>
        </w:rPr>
        <w:t xml:space="preserve"> : Proces</w:t>
      </w:r>
      <w:proofErr w:type="gramEnd"/>
      <w:r w:rsidRPr="005E5134">
        <w:rPr>
          <w:color w:val="auto"/>
          <w:sz w:val="24"/>
          <w:szCs w:val="22"/>
        </w:rPr>
        <w:t xml:space="preserve"> zpětného odkupu ETF</w:t>
      </w:r>
      <w:bookmarkEnd w:id="25"/>
      <w:bookmarkEnd w:id="26"/>
    </w:p>
    <w:p w:rsidR="00301F42" w:rsidRPr="00301F42" w:rsidRDefault="008B79C7" w:rsidP="00301F42">
      <w:pPr>
        <w:rPr>
          <w:lang w:eastAsia="cs-CZ"/>
        </w:rPr>
      </w:pPr>
      <w:r>
        <w:rPr>
          <w:noProof/>
          <w:lang w:eastAsia="cs-CZ"/>
        </w:rPr>
      </w:r>
      <w:r>
        <w:rPr>
          <w:noProof/>
          <w:lang w:eastAsia="cs-CZ"/>
        </w:rPr>
        <w:pict>
          <v:group id="Plátno 15" o:spid="_x0000_s1055" editas="canvas" style="width:485.75pt;height:134.1pt;mso-position-horizontal-relative:char;mso-position-vertical-relative:line" coordsize="61690,17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">
            <v:shape id="_x0000_s1056" type="#_x0000_t75" style="position:absolute;width:61690;height:17030;visibility:visible">
              <v:fill o:detectmouseclick="t"/>
              <v:path o:connecttype="none"/>
            </v:shape>
            <v:shape id="Text Box 17" o:spid="_x0000_s1057" type="#_x0000_t202" style="position:absolute;left:1632;top:6254;width:9144;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69115C" w:rsidRPr="00F34A5A" w:rsidRDefault="0069115C" w:rsidP="00301F42">
                    <w:pPr>
                      <w:spacing w:before="240"/>
                      <w:jc w:val="center"/>
                    </w:pPr>
                    <w:r>
                      <w:t>Investoři</w:t>
                    </w:r>
                  </w:p>
                </w:txbxContent>
              </v:textbox>
            </v:shape>
            <v:shape id="Text Box 18" o:spid="_x0000_s1058" type="#_x0000_t202" style="position:absolute;left:51359;top:6254;width:9156;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69115C" w:rsidRDefault="0069115C" w:rsidP="00301F42">
                    <w:pPr>
                      <w:spacing w:before="240"/>
                      <w:jc w:val="center"/>
                    </w:pPr>
                    <w:r>
                      <w:t>Emitent ETF</w:t>
                    </w:r>
                  </w:p>
                </w:txbxContent>
              </v:textbox>
            </v:shape>
            <v:shape id="AutoShape 19" o:spid="_x0000_s1059" type="#_x0000_t32" style="position:absolute;left:40214;top:14554;width:8186;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Text Box 20" o:spid="_x0000_s1060" type="#_x0000_t202" style="position:absolute;left:14573;top:10020;width:10484;height:3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a8sIA&#10;AADbAAAADwAAAGRycy9kb3ducmV2LnhtbESP3YrCMBSE7xd8h3AEbxZN/au7XaOooHjrzwMcm2Nb&#10;tjkpTbT17Y0geDnMzDfMfNmaUtypdoVlBcNBBII4tbrgTMH5tO3/gHAeWWNpmRQ8yMFy0fmaY6Jt&#10;wwe6H30mAoRdggpy76tESpfmZNANbEUcvKutDfog60zqGpsAN6UcRVEsDRYcFnKsaJNT+n+8GQXX&#10;ffM9/W0uO3+eHSbxGovZxT6U6nXb1R8IT63/hN/tvVYwju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ZrywgAAANsAAAAPAAAAAAAAAAAAAAAAAJgCAABkcnMvZG93&#10;bnJldi54bWxQSwUGAAAAAAQABAD1AAAAhwMAAAAA&#10;" stroked="f">
              <v:textbox>
                <w:txbxContent>
                  <w:p w:rsidR="0069115C" w:rsidRPr="00405021" w:rsidRDefault="0069115C" w:rsidP="00301F42">
                    <w:pPr>
                      <w:spacing w:line="240" w:lineRule="auto"/>
                      <w:rPr>
                        <w:sz w:val="20"/>
                      </w:rPr>
                    </w:pPr>
                    <w:r>
                      <w:rPr>
                        <w:sz w:val="20"/>
                      </w:rPr>
                      <w:t>jednotky ETF</w:t>
                    </w:r>
                  </w:p>
                  <w:p w:rsidR="0069115C" w:rsidRPr="00405021" w:rsidRDefault="0069115C" w:rsidP="00301F42"/>
                </w:txbxContent>
              </v:textbox>
            </v:shape>
            <v:shape id="AutoShape 21" o:spid="_x0000_s1061" type="#_x0000_t32" style="position:absolute;left:14573;top:14560;width:8179;height: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Text Box 22" o:spid="_x0000_s1062" type="#_x0000_t202" style="position:absolute;left:26803;top:6254;width:9151;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69115C" w:rsidRDefault="0069115C" w:rsidP="00301F42">
                    <w:pPr>
                      <w:spacing w:before="240"/>
                      <w:jc w:val="center"/>
                    </w:pPr>
                    <w:r>
                      <w:t>Authorized Participant</w:t>
                    </w:r>
                  </w:p>
                  <w:p w:rsidR="0069115C" w:rsidRDefault="0069115C" w:rsidP="00301F42">
                    <w:pPr>
                      <w:spacing w:before="240"/>
                      <w:jc w:val="center"/>
                    </w:pPr>
                  </w:p>
                </w:txbxContent>
              </v:textbox>
            </v:shape>
            <v:shape id="Text Box 23" o:spid="_x0000_s1063" type="#_x0000_t202" style="position:absolute;left:39662;top:9582;width:9569;height:37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69115C" w:rsidRPr="00405021" w:rsidRDefault="0069115C" w:rsidP="00301F42">
                    <w:pPr>
                      <w:rPr>
                        <w:sz w:val="18"/>
                      </w:rPr>
                    </w:pPr>
                    <w:r>
                      <w:rPr>
                        <w:sz w:val="18"/>
                      </w:rPr>
                      <w:t>creation units</w:t>
                    </w:r>
                  </w:p>
                </w:txbxContent>
              </v:textbox>
            </v:shape>
            <v:shape id="_x0000_s1066" type="#_x0000_t202" style="position:absolute;left:1632;top:616;width:28480;height:2660" strokecolor="black [3213]">
              <v:textbox style="mso-next-textbox:#_x0000_s1066">
                <w:txbxContent>
                  <w:p w:rsidR="0069115C" w:rsidRDefault="0069115C" w:rsidP="00301F42">
                    <w:pPr>
                      <w:spacing w:before="0" w:line="240" w:lineRule="auto"/>
                    </w:pPr>
                    <w:r>
                      <w:t>Sekundární trh</w:t>
                    </w:r>
                  </w:p>
                </w:txbxContent>
              </v:textbox>
            </v:shape>
            <v:shape id="Text Box 24" o:spid="_x0000_s1067" type="#_x0000_t202" style="position:absolute;left:14573;top:4254;width:9487;height:5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LUYLwA&#10;AADbAAAADwAAAGRycy9kb3ducmV2LnhtbERPSwrCMBDdC94hjOBGNFX8VqOooLj1c4CxGdtiMylN&#10;tPX2ZiG4fLz/atOYQrypcrllBcNBBII4sTrnVMHteujPQTiPrLGwTAo+5GCzbrdWGGtb85neF5+K&#10;EMIuRgWZ92UspUsyMugGtiQO3MNWBn2AVSp1hXUIN4UcRdFUGsw5NGRY0j6j5Hl5GQWPU92bLOr7&#10;0d9m5/F0h/nsbj9KdTvNdgnCU+P/4p/7pBW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0tRgvAAAANsAAAAPAAAAAAAAAAAAAAAAAJgCAABkcnMvZG93bnJldi54&#10;bWxQSwUGAAAAAAQABAD1AAAAgQMAAAAA&#10;" stroked="f">
              <v:textbox>
                <w:txbxContent>
                  <w:p w:rsidR="0069115C" w:rsidRPr="007A43D0" w:rsidRDefault="0069115C" w:rsidP="00301F42">
                    <w:pPr>
                      <w:spacing w:before="0" w:line="240" w:lineRule="auto"/>
                      <w:rPr>
                        <w:sz w:val="18"/>
                      </w:rPr>
                    </w:pPr>
                    <w:r>
                      <w:rPr>
                        <w:sz w:val="18"/>
                      </w:rPr>
                      <w:t>peněžní prostředky</w:t>
                    </w:r>
                  </w:p>
                </w:txbxContent>
              </v:textbox>
            </v:shape>
            <v:shape id="AutoShape 25" o:spid="_x0000_s1069" type="#_x0000_t32" style="position:absolute;left:14573;top:8845;width:8179;height: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Wa3cMAAADbAAAADwAAAGRycy9kb3ducmV2LnhtbESPT2sCMRTE7wW/Q3hCb92s0hZZjaJC&#10;QXop/gE9PjbP3eDmZdnEzfrtm4LQ4zAzv2EWq8E2oqfOG8cKJlkOgrh02nCl4HT8epuB8AFZY+OY&#10;FDzIw2o5ellgoV3kPfWHUIkEYV+ggjqEtpDSlzVZ9JlriZN3dZ3FkGRXSd1hTHDbyGmef0qLhtNC&#10;jS1taypvh7tVYOKP6dvdNm6+zxevI5nHhzNKvY6H9RxEoCH8h5/tnVbwP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Fmt3DAAAA2wAAAA8AAAAAAAAAAAAA&#10;AAAAoQIAAGRycy9kb3ducmV2LnhtbFBLBQYAAAAABAAEAPkAAACRAwAAAAA=&#10;">
              <v:stroke endarrow="block"/>
            </v:shape>
            <v:shape id="Text Box 24" o:spid="_x0000_s1085" type="#_x0000_t202" style="position:absolute;left:39662;top:3276;width:9569;height:49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LUYLwA&#10;AADbAAAADwAAAGRycy9kb3ducmV2LnhtbERPSwrCMBDdC94hjOBGNFX8VqOooLj1c4CxGdtiMylN&#10;tPX2ZiG4fLz/atOYQrypcrllBcNBBII4sTrnVMHteujPQTiPrLGwTAo+5GCzbrdWGGtb85neF5+K&#10;EMIuRgWZ92UspUsyMugGtiQO3MNWBn2AVSp1hXUIN4UcRdFUGsw5NGRY0j6j5Hl5GQWPU92bLOr7&#10;0d9m5/F0h/nsbj9KdTvNdgnCU+P/4p/7pBW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0tRgvAAAANsAAAAPAAAAAAAAAAAAAAAAAJgCAABkcnMvZG93bnJldi54&#10;bWxQSwUGAAAAAAQABAD1AAAAgQMAAAAA&#10;" stroked="f">
              <v:textbox>
                <w:txbxContent>
                  <w:p w:rsidR="0069115C" w:rsidRPr="007A43D0" w:rsidRDefault="0069115C" w:rsidP="00301F42">
                    <w:pPr>
                      <w:spacing w:before="0" w:line="240" w:lineRule="auto"/>
                      <w:rPr>
                        <w:sz w:val="18"/>
                      </w:rPr>
                    </w:pPr>
                    <w:r w:rsidRPr="007A43D0">
                      <w:rPr>
                        <w:sz w:val="18"/>
                      </w:rPr>
                      <w:t>koš podkladových aktiv</w:t>
                    </w:r>
                  </w:p>
                </w:txbxContent>
              </v:textbox>
            </v:shape>
            <v:shape id="AutoShape 27" o:spid="_x0000_s1064" type="#_x0000_t32" style="position:absolute;left:40214;top:8185;width:8186;height: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_x0000_s1068" type="#_x0000_t202" style="position:absolute;left:31915;top:616;width:28600;height:2660">
              <v:textbox style="mso-next-textbox:#_x0000_s1068">
                <w:txbxContent>
                  <w:p w:rsidR="0069115C" w:rsidRDefault="0069115C" w:rsidP="00301F42">
                    <w:pPr>
                      <w:spacing w:before="0" w:after="0" w:line="240" w:lineRule="auto"/>
                    </w:pPr>
                    <w:r>
                      <w:t>Primární trh</w:t>
                    </w:r>
                  </w:p>
                </w:txbxContent>
              </v:textbox>
            </v:shape>
            <w10:wrap type="none"/>
            <w10:anchorlock/>
          </v:group>
        </w:pict>
      </w:r>
    </w:p>
    <w:p w:rsidR="00AF399C" w:rsidRDefault="00AF399C" w:rsidP="000E46AC">
      <w:pPr>
        <w:jc w:val="center"/>
        <w:rPr>
          <w:sz w:val="22"/>
        </w:rPr>
      </w:pPr>
      <w:r w:rsidRPr="00736B50">
        <w:rPr>
          <w:sz w:val="22"/>
        </w:rPr>
        <w:t xml:space="preserve">Zdroj: vlastní zpracování na základě: ABNER, David J. </w:t>
      </w:r>
      <w:r w:rsidRPr="00736B50">
        <w:rPr>
          <w:i/>
          <w:iCs/>
          <w:sz w:val="22"/>
        </w:rPr>
        <w:t>The ETF Handbook: How to Value and Trade Exchange-Traded Funds</w:t>
      </w:r>
      <w:r w:rsidRPr="00736B50">
        <w:rPr>
          <w:sz w:val="22"/>
        </w:rPr>
        <w:t>. USA: John Wiley &amp; Sons, Inc., 2010. ISBN 978-0-470-55682-5. str. 16</w:t>
      </w:r>
    </w:p>
    <w:p w:rsidR="00AF399C" w:rsidRPr="00DE2C6F" w:rsidRDefault="00AF399C" w:rsidP="00AF399C">
      <w:pPr>
        <w:spacing w:after="240" w:line="360" w:lineRule="auto"/>
      </w:pPr>
      <w:r w:rsidRPr="00C34CD5">
        <w:t>Co se složení portfolia fondu týče, je několik postupů, které jsou využívány pro kopírování podkladových aktiv.</w:t>
      </w:r>
      <w:r w:rsidRPr="00C34CD5">
        <w:rPr>
          <w:rStyle w:val="Znakapoznpodarou"/>
        </w:rPr>
        <w:footnoteReference w:id="34"/>
      </w:r>
      <w:r w:rsidRPr="00C34CD5">
        <w:t xml:space="preserve"> Prvním z nich je úplná fyzická replikace, která zahrnuje nákup takových podkladových aktiv a v takovém poměru, v jakém jsou obsaženy v podkladovém indexu. Tento způsob konstrukce lze využít u </w:t>
      </w:r>
      <w:r>
        <w:t>těch</w:t>
      </w:r>
      <w:r w:rsidRPr="00C34CD5">
        <w:t xml:space="preserve"> ETF, kde je podkladový index s nižším množstvím likvidních akcií (cca 50 kusů, např Euro Stoxx 50). Další možností je částečná fyzická replikace, která je využívána u indexů s velkým množstvím cenných papírů. V tomto případě jsou vynechány investiční instrumenty s velmi malým podílem na celkovém portfoliu a méně likvidní tituly. Na rozdíl od předešlé možnosti zde může dojít k odchylce výkonnosti fondu a podkladového indexu. V případě inverzních či pákových ETF je využívána tzv. syntetická re</w:t>
      </w:r>
      <w:r>
        <w:t>plikace, kdy není využíván přímo</w:t>
      </w:r>
      <w:r w:rsidRPr="00C34CD5">
        <w:t xml:space="preserve"> nákup podkladových aktiv indexu, ale swapy společně s investicí do náhradního koše podkladových aktiv.</w:t>
      </w:r>
      <w:r>
        <w:t xml:space="preserve"> Správce ETF směňuje s protistranou výnosy plynoucí z jím drženého koše akcií za výkonnost podkladového indexu. Rizika spojená s vývojem indexu tak nese protistrana. V portfoliu ETF se pak objevují i takové cenné papíry, které nejsou součástí sledovaného indexu.</w:t>
      </w:r>
    </w:p>
    <w:p w:rsidR="00AF399C" w:rsidRDefault="00AF399C" w:rsidP="00371136">
      <w:pPr>
        <w:pStyle w:val="Nadpis3"/>
        <w:numPr>
          <w:ilvl w:val="3"/>
          <w:numId w:val="11"/>
        </w:numPr>
      </w:pPr>
      <w:bookmarkStart w:id="27" w:name="_Toc386145988"/>
      <w:r>
        <w:t>Oceňování ETF</w:t>
      </w:r>
      <w:bookmarkEnd w:id="27"/>
    </w:p>
    <w:p w:rsidR="00AF399C" w:rsidRDefault="00AF399C" w:rsidP="00AF399C">
      <w:pPr>
        <w:spacing w:after="240" w:line="360" w:lineRule="auto"/>
      </w:pPr>
      <w:r>
        <w:t xml:space="preserve">V předešlé podkapitole bylo zmíněno, že se cena ETF může odchýlit od hodnoty připadající na jednotku ETF. Na tomto místě se tedy krátce zaměřím na způsoby oceňování těchto instrumentů. </w:t>
      </w:r>
    </w:p>
    <w:p w:rsidR="00AF399C" w:rsidRDefault="00AF399C" w:rsidP="00AF399C">
      <w:pPr>
        <w:spacing w:after="240" w:line="360" w:lineRule="auto"/>
      </w:pPr>
      <w:r>
        <w:lastRenderedPageBreak/>
        <w:t xml:space="preserve">Pro oceňování ETF je využíváno více ukazatelů, mezi něž patří NAV – net asset value (čistá hodnota aktiv fondu) a </w:t>
      </w:r>
      <w:r w:rsidRPr="003B6D94">
        <w:t>IIV – intraday indicative value (intradenní indikativní hodnota</w:t>
      </w:r>
      <w:r>
        <w:t xml:space="preserve">). </w:t>
      </w:r>
      <w:r w:rsidRPr="003B6D94">
        <w:t xml:space="preserve"> Každý z těchto ukazatelů vyjadřuje trochu něco</w:t>
      </w:r>
      <w:r>
        <w:t xml:space="preserve"> odlišného, proto v případě, že se investor rozhodne obchodovat s těmito instrumenty, je zapotřebí, aby se seznámil s významem těchto indikátorů. Pokud jsou propočty prováděny s cennými papíry denominovanými ve stejné měně, jsou výpočty relativně přesné a jednoduché, v případě, že se však musí brát v úvahu i kurzové aspekty, propočty a vypovídací hodnota jsou poněkud složitější. </w:t>
      </w:r>
    </w:p>
    <w:p w:rsidR="00AF399C" w:rsidRDefault="00AF399C" w:rsidP="000E46AC">
      <w:pPr>
        <w:spacing w:after="0" w:line="360" w:lineRule="auto"/>
      </w:pPr>
      <w:r>
        <w:t>NAV je počítáno na denní bázi a vyjadřuje hodnotu majetku připadajícího na jednotku ETF. Při výpočtu jsou využity uzavírací kurzy trhu, na kterém jsou podkladová aktiva obchodována a suma hotovosti držena fondem. Vzhledem k tomu, že se jedná o standardizovaný postup, může se jednat o jeden z ukazatelů, který slouží pro srovnání výkonností jednotlivých fondů. Vzorec, dle kterého propočet probíhá, vypadá následovně:</w:t>
      </w:r>
    </w:p>
    <w:p w:rsidR="00AF399C" w:rsidRDefault="00AF399C" w:rsidP="000E46AC">
      <w:pPr>
        <w:spacing w:after="0" w:line="360" w:lineRule="auto"/>
      </w:pPr>
    </w:p>
    <w:p w:rsidR="00AF399C" w:rsidRDefault="007A43D0" w:rsidP="001B7C40">
      <w:pPr>
        <w:spacing w:after="240"/>
        <w:jc w:val="left"/>
      </w:pPr>
      <w:r w:rsidRPr="001B7C40">
        <w:rPr>
          <w:rFonts w:eastAsiaTheme="minorEastAsia"/>
          <w:sz w:val="32"/>
          <w:szCs w:val="32"/>
        </w:rPr>
        <w:tab/>
      </w:r>
      <w:r w:rsidRPr="001B7C40">
        <w:rPr>
          <w:rFonts w:eastAsiaTheme="minorEastAsia"/>
          <w:sz w:val="32"/>
          <w:szCs w:val="32"/>
        </w:rPr>
        <w:tab/>
      </w:r>
      <w:r w:rsidRPr="001B7C40">
        <w:rPr>
          <w:rFonts w:eastAsiaTheme="minorEastAsia"/>
          <w:sz w:val="32"/>
          <w:szCs w:val="32"/>
        </w:rPr>
        <w:tab/>
      </w:r>
      <m:oMath>
        <m:r>
          <m:rPr>
            <m:nor/>
          </m:rPr>
          <w:rPr>
            <w:sz w:val="32"/>
            <w:szCs w:val="32"/>
          </w:rPr>
          <m:t xml:space="preserve">NAV= </m:t>
        </m:r>
        <m:f>
          <m:fPr>
            <m:ctrlPr>
              <w:rPr>
                <w:rFonts w:ascii="Cambria Math" w:hAnsi="Cambria Math"/>
                <w:sz w:val="32"/>
                <w:szCs w:val="32"/>
              </w:rPr>
            </m:ctrlPr>
          </m:fPr>
          <m:num>
            <m:r>
              <m:rPr>
                <m:nor/>
              </m:rPr>
              <w:rPr>
                <w:sz w:val="32"/>
                <w:szCs w:val="32"/>
              </w:rPr>
              <m:t>aktiva fondu</m:t>
            </m:r>
            <m:r>
              <m:rPr>
                <m:nor/>
              </m:rPr>
              <w:rPr>
                <w:rFonts w:ascii="Cambria Math"/>
                <w:sz w:val="32"/>
                <w:szCs w:val="32"/>
              </w:rPr>
              <m:t xml:space="preserve"> </m:t>
            </m:r>
            <m:r>
              <m:rPr>
                <m:nor/>
              </m:rPr>
              <w:rPr>
                <w:sz w:val="32"/>
                <w:szCs w:val="32"/>
              </w:rPr>
              <m:t>-</m:t>
            </m:r>
            <m:r>
              <m:rPr>
                <m:nor/>
              </m:rPr>
              <w:rPr>
                <w:rFonts w:ascii="Cambria Math"/>
                <w:sz w:val="32"/>
                <w:szCs w:val="32"/>
              </w:rPr>
              <m:t xml:space="preserve"> </m:t>
            </m:r>
            <m:r>
              <m:rPr>
                <m:nor/>
              </m:rPr>
              <w:rPr>
                <w:sz w:val="32"/>
                <w:szCs w:val="32"/>
              </w:rPr>
              <m:t>závazky</m:t>
            </m:r>
          </m:num>
          <m:den>
            <m:r>
              <m:rPr>
                <m:nor/>
              </m:rPr>
              <w:rPr>
                <w:sz w:val="32"/>
                <w:szCs w:val="32"/>
              </w:rPr>
              <m:t>celkový počet jednotek fondu</m:t>
            </m:r>
          </m:den>
        </m:f>
      </m:oMath>
      <w:r w:rsidR="001B7C40" w:rsidRPr="001B7C40">
        <w:rPr>
          <w:rFonts w:eastAsiaTheme="minorEastAsia"/>
          <w:sz w:val="32"/>
          <w:szCs w:val="32"/>
        </w:rPr>
        <w:tab/>
      </w:r>
      <w:r w:rsidR="001B7C40" w:rsidRPr="001B7C40">
        <w:rPr>
          <w:rFonts w:eastAsiaTheme="minorEastAsia"/>
          <w:sz w:val="32"/>
          <w:szCs w:val="32"/>
        </w:rPr>
        <w:tab/>
      </w:r>
      <w:r w:rsidR="001B7C40" w:rsidRPr="001B7C40">
        <w:rPr>
          <w:rFonts w:eastAsiaTheme="minorEastAsia"/>
          <w:sz w:val="32"/>
          <w:szCs w:val="32"/>
        </w:rPr>
        <w:tab/>
      </w:r>
      <w:r w:rsidR="001B7C40">
        <w:rPr>
          <w:rFonts w:eastAsiaTheme="minorEastAsia"/>
          <w:sz w:val="32"/>
          <w:szCs w:val="32"/>
        </w:rPr>
        <w:tab/>
        <w:t xml:space="preserve">   </w:t>
      </w:r>
      <w:r w:rsidR="001B7C40">
        <w:rPr>
          <w:rStyle w:val="null"/>
        </w:rPr>
        <w:t>[3]</w:t>
      </w:r>
    </w:p>
    <w:p w:rsidR="00AF399C" w:rsidRDefault="00AF399C" w:rsidP="00AF399C">
      <w:pPr>
        <w:spacing w:after="240" w:line="360" w:lineRule="auto"/>
      </w:pPr>
      <w:r>
        <w:t>Nejjednodušším způsobem, jak vypočítat hodnotu NAV, je využití creation unit (CU) a celkové hotovosti, která je taktéž zveřejňována denně. Využívání CU při výpočtu NAV je výhodné především z důvodu transparentnosti a přesnosti, protože CU obsahuje konkrétní portfolio cenných papírů, které je zapotřebí dodat, aby protistrana získala podíl ETF. Výpočet NAV připadající na jednotku ETF s využitím CU vypadá potom následovně:</w:t>
      </w:r>
    </w:p>
    <w:p w:rsidR="000E46AC" w:rsidRDefault="000E46AC" w:rsidP="00AF399C">
      <w:pPr>
        <w:spacing w:after="240" w:line="360" w:lineRule="auto"/>
      </w:pPr>
    </w:p>
    <w:p w:rsidR="00AF399C" w:rsidRPr="000E46AC" w:rsidRDefault="008B79C7" w:rsidP="001B7C40">
      <w:pPr>
        <w:pStyle w:val="Odstavecseseznamem"/>
        <w:spacing w:after="240"/>
        <w:ind w:left="426"/>
        <w:jc w:val="left"/>
        <w:rPr>
          <w:sz w:val="26"/>
          <w:szCs w:val="26"/>
        </w:rPr>
      </w:pPr>
      <m:oMath>
        <m:sSub>
          <m:sSubPr>
            <m:ctrlPr>
              <w:rPr>
                <w:rFonts w:ascii="Cambria Math" w:hAnsi="Cambria Math"/>
                <w:sz w:val="26"/>
                <w:szCs w:val="26"/>
              </w:rPr>
            </m:ctrlPr>
          </m:sSubPr>
          <m:e>
            <m:r>
              <m:rPr>
                <m:nor/>
              </m:rPr>
              <w:rPr>
                <w:sz w:val="26"/>
                <w:szCs w:val="26"/>
              </w:rPr>
              <m:t>NAV</m:t>
            </m:r>
          </m:e>
          <m:sub>
            <m:r>
              <m:rPr>
                <m:sty m:val="p"/>
              </m:rPr>
              <w:rPr>
                <w:rFonts w:ascii="Cambria Math" w:hAnsi="Cambria Math"/>
                <w:sz w:val="26"/>
                <w:szCs w:val="26"/>
              </w:rPr>
              <m:t>d</m:t>
            </m:r>
          </m:sub>
        </m:sSub>
        <m:r>
          <m:rPr>
            <m:nor/>
          </m:rPr>
          <w:rPr>
            <w:sz w:val="26"/>
            <w:szCs w:val="26"/>
          </w:rPr>
          <m:t xml:space="preserve">= </m:t>
        </m:r>
        <m:f>
          <m:fPr>
            <m:ctrlPr>
              <w:rPr>
                <w:rFonts w:ascii="Cambria Math" w:hAnsi="Cambria Math"/>
                <w:sz w:val="26"/>
                <w:szCs w:val="26"/>
              </w:rPr>
            </m:ctrlPr>
          </m:fPr>
          <m:num>
            <m:nary>
              <m:naryPr>
                <m:chr m:val="∑"/>
                <m:limLoc m:val="undOvr"/>
                <m:subHide m:val="on"/>
                <m:supHide m:val="on"/>
                <m:ctrlPr>
                  <w:rPr>
                    <w:rFonts w:ascii="Cambria Math" w:hAnsi="Cambria Math"/>
                    <w:sz w:val="26"/>
                    <w:szCs w:val="26"/>
                  </w:rPr>
                </m:ctrlPr>
              </m:naryPr>
              <m:sub/>
              <m:sup/>
              <m:e>
                <m:r>
                  <m:rPr>
                    <m:sty m:val="p"/>
                  </m:rPr>
                  <w:rPr>
                    <w:rFonts w:ascii="Cambria Math" w:hAnsi="Cambria Math"/>
                    <w:sz w:val="26"/>
                    <w:szCs w:val="26"/>
                  </w:rPr>
                  <m:t>po</m:t>
                </m:r>
                <m:r>
                  <m:rPr>
                    <m:sty m:val="p"/>
                  </m:rPr>
                  <w:rPr>
                    <w:rFonts w:ascii="Cambria Math"/>
                    <w:sz w:val="26"/>
                    <w:szCs w:val="26"/>
                  </w:rPr>
                  <m:t>č</m:t>
                </m:r>
                <m:r>
                  <m:rPr>
                    <m:sty m:val="p"/>
                  </m:rPr>
                  <w:rPr>
                    <w:rFonts w:ascii="Cambria Math" w:hAnsi="Cambria Math"/>
                    <w:sz w:val="26"/>
                    <w:szCs w:val="26"/>
                  </w:rPr>
                  <m:t>et</m:t>
                </m:r>
                <m:r>
                  <m:rPr>
                    <m:sty m:val="p"/>
                  </m:rPr>
                  <w:rPr>
                    <w:rFonts w:ascii="Cambria Math"/>
                    <w:sz w:val="26"/>
                    <w:szCs w:val="26"/>
                  </w:rPr>
                  <m:t xml:space="preserve"> </m:t>
                </m:r>
                <m:r>
                  <m:rPr>
                    <m:sty m:val="p"/>
                  </m:rPr>
                  <w:rPr>
                    <w:rFonts w:ascii="Cambria Math" w:hAnsi="Cambria Math"/>
                    <w:sz w:val="26"/>
                    <w:szCs w:val="26"/>
                  </w:rPr>
                  <m:t>akci</m:t>
                </m:r>
                <m:r>
                  <m:rPr>
                    <m:sty m:val="p"/>
                  </m:rPr>
                  <w:rPr>
                    <w:rFonts w:ascii="Cambria Math"/>
                    <w:sz w:val="26"/>
                    <w:szCs w:val="26"/>
                  </w:rPr>
                  <m:t>í</m:t>
                </m:r>
                <m:r>
                  <m:rPr>
                    <m:sty m:val="p"/>
                  </m:rPr>
                  <w:rPr>
                    <w:rFonts w:ascii="Cambria Math"/>
                    <w:sz w:val="26"/>
                    <w:szCs w:val="26"/>
                  </w:rPr>
                  <m:t xml:space="preserve"> </m:t>
                </m:r>
                <m:r>
                  <m:rPr>
                    <m:sty m:val="p"/>
                  </m:rPr>
                  <w:rPr>
                    <w:rFonts w:ascii="Cambria Math" w:hAnsi="Cambria Math"/>
                    <w:sz w:val="26"/>
                    <w:szCs w:val="26"/>
                  </w:rPr>
                  <m:t>jednotliv</m:t>
                </m:r>
                <m:r>
                  <m:rPr>
                    <m:sty m:val="p"/>
                  </m:rPr>
                  <w:rPr>
                    <w:rFonts w:ascii="Cambria Math"/>
                    <w:sz w:val="26"/>
                    <w:szCs w:val="26"/>
                  </w:rPr>
                  <m:t>ý</m:t>
                </m:r>
                <m:r>
                  <m:rPr>
                    <m:sty m:val="p"/>
                  </m:rPr>
                  <w:rPr>
                    <w:rFonts w:ascii="Cambria Math" w:hAnsi="Cambria Math"/>
                    <w:sz w:val="26"/>
                    <w:szCs w:val="26"/>
                  </w:rPr>
                  <m:t>ch</m:t>
                </m:r>
                <m:r>
                  <m:rPr>
                    <m:sty m:val="p"/>
                  </m:rPr>
                  <w:rPr>
                    <w:rFonts w:ascii="Cambria Math"/>
                    <w:sz w:val="26"/>
                    <w:szCs w:val="26"/>
                  </w:rPr>
                  <m:t xml:space="preserve"> </m:t>
                </m:r>
                <m:r>
                  <m:rPr>
                    <m:sty m:val="p"/>
                  </m:rPr>
                  <w:rPr>
                    <w:rFonts w:ascii="Cambria Math" w:hAnsi="Cambria Math"/>
                    <w:sz w:val="26"/>
                    <w:szCs w:val="26"/>
                  </w:rPr>
                  <m:t>aktiv</m:t>
                </m:r>
                <m:r>
                  <m:rPr>
                    <m:sty m:val="p"/>
                  </m:rPr>
                  <w:rPr>
                    <w:rFonts w:ascii="Cambria Math"/>
                    <w:sz w:val="26"/>
                    <w:szCs w:val="26"/>
                  </w:rPr>
                  <m:t xml:space="preserve"> </m:t>
                </m:r>
                <m:r>
                  <m:rPr>
                    <m:sty m:val="p"/>
                  </m:rPr>
                  <w:rPr>
                    <w:rFonts w:ascii="Cambria Math" w:hAnsi="Cambria Math"/>
                    <w:sz w:val="26"/>
                    <w:szCs w:val="26"/>
                  </w:rPr>
                  <m:t>portfolia*uzav</m:t>
                </m:r>
                <m:r>
                  <m:rPr>
                    <m:sty m:val="p"/>
                  </m:rPr>
                  <w:rPr>
                    <w:rFonts w:ascii="Cambria Math"/>
                    <w:sz w:val="26"/>
                    <w:szCs w:val="26"/>
                  </w:rPr>
                  <m:t>í</m:t>
                </m:r>
                <m:r>
                  <m:rPr>
                    <m:sty m:val="p"/>
                  </m:rPr>
                  <w:rPr>
                    <w:rFonts w:ascii="Cambria Math" w:hAnsi="Cambria Math"/>
                    <w:sz w:val="26"/>
                    <w:szCs w:val="26"/>
                  </w:rPr>
                  <m:t>rac</m:t>
                </m:r>
                <m:r>
                  <m:rPr>
                    <m:sty m:val="p"/>
                  </m:rPr>
                  <w:rPr>
                    <w:rFonts w:ascii="Cambria Math"/>
                    <w:sz w:val="26"/>
                    <w:szCs w:val="26"/>
                  </w:rPr>
                  <m:t>í</m:t>
                </m:r>
                <m:r>
                  <m:rPr>
                    <m:sty m:val="p"/>
                  </m:rPr>
                  <w:rPr>
                    <w:rFonts w:ascii="Cambria Math"/>
                    <w:sz w:val="26"/>
                    <w:szCs w:val="26"/>
                  </w:rPr>
                  <m:t xml:space="preserve"> </m:t>
                </m:r>
                <m:r>
                  <m:rPr>
                    <m:sty m:val="p"/>
                  </m:rPr>
                  <w:rPr>
                    <w:rFonts w:ascii="Cambria Math" w:hAnsi="Cambria Math"/>
                    <w:sz w:val="26"/>
                    <w:szCs w:val="26"/>
                  </w:rPr>
                  <m:t>cena</m:t>
                </m:r>
              </m:e>
            </m:nary>
          </m:num>
          <m:den>
            <m:r>
              <m:rPr>
                <m:nor/>
              </m:rPr>
              <w:rPr>
                <w:sz w:val="26"/>
                <w:szCs w:val="26"/>
              </w:rPr>
              <m:t>počet jednotek ETF v CU</m:t>
            </m:r>
          </m:den>
        </m:f>
        <m:r>
          <m:rPr>
            <m:sty m:val="p"/>
          </m:rPr>
          <w:rPr>
            <w:rFonts w:ascii="Cambria Math"/>
            <w:sz w:val="26"/>
            <w:szCs w:val="26"/>
          </w:rPr>
          <m:t xml:space="preserve">+ </m:t>
        </m:r>
        <m:f>
          <m:fPr>
            <m:ctrlPr>
              <w:rPr>
                <w:rFonts w:ascii="Cambria Math" w:hAnsi="Cambria Math"/>
                <w:sz w:val="26"/>
                <w:szCs w:val="26"/>
              </w:rPr>
            </m:ctrlPr>
          </m:fPr>
          <m:num>
            <m:r>
              <m:rPr>
                <m:sty m:val="p"/>
              </m:rPr>
              <w:rPr>
                <w:rFonts w:ascii="Cambria Math"/>
                <w:sz w:val="26"/>
                <w:szCs w:val="26"/>
              </w:rPr>
              <m:t>celkov</m:t>
            </m:r>
            <m:r>
              <m:rPr>
                <m:sty m:val="p"/>
              </m:rPr>
              <w:rPr>
                <w:rFonts w:ascii="Cambria Math"/>
                <w:sz w:val="26"/>
                <w:szCs w:val="26"/>
              </w:rPr>
              <m:t>á</m:t>
            </m:r>
            <m:r>
              <m:rPr>
                <m:sty m:val="p"/>
              </m:rPr>
              <w:rPr>
                <w:rFonts w:ascii="Cambria Math"/>
                <w:sz w:val="26"/>
                <w:szCs w:val="26"/>
              </w:rPr>
              <m:t xml:space="preserve"> hotovost</m:t>
            </m:r>
          </m:num>
          <m:den>
            <m:r>
              <m:rPr>
                <m:nor/>
              </m:rPr>
              <w:rPr>
                <w:sz w:val="26"/>
                <w:szCs w:val="26"/>
              </w:rPr>
              <m:t>počet jednotek ETF v CU</m:t>
            </m:r>
          </m:den>
        </m:f>
      </m:oMath>
      <w:r w:rsidR="001B7C40">
        <w:rPr>
          <w:rFonts w:eastAsiaTheme="minorEastAsia" w:cstheme="minorBidi"/>
          <w:sz w:val="26"/>
          <w:szCs w:val="26"/>
        </w:rPr>
        <w:tab/>
        <w:t xml:space="preserve">    </w:t>
      </w:r>
      <w:r w:rsidR="001B7C40">
        <w:rPr>
          <w:rStyle w:val="null"/>
        </w:rPr>
        <w:t>[4]</w:t>
      </w:r>
    </w:p>
    <w:p w:rsidR="00AF399C" w:rsidRDefault="00AF399C" w:rsidP="000E46AC">
      <w:pPr>
        <w:spacing w:after="240" w:line="360" w:lineRule="auto"/>
      </w:pPr>
      <w:r>
        <w:t>Jedním z dalších údajů, které tyto fondy zveřejňují, je hotovost připadající na jednotku ETF, případně odhadovaná hotovost připadající na tuto jednotku. Postup výpočtu hotovosti připadajícího na jednotku ETF vypadá následovně:</w:t>
      </w:r>
    </w:p>
    <w:p w:rsidR="00AF399C" w:rsidRPr="001B7C40" w:rsidRDefault="007A43D0" w:rsidP="001B7C40">
      <w:pPr>
        <w:spacing w:before="240" w:after="240"/>
        <w:jc w:val="left"/>
        <w:rPr>
          <w:sz w:val="22"/>
        </w:rPr>
      </w:pPr>
      <w:r w:rsidRPr="001B7C40">
        <w:rPr>
          <w:rFonts w:eastAsiaTheme="minorEastAsia"/>
        </w:rPr>
        <w:tab/>
      </w:r>
      <w:r w:rsidRPr="001B7C40">
        <w:rPr>
          <w:rFonts w:eastAsiaTheme="minorEastAsia"/>
        </w:rPr>
        <w:tab/>
      </w:r>
      <w:r w:rsidRPr="001B7C40">
        <w:rPr>
          <w:rFonts w:eastAsiaTheme="minorEastAsia"/>
        </w:rPr>
        <w:tab/>
      </w:r>
      <m:oMath>
        <m:r>
          <m:rPr>
            <m:nor/>
          </m:rPr>
          <w:rPr>
            <w:rFonts w:ascii="Cambria Math" w:hAnsi="Cambria Math"/>
          </w:rPr>
          <m:t xml:space="preserve">Hotovost na jednotku ETF= </m:t>
        </m:r>
        <m:f>
          <m:fPr>
            <m:ctrlPr>
              <w:rPr>
                <w:rFonts w:ascii="Cambria Math" w:hAnsi="Cambria Math"/>
                <w:sz w:val="22"/>
              </w:rPr>
            </m:ctrlPr>
          </m:fPr>
          <m:num>
            <m:r>
              <m:rPr>
                <m:sty m:val="p"/>
              </m:rPr>
              <w:rPr>
                <w:rFonts w:ascii="Cambria Math"/>
                <w:sz w:val="22"/>
              </w:rPr>
              <m:t>Celkov</m:t>
            </m:r>
            <m:r>
              <m:rPr>
                <m:sty m:val="p"/>
              </m:rPr>
              <w:rPr>
                <w:rFonts w:ascii="Cambria Math"/>
                <w:sz w:val="22"/>
              </w:rPr>
              <m:t>á</m:t>
            </m:r>
            <m:r>
              <m:rPr>
                <m:sty m:val="p"/>
              </m:rPr>
              <w:rPr>
                <w:rFonts w:ascii="Cambria Math"/>
                <w:sz w:val="22"/>
              </w:rPr>
              <m:t xml:space="preserve"> hotovost</m:t>
            </m:r>
          </m:num>
          <m:den>
            <m:r>
              <m:rPr>
                <m:nor/>
              </m:rPr>
              <w:rPr>
                <w:sz w:val="22"/>
              </w:rPr>
              <m:t>počet jednotek ETF v CU</m:t>
            </m:r>
          </m:den>
        </m:f>
      </m:oMath>
      <w:r w:rsidR="001B7C40">
        <w:rPr>
          <w:rStyle w:val="null"/>
        </w:rPr>
        <w:t xml:space="preserve">  </w:t>
      </w:r>
      <w:r w:rsidR="001B7C40">
        <w:rPr>
          <w:rStyle w:val="null"/>
        </w:rPr>
        <w:tab/>
      </w:r>
      <w:r w:rsidR="001B7C40">
        <w:rPr>
          <w:rStyle w:val="null"/>
        </w:rPr>
        <w:tab/>
      </w:r>
      <w:r w:rsidR="001B7C40">
        <w:rPr>
          <w:rStyle w:val="null"/>
        </w:rPr>
        <w:tab/>
        <w:t xml:space="preserve">    [5]</w:t>
      </w:r>
    </w:p>
    <w:p w:rsidR="00AF399C" w:rsidRDefault="00AF399C" w:rsidP="00AF399C">
      <w:pPr>
        <w:spacing w:before="240" w:after="240" w:line="360" w:lineRule="auto"/>
        <w:rPr>
          <w:sz w:val="22"/>
        </w:rPr>
      </w:pPr>
    </w:p>
    <w:p w:rsidR="00AF399C" w:rsidRPr="00673138" w:rsidRDefault="00AF399C" w:rsidP="00AF399C">
      <w:pPr>
        <w:spacing w:after="240" w:line="360" w:lineRule="auto"/>
        <w:rPr>
          <w:szCs w:val="24"/>
        </w:rPr>
      </w:pPr>
      <w:r w:rsidRPr="00AE13EE">
        <w:rPr>
          <w:szCs w:val="24"/>
        </w:rPr>
        <w:lastRenderedPageBreak/>
        <w:t xml:space="preserve">Pro některé výpočty je vhodné využít tzv. odhadovanou hotovost, která v sobě zohledňuje potenciální dividendy, manažerské poplatky a jiné potenciální změny v hotovosti. Tento ukazatel je určen zejména </w:t>
      </w:r>
      <w:r>
        <w:rPr>
          <w:szCs w:val="24"/>
        </w:rPr>
        <w:t>pro AP pro vytvoření představy, za jaké částky bude možné vytvořit případně odkoupit jednotku ETF.</w:t>
      </w:r>
      <w:r w:rsidRPr="00AE13EE">
        <w:rPr>
          <w:szCs w:val="24"/>
        </w:rPr>
        <w:t xml:space="preserve"> </w:t>
      </w:r>
      <w:r w:rsidRPr="00AE13EE">
        <w:rPr>
          <w:rStyle w:val="Znakapoznpodarou"/>
          <w:szCs w:val="24"/>
        </w:rPr>
        <w:footnoteReference w:id="35"/>
      </w:r>
    </w:p>
    <w:p w:rsidR="00AF399C" w:rsidRDefault="00AF399C" w:rsidP="00AF399C">
      <w:pPr>
        <w:spacing w:after="240" w:line="360" w:lineRule="auto"/>
      </w:pPr>
      <w:r>
        <w:t xml:space="preserve">Odlišností oproti ostatním fondům kolektivního investování jsou diskonty a prémie. U ostatních fondů kolektivního investování odráží náladu investorů a mají dlouhodobý charakter, diskonty a prémie odráží budoucí očekávání investorů ohledně vývoje daného cenného papíru. Oproti tomu u ETF jsou pouze dočasného charakteru. Za normálních podmínek, pokud se objeví diskonty a prémie mezi </w:t>
      </w:r>
      <w:proofErr w:type="gramStart"/>
      <w:r>
        <w:t>NAV</w:t>
      </w:r>
      <w:proofErr w:type="gramEnd"/>
      <w:r>
        <w:t xml:space="preserve"> a cenou na trhu na konci obchodního dne, je to většinou důsledek obchodních aktivit těsně před uzavřením burzy (například zadáním obchodů větších objemů) a jsou zpravidla srovnány následující obchodní den. </w:t>
      </w:r>
      <w:r>
        <w:rPr>
          <w:rStyle w:val="Znakapoznpodarou"/>
        </w:rPr>
        <w:footnoteReference w:id="36"/>
      </w:r>
    </w:p>
    <w:p w:rsidR="00AF399C" w:rsidRDefault="00AF399C" w:rsidP="00AF399C">
      <w:pPr>
        <w:spacing w:after="240" w:line="360" w:lineRule="auto"/>
      </w:pPr>
      <w:r>
        <w:t>Ačkoli je hodnota NAV důležitá pro kalkulaci statistických ukazatelů, pro aktivní obchodování je významnější hodnota Intraday Indicative Value (IIV). Jak již název napovídá, jedná se o hodnotu vytvářenou nikoli na závěr obchodního dne tak jako NAV, ale je přepočítávána v průběhu obchodního dne. IIV udává hodnotu aktiv připadající v průběhu dne na creation unit. Jedná se o hodnotu udávanou takřka v reálném čase, je zveřejňována každých 15 vteřin. Pro výpočet IIV je zapotřebí znát složení portfolia, které emitenti zveřejňují denně, dále odhadovanou hotovost v portfoliu na jednotku ETF a poslední ceny podkladových aktiv. Výpočet IIV probíhá v pěti krocích:</w:t>
      </w:r>
      <w:r>
        <w:rPr>
          <w:rStyle w:val="Znakapoznpodarou"/>
        </w:rPr>
        <w:footnoteReference w:id="37"/>
      </w:r>
    </w:p>
    <w:p w:rsidR="00AF399C" w:rsidRDefault="00AF399C" w:rsidP="00AF399C">
      <w:pPr>
        <w:pStyle w:val="Odstavecseseznamem"/>
        <w:numPr>
          <w:ilvl w:val="0"/>
          <w:numId w:val="13"/>
        </w:numPr>
        <w:spacing w:after="240"/>
      </w:pPr>
      <w:r>
        <w:t>na základě CU je třeba zjistit podíl akcií v koši aktiv</w:t>
      </w:r>
    </w:p>
    <w:p w:rsidR="00AF399C" w:rsidRDefault="00AF399C" w:rsidP="00AF399C">
      <w:pPr>
        <w:pStyle w:val="Odstavecseseznamem"/>
        <w:numPr>
          <w:ilvl w:val="0"/>
          <w:numId w:val="13"/>
        </w:numPr>
        <w:spacing w:after="240"/>
      </w:pPr>
      <w:r>
        <w:t>vynásobení poslední ceny každé akcie jeho podílem v CU</w:t>
      </w:r>
    </w:p>
    <w:p w:rsidR="00AF399C" w:rsidRDefault="00AF399C" w:rsidP="00AF399C">
      <w:pPr>
        <w:pStyle w:val="Odstavecseseznamem"/>
        <w:numPr>
          <w:ilvl w:val="0"/>
          <w:numId w:val="13"/>
        </w:numPr>
        <w:spacing w:after="240"/>
      </w:pPr>
      <w:r>
        <w:t>sečtení produktů ke kalkulaci čistých aktiv fondu</w:t>
      </w:r>
    </w:p>
    <w:p w:rsidR="00AF399C" w:rsidRDefault="00AF399C" w:rsidP="00AF399C">
      <w:pPr>
        <w:pStyle w:val="Odstavecseseznamem"/>
        <w:numPr>
          <w:ilvl w:val="0"/>
          <w:numId w:val="13"/>
        </w:numPr>
        <w:spacing w:after="240"/>
      </w:pPr>
      <w:r>
        <w:t>podělení aktiv fondu počtem jednotek ETF na CU</w:t>
      </w:r>
    </w:p>
    <w:p w:rsidR="00AF399C" w:rsidRDefault="00AF399C" w:rsidP="00AF399C">
      <w:pPr>
        <w:pStyle w:val="Odstavecseseznamem"/>
        <w:numPr>
          <w:ilvl w:val="0"/>
          <w:numId w:val="13"/>
        </w:numPr>
        <w:spacing w:after="240"/>
      </w:pPr>
      <w:r>
        <w:t>k uvedenému přičíst odhadovanou hotovost dělenou počtem jednotek ETF na CU</w:t>
      </w:r>
    </w:p>
    <w:p w:rsidR="00AF399C" w:rsidRDefault="00AF399C" w:rsidP="00AF399C">
      <w:pPr>
        <w:spacing w:after="240" w:line="360" w:lineRule="auto"/>
      </w:pPr>
      <w:r>
        <w:t>Hodnota IIV je tedy kalkulována naprosto nezávisle od aktuální hodnoty ETF na burze. Vzorec pro výpočet IIV vypadá následovně:</w:t>
      </w:r>
    </w:p>
    <w:p w:rsidR="00AF399C" w:rsidRDefault="00AF399C" w:rsidP="00AF399C">
      <w:pPr>
        <w:spacing w:after="240" w:line="360" w:lineRule="auto"/>
      </w:pPr>
    </w:p>
    <w:p w:rsidR="00AF399C" w:rsidRPr="001B7C40" w:rsidRDefault="007A43D0" w:rsidP="001B7C40">
      <w:pPr>
        <w:spacing w:before="240" w:after="240"/>
        <w:rPr>
          <w:sz w:val="28"/>
        </w:rPr>
      </w:pPr>
      <m:oMath>
        <m:r>
          <m:rPr>
            <m:nor/>
          </m:rPr>
          <w:rPr>
            <w:rFonts w:ascii="Cambria Math"/>
            <w:sz w:val="28"/>
          </w:rPr>
          <m:t>IIV</m:t>
        </m:r>
        <m:r>
          <m:rPr>
            <m:nor/>
          </m:rPr>
          <w:rPr>
            <w:sz w:val="28"/>
          </w:rPr>
          <m:t xml:space="preserve">= </m:t>
        </m:r>
        <m:f>
          <m:fPr>
            <m:ctrlPr>
              <w:rPr>
                <w:rFonts w:ascii="Cambria Math" w:hAnsi="Cambria Math"/>
                <w:sz w:val="28"/>
              </w:rPr>
            </m:ctrlPr>
          </m:fPr>
          <m:num>
            <m:nary>
              <m:naryPr>
                <m:chr m:val="∑"/>
                <m:limLoc m:val="undOvr"/>
                <m:subHide m:val="on"/>
                <m:supHide m:val="on"/>
                <m:ctrlPr>
                  <w:rPr>
                    <w:rFonts w:ascii="Cambria Math" w:hAnsi="Cambria Math"/>
                    <w:sz w:val="28"/>
                  </w:rPr>
                </m:ctrlPr>
              </m:naryPr>
              <m:sub/>
              <m:sup/>
              <m:e>
                <m:r>
                  <m:rPr>
                    <m:sty m:val="p"/>
                  </m:rPr>
                  <w:rPr>
                    <w:rFonts w:ascii="Cambria Math" w:hAnsi="Cambria Math"/>
                    <w:sz w:val="28"/>
                  </w:rPr>
                  <m:t>Po</m:t>
                </m:r>
                <m:r>
                  <m:rPr>
                    <m:sty m:val="p"/>
                  </m:rPr>
                  <w:rPr>
                    <w:rFonts w:ascii="Cambria Math"/>
                    <w:sz w:val="28"/>
                  </w:rPr>
                  <m:t>č</m:t>
                </m:r>
                <m:r>
                  <m:rPr>
                    <m:sty m:val="p"/>
                  </m:rPr>
                  <w:rPr>
                    <w:rFonts w:ascii="Cambria Math" w:hAnsi="Cambria Math"/>
                    <w:sz w:val="28"/>
                  </w:rPr>
                  <m:t>et</m:t>
                </m:r>
                <m:r>
                  <m:rPr>
                    <m:sty m:val="p"/>
                  </m:rPr>
                  <w:rPr>
                    <w:rFonts w:ascii="Cambria Math"/>
                    <w:sz w:val="28"/>
                  </w:rPr>
                  <m:t xml:space="preserve"> </m:t>
                </m:r>
                <m:r>
                  <m:rPr>
                    <m:sty m:val="p"/>
                  </m:rPr>
                  <w:rPr>
                    <w:rFonts w:ascii="Cambria Math" w:hAnsi="Cambria Math"/>
                    <w:sz w:val="28"/>
                  </w:rPr>
                  <m:t>akci</m:t>
                </m:r>
                <m:r>
                  <m:rPr>
                    <m:sty m:val="p"/>
                  </m:rPr>
                  <w:rPr>
                    <w:rFonts w:ascii="Cambria Math"/>
                    <w:sz w:val="28"/>
                  </w:rPr>
                  <m:t>í</m:t>
                </m:r>
                <m:r>
                  <m:rPr>
                    <m:sty m:val="p"/>
                  </m:rPr>
                  <w:rPr>
                    <w:rFonts w:ascii="Cambria Math"/>
                    <w:sz w:val="28"/>
                  </w:rPr>
                  <m:t xml:space="preserve"> </m:t>
                </m:r>
                <m:r>
                  <m:rPr>
                    <m:sty m:val="p"/>
                  </m:rPr>
                  <w:rPr>
                    <w:rFonts w:ascii="Cambria Math" w:hAnsi="Cambria Math"/>
                    <w:sz w:val="28"/>
                  </w:rPr>
                  <m:t>jednotliv</m:t>
                </m:r>
                <m:r>
                  <m:rPr>
                    <m:sty m:val="p"/>
                  </m:rPr>
                  <w:rPr>
                    <w:rFonts w:ascii="Cambria Math"/>
                    <w:sz w:val="28"/>
                  </w:rPr>
                  <m:t>ý</m:t>
                </m:r>
                <m:r>
                  <m:rPr>
                    <m:sty m:val="p"/>
                  </m:rPr>
                  <w:rPr>
                    <w:rFonts w:ascii="Cambria Math" w:hAnsi="Cambria Math"/>
                    <w:sz w:val="28"/>
                  </w:rPr>
                  <m:t>ch</m:t>
                </m:r>
                <m:r>
                  <m:rPr>
                    <m:sty m:val="p"/>
                  </m:rPr>
                  <w:rPr>
                    <w:rFonts w:ascii="Cambria Math"/>
                    <w:sz w:val="28"/>
                  </w:rPr>
                  <m:t xml:space="preserve"> </m:t>
                </m:r>
                <m:r>
                  <m:rPr>
                    <m:sty m:val="p"/>
                  </m:rPr>
                  <w:rPr>
                    <w:rFonts w:ascii="Cambria Math" w:hAnsi="Cambria Math"/>
                    <w:sz w:val="28"/>
                  </w:rPr>
                  <m:t>aktiv</m:t>
                </m:r>
                <m:r>
                  <m:rPr>
                    <m:sty m:val="p"/>
                  </m:rPr>
                  <w:rPr>
                    <w:rFonts w:ascii="Cambria Math"/>
                    <w:sz w:val="28"/>
                  </w:rPr>
                  <m:t xml:space="preserve"> </m:t>
                </m:r>
                <m:r>
                  <m:rPr>
                    <m:sty m:val="p"/>
                  </m:rPr>
                  <w:rPr>
                    <w:rFonts w:ascii="Cambria Math" w:hAnsi="Cambria Math"/>
                    <w:sz w:val="28"/>
                  </w:rPr>
                  <m:t>portfolia*poslední cena</m:t>
                </m:r>
              </m:e>
            </m:nary>
          </m:num>
          <m:den>
            <m:r>
              <m:rPr>
                <m:nor/>
              </m:rPr>
              <w:rPr>
                <w:sz w:val="28"/>
              </w:rPr>
              <m:t>počet jednotek ETF v CU</m:t>
            </m:r>
          </m:den>
        </m:f>
        <m:r>
          <m:rPr>
            <m:sty m:val="p"/>
          </m:rPr>
          <w:rPr>
            <w:rFonts w:ascii="Cambria Math"/>
            <w:sz w:val="28"/>
          </w:rPr>
          <m:t xml:space="preserve">+ </m:t>
        </m:r>
        <m:f>
          <m:fPr>
            <m:ctrlPr>
              <w:rPr>
                <w:rFonts w:ascii="Cambria Math" w:hAnsi="Cambria Math"/>
                <w:sz w:val="28"/>
              </w:rPr>
            </m:ctrlPr>
          </m:fPr>
          <m:num>
            <m:r>
              <m:rPr>
                <m:sty m:val="p"/>
              </m:rPr>
              <w:rPr>
                <w:rFonts w:ascii="Cambria Math"/>
                <w:sz w:val="28"/>
              </w:rPr>
              <m:t>odhadovan</m:t>
            </m:r>
            <m:r>
              <m:rPr>
                <m:sty m:val="p"/>
              </m:rPr>
              <w:rPr>
                <w:rFonts w:ascii="Cambria Math"/>
                <w:sz w:val="28"/>
              </w:rPr>
              <m:t>á</m:t>
            </m:r>
            <m:r>
              <m:rPr>
                <m:sty m:val="p"/>
              </m:rPr>
              <w:rPr>
                <w:rFonts w:ascii="Cambria Math"/>
                <w:sz w:val="28"/>
              </w:rPr>
              <m:t xml:space="preserve"> hotovost</m:t>
            </m:r>
          </m:num>
          <m:den>
            <m:r>
              <m:rPr>
                <m:nor/>
              </m:rPr>
              <w:rPr>
                <w:sz w:val="28"/>
              </w:rPr>
              <m:t>počet jednotek ETF v CU</m:t>
            </m:r>
          </m:den>
        </m:f>
      </m:oMath>
      <w:r w:rsidR="001B7C40">
        <w:rPr>
          <w:rStyle w:val="null"/>
        </w:rPr>
        <w:t xml:space="preserve"> </w:t>
      </w:r>
      <w:r w:rsidR="001B7C40">
        <w:rPr>
          <w:rStyle w:val="null"/>
        </w:rPr>
        <w:tab/>
        <w:t xml:space="preserve">    [6]</w:t>
      </w:r>
    </w:p>
    <w:p w:rsidR="00AF399C" w:rsidRPr="00E801E2" w:rsidRDefault="00AF399C" w:rsidP="00AF399C">
      <w:pPr>
        <w:spacing w:after="240" w:line="360" w:lineRule="auto"/>
      </w:pPr>
    </w:p>
    <w:p w:rsidR="00AF399C" w:rsidRDefault="00AF399C" w:rsidP="00AF399C">
      <w:pPr>
        <w:spacing w:after="240" w:line="360" w:lineRule="auto"/>
      </w:pPr>
      <w:r>
        <w:t>V případě, že podkladová aktiva obsažená v koši ETF jsou obchodována na stejném trhu a ve stejné měně jako ETF, pak výpočet této hodnoty by měl být shodný s hodnotou NAV jednotky ETF. Hodnota IIV je zveřejňována v </w:t>
      </w:r>
      <w:proofErr w:type="gramStart"/>
      <w:r>
        <w:t>15ti</w:t>
      </w:r>
      <w:proofErr w:type="gramEnd"/>
      <w:r>
        <w:t xml:space="preserve"> vteřinovém intervalu, toto je v obchodním světě dlouhá doba, za kterou se může přihodit spousta věcí, z tohoto důvodu nemusí tyto dvě hodnoty korespondovat na 100 %.</w:t>
      </w:r>
      <w:r>
        <w:rPr>
          <w:rStyle w:val="Znakapoznpodarou"/>
        </w:rPr>
        <w:footnoteReference w:id="38"/>
      </w:r>
    </w:p>
    <w:p w:rsidR="00AF399C" w:rsidRDefault="00AF399C" w:rsidP="00AF399C">
      <w:pPr>
        <w:spacing w:after="240" w:line="360" w:lineRule="auto"/>
      </w:pPr>
      <w:r>
        <w:t>V případě, že jak ETF, tak akcie v něm obsažené, jsou kótovány ve stejné měně na stejném trhu, jsou výpočty hodnot NAV a IIV poměrně jednoduché. Situace se trochu komplikuje, pokud je potřeba uvažovat také měnové aspekty. Pokud jsou podkladová aktiva obchodována v jiné měně a navíc v jiném časovém pásmu, může vyvstat problém s určením kurzu potřebného pro přepočet do referenční měny. Hodnotu ETF pak neovlivňuje pouze kurz akcií obsažených v jeho portfoliu, ale také kurz měnového páru. Pokud se investor rozhodne investovat do takových ETF, kde jsou jednotlivé cenné papíry denominovány v různých měnách, musí počítat s měnovým rizikem.</w:t>
      </w:r>
    </w:p>
    <w:p w:rsidR="00AF399C" w:rsidRDefault="00AF399C" w:rsidP="00AF399C">
      <w:pPr>
        <w:spacing w:after="240" w:line="360" w:lineRule="auto"/>
      </w:pPr>
      <w:r>
        <w:t>V případě hodnot NAV se i zde využívají CU, celková hotovost a podíl akcií na ETF reprezentované CU, navíc je zde také započítána měnová konverze, aby byla cena přepočtena zpět na původní měnu (např. USD, pokud je ETF kótováno a vedeno v USD). Celý propočet je poté následující</w:t>
      </w:r>
      <w:r>
        <w:rPr>
          <w:rStyle w:val="Znakapoznpodarou"/>
        </w:rPr>
        <w:footnoteReference w:id="39"/>
      </w:r>
      <w:r>
        <w:t>:</w:t>
      </w:r>
    </w:p>
    <w:p w:rsidR="00AF399C" w:rsidRPr="001B7C40" w:rsidRDefault="007A43D0" w:rsidP="001B7C40">
      <w:pPr>
        <w:spacing w:after="240"/>
        <w:rPr>
          <w:sz w:val="22"/>
        </w:rPr>
      </w:pPr>
      <w:r w:rsidRPr="001B7C40">
        <w:rPr>
          <w:rFonts w:eastAsiaTheme="minorEastAsia"/>
          <w:sz w:val="22"/>
        </w:rPr>
        <w:tab/>
      </w:r>
      <m:oMath>
        <m:sSub>
          <m:sSubPr>
            <m:ctrlPr>
              <w:rPr>
                <w:rFonts w:ascii="Cambria Math" w:hAnsi="Cambria Math"/>
                <w:sz w:val="22"/>
              </w:rPr>
            </m:ctrlPr>
          </m:sSubPr>
          <m:e>
            <m:r>
              <m:rPr>
                <m:nor/>
              </m:rPr>
              <w:rPr>
                <w:sz w:val="22"/>
              </w:rPr>
              <m:t>NAV</m:t>
            </m:r>
          </m:e>
          <m:sub>
            <m:r>
              <m:rPr>
                <m:sty m:val="p"/>
              </m:rPr>
              <w:rPr>
                <w:rFonts w:ascii="Cambria Math" w:hAnsi="Cambria Math"/>
                <w:sz w:val="22"/>
              </w:rPr>
              <m:t>i</m:t>
            </m:r>
          </m:sub>
        </m:sSub>
        <m:r>
          <m:rPr>
            <m:nor/>
          </m:rPr>
          <w:rPr>
            <w:sz w:val="22"/>
          </w:rPr>
          <m:t xml:space="preserve">= </m:t>
        </m:r>
        <m:f>
          <m:fPr>
            <m:ctrlPr>
              <w:rPr>
                <w:rFonts w:ascii="Cambria Math" w:hAnsi="Cambria Math"/>
                <w:sz w:val="22"/>
              </w:rPr>
            </m:ctrlPr>
          </m:fPr>
          <m:num>
            <m:nary>
              <m:naryPr>
                <m:chr m:val="∑"/>
                <m:limLoc m:val="undOvr"/>
                <m:subHide m:val="on"/>
                <m:supHide m:val="on"/>
                <m:ctrlPr>
                  <w:rPr>
                    <w:rFonts w:ascii="Cambria Math" w:hAnsi="Cambria Math"/>
                    <w:sz w:val="22"/>
                  </w:rPr>
                </m:ctrlPr>
              </m:naryPr>
              <m:sub/>
              <m:sup/>
              <m:e>
                <m:r>
                  <m:rPr>
                    <m:sty m:val="p"/>
                  </m:rPr>
                  <w:rPr>
                    <w:rFonts w:ascii="Cambria Math" w:hAnsi="Cambria Math"/>
                    <w:sz w:val="22"/>
                  </w:rPr>
                  <m:t>Po</m:t>
                </m:r>
                <m:r>
                  <m:rPr>
                    <m:sty m:val="p"/>
                  </m:rPr>
                  <w:rPr>
                    <w:rFonts w:ascii="Cambria Math"/>
                    <w:sz w:val="22"/>
                  </w:rPr>
                  <m:t>č</m:t>
                </m:r>
                <m:r>
                  <m:rPr>
                    <m:sty m:val="p"/>
                  </m:rPr>
                  <w:rPr>
                    <w:rFonts w:ascii="Cambria Math" w:hAnsi="Cambria Math"/>
                    <w:sz w:val="22"/>
                  </w:rPr>
                  <m:t>et</m:t>
                </m:r>
                <m:r>
                  <m:rPr>
                    <m:sty m:val="p"/>
                  </m:rPr>
                  <w:rPr>
                    <w:rFonts w:ascii="Cambria Math"/>
                    <w:sz w:val="22"/>
                  </w:rPr>
                  <m:t xml:space="preserve"> </m:t>
                </m:r>
                <m:r>
                  <m:rPr>
                    <m:sty m:val="p"/>
                  </m:rPr>
                  <w:rPr>
                    <w:rFonts w:ascii="Cambria Math" w:hAnsi="Cambria Math"/>
                    <w:sz w:val="22"/>
                  </w:rPr>
                  <m:t>akci</m:t>
                </m:r>
                <m:r>
                  <m:rPr>
                    <m:sty m:val="p"/>
                  </m:rPr>
                  <w:rPr>
                    <w:rFonts w:ascii="Cambria Math"/>
                    <w:sz w:val="22"/>
                  </w:rPr>
                  <m:t>í</m:t>
                </m:r>
                <m:r>
                  <m:rPr>
                    <m:sty m:val="p"/>
                  </m:rPr>
                  <w:rPr>
                    <w:rFonts w:ascii="Cambria Math"/>
                    <w:sz w:val="22"/>
                  </w:rPr>
                  <m:t xml:space="preserve"> </m:t>
                </m:r>
                <m:r>
                  <m:rPr>
                    <m:sty m:val="p"/>
                  </m:rPr>
                  <w:rPr>
                    <w:rFonts w:ascii="Cambria Math" w:hAnsi="Cambria Math"/>
                    <w:sz w:val="22"/>
                  </w:rPr>
                  <m:t>jednotliv</m:t>
                </m:r>
                <m:r>
                  <m:rPr>
                    <m:sty m:val="p"/>
                  </m:rPr>
                  <w:rPr>
                    <w:rFonts w:ascii="Cambria Math"/>
                    <w:sz w:val="22"/>
                  </w:rPr>
                  <m:t>ý</m:t>
                </m:r>
                <m:r>
                  <m:rPr>
                    <m:sty m:val="p"/>
                  </m:rPr>
                  <w:rPr>
                    <w:rFonts w:ascii="Cambria Math" w:hAnsi="Cambria Math"/>
                    <w:sz w:val="22"/>
                  </w:rPr>
                  <m:t>ch</m:t>
                </m:r>
                <m:r>
                  <m:rPr>
                    <m:sty m:val="p"/>
                  </m:rPr>
                  <w:rPr>
                    <w:rFonts w:ascii="Cambria Math"/>
                    <w:sz w:val="22"/>
                  </w:rPr>
                  <m:t xml:space="preserve"> </m:t>
                </m:r>
                <m:r>
                  <m:rPr>
                    <m:sty m:val="p"/>
                  </m:rPr>
                  <w:rPr>
                    <w:rFonts w:ascii="Cambria Math" w:hAnsi="Cambria Math"/>
                    <w:sz w:val="22"/>
                  </w:rPr>
                  <m:t>aktiv</m:t>
                </m:r>
                <m:r>
                  <m:rPr>
                    <m:sty m:val="p"/>
                  </m:rPr>
                  <w:rPr>
                    <w:rFonts w:ascii="Cambria Math"/>
                    <w:sz w:val="22"/>
                  </w:rPr>
                  <m:t xml:space="preserve"> </m:t>
                </m:r>
                <m:r>
                  <m:rPr>
                    <m:sty m:val="p"/>
                  </m:rPr>
                  <w:rPr>
                    <w:rFonts w:ascii="Cambria Math" w:hAnsi="Cambria Math"/>
                    <w:sz w:val="22"/>
                  </w:rPr>
                  <m:t>portfolia*(</m:t>
                </m:r>
                <m:f>
                  <m:fPr>
                    <m:ctrlPr>
                      <w:rPr>
                        <w:rFonts w:ascii="Cambria Math" w:hAnsi="Cambria Math"/>
                        <w:sz w:val="22"/>
                      </w:rPr>
                    </m:ctrlPr>
                  </m:fPr>
                  <m:num>
                    <m:r>
                      <m:rPr>
                        <m:sty m:val="p"/>
                      </m:rPr>
                      <w:rPr>
                        <w:rFonts w:ascii="Cambria Math" w:hAnsi="Cambria Math"/>
                        <w:sz w:val="22"/>
                      </w:rPr>
                      <m:t>uzavírací cena</m:t>
                    </m:r>
                  </m:num>
                  <m:den>
                    <m:r>
                      <m:rPr>
                        <m:sty m:val="p"/>
                      </m:rPr>
                      <w:rPr>
                        <w:rFonts w:ascii="Cambria Math" w:hAnsi="Cambria Math"/>
                        <w:sz w:val="22"/>
                      </w:rPr>
                      <m:t>směnný kurz</m:t>
                    </m:r>
                  </m:den>
                </m:f>
                <m:r>
                  <m:rPr>
                    <m:sty m:val="p"/>
                  </m:rPr>
                  <w:rPr>
                    <w:rFonts w:ascii="Cambria Math" w:hAnsi="Cambria Math"/>
                    <w:sz w:val="22"/>
                  </w:rPr>
                  <m:t>)</m:t>
                </m:r>
              </m:e>
            </m:nary>
          </m:num>
          <m:den>
            <m:r>
              <m:rPr>
                <m:nor/>
              </m:rPr>
              <w:rPr>
                <w:sz w:val="22"/>
              </w:rPr>
              <m:t>počet jednotek ETF v CU</m:t>
            </m:r>
          </m:den>
        </m:f>
        <m:r>
          <m:rPr>
            <m:sty m:val="p"/>
          </m:rPr>
          <w:rPr>
            <w:rFonts w:ascii="Cambria Math"/>
            <w:sz w:val="22"/>
          </w:rPr>
          <m:t xml:space="preserve">+ </m:t>
        </m:r>
        <m:f>
          <m:fPr>
            <m:ctrlPr>
              <w:rPr>
                <w:rFonts w:ascii="Cambria Math" w:hAnsi="Cambria Math"/>
                <w:sz w:val="22"/>
              </w:rPr>
            </m:ctrlPr>
          </m:fPr>
          <m:num>
            <m:r>
              <m:rPr>
                <m:sty m:val="p"/>
              </m:rPr>
              <w:rPr>
                <w:rFonts w:ascii="Cambria Math"/>
                <w:sz w:val="22"/>
              </w:rPr>
              <m:t>Celkov</m:t>
            </m:r>
            <m:r>
              <m:rPr>
                <m:sty m:val="p"/>
              </m:rPr>
              <w:rPr>
                <w:rFonts w:ascii="Cambria Math"/>
                <w:sz w:val="22"/>
              </w:rPr>
              <m:t>á</m:t>
            </m:r>
            <m:r>
              <m:rPr>
                <m:sty m:val="p"/>
              </m:rPr>
              <w:rPr>
                <w:rFonts w:ascii="Cambria Math"/>
                <w:sz w:val="22"/>
              </w:rPr>
              <m:t xml:space="preserve"> hotovost</m:t>
            </m:r>
          </m:num>
          <m:den>
            <m:r>
              <m:rPr>
                <m:nor/>
              </m:rPr>
              <w:rPr>
                <w:sz w:val="22"/>
              </w:rPr>
              <m:t>počet jednotek ETF v CU</m:t>
            </m:r>
          </m:den>
        </m:f>
      </m:oMath>
      <w:r w:rsidR="001B7C40">
        <w:rPr>
          <w:rStyle w:val="null"/>
        </w:rPr>
        <w:t xml:space="preserve"> </w:t>
      </w:r>
      <w:r w:rsidR="001B7C40">
        <w:rPr>
          <w:rStyle w:val="null"/>
        </w:rPr>
        <w:tab/>
      </w:r>
      <w:r w:rsidR="001B7C40">
        <w:rPr>
          <w:rStyle w:val="null"/>
        </w:rPr>
        <w:tab/>
        <w:t>[7]</w:t>
      </w:r>
    </w:p>
    <w:p w:rsidR="00AF399C" w:rsidRDefault="00AF399C" w:rsidP="00AF399C">
      <w:pPr>
        <w:spacing w:after="240" w:line="360" w:lineRule="auto"/>
        <w:rPr>
          <w:sz w:val="22"/>
        </w:rPr>
      </w:pPr>
    </w:p>
    <w:p w:rsidR="00AF399C" w:rsidRPr="005731A7" w:rsidRDefault="00AF399C" w:rsidP="00AF399C">
      <w:pPr>
        <w:spacing w:after="240" w:line="360" w:lineRule="auto"/>
      </w:pPr>
      <w:r>
        <w:t xml:space="preserve">Pokud jde o výpočet intradenní indikativní hodnoty, pak je zde výpočet poněkud obtížnější. Jak bylo uvedeno výše, probíhá stanovování ceny v průběhu celého dne, pokud je však některé z podkladových aktiv obchodováno na burze v jiném časovém pásmu, jen těžko se odhaduje jeho spotová cena, která by musela být zahrnuta do výpočtu této hodnoty. Pokud </w:t>
      </w:r>
      <w:r>
        <w:lastRenderedPageBreak/>
        <w:t xml:space="preserve">jsou v ETF obsažena mezinárodní aktiva, pak se zjednodušeně řečeno cena podkladových aktiv přizpůsobuje vývoji ceny ETF. Tento mechanismus souvisí s tím, že jakmile se uzavře burza, kde je obchodováno ETF, je vypočtena hodnota NAV. V průběhu obchodního dne na zahraniční burze je tvořena hodnota IIV. Jakmile se však začne obchodovat burza ETF, bude se cena pohybovat dle dříve vypočteného NAV, ale poté se bude kurz vyvíjet na základě nových informací ze zahraničí, </w:t>
      </w:r>
      <w:proofErr w:type="gramStart"/>
      <w:r>
        <w:t>tzn.</w:t>
      </w:r>
      <w:proofErr w:type="gramEnd"/>
      <w:r>
        <w:t xml:space="preserve"> investoři na burze ETF </w:t>
      </w:r>
      <w:proofErr w:type="gramStart"/>
      <w:r>
        <w:t>budou</w:t>
      </w:r>
      <w:proofErr w:type="gramEnd"/>
      <w:r>
        <w:t xml:space="preserve"> reagovat na dění v zemích podkladových aktiv a tomu se bude přizpůsobovat také cena jednotek ETF. Jakmile dojde k otevření zahraniční burzy, je možné, že se do hodnot jednotlivých titulů promítne i očekávání investorů, které již bylo zohledněno při tvorbě ceny ETF. V případě IIV u ETF s mezinárodními aktivy tedy není tento výpočet nejvhodnější, je založen nikoli na reálných datech, ale na očekávaném vývoji.  </w:t>
      </w:r>
      <w:r>
        <w:rPr>
          <w:rStyle w:val="Znakapoznpodarou"/>
        </w:rPr>
        <w:footnoteReference w:id="40"/>
      </w:r>
    </w:p>
    <w:p w:rsidR="00AF399C" w:rsidRDefault="00AF399C" w:rsidP="00371136">
      <w:pPr>
        <w:pStyle w:val="Nadpis3"/>
      </w:pPr>
      <w:r>
        <w:t xml:space="preserve"> </w:t>
      </w:r>
      <w:bookmarkStart w:id="28" w:name="_Toc386145989"/>
      <w:r>
        <w:t>Pozitiva a negativa ETF</w:t>
      </w:r>
      <w:r w:rsidR="00526A72">
        <w:t>s</w:t>
      </w:r>
      <w:bookmarkEnd w:id="28"/>
    </w:p>
    <w:p w:rsidR="00AF399C" w:rsidRDefault="00AF399C" w:rsidP="00AF399C">
      <w:pPr>
        <w:spacing w:after="240" w:line="360" w:lineRule="auto"/>
      </w:pPr>
      <w:r>
        <w:t>Tak jako každá investice, tak i ETF</w:t>
      </w:r>
      <w:r w:rsidR="00526A72">
        <w:t>s</w:t>
      </w:r>
      <w:r>
        <w:t xml:space="preserve"> má svá pro a proti, která by si měl investor uvědomit před samotnou investicí. Na následujících řádcích se proto pokusím nastínit, které výhody mohou ETF</w:t>
      </w:r>
      <w:r w:rsidR="00526A72">
        <w:t>s</w:t>
      </w:r>
      <w:r>
        <w:t xml:space="preserve"> přinést a naopak jaké zápory s sebou tato investice ponese. </w:t>
      </w:r>
    </w:p>
    <w:p w:rsidR="00B637D4" w:rsidRPr="00965D29" w:rsidRDefault="00B637D4" w:rsidP="00AF399C">
      <w:pPr>
        <w:spacing w:after="240" w:line="360" w:lineRule="auto"/>
      </w:pPr>
      <w:r>
        <w:t>V příloze č. 1 této práce je uvedena komparace vybraných vlastností ETFs s vlastnostmi otevřeného podílového fondu. Srovnání těchto dvou produktů bylo zvoleno záměrně v návaznosti na to, že z právního pohledu se na ETFs pohlíží právě jako na otevřený podílový fond.</w:t>
      </w:r>
    </w:p>
    <w:p w:rsidR="00AF399C" w:rsidRDefault="00AF399C" w:rsidP="00371136">
      <w:pPr>
        <w:pStyle w:val="Nadpis3"/>
        <w:numPr>
          <w:ilvl w:val="3"/>
          <w:numId w:val="11"/>
        </w:numPr>
      </w:pPr>
      <w:bookmarkStart w:id="29" w:name="_Toc386145990"/>
      <w:r>
        <w:t>Výhody ETF</w:t>
      </w:r>
      <w:r w:rsidR="00526A72">
        <w:t>s</w:t>
      </w:r>
      <w:bookmarkEnd w:id="29"/>
    </w:p>
    <w:p w:rsidR="00AF399C" w:rsidRDefault="00AF399C" w:rsidP="00AF399C">
      <w:pPr>
        <w:spacing w:after="240" w:line="360" w:lineRule="auto"/>
      </w:pPr>
      <w:r>
        <w:t>Prvním rozdílem například od podílových listů je vysoká likvidita, ETF</w:t>
      </w:r>
      <w:r w:rsidR="00A44F81">
        <w:t>s</w:t>
      </w:r>
      <w:r>
        <w:t xml:space="preserve"> jsou obchodovány na burze, což investorům nabízí široké možnosti okamžitého odkupu jejich cenných papírů. Oceňování podílových listů oproti tomu probíhá pouze na konci obchodního dne, hodnota (kurz) ETF</w:t>
      </w:r>
      <w:r w:rsidR="00A44F81">
        <w:t>s je závislá</w:t>
      </w:r>
      <w:r>
        <w:t xml:space="preserve"> na nabídce a poptávce a je proměnliv</w:t>
      </w:r>
      <w:r w:rsidR="00A44F81">
        <w:t>á</w:t>
      </w:r>
      <w:r>
        <w:t xml:space="preserve"> během celého dne. </w:t>
      </w:r>
    </w:p>
    <w:p w:rsidR="00AF399C" w:rsidRDefault="00AF399C" w:rsidP="00AF399C">
      <w:pPr>
        <w:spacing w:after="240" w:line="360" w:lineRule="auto"/>
      </w:pPr>
      <w:r>
        <w:t>Další nespornou výhodou jsou nízké poplatky za správu, které se mohou pohybovat v rozmezí 0,09 - 0,99 %.</w:t>
      </w:r>
      <w:r>
        <w:rPr>
          <w:rStyle w:val="Znakapoznpodarou"/>
        </w:rPr>
        <w:footnoteReference w:id="41"/>
      </w:r>
      <w:r>
        <w:t xml:space="preserve"> Nejnižší poplatky se přirozeně vyskytují u pasivně zaměřených fondů </w:t>
      </w:r>
      <w:r>
        <w:lastRenderedPageBreak/>
        <w:t>kopírujících vývoje určitého indexu. Nejvyšší se vyskytují u komoditních ETF</w:t>
      </w:r>
      <w:r w:rsidR="00526A72">
        <w:t>s</w:t>
      </w:r>
      <w:r>
        <w:t xml:space="preserve"> a alternativních ETF</w:t>
      </w:r>
      <w:r w:rsidR="00526A72">
        <w:t>s</w:t>
      </w:r>
      <w:r>
        <w:t xml:space="preserve"> (pákové a inverzní ETF</w:t>
      </w:r>
      <w:r w:rsidR="00526A72">
        <w:t>s</w:t>
      </w:r>
      <w:r>
        <w:t>).</w:t>
      </w:r>
    </w:p>
    <w:p w:rsidR="00AF399C" w:rsidRDefault="00AF399C" w:rsidP="00AF399C">
      <w:pPr>
        <w:spacing w:after="240" w:line="360" w:lineRule="auto"/>
      </w:pPr>
      <w:r>
        <w:t>Transparentnost ETF</w:t>
      </w:r>
      <w:r w:rsidR="00A44F81">
        <w:t>s</w:t>
      </w:r>
      <w:r>
        <w:t xml:space="preserve"> patří také mezi pozitivní vlastnosti těchto produktů. Jak již bylo řečeno, velká část je pasivně řízena a jejich cílem je kopírovat či korespondovat s vývojem předem určeného podkladu, v jejich portfoliu se tedy nachází takové složení cenných papírů, které odpovídá složení podkladu. </w:t>
      </w:r>
    </w:p>
    <w:p w:rsidR="00AF399C" w:rsidRDefault="00AF399C" w:rsidP="00AF399C">
      <w:pPr>
        <w:spacing w:after="240" w:line="360" w:lineRule="auto"/>
      </w:pPr>
      <w:r>
        <w:t>ETF</w:t>
      </w:r>
      <w:r w:rsidR="00A44F81">
        <w:t>s</w:t>
      </w:r>
      <w:r>
        <w:t xml:space="preserve"> jsou burzovně obchodované, takže investor má možnost využít při jejich obchodování také inteligentních pokynů burzy, případně využít obchodování na margin, má možnost využít tzv. short sell. Obdobné způsoby obchodování však nelze využít u podílových fondů, kde jsou podílové listy odkupovány investiční společností. V dnešní době už existují i produkty, které umožňují profitovat nikoli na rostoucích trzích, ale právě na klesajících. Podrobněji se těmto produktům budu věnovat v následující podkapitole.  </w:t>
      </w:r>
    </w:p>
    <w:p w:rsidR="00AF399C" w:rsidRDefault="00AF399C" w:rsidP="00AF399C">
      <w:pPr>
        <w:spacing w:after="240" w:line="360" w:lineRule="auto"/>
      </w:pPr>
      <w:r>
        <w:t xml:space="preserve"> Mezi výhody také určitě lze zařadit možnost investic do takových produktů, ke kterým by se jinak běžný investor nedostal. Pokud si investor zvolí určité investiční zaměření, má možnost tímto produktem koupit celý koš akcií, který může obnášet třeba 500 kusů. Drobný investor nemá možnosti tvorby vlastního portfolia v takovém roz</w:t>
      </w:r>
      <w:r w:rsidR="00526A72">
        <w:t xml:space="preserve">sahu. Jelikož už je nabídka ETFs </w:t>
      </w:r>
      <w:r>
        <w:t xml:space="preserve">poměrně rozsáhlá, má každý investor možnost zvolit přesně své preferované zaměření.  </w:t>
      </w:r>
    </w:p>
    <w:p w:rsidR="00AF399C" w:rsidRDefault="00AF399C" w:rsidP="00AF399C">
      <w:pPr>
        <w:spacing w:after="240" w:line="360" w:lineRule="auto"/>
      </w:pPr>
      <w:r>
        <w:t xml:space="preserve">Za zmínku také na tomto místě stojí daňové hledisko tohoto produktu. V případě splnění tzv. časového testu </w:t>
      </w:r>
      <w:r>
        <w:rPr>
          <w:rStyle w:val="Znakapoznpodarou"/>
        </w:rPr>
        <w:footnoteReference w:id="42"/>
      </w:r>
      <w:r>
        <w:t xml:space="preserve"> není výnos z prodeje tohoto cenného papíru podroben dani z příjmů. Existují taková ETF</w:t>
      </w:r>
      <w:r w:rsidR="00A44F81">
        <w:t>s</w:t>
      </w:r>
      <w:r>
        <w:t xml:space="preserve">, které investorům vyplácí dividendové výnosy, ty podléhají </w:t>
      </w:r>
      <w:r w:rsidR="00A44F81">
        <w:t xml:space="preserve">v České republice </w:t>
      </w:r>
      <w:r>
        <w:t>srážkové dani ve výši 15 %, přičemž ve většině případů jsou zdaněny přímo u zdroje a konečnému investorovi je vyplacena už čistá daň.</w:t>
      </w:r>
      <w:r>
        <w:rPr>
          <w:rStyle w:val="Znakapoznpodarou"/>
        </w:rPr>
        <w:footnoteReference w:id="43"/>
      </w:r>
      <w:r>
        <w:t xml:space="preserve"> </w:t>
      </w:r>
    </w:p>
    <w:p w:rsidR="00AF399C" w:rsidRPr="009D738F" w:rsidRDefault="00AF399C" w:rsidP="00371136">
      <w:pPr>
        <w:pStyle w:val="Nadpis3"/>
        <w:numPr>
          <w:ilvl w:val="3"/>
          <w:numId w:val="11"/>
        </w:numPr>
      </w:pPr>
      <w:bookmarkStart w:id="30" w:name="_Toc386145991"/>
      <w:r>
        <w:t>Nevýhody ETF</w:t>
      </w:r>
      <w:r w:rsidR="00526A72">
        <w:t>s</w:t>
      </w:r>
      <w:bookmarkEnd w:id="30"/>
    </w:p>
    <w:p w:rsidR="00AF399C" w:rsidRDefault="00AF399C" w:rsidP="00AF399C">
      <w:pPr>
        <w:spacing w:after="240" w:line="360" w:lineRule="auto"/>
      </w:pPr>
      <w:r>
        <w:t xml:space="preserve">Jak jsem již uvedla, oceňování ETF probíhá na základě nabídky a poptávky po daném produktu, není tedy závislé jen na hodnotě podkladového aktiva. Následkem toho může </w:t>
      </w:r>
      <w:r>
        <w:lastRenderedPageBreak/>
        <w:t xml:space="preserve">investor nakoupit tento cenný papír jak se „slevou“, tj za hodnotu nižší případně vyšší než je jeho NAV. </w:t>
      </w:r>
      <w:r>
        <w:rPr>
          <w:rStyle w:val="Znakapoznpodarou"/>
        </w:rPr>
        <w:footnoteReference w:id="44"/>
      </w:r>
    </w:p>
    <w:p w:rsidR="00AF399C" w:rsidRDefault="00AF399C" w:rsidP="00AF399C">
      <w:pPr>
        <w:spacing w:after="240" w:line="360" w:lineRule="auto"/>
      </w:pPr>
      <w:r>
        <w:t>Společně s tím lze uvést jako další problémovou oblast tracking error, což vyjadřuje rozdíl mezi výnosem, který by investor uskutečnil nákupem přímo podkladového aktiva a nákupem ETF. Dojde tedy k odchylce od přesného kopírování sledovaného indexu. Toto může být zapříčiněno například frekvencí vyplácení dividend, kdy u ETF</w:t>
      </w:r>
      <w:r w:rsidR="00526A72">
        <w:t>s</w:t>
      </w:r>
      <w:r>
        <w:t xml:space="preserve"> (pokud jsou vypláceny), jsou vypláceny například na konci čtvrtletí, ale jednotlivé tituly mohou dividendy vyplácet v průběhu celého čtvrtletí.</w:t>
      </w:r>
      <w:r>
        <w:rPr>
          <w:rStyle w:val="Znakapoznpodarou"/>
        </w:rPr>
        <w:footnoteReference w:id="45"/>
      </w:r>
      <w:r>
        <w:t xml:space="preserve"> Dalším způsobem, jakým může dojít k nedokonalému kopírování vývoje hodnot ETF</w:t>
      </w:r>
      <w:r w:rsidR="00526A72">
        <w:t>s</w:t>
      </w:r>
      <w:r>
        <w:t xml:space="preserve"> je skladba portfolia, kdy v jeho složení nejsou obsaženy veškeré tituly jako v podkladu. To může mít za následek drobné odchylky</w:t>
      </w:r>
    </w:p>
    <w:p w:rsidR="00AF399C" w:rsidRDefault="00AF399C" w:rsidP="00AF399C">
      <w:pPr>
        <w:spacing w:after="240" w:line="360" w:lineRule="auto"/>
      </w:pPr>
      <w:r>
        <w:t>Český investor je vždy vystaven měnovému riziku, jelikož žádné ETF není obchodováno v českých korunách. Společně s tím může být pro českého investora problém nalézt ETF, které by kopírovalo složení některého z českých indexů, jako například PX nebo RM index. Prozatím takové není vytvořeno. Co se týče českých titulů zastoupených v portfoliích ETF</w:t>
      </w:r>
      <w:r w:rsidR="00A44F81">
        <w:t>s</w:t>
      </w:r>
      <w:r>
        <w:t>, pak je možné nalézt nejobchodovanější tituly – např. ČEZ</w:t>
      </w:r>
      <w:r>
        <w:rPr>
          <w:rStyle w:val="Znakapoznpodarou"/>
        </w:rPr>
        <w:footnoteReference w:id="46"/>
      </w:r>
      <w:r>
        <w:t xml:space="preserve">, jejich váhové zastoupení nepřesahuje 25%. </w:t>
      </w:r>
    </w:p>
    <w:p w:rsidR="00AF399C" w:rsidRDefault="00AF399C" w:rsidP="00AF399C">
      <w:pPr>
        <w:spacing w:line="360" w:lineRule="auto"/>
      </w:pPr>
      <w:r>
        <w:t>Aktuálně ani nejsou žádná ETF</w:t>
      </w:r>
      <w:r w:rsidR="00526A72">
        <w:t>s</w:t>
      </w:r>
      <w:r>
        <w:t xml:space="preserve"> obchodována na české burze, je tedy zapotřebí využít takového obchodníka s cennými papíry, který má přístup na zahraniční burzy. Zde je potřeba počítat samozřejmě i s poplatky spojené s obchodováním těchto instrumentů. Obchodníky s cennými papíry, přes které je v České republice možné obchodo</w:t>
      </w:r>
      <w:r w:rsidR="00A44F81">
        <w:t>vat ETF</w:t>
      </w:r>
      <w:r w:rsidR="00526A72">
        <w:t>s</w:t>
      </w:r>
      <w:r w:rsidR="00A44F81">
        <w:t xml:space="preserve">, přiblížím </w:t>
      </w:r>
      <w:r>
        <w:t>ve 2. kapitole této práce, společně s tím zde budou analyzovány poplatky těchto obchodníků spojené s obchodováním ETF</w:t>
      </w:r>
      <w:r w:rsidR="00526A72">
        <w:t>s</w:t>
      </w:r>
      <w:r>
        <w:t>.</w:t>
      </w:r>
    </w:p>
    <w:p w:rsidR="00AF399C" w:rsidRDefault="00AF399C" w:rsidP="00371136">
      <w:pPr>
        <w:pStyle w:val="Nadpis3"/>
      </w:pPr>
      <w:r w:rsidRPr="00043B3B">
        <w:t xml:space="preserve"> </w:t>
      </w:r>
      <w:bookmarkStart w:id="31" w:name="_Toc386145992"/>
      <w:r w:rsidRPr="00043B3B">
        <w:t>Dělení ETF</w:t>
      </w:r>
      <w:r w:rsidR="00526A72">
        <w:t>s</w:t>
      </w:r>
      <w:bookmarkEnd w:id="31"/>
    </w:p>
    <w:p w:rsidR="00AF399C" w:rsidRDefault="00AF399C" w:rsidP="00AF399C">
      <w:pPr>
        <w:spacing w:line="360" w:lineRule="auto"/>
      </w:pPr>
      <w:r>
        <w:t>V současné době existuje množství produktů, kterým lidé souhrnně říkají ETF</w:t>
      </w:r>
      <w:r w:rsidR="00A44F81">
        <w:t>s</w:t>
      </w:r>
      <w:r>
        <w:t>, ale které v zásadě neodpovídají tradiční definici ETF</w:t>
      </w:r>
      <w:r w:rsidR="00A44F81">
        <w:t>s</w:t>
      </w:r>
      <w:r>
        <w:t xml:space="preserve">. Je důležité rozlišovat mezi čtyřmi základními </w:t>
      </w:r>
      <w:r>
        <w:lastRenderedPageBreak/>
        <w:t>kategoriemi produktů. New York Stock Exchange používá základní definice, aby rozlišila tyto základní produkty</w:t>
      </w:r>
      <w:r>
        <w:rPr>
          <w:rStyle w:val="Znakapoznpodarou"/>
        </w:rPr>
        <w:footnoteReference w:id="47"/>
      </w:r>
      <w:r>
        <w:t>:</w:t>
      </w:r>
    </w:p>
    <w:p w:rsidR="00AF399C" w:rsidRDefault="00512233" w:rsidP="00AF399C">
      <w:pPr>
        <w:pStyle w:val="Odstavecseseznamem"/>
        <w:numPr>
          <w:ilvl w:val="0"/>
          <w:numId w:val="13"/>
        </w:numPr>
      </w:pPr>
      <w:r>
        <w:rPr>
          <w:b/>
          <w:i/>
        </w:rPr>
        <w:t>Exchange Traded P</w:t>
      </w:r>
      <w:r w:rsidR="00AF399C" w:rsidRPr="00763CE4">
        <w:rPr>
          <w:b/>
          <w:i/>
        </w:rPr>
        <w:t>roducts (ETP)</w:t>
      </w:r>
      <w:r w:rsidR="00AF399C">
        <w:t xml:space="preserve"> – termín pro hlavní kategorii produktů. Zahrnuje v sobě ETF, ETN i ETV (viz dále v textu). Hlavní charakteristiky spočívají v tom, že emitent neprodává podíly přímo investorům, jsou prodávány autorizovaným účastníkům v obrovských množstvích (typicky 50.000 kusů a více). Dalším znakem je, že zde nedochází k peněžnímu vypořádání, namísto toho jsou jednotky ETN</w:t>
      </w:r>
      <w:r w:rsidR="00526A72">
        <w:t>s</w:t>
      </w:r>
      <w:r w:rsidR="00AF399C">
        <w:t xml:space="preserve"> vyměněny za koš specifických cenných papírů ETF</w:t>
      </w:r>
      <w:r w:rsidR="00A44F81">
        <w:t>s</w:t>
      </w:r>
      <w:r w:rsidR="00AF399C">
        <w:t>. Jedná se tedy o naturální směnný mechanismus, který je výhodný zejména z daňového hlediska a řízení portfolia ETN</w:t>
      </w:r>
      <w:r w:rsidR="00526A72">
        <w:t>s</w:t>
      </w:r>
      <w:r w:rsidR="00AF399C">
        <w:t xml:space="preserve">. Tyto produkty jsou obchodovány v průběhu celého dne na veřejných burzách. Tržní likvidita je zajišťována market makery. </w:t>
      </w:r>
    </w:p>
    <w:p w:rsidR="00AF399C" w:rsidRDefault="00AF399C" w:rsidP="00AF399C">
      <w:pPr>
        <w:pStyle w:val="Odstavecseseznamem"/>
        <w:numPr>
          <w:ilvl w:val="0"/>
          <w:numId w:val="13"/>
        </w:numPr>
      </w:pPr>
      <w:r>
        <w:rPr>
          <w:b/>
          <w:i/>
        </w:rPr>
        <w:t xml:space="preserve">Exchange </w:t>
      </w:r>
      <w:r w:rsidR="00512233">
        <w:rPr>
          <w:b/>
          <w:i/>
        </w:rPr>
        <w:t>Traded F</w:t>
      </w:r>
      <w:r>
        <w:rPr>
          <w:b/>
          <w:i/>
        </w:rPr>
        <w:t>und (ETF)</w:t>
      </w:r>
      <w:r>
        <w:t xml:space="preserve"> – jedná se o nejrozšířenější kategorii produktů. Na rozdíl od fondů kolektivního investování</w:t>
      </w:r>
      <w:r w:rsidR="00512233">
        <w:t>,</w:t>
      </w:r>
      <w:r>
        <w:t xml:space="preserve"> ETF</w:t>
      </w:r>
      <w:r w:rsidR="00512233">
        <w:t>s</w:t>
      </w:r>
      <w:r>
        <w:t xml:space="preserve"> mohou být koupeny a prodány na veřejných burzách prostřednictvím obchodníků s cennými papíry. ETF</w:t>
      </w:r>
      <w:r w:rsidR="00526A72">
        <w:t>s</w:t>
      </w:r>
      <w:r>
        <w:t xml:space="preserve"> mají několik rozlišovacích charakteristik:</w:t>
      </w:r>
    </w:p>
    <w:p w:rsidR="00AF399C" w:rsidRDefault="00AF399C" w:rsidP="00AF399C">
      <w:pPr>
        <w:pStyle w:val="Odstavecseseznamem"/>
        <w:numPr>
          <w:ilvl w:val="1"/>
          <w:numId w:val="13"/>
        </w:numPr>
      </w:pPr>
      <w:r>
        <w:t>portfolio fondu je řízeno poradcem s pověřením sledovat určitý index nebo portfolio benchmark. Pokud je již určen základní index, je na uvážení manažera fondu, jakým způsobem bude tento index sledovat.</w:t>
      </w:r>
    </w:p>
    <w:p w:rsidR="00AF399C" w:rsidRDefault="00AF399C" w:rsidP="00AF399C">
      <w:pPr>
        <w:pStyle w:val="Odstavecseseznamem"/>
        <w:numPr>
          <w:ilvl w:val="1"/>
          <w:numId w:val="13"/>
        </w:numPr>
      </w:pPr>
      <w:r>
        <w:t>ETF</w:t>
      </w:r>
      <w:r w:rsidR="00526A72">
        <w:t>s</w:t>
      </w:r>
      <w:r>
        <w:t xml:space="preserve"> jsou registrovány</w:t>
      </w:r>
      <w:r w:rsidR="00512233">
        <w:t xml:space="preserve"> v USA</w:t>
      </w:r>
      <w:r>
        <w:t xml:space="preserve"> dle Zákona o investičních společnostech z roku 1940, které dává investorům jistou ochranu</w:t>
      </w:r>
    </w:p>
    <w:p w:rsidR="00AF399C" w:rsidRPr="000F46F1" w:rsidRDefault="00AF399C" w:rsidP="00AF399C">
      <w:pPr>
        <w:pStyle w:val="Odstavecseseznamem"/>
        <w:numPr>
          <w:ilvl w:val="1"/>
          <w:numId w:val="13"/>
        </w:numPr>
        <w:spacing w:before="240" w:after="240"/>
        <w:rPr>
          <w:b/>
          <w:i/>
        </w:rPr>
      </w:pPr>
      <w:r>
        <w:t xml:space="preserve">stejně jako klasické fondy kolektivního investování zde existuje rada správců, která má za úkol dohlížet nad daným fondem. </w:t>
      </w:r>
    </w:p>
    <w:p w:rsidR="00AF399C" w:rsidRDefault="00512233" w:rsidP="00AF399C">
      <w:pPr>
        <w:pStyle w:val="Odstavecseseznamem"/>
        <w:numPr>
          <w:ilvl w:val="0"/>
          <w:numId w:val="13"/>
        </w:numPr>
        <w:spacing w:before="240"/>
      </w:pPr>
      <w:r>
        <w:rPr>
          <w:b/>
          <w:i/>
        </w:rPr>
        <w:t>Exchange Traded N</w:t>
      </w:r>
      <w:r w:rsidR="00AF399C" w:rsidRPr="000F46F1">
        <w:rPr>
          <w:b/>
          <w:i/>
        </w:rPr>
        <w:t>otes (ETN</w:t>
      </w:r>
      <w:r w:rsidR="00AF399C" w:rsidRPr="00933B4E">
        <w:rPr>
          <w:b/>
          <w:i/>
        </w:rPr>
        <w:t>)</w:t>
      </w:r>
      <w:r w:rsidR="00AF399C">
        <w:t xml:space="preserve"> – dluhový cenný papír vydaný upisovatelskou bankou za účelem sledování výnosu specifického podkladového benchmarku. Tento dluh je obvykle nezajištěný a nepodřízený. Typickým znakem ETN</w:t>
      </w:r>
      <w:r w:rsidR="00526A72">
        <w:t>s</w:t>
      </w:r>
      <w:r w:rsidR="00AF399C">
        <w:t xml:space="preserve"> je to, že je zajištěn pouze kreditem emitenta. </w:t>
      </w:r>
    </w:p>
    <w:p w:rsidR="00AF399C" w:rsidRPr="007A43D0" w:rsidRDefault="00512233" w:rsidP="00AF399C">
      <w:pPr>
        <w:pStyle w:val="Odstavecseseznamem"/>
        <w:numPr>
          <w:ilvl w:val="0"/>
          <w:numId w:val="13"/>
        </w:numPr>
        <w:spacing w:before="240"/>
      </w:pPr>
      <w:r>
        <w:rPr>
          <w:b/>
          <w:i/>
        </w:rPr>
        <w:t>Exchange Traded V</w:t>
      </w:r>
      <w:r w:rsidR="00AF399C" w:rsidRPr="00933B4E">
        <w:rPr>
          <w:b/>
          <w:i/>
        </w:rPr>
        <w:t>ehicles (ETV)</w:t>
      </w:r>
      <w:r w:rsidR="00AF399C">
        <w:t xml:space="preserve"> – tento pojem není tak široce využ</w:t>
      </w:r>
      <w:r w:rsidR="00526A72">
        <w:t xml:space="preserve">íván jako ETF </w:t>
      </w:r>
      <w:r w:rsidR="00AF399C">
        <w:t xml:space="preserve">nebo ETN. Některé z těchto produktů jsou občas nazývány široce jako ETP. To je sice z podstaty věci správné, nicméně to neurčuje rozdíly mezi nimi, ETF a ETV. ETV je určitý trust nebo jednotka, která se řídí zákonem z roku 1933 a je obchodována na národní burze cenných papírů, zahrnuje komodity a měny. Na rozdíl od ETF, podílníci přímo vlastní podkladové aktivum a nemohou užívat ochrany spojené s podílem na </w:t>
      </w:r>
      <w:r w:rsidR="00AF399C">
        <w:lastRenderedPageBreak/>
        <w:t xml:space="preserve">vlastnictví podílu v investiční společnosti registrované dle Zákona o investičních společnostech z roku 1940. </w:t>
      </w:r>
    </w:p>
    <w:p w:rsidR="00AF399C" w:rsidRDefault="00AF399C" w:rsidP="00AF399C">
      <w:pPr>
        <w:spacing w:after="240" w:line="360" w:lineRule="auto"/>
      </w:pPr>
      <w:r>
        <w:t>Jak již bylo řečeno, ETF</w:t>
      </w:r>
      <w:r w:rsidR="00526A72">
        <w:t>s</w:t>
      </w:r>
      <w:r>
        <w:t xml:space="preserve"> sledují předem určený index. Jelikož je nabídka různých indexů velice široká, existuje také velké množství variací ETF</w:t>
      </w:r>
      <w:r w:rsidR="00526A72">
        <w:t>s</w:t>
      </w:r>
      <w:r>
        <w:t>. Tyto produkty lze dělit následovně:</w:t>
      </w:r>
    </w:p>
    <w:p w:rsidR="00AF399C" w:rsidRPr="00F2056F" w:rsidRDefault="00AF399C" w:rsidP="00AF399C">
      <w:pPr>
        <w:pStyle w:val="Odstavecseseznamem"/>
        <w:numPr>
          <w:ilvl w:val="0"/>
          <w:numId w:val="13"/>
        </w:numPr>
        <w:rPr>
          <w:b/>
          <w:i/>
        </w:rPr>
      </w:pPr>
      <w:r w:rsidRPr="00F2056F">
        <w:rPr>
          <w:b/>
          <w:i/>
        </w:rPr>
        <w:t>ETF</w:t>
      </w:r>
      <w:r w:rsidR="00526A72">
        <w:rPr>
          <w:b/>
          <w:i/>
        </w:rPr>
        <w:t>s</w:t>
      </w:r>
      <w:r w:rsidRPr="00F2056F">
        <w:rPr>
          <w:b/>
          <w:i/>
        </w:rPr>
        <w:t xml:space="preserve"> dle regionální působnosti:</w:t>
      </w:r>
      <w:r>
        <w:rPr>
          <w:rStyle w:val="Znakapoznpodarou"/>
          <w:b/>
          <w:i/>
        </w:rPr>
        <w:footnoteReference w:id="48"/>
      </w:r>
    </w:p>
    <w:p w:rsidR="00AF399C" w:rsidRDefault="00AF399C" w:rsidP="00AF399C">
      <w:pPr>
        <w:pStyle w:val="Odstavecseseznamem"/>
        <w:numPr>
          <w:ilvl w:val="1"/>
          <w:numId w:val="13"/>
        </w:numPr>
      </w:pPr>
      <w:r w:rsidRPr="00F2056F">
        <w:rPr>
          <w:i/>
        </w:rPr>
        <w:t>Globálně zaměřená ETF</w:t>
      </w:r>
      <w:r w:rsidR="00526A72">
        <w:rPr>
          <w:i/>
        </w:rPr>
        <w:t>s</w:t>
      </w:r>
      <w:r>
        <w:t xml:space="preserve"> – globálně zaměřená ETF</w:t>
      </w:r>
      <w:r w:rsidR="00526A72">
        <w:t>s</w:t>
      </w:r>
      <w:r>
        <w:t xml:space="preserve"> kopírují vývoj globálních indexů jako je například MSCI, který zahrnuje akcie ve více než 75 zemích světa, tento index slouží jako podkladový pro více než 500 ETF</w:t>
      </w:r>
      <w:r w:rsidR="00526A72">
        <w:t>s</w:t>
      </w:r>
      <w:r>
        <w:t>.</w:t>
      </w:r>
      <w:r>
        <w:rPr>
          <w:rStyle w:val="Znakapoznpodarou"/>
        </w:rPr>
        <w:footnoteReference w:id="49"/>
      </w:r>
      <w:r>
        <w:t xml:space="preserve"> </w:t>
      </w:r>
    </w:p>
    <w:p w:rsidR="00AF399C" w:rsidRDefault="00AF399C" w:rsidP="00AF399C">
      <w:pPr>
        <w:pStyle w:val="Odstavecseseznamem"/>
        <w:numPr>
          <w:ilvl w:val="1"/>
          <w:numId w:val="13"/>
        </w:numPr>
      </w:pPr>
      <w:r w:rsidRPr="00F2056F">
        <w:rPr>
          <w:i/>
        </w:rPr>
        <w:t>Regionálně zaměřená ETF</w:t>
      </w:r>
      <w:r w:rsidR="00526A72">
        <w:rPr>
          <w:i/>
        </w:rPr>
        <w:t>s</w:t>
      </w:r>
      <w:r w:rsidRPr="00F2056F">
        <w:rPr>
          <w:i/>
        </w:rPr>
        <w:t xml:space="preserve"> </w:t>
      </w:r>
      <w:r>
        <w:t>– Na rozdíl od předešlého tato ETF</w:t>
      </w:r>
      <w:r w:rsidR="00526A72">
        <w:t>s</w:t>
      </w:r>
      <w:r>
        <w:t xml:space="preserve"> sledují vývoj regionálně zaměřeného indexu, tedy například sledují S</w:t>
      </w:r>
      <w:r w:rsidRPr="00F2056F">
        <w:t>&amp;P</w:t>
      </w:r>
      <w:r>
        <w:t xml:space="preserve"> 500 zaměřený na US trhy, mohou se zaměřovat na rozvojové země, země východní Evropy, Afriku apod. </w:t>
      </w:r>
    </w:p>
    <w:p w:rsidR="00DC3D9E" w:rsidRDefault="00AF399C" w:rsidP="007A43D0">
      <w:pPr>
        <w:pStyle w:val="Odstavecseseznamem"/>
        <w:numPr>
          <w:ilvl w:val="1"/>
          <w:numId w:val="13"/>
        </w:numPr>
      </w:pPr>
      <w:r>
        <w:rPr>
          <w:i/>
        </w:rPr>
        <w:t>ETF</w:t>
      </w:r>
      <w:r w:rsidR="00526A72">
        <w:rPr>
          <w:i/>
        </w:rPr>
        <w:t>s</w:t>
      </w:r>
      <w:r>
        <w:rPr>
          <w:i/>
        </w:rPr>
        <w:t xml:space="preserve"> jednotlivých zemí</w:t>
      </w:r>
      <w:r>
        <w:t xml:space="preserve"> – investuje do akcií určité země, kopíruje zpravidla národní indexy, ani zde nemusí být obsaženy všechny akcie zahrnuté do daného indexu</w:t>
      </w:r>
      <w:r w:rsidR="00526A72">
        <w:t>.</w:t>
      </w:r>
    </w:p>
    <w:p w:rsidR="000B447C" w:rsidRDefault="000B447C" w:rsidP="000B447C">
      <w:pPr>
        <w:pStyle w:val="Odstavecseseznamem"/>
        <w:ind w:left="1440"/>
      </w:pPr>
    </w:p>
    <w:p w:rsidR="00AF399C" w:rsidRPr="00F2056F" w:rsidRDefault="00AF399C" w:rsidP="00AF399C">
      <w:pPr>
        <w:pStyle w:val="Odstavecseseznamem"/>
        <w:numPr>
          <w:ilvl w:val="0"/>
          <w:numId w:val="13"/>
        </w:numPr>
        <w:rPr>
          <w:b/>
          <w:i/>
        </w:rPr>
      </w:pPr>
      <w:r w:rsidRPr="00F2056F">
        <w:rPr>
          <w:b/>
          <w:i/>
        </w:rPr>
        <w:t>ETF</w:t>
      </w:r>
      <w:r w:rsidR="00460B97">
        <w:rPr>
          <w:b/>
          <w:i/>
        </w:rPr>
        <w:t>s</w:t>
      </w:r>
      <w:r w:rsidRPr="00F2056F">
        <w:rPr>
          <w:b/>
          <w:i/>
        </w:rPr>
        <w:t xml:space="preserve"> dle podkladového aktiva</w:t>
      </w:r>
    </w:p>
    <w:p w:rsidR="00AF399C" w:rsidRPr="00F2056F" w:rsidRDefault="00AF399C" w:rsidP="00AF399C">
      <w:pPr>
        <w:pStyle w:val="Odstavecseseznamem"/>
        <w:numPr>
          <w:ilvl w:val="1"/>
          <w:numId w:val="13"/>
        </w:numPr>
        <w:rPr>
          <w:i/>
        </w:rPr>
      </w:pPr>
      <w:r w:rsidRPr="00F2056F">
        <w:rPr>
          <w:i/>
        </w:rPr>
        <w:t>Akciová ETF</w:t>
      </w:r>
      <w:r w:rsidR="00526A72">
        <w:rPr>
          <w:i/>
        </w:rPr>
        <w:t>s</w:t>
      </w:r>
      <w:r>
        <w:t xml:space="preserve"> – jedná se o v současné době nejrozšířenější formu ETF</w:t>
      </w:r>
      <w:r w:rsidR="00526A72">
        <w:t>s</w:t>
      </w:r>
      <w:r>
        <w:t xml:space="preserve">. Tento druh ETF vznikl v USA, kde si dodnes drží vysoký podíl, a sice zejména na NYSE a NASDAQ. Co </w:t>
      </w:r>
      <w:r w:rsidR="00526A72">
        <w:t>se Evropy týče, zde se tato ETF</w:t>
      </w:r>
      <w:r>
        <w:t xml:space="preserve">s obchodují zejména na burze ve Frankfurtu, Londýně a Paříži. </w:t>
      </w:r>
    </w:p>
    <w:p w:rsidR="00AF399C" w:rsidRPr="00B60E11" w:rsidRDefault="00AF399C" w:rsidP="00AF399C">
      <w:pPr>
        <w:pStyle w:val="Odstavecseseznamem"/>
        <w:numPr>
          <w:ilvl w:val="1"/>
          <w:numId w:val="13"/>
        </w:numPr>
        <w:spacing w:after="240"/>
        <w:rPr>
          <w:i/>
        </w:rPr>
      </w:pPr>
      <w:r w:rsidRPr="00F2056F">
        <w:rPr>
          <w:i/>
        </w:rPr>
        <w:t>Komoditní ETF</w:t>
      </w:r>
      <w:r w:rsidR="00526A72">
        <w:rPr>
          <w:i/>
        </w:rPr>
        <w:t>s</w:t>
      </w:r>
      <w:r>
        <w:t xml:space="preserve"> – jedná se o produkt objevující se zhruba od roku 2005 v důsledku četných finančních krizí. Investoři se snažili najít takový nástroj, který by jim napomohl zhodnotit volné prostředky, ale pro nedostatečnou důvěru nechtěli investovat do akcií společností. Můžeme se t</w:t>
      </w:r>
      <w:r w:rsidR="00526A72">
        <w:t>aké setkat s pojmenováním ETC (Exchange Traded C</w:t>
      </w:r>
      <w:r>
        <w:t xml:space="preserve">ommodities). </w:t>
      </w:r>
    </w:p>
    <w:p w:rsidR="00AF399C" w:rsidRDefault="00AF399C" w:rsidP="00AF399C">
      <w:pPr>
        <w:pStyle w:val="Odstavecseseznamem"/>
        <w:spacing w:before="240" w:after="240"/>
        <w:ind w:left="1440"/>
      </w:pPr>
      <w:r>
        <w:t xml:space="preserve">Produkty této skupiny spadají do jedné ze tří kategorií, jedná se buď o ETC na zemědělské plodiny (např. kukuřice, káva, bavlna…) energie (ropa, zemní plyn…) nebo kovy (drahé kovy či průmyslové kovy). </w:t>
      </w:r>
    </w:p>
    <w:p w:rsidR="00AF399C" w:rsidRDefault="00AF399C" w:rsidP="00AF399C">
      <w:pPr>
        <w:pStyle w:val="Odstavecseseznamem"/>
        <w:spacing w:before="240" w:after="240"/>
        <w:ind w:left="1440"/>
      </w:pPr>
      <w:r>
        <w:lastRenderedPageBreak/>
        <w:t>Dále je možné rozlišovat tyto produkty dle toho, jaké aktivum je obsaženo v portfoliu fondu, přičemž jsou to:</w:t>
      </w:r>
    </w:p>
    <w:p w:rsidR="00AF399C" w:rsidRDefault="00AF399C" w:rsidP="00AF399C">
      <w:pPr>
        <w:pStyle w:val="Odstavecseseznamem"/>
        <w:numPr>
          <w:ilvl w:val="2"/>
          <w:numId w:val="13"/>
        </w:numPr>
        <w:spacing w:before="240" w:after="240"/>
      </w:pPr>
      <w:r>
        <w:t xml:space="preserve">fyzické komodity </w:t>
      </w:r>
    </w:p>
    <w:p w:rsidR="00AF399C" w:rsidRDefault="00AF399C" w:rsidP="00AF399C">
      <w:pPr>
        <w:pStyle w:val="Odstavecseseznamem"/>
        <w:numPr>
          <w:ilvl w:val="2"/>
          <w:numId w:val="13"/>
        </w:numPr>
        <w:spacing w:before="240" w:after="240"/>
      </w:pPr>
      <w:r>
        <w:t>derivátové kontrakty na určitou komoditu</w:t>
      </w:r>
    </w:p>
    <w:p w:rsidR="00AF399C" w:rsidRPr="00B60E11" w:rsidRDefault="00AF399C" w:rsidP="00AF399C">
      <w:pPr>
        <w:pStyle w:val="Odstavecseseznamem"/>
        <w:numPr>
          <w:ilvl w:val="2"/>
          <w:numId w:val="13"/>
        </w:numPr>
        <w:spacing w:before="240" w:after="240"/>
      </w:pPr>
      <w:r>
        <w:t>derivátové kontrakty na koš komodit.</w:t>
      </w:r>
    </w:p>
    <w:p w:rsidR="00AF399C" w:rsidRPr="009A3F2D" w:rsidRDefault="00AF399C" w:rsidP="00AF399C">
      <w:pPr>
        <w:pStyle w:val="Odstavecseseznamem"/>
        <w:numPr>
          <w:ilvl w:val="1"/>
          <w:numId w:val="13"/>
        </w:numPr>
        <w:spacing w:before="240"/>
        <w:rPr>
          <w:i/>
        </w:rPr>
      </w:pPr>
      <w:r w:rsidRPr="00F2056F">
        <w:rPr>
          <w:i/>
        </w:rPr>
        <w:t>Dluhopisové ETF</w:t>
      </w:r>
      <w:r w:rsidR="00526A72">
        <w:rPr>
          <w:i/>
        </w:rPr>
        <w:t>s</w:t>
      </w:r>
      <w:r>
        <w:t xml:space="preserve"> – podkladovým aktivem jsou, jak je již z názvu patrné, dluhopisy případně koše dluhopisů. Na trhu se objevují zhruba od roku 2000. I v tomto případě existuje řada různých variant dluhopisových ETF</w:t>
      </w:r>
      <w:r w:rsidR="00526A72">
        <w:t>s</w:t>
      </w:r>
      <w:r>
        <w:t xml:space="preserve">. Podkladovým aktivem mohou být například vládní dluhopisy, korporátní, dluhopisy peněžního trhu, nebo jejich kombinace. </w:t>
      </w:r>
    </w:p>
    <w:p w:rsidR="00AF399C" w:rsidRPr="009A3F2D" w:rsidRDefault="00AF399C" w:rsidP="00AF399C">
      <w:pPr>
        <w:pStyle w:val="Odstavecseseznamem"/>
        <w:spacing w:before="240"/>
        <w:ind w:left="1440"/>
      </w:pPr>
      <w:r>
        <w:t>Dluhopisové ETF</w:t>
      </w:r>
      <w:r w:rsidR="00526A72">
        <w:t>s</w:t>
      </w:r>
      <w:r>
        <w:t xml:space="preserve"> jsou obecně vhodné pro konzervativní investory, zejména státní dluhopisy vyspělých států jsou samotné považovány za bezrizikovou investici, ETF</w:t>
      </w:r>
      <w:r w:rsidR="00526A72">
        <w:t>s</w:t>
      </w:r>
      <w:r>
        <w:t xml:space="preserve"> na ně navázaná tak pro investory představují taktéž produkt s velmi nízkým rizikem. </w:t>
      </w:r>
    </w:p>
    <w:p w:rsidR="00AF399C" w:rsidRDefault="00AF399C" w:rsidP="00AF399C">
      <w:pPr>
        <w:pStyle w:val="Odstavecseseznamem"/>
        <w:numPr>
          <w:ilvl w:val="1"/>
          <w:numId w:val="13"/>
        </w:numPr>
      </w:pPr>
      <w:r w:rsidRPr="00F2056F">
        <w:rPr>
          <w:i/>
        </w:rPr>
        <w:t>Měnové ETF</w:t>
      </w:r>
      <w:r w:rsidR="00526A72">
        <w:rPr>
          <w:i/>
        </w:rPr>
        <w:t>s</w:t>
      </w:r>
      <w:r>
        <w:t xml:space="preserve"> – měnové ETF</w:t>
      </w:r>
      <w:r w:rsidR="00526A72">
        <w:t>s</w:t>
      </w:r>
      <w:r>
        <w:t xml:space="preserve"> tvoří jen malý podíl produktů ETF</w:t>
      </w:r>
      <w:r w:rsidR="00526A72">
        <w:t>s</w:t>
      </w:r>
      <w:r>
        <w:t>. První měnové ETF se objevují v roce 2005. Podkladová aktiva mohou být buď derivátové kontrakty na měnu odlišnou od tuzemské měny investora, nebo mohou tyto fondy investovat přímo do hotovostních depozit těchto měn. Tento produkt je určen zejména investorům s kratším investičním horizontem, toto plyne z principu fungování tohoto ETF. Emitenti pochází většinou z USA, proto jsou tyto měnové ETF</w:t>
      </w:r>
      <w:r w:rsidR="00526A72">
        <w:t>s</w:t>
      </w:r>
      <w:r>
        <w:t xml:space="preserve"> navázány na kurzy měn vůči USD. Jelikož se však nedá předpokládat, že by určitá měna trvale zhodnocovala vůči měně jiné, nejsou tyto produkty vhodné pro dlouhodobý investiční horizont.</w:t>
      </w:r>
    </w:p>
    <w:p w:rsidR="00AF399C" w:rsidRPr="00F2056F" w:rsidRDefault="00AF399C" w:rsidP="00AF399C">
      <w:pPr>
        <w:pStyle w:val="Odstavecseseznamem"/>
        <w:numPr>
          <w:ilvl w:val="0"/>
          <w:numId w:val="13"/>
        </w:numPr>
        <w:rPr>
          <w:b/>
          <w:i/>
        </w:rPr>
      </w:pPr>
      <w:r w:rsidRPr="00F2056F">
        <w:rPr>
          <w:b/>
          <w:i/>
        </w:rPr>
        <w:t>Speciální druhy ETF</w:t>
      </w:r>
      <w:r w:rsidR="00526A72">
        <w:rPr>
          <w:b/>
          <w:i/>
        </w:rPr>
        <w:t>s</w:t>
      </w:r>
    </w:p>
    <w:p w:rsidR="00DC3D9E" w:rsidRPr="00463C6B" w:rsidRDefault="00526A72" w:rsidP="007A43D0">
      <w:pPr>
        <w:pStyle w:val="Odstavecseseznamem"/>
        <w:numPr>
          <w:ilvl w:val="1"/>
          <w:numId w:val="13"/>
        </w:numPr>
        <w:spacing w:after="240"/>
        <w:rPr>
          <w:i/>
        </w:rPr>
      </w:pPr>
      <w:r>
        <w:rPr>
          <w:i/>
        </w:rPr>
        <w:t>Páková</w:t>
      </w:r>
      <w:r w:rsidR="00AF399C" w:rsidRPr="00F2056F">
        <w:rPr>
          <w:i/>
        </w:rPr>
        <w:t xml:space="preserve"> ETF</w:t>
      </w:r>
      <w:r>
        <w:rPr>
          <w:i/>
        </w:rPr>
        <w:t>s</w:t>
      </w:r>
      <w:r w:rsidR="00AF399C">
        <w:t xml:space="preserve"> – cílem těchto produktů je denní výnos podkladových produktů v poměru jiném než 1:1. Většinou se páková ETF</w:t>
      </w:r>
      <w:r>
        <w:t>s</w:t>
      </w:r>
      <w:r w:rsidR="00AF399C">
        <w:t xml:space="preserve"> snaží o zhodnocení ve výši 200 % - 300 %. Tento produkt je strukturován tak, aby poskytl dvakrát či třikrát vyšší zhodnocení v rámci jednoho dne oproti podkladu</w:t>
      </w:r>
      <w:r w:rsidR="00AF399C" w:rsidRPr="00BA43AE">
        <w:rPr>
          <w:i/>
        </w:rPr>
        <w:t>.</w:t>
      </w:r>
      <w:r w:rsidR="00AF399C">
        <w:rPr>
          <w:i/>
        </w:rPr>
        <w:t xml:space="preserve"> </w:t>
      </w:r>
      <w:r w:rsidR="00AF399C">
        <w:t xml:space="preserve">Pokud tedy hodnota indexu vzroste od 10 %, hodnota pákového ETF vzroste o 20 %. Toto platí pro intradenní vývoj, pokud bychom se podívali na delší časový úsek, nemusí zhodnocení resp. znehodnocení přesně odpovídat uvedené páce. Pro lepší pochopení fungování tohoto produktu poslouží následující </w:t>
      </w:r>
      <w:r w:rsidR="00AF399C" w:rsidRPr="00526A72">
        <w:t>tabulka</w:t>
      </w:r>
      <w:r w:rsidRPr="00526A72">
        <w:t xml:space="preserve"> č. 1</w:t>
      </w:r>
      <w:r>
        <w:t>.</w:t>
      </w:r>
    </w:p>
    <w:p w:rsidR="00463C6B" w:rsidRDefault="00463C6B" w:rsidP="00463C6B">
      <w:pPr>
        <w:spacing w:after="240"/>
        <w:rPr>
          <w:i/>
        </w:rPr>
      </w:pPr>
    </w:p>
    <w:p w:rsidR="00A33B3A" w:rsidRDefault="00A33B3A" w:rsidP="007A43D0">
      <w:pPr>
        <w:pStyle w:val="Titulek"/>
        <w:spacing w:after="0" w:line="360" w:lineRule="auto"/>
        <w:jc w:val="center"/>
        <w:rPr>
          <w:color w:val="auto"/>
          <w:sz w:val="24"/>
          <w:szCs w:val="22"/>
        </w:rPr>
      </w:pPr>
      <w:bookmarkStart w:id="32" w:name="_Toc385970314"/>
    </w:p>
    <w:p w:rsidR="00DC3D9E" w:rsidRPr="007A43D0" w:rsidRDefault="00DC3D9E" w:rsidP="007A43D0">
      <w:pPr>
        <w:pStyle w:val="Titulek"/>
        <w:spacing w:after="0" w:line="360" w:lineRule="auto"/>
        <w:jc w:val="center"/>
        <w:rPr>
          <w:color w:val="auto"/>
          <w:sz w:val="24"/>
          <w:szCs w:val="22"/>
        </w:rPr>
      </w:pPr>
      <w:r w:rsidRPr="00DC3D9E">
        <w:rPr>
          <w:color w:val="auto"/>
          <w:sz w:val="24"/>
          <w:szCs w:val="22"/>
        </w:rPr>
        <w:t xml:space="preserve">Tabulka č. </w:t>
      </w:r>
      <w:r w:rsidR="008B79C7" w:rsidRPr="00DC3D9E">
        <w:rPr>
          <w:color w:val="auto"/>
          <w:sz w:val="24"/>
          <w:szCs w:val="22"/>
        </w:rPr>
        <w:fldChar w:fldCharType="begin"/>
      </w:r>
      <w:r w:rsidRPr="00DC3D9E">
        <w:rPr>
          <w:color w:val="auto"/>
          <w:sz w:val="24"/>
          <w:szCs w:val="22"/>
        </w:rPr>
        <w:instrText xml:space="preserve"> SEQ Tabulka_č. \* ARABIC </w:instrText>
      </w:r>
      <w:r w:rsidR="008B79C7" w:rsidRPr="00DC3D9E">
        <w:rPr>
          <w:color w:val="auto"/>
          <w:sz w:val="24"/>
          <w:szCs w:val="22"/>
        </w:rPr>
        <w:fldChar w:fldCharType="separate"/>
      </w:r>
      <w:r w:rsidR="00730734">
        <w:rPr>
          <w:noProof/>
          <w:color w:val="auto"/>
          <w:sz w:val="24"/>
          <w:szCs w:val="22"/>
        </w:rPr>
        <w:t>1</w:t>
      </w:r>
      <w:r w:rsidR="008B79C7" w:rsidRPr="00DC3D9E">
        <w:rPr>
          <w:color w:val="auto"/>
          <w:sz w:val="24"/>
          <w:szCs w:val="22"/>
        </w:rPr>
        <w:fldChar w:fldCharType="end"/>
      </w:r>
      <w:r w:rsidRPr="00DC3D9E">
        <w:rPr>
          <w:color w:val="auto"/>
          <w:sz w:val="24"/>
          <w:szCs w:val="22"/>
        </w:rPr>
        <w:t>: Vývoj hodnoty pákového ETF při rostoucím trhu</w:t>
      </w:r>
      <w:bookmarkEnd w:id="32"/>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1842"/>
        <w:gridCol w:w="1842"/>
        <w:gridCol w:w="1843"/>
        <w:gridCol w:w="1843"/>
      </w:tblGrid>
      <w:tr w:rsidR="00AF399C" w:rsidTr="00B51940">
        <w:trPr>
          <w:cnfStyle w:val="100000000000"/>
        </w:trPr>
        <w:tc>
          <w:tcPr>
            <w:cnfStyle w:val="001000000100"/>
            <w:tcW w:w="1842" w:type="dxa"/>
            <w:tcBorders>
              <w:top w:val="none" w:sz="0" w:space="0" w:color="auto"/>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Den</w:t>
            </w:r>
          </w:p>
        </w:tc>
        <w:tc>
          <w:tcPr>
            <w:tcW w:w="1842" w:type="dxa"/>
            <w:tcBorders>
              <w:top w:val="none" w:sz="0" w:space="0" w:color="auto"/>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cnfStyle w:val="100000000000"/>
            </w:pPr>
            <w:r w:rsidRPr="0008752D">
              <w:t>Denní výkonnost trhu</w:t>
            </w:r>
          </w:p>
        </w:tc>
        <w:tc>
          <w:tcPr>
            <w:tcW w:w="1842" w:type="dxa"/>
            <w:tcBorders>
              <w:top w:val="none" w:sz="0" w:space="0" w:color="auto"/>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cnfStyle w:val="100000000000"/>
            </w:pPr>
            <w:r w:rsidRPr="0008752D">
              <w:t>Očekávaná hodnota indexu</w:t>
            </w:r>
          </w:p>
        </w:tc>
        <w:tc>
          <w:tcPr>
            <w:tcW w:w="1843" w:type="dxa"/>
            <w:tcBorders>
              <w:top w:val="none" w:sz="0" w:space="0" w:color="auto"/>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cnfStyle w:val="100000000000"/>
            </w:pPr>
            <w:r w:rsidRPr="0008752D">
              <w:t>Očekávaná hodnota pákového ETF (2x)</w:t>
            </w:r>
          </w:p>
        </w:tc>
        <w:tc>
          <w:tcPr>
            <w:tcW w:w="1843" w:type="dxa"/>
            <w:tcBorders>
              <w:top w:val="none" w:sz="0" w:space="0" w:color="auto"/>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cnfStyle w:val="100000000000"/>
            </w:pPr>
            <w:r w:rsidRPr="0008752D">
              <w:t xml:space="preserve">Denní výkonnost </w:t>
            </w:r>
            <w:r w:rsidR="00AD0945">
              <w:t xml:space="preserve">pákového </w:t>
            </w:r>
            <w:r w:rsidRPr="0008752D">
              <w:t>ETF</w:t>
            </w:r>
          </w:p>
        </w:tc>
      </w:tr>
      <w:tr w:rsidR="00AF399C"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0</w:t>
            </w:r>
          </w:p>
        </w:tc>
        <w:tc>
          <w:tcPr>
            <w:tcW w:w="1842" w:type="dxa"/>
          </w:tcPr>
          <w:p w:rsidR="00AF399C" w:rsidRPr="0008752D" w:rsidRDefault="00AF399C" w:rsidP="00A33B3A">
            <w:pPr>
              <w:pStyle w:val="Odstavecseseznamem"/>
              <w:spacing w:line="276" w:lineRule="auto"/>
              <w:ind w:left="0"/>
              <w:cnfStyle w:val="000000100000"/>
            </w:pPr>
            <w:r w:rsidRPr="0008752D">
              <w:t>0</w:t>
            </w:r>
          </w:p>
        </w:tc>
        <w:tc>
          <w:tcPr>
            <w:tcW w:w="1842" w:type="dxa"/>
          </w:tcPr>
          <w:p w:rsidR="00AF399C" w:rsidRPr="0008752D" w:rsidRDefault="00AF399C" w:rsidP="00A33B3A">
            <w:pPr>
              <w:pStyle w:val="Odstavecseseznamem"/>
              <w:spacing w:line="276" w:lineRule="auto"/>
              <w:ind w:left="0"/>
              <w:cnfStyle w:val="000000100000"/>
            </w:pPr>
            <w:r w:rsidRPr="0008752D">
              <w:t>100</w:t>
            </w:r>
          </w:p>
        </w:tc>
        <w:tc>
          <w:tcPr>
            <w:tcW w:w="1843" w:type="dxa"/>
          </w:tcPr>
          <w:p w:rsidR="00AF399C" w:rsidRPr="0008752D" w:rsidRDefault="00AF399C" w:rsidP="00A33B3A">
            <w:pPr>
              <w:pStyle w:val="Odstavecseseznamem"/>
              <w:spacing w:line="276" w:lineRule="auto"/>
              <w:ind w:left="0"/>
              <w:cnfStyle w:val="000000100000"/>
            </w:pPr>
            <w:r w:rsidRPr="0008752D">
              <w:t>100</w:t>
            </w:r>
          </w:p>
        </w:tc>
        <w:tc>
          <w:tcPr>
            <w:tcW w:w="1843" w:type="dxa"/>
          </w:tcPr>
          <w:p w:rsidR="00AF399C" w:rsidRPr="0008752D" w:rsidRDefault="00AF399C" w:rsidP="00A33B3A">
            <w:pPr>
              <w:pStyle w:val="Odstavecseseznamem"/>
              <w:spacing w:line="276" w:lineRule="auto"/>
              <w:ind w:left="0"/>
              <w:cnfStyle w:val="000000100000"/>
            </w:pPr>
            <w:r w:rsidRPr="0008752D">
              <w:t>0</w:t>
            </w:r>
          </w:p>
        </w:tc>
      </w:tr>
      <w:tr w:rsidR="00AF399C" w:rsidTr="00B51940">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1</w:t>
            </w:r>
          </w:p>
        </w:tc>
        <w:tc>
          <w:tcPr>
            <w:tcW w:w="1842" w:type="dxa"/>
          </w:tcPr>
          <w:p w:rsidR="00AF399C" w:rsidRPr="0008752D" w:rsidRDefault="00AF399C" w:rsidP="00A33B3A">
            <w:pPr>
              <w:pStyle w:val="Odstavecseseznamem"/>
              <w:spacing w:line="276" w:lineRule="auto"/>
              <w:ind w:left="0"/>
              <w:cnfStyle w:val="000000000000"/>
            </w:pPr>
            <w:r w:rsidRPr="0008752D">
              <w:t>10%</w:t>
            </w:r>
          </w:p>
        </w:tc>
        <w:tc>
          <w:tcPr>
            <w:tcW w:w="1842" w:type="dxa"/>
          </w:tcPr>
          <w:p w:rsidR="00AF399C" w:rsidRPr="0008752D" w:rsidRDefault="00AF399C" w:rsidP="00A33B3A">
            <w:pPr>
              <w:pStyle w:val="Odstavecseseznamem"/>
              <w:spacing w:line="276" w:lineRule="auto"/>
              <w:ind w:left="0"/>
              <w:cnfStyle w:val="000000000000"/>
            </w:pPr>
            <w:r w:rsidRPr="0008752D">
              <w:t>110</w:t>
            </w:r>
          </w:p>
        </w:tc>
        <w:tc>
          <w:tcPr>
            <w:tcW w:w="1843" w:type="dxa"/>
          </w:tcPr>
          <w:p w:rsidR="00AF399C" w:rsidRPr="0008752D" w:rsidRDefault="00AF399C" w:rsidP="00A33B3A">
            <w:pPr>
              <w:pStyle w:val="Odstavecseseznamem"/>
              <w:spacing w:line="276" w:lineRule="auto"/>
              <w:ind w:left="0"/>
              <w:cnfStyle w:val="000000000000"/>
            </w:pPr>
            <w:r w:rsidRPr="0008752D">
              <w:t>120</w:t>
            </w:r>
          </w:p>
        </w:tc>
        <w:tc>
          <w:tcPr>
            <w:tcW w:w="1843" w:type="dxa"/>
          </w:tcPr>
          <w:p w:rsidR="00AF399C" w:rsidRPr="0008752D" w:rsidRDefault="00AF399C" w:rsidP="00A33B3A">
            <w:pPr>
              <w:pStyle w:val="Odstavecseseznamem"/>
              <w:spacing w:line="276" w:lineRule="auto"/>
              <w:ind w:left="0"/>
              <w:cnfStyle w:val="000000000000"/>
            </w:pPr>
            <w:r w:rsidRPr="0008752D">
              <w:t>20%</w:t>
            </w:r>
          </w:p>
        </w:tc>
      </w:tr>
      <w:tr w:rsidR="00AF399C"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2</w:t>
            </w:r>
          </w:p>
        </w:tc>
        <w:tc>
          <w:tcPr>
            <w:tcW w:w="1842" w:type="dxa"/>
          </w:tcPr>
          <w:p w:rsidR="00AF399C" w:rsidRPr="0008752D" w:rsidRDefault="00AF399C" w:rsidP="00A33B3A">
            <w:pPr>
              <w:pStyle w:val="Odstavecseseznamem"/>
              <w:spacing w:line="276" w:lineRule="auto"/>
              <w:ind w:left="0"/>
              <w:cnfStyle w:val="000000100000"/>
            </w:pPr>
            <w:r w:rsidRPr="0008752D">
              <w:t>10%</w:t>
            </w:r>
          </w:p>
        </w:tc>
        <w:tc>
          <w:tcPr>
            <w:tcW w:w="1842" w:type="dxa"/>
          </w:tcPr>
          <w:p w:rsidR="00AF399C" w:rsidRPr="0008752D" w:rsidRDefault="00AF399C" w:rsidP="00A33B3A">
            <w:pPr>
              <w:pStyle w:val="Odstavecseseznamem"/>
              <w:spacing w:line="276" w:lineRule="auto"/>
              <w:ind w:left="0"/>
              <w:cnfStyle w:val="000000100000"/>
            </w:pPr>
            <w:r w:rsidRPr="0008752D">
              <w:t>121</w:t>
            </w:r>
          </w:p>
        </w:tc>
        <w:tc>
          <w:tcPr>
            <w:tcW w:w="1843" w:type="dxa"/>
          </w:tcPr>
          <w:p w:rsidR="00AF399C" w:rsidRPr="0008752D" w:rsidRDefault="00AF399C" w:rsidP="00A33B3A">
            <w:pPr>
              <w:pStyle w:val="Odstavecseseznamem"/>
              <w:spacing w:line="276" w:lineRule="auto"/>
              <w:ind w:left="0"/>
              <w:cnfStyle w:val="000000100000"/>
            </w:pPr>
            <w:r w:rsidRPr="0008752D">
              <w:t>144</w:t>
            </w:r>
          </w:p>
        </w:tc>
        <w:tc>
          <w:tcPr>
            <w:tcW w:w="1843" w:type="dxa"/>
          </w:tcPr>
          <w:p w:rsidR="00AF399C" w:rsidRPr="0008752D" w:rsidRDefault="00AF399C" w:rsidP="00A33B3A">
            <w:pPr>
              <w:pStyle w:val="Odstavecseseznamem"/>
              <w:spacing w:line="276" w:lineRule="auto"/>
              <w:ind w:left="0"/>
              <w:cnfStyle w:val="000000100000"/>
            </w:pPr>
            <w:r w:rsidRPr="0008752D">
              <w:t>20%</w:t>
            </w:r>
          </w:p>
        </w:tc>
      </w:tr>
      <w:tr w:rsidR="00AF399C" w:rsidTr="00B51940">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3</w:t>
            </w:r>
          </w:p>
        </w:tc>
        <w:tc>
          <w:tcPr>
            <w:tcW w:w="1842" w:type="dxa"/>
          </w:tcPr>
          <w:p w:rsidR="00AF399C" w:rsidRPr="0008752D" w:rsidRDefault="00AF399C" w:rsidP="00A33B3A">
            <w:pPr>
              <w:pStyle w:val="Odstavecseseznamem"/>
              <w:spacing w:line="276" w:lineRule="auto"/>
              <w:ind w:left="0"/>
              <w:cnfStyle w:val="000000000000"/>
            </w:pPr>
            <w:r w:rsidRPr="0008752D">
              <w:t>10%</w:t>
            </w:r>
          </w:p>
        </w:tc>
        <w:tc>
          <w:tcPr>
            <w:tcW w:w="1842" w:type="dxa"/>
          </w:tcPr>
          <w:p w:rsidR="00AF399C" w:rsidRPr="0008752D" w:rsidRDefault="00AF399C" w:rsidP="00A33B3A">
            <w:pPr>
              <w:pStyle w:val="Odstavecseseznamem"/>
              <w:spacing w:line="276" w:lineRule="auto"/>
              <w:ind w:left="0"/>
              <w:cnfStyle w:val="000000000000"/>
            </w:pPr>
            <w:r w:rsidRPr="0008752D">
              <w:t>133,10</w:t>
            </w:r>
          </w:p>
        </w:tc>
        <w:tc>
          <w:tcPr>
            <w:tcW w:w="1843" w:type="dxa"/>
          </w:tcPr>
          <w:p w:rsidR="00AF399C" w:rsidRPr="0008752D" w:rsidRDefault="00AF399C" w:rsidP="00A33B3A">
            <w:pPr>
              <w:pStyle w:val="Odstavecseseznamem"/>
              <w:spacing w:line="276" w:lineRule="auto"/>
              <w:ind w:left="0"/>
              <w:cnfStyle w:val="000000000000"/>
            </w:pPr>
            <w:r w:rsidRPr="0008752D">
              <w:t>172,80</w:t>
            </w:r>
          </w:p>
        </w:tc>
        <w:tc>
          <w:tcPr>
            <w:tcW w:w="1843" w:type="dxa"/>
          </w:tcPr>
          <w:p w:rsidR="00AF399C" w:rsidRPr="0008752D" w:rsidRDefault="00AF399C" w:rsidP="00A33B3A">
            <w:pPr>
              <w:pStyle w:val="Odstavecseseznamem"/>
              <w:spacing w:line="276" w:lineRule="auto"/>
              <w:ind w:left="0"/>
              <w:cnfStyle w:val="000000000000"/>
            </w:pPr>
            <w:r w:rsidRPr="0008752D">
              <w:t>20%</w:t>
            </w:r>
          </w:p>
        </w:tc>
      </w:tr>
      <w:tr w:rsidR="00AF399C"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4</w:t>
            </w:r>
          </w:p>
        </w:tc>
        <w:tc>
          <w:tcPr>
            <w:tcW w:w="1842" w:type="dxa"/>
          </w:tcPr>
          <w:p w:rsidR="00AF399C" w:rsidRPr="0008752D" w:rsidRDefault="00AF399C" w:rsidP="00A33B3A">
            <w:pPr>
              <w:pStyle w:val="Odstavecseseznamem"/>
              <w:spacing w:line="276" w:lineRule="auto"/>
              <w:ind w:left="0"/>
              <w:cnfStyle w:val="000000100000"/>
            </w:pPr>
            <w:r w:rsidRPr="0008752D">
              <w:t>10%</w:t>
            </w:r>
          </w:p>
        </w:tc>
        <w:tc>
          <w:tcPr>
            <w:tcW w:w="1842" w:type="dxa"/>
          </w:tcPr>
          <w:p w:rsidR="00AF399C" w:rsidRPr="0008752D" w:rsidRDefault="00AF399C" w:rsidP="00A33B3A">
            <w:pPr>
              <w:pStyle w:val="Odstavecseseznamem"/>
              <w:spacing w:line="276" w:lineRule="auto"/>
              <w:ind w:left="0"/>
              <w:cnfStyle w:val="000000100000"/>
            </w:pPr>
            <w:r w:rsidRPr="0008752D">
              <w:t>146,41</w:t>
            </w:r>
          </w:p>
        </w:tc>
        <w:tc>
          <w:tcPr>
            <w:tcW w:w="1843" w:type="dxa"/>
          </w:tcPr>
          <w:p w:rsidR="00AF399C" w:rsidRPr="0008752D" w:rsidRDefault="00AF399C" w:rsidP="00A33B3A">
            <w:pPr>
              <w:pStyle w:val="Odstavecseseznamem"/>
              <w:spacing w:line="276" w:lineRule="auto"/>
              <w:ind w:left="0"/>
              <w:cnfStyle w:val="000000100000"/>
            </w:pPr>
            <w:r w:rsidRPr="0008752D">
              <w:t>207,36</w:t>
            </w:r>
          </w:p>
        </w:tc>
        <w:tc>
          <w:tcPr>
            <w:tcW w:w="1843" w:type="dxa"/>
          </w:tcPr>
          <w:p w:rsidR="00AF399C" w:rsidRPr="0008752D" w:rsidRDefault="00AF399C" w:rsidP="00A33B3A">
            <w:pPr>
              <w:pStyle w:val="Odstavecseseznamem"/>
              <w:spacing w:line="276" w:lineRule="auto"/>
              <w:ind w:left="0"/>
              <w:cnfStyle w:val="000000100000"/>
            </w:pPr>
            <w:r w:rsidRPr="0008752D">
              <w:t>20%</w:t>
            </w:r>
          </w:p>
        </w:tc>
      </w:tr>
      <w:tr w:rsidR="00AF399C" w:rsidTr="00B51940">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5</w:t>
            </w:r>
          </w:p>
        </w:tc>
        <w:tc>
          <w:tcPr>
            <w:tcW w:w="1842" w:type="dxa"/>
          </w:tcPr>
          <w:p w:rsidR="00AF399C" w:rsidRPr="0008752D" w:rsidRDefault="00AF399C" w:rsidP="00A33B3A">
            <w:pPr>
              <w:pStyle w:val="Odstavecseseznamem"/>
              <w:spacing w:line="276" w:lineRule="auto"/>
              <w:ind w:left="0"/>
              <w:cnfStyle w:val="000000000000"/>
            </w:pPr>
            <w:r w:rsidRPr="0008752D">
              <w:t>10%</w:t>
            </w:r>
          </w:p>
        </w:tc>
        <w:tc>
          <w:tcPr>
            <w:tcW w:w="1842" w:type="dxa"/>
          </w:tcPr>
          <w:p w:rsidR="00AF399C" w:rsidRPr="0008752D" w:rsidRDefault="00AF399C" w:rsidP="00A33B3A">
            <w:pPr>
              <w:pStyle w:val="Odstavecseseznamem"/>
              <w:spacing w:line="276" w:lineRule="auto"/>
              <w:ind w:left="0"/>
              <w:cnfStyle w:val="000000000000"/>
            </w:pPr>
            <w:r w:rsidRPr="0008752D">
              <w:t>161,05</w:t>
            </w:r>
          </w:p>
        </w:tc>
        <w:tc>
          <w:tcPr>
            <w:tcW w:w="1843" w:type="dxa"/>
          </w:tcPr>
          <w:p w:rsidR="00AF399C" w:rsidRPr="0008752D" w:rsidRDefault="00AF399C" w:rsidP="00A33B3A">
            <w:pPr>
              <w:pStyle w:val="Odstavecseseznamem"/>
              <w:spacing w:line="276" w:lineRule="auto"/>
              <w:ind w:left="0"/>
              <w:cnfStyle w:val="000000000000"/>
            </w:pPr>
            <w:r w:rsidRPr="0008752D">
              <w:t>248.83</w:t>
            </w:r>
          </w:p>
        </w:tc>
        <w:tc>
          <w:tcPr>
            <w:tcW w:w="1843" w:type="dxa"/>
          </w:tcPr>
          <w:p w:rsidR="00AF399C" w:rsidRPr="0008752D" w:rsidRDefault="00AF399C" w:rsidP="00A33B3A">
            <w:pPr>
              <w:pStyle w:val="Odstavecseseznamem"/>
              <w:spacing w:line="276" w:lineRule="auto"/>
              <w:ind w:left="0"/>
              <w:cnfStyle w:val="000000000000"/>
            </w:pPr>
            <w:r w:rsidRPr="0008752D">
              <w:t>20%</w:t>
            </w:r>
          </w:p>
        </w:tc>
      </w:tr>
      <w:tr w:rsidR="00AF399C"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08752D" w:rsidRDefault="00AF399C" w:rsidP="00A33B3A">
            <w:pPr>
              <w:pStyle w:val="Odstavecseseznamem"/>
              <w:spacing w:line="276" w:lineRule="auto"/>
              <w:ind w:left="0"/>
            </w:pPr>
            <w:r w:rsidRPr="0008752D">
              <w:t>Kumulativní zhodnocení</w:t>
            </w:r>
          </w:p>
        </w:tc>
        <w:tc>
          <w:tcPr>
            <w:tcW w:w="1842" w:type="dxa"/>
          </w:tcPr>
          <w:p w:rsidR="00AF399C" w:rsidRPr="0008752D" w:rsidRDefault="00AF399C" w:rsidP="00A33B3A">
            <w:pPr>
              <w:pStyle w:val="Odstavecseseznamem"/>
              <w:spacing w:line="276" w:lineRule="auto"/>
              <w:ind w:left="0"/>
              <w:cnfStyle w:val="000000100000"/>
            </w:pPr>
          </w:p>
        </w:tc>
        <w:tc>
          <w:tcPr>
            <w:tcW w:w="1842" w:type="dxa"/>
          </w:tcPr>
          <w:p w:rsidR="00AF399C" w:rsidRPr="0008752D" w:rsidRDefault="00AF399C" w:rsidP="00A33B3A">
            <w:pPr>
              <w:pStyle w:val="Odstavecseseznamem"/>
              <w:spacing w:line="276" w:lineRule="auto"/>
              <w:ind w:left="0"/>
              <w:cnfStyle w:val="000000100000"/>
            </w:pPr>
            <w:r w:rsidRPr="0008752D">
              <w:t>61 %</w:t>
            </w:r>
          </w:p>
        </w:tc>
        <w:tc>
          <w:tcPr>
            <w:tcW w:w="1843" w:type="dxa"/>
          </w:tcPr>
          <w:p w:rsidR="00AF399C" w:rsidRPr="0008752D" w:rsidRDefault="00AF399C" w:rsidP="00A33B3A">
            <w:pPr>
              <w:pStyle w:val="Odstavecseseznamem"/>
              <w:spacing w:line="276" w:lineRule="auto"/>
              <w:ind w:left="0"/>
              <w:cnfStyle w:val="000000100000"/>
            </w:pPr>
            <w:r w:rsidRPr="0008752D">
              <w:t>149 %</w:t>
            </w:r>
          </w:p>
        </w:tc>
        <w:tc>
          <w:tcPr>
            <w:tcW w:w="1843" w:type="dxa"/>
          </w:tcPr>
          <w:p w:rsidR="00AF399C" w:rsidRPr="0008752D" w:rsidRDefault="00AF399C" w:rsidP="00A33B3A">
            <w:pPr>
              <w:pStyle w:val="Odstavecseseznamem"/>
              <w:spacing w:line="276" w:lineRule="auto"/>
              <w:ind w:left="0"/>
              <w:cnfStyle w:val="000000100000"/>
            </w:pPr>
          </w:p>
        </w:tc>
      </w:tr>
    </w:tbl>
    <w:p w:rsidR="00AF399C" w:rsidRPr="00736B50" w:rsidRDefault="00AF399C" w:rsidP="00A33B3A">
      <w:pPr>
        <w:spacing w:after="0" w:line="360" w:lineRule="auto"/>
        <w:jc w:val="center"/>
        <w:rPr>
          <w:sz w:val="22"/>
        </w:rPr>
      </w:pPr>
      <w:r w:rsidRPr="00736B50">
        <w:rPr>
          <w:sz w:val="22"/>
        </w:rPr>
        <w:t xml:space="preserve">Zdroj: ABNER, David J. </w:t>
      </w:r>
      <w:r w:rsidRPr="00736B50">
        <w:rPr>
          <w:i/>
          <w:iCs/>
          <w:sz w:val="22"/>
        </w:rPr>
        <w:t>The ETF Handbook: How to Value and Trade Exchange-Traded Funds</w:t>
      </w:r>
      <w:r w:rsidRPr="00736B50">
        <w:rPr>
          <w:sz w:val="22"/>
        </w:rPr>
        <w:t>. USA: John Wiley &amp; Sons, Inc., 2010. ISBN 978-0-470-55682-5. str. 121</w:t>
      </w:r>
    </w:p>
    <w:p w:rsidR="00AF399C" w:rsidRDefault="00AF399C" w:rsidP="00A33B3A">
      <w:pPr>
        <w:spacing w:line="360" w:lineRule="auto"/>
      </w:pPr>
      <w:r>
        <w:t xml:space="preserve">Jak je vidět, hodnoty obou sledovaných produktů začaly shodně na 100. Hodnota indexu každý den zhodnocovala o 10 %, tedy první den vzrostla hodnota indexu ze 100 na 110, druhý den o dalších 10 % ze 110, tedy na 121 a tak dále. Oproti tomu pákové ETF zhodnocovalo o 20 %, první den tedy ze 100 na 120, druhý den však již ze základu 120, tedy na 144. Na rostoucím trhu dosahuje pákové ETF rychlejšího růstu než podkladové aktivum. Intuitivně lze dovodit, že tak jako pákové ETF získává na rostoucím trhu, tak naopak v případě klesajícího trhu ztrácí. V případě, že by trh ztrácel 10 % hodnoty každý den, pak bychom se u pátého dne dostali na hodnoty indexu 59,05 a pákového ETF 32,77. </w:t>
      </w:r>
    </w:p>
    <w:p w:rsidR="00AF399C" w:rsidRDefault="00AF399C" w:rsidP="00A33B3A">
      <w:pPr>
        <w:spacing w:line="360" w:lineRule="auto"/>
      </w:pPr>
      <w:r>
        <w:t>Odlišná situace nastane pro případ volatilního trhu, zde nemusí být jasně patrný účinek páky na hodnoty ETF. Pro přehlednost opět pomůže následující tabulka:</w:t>
      </w:r>
    </w:p>
    <w:p w:rsidR="00DC3D9E" w:rsidRPr="00DC3D9E" w:rsidRDefault="00DC3D9E" w:rsidP="00DC3D9E">
      <w:pPr>
        <w:pStyle w:val="Titulek"/>
        <w:spacing w:after="0" w:line="360" w:lineRule="auto"/>
        <w:jc w:val="center"/>
        <w:rPr>
          <w:color w:val="auto"/>
          <w:sz w:val="24"/>
          <w:szCs w:val="22"/>
        </w:rPr>
      </w:pPr>
      <w:bookmarkStart w:id="33" w:name="_Toc385970315"/>
      <w:r w:rsidRPr="00DC3D9E">
        <w:rPr>
          <w:color w:val="auto"/>
          <w:sz w:val="24"/>
          <w:szCs w:val="22"/>
        </w:rPr>
        <w:t xml:space="preserve">Tabulka č. </w:t>
      </w:r>
      <w:r w:rsidR="008B79C7" w:rsidRPr="00DC3D9E">
        <w:rPr>
          <w:color w:val="auto"/>
          <w:sz w:val="24"/>
          <w:szCs w:val="22"/>
        </w:rPr>
        <w:fldChar w:fldCharType="begin"/>
      </w:r>
      <w:r w:rsidRPr="00DC3D9E">
        <w:rPr>
          <w:color w:val="auto"/>
          <w:sz w:val="24"/>
          <w:szCs w:val="22"/>
        </w:rPr>
        <w:instrText xml:space="preserve"> SEQ Tabulka_č. \* ARABIC </w:instrText>
      </w:r>
      <w:r w:rsidR="008B79C7" w:rsidRPr="00DC3D9E">
        <w:rPr>
          <w:color w:val="auto"/>
          <w:sz w:val="24"/>
          <w:szCs w:val="22"/>
        </w:rPr>
        <w:fldChar w:fldCharType="separate"/>
      </w:r>
      <w:r w:rsidR="00730734">
        <w:rPr>
          <w:noProof/>
          <w:color w:val="auto"/>
          <w:sz w:val="24"/>
          <w:szCs w:val="22"/>
        </w:rPr>
        <w:t>2</w:t>
      </w:r>
      <w:r w:rsidR="008B79C7" w:rsidRPr="00DC3D9E">
        <w:rPr>
          <w:color w:val="auto"/>
          <w:sz w:val="24"/>
          <w:szCs w:val="22"/>
        </w:rPr>
        <w:fldChar w:fldCharType="end"/>
      </w:r>
      <w:r w:rsidRPr="00DC3D9E">
        <w:rPr>
          <w:color w:val="auto"/>
          <w:sz w:val="24"/>
          <w:szCs w:val="22"/>
        </w:rPr>
        <w:t xml:space="preserve">: Vývoj hodnoty </w:t>
      </w:r>
      <w:r>
        <w:rPr>
          <w:color w:val="auto"/>
          <w:sz w:val="24"/>
          <w:szCs w:val="22"/>
        </w:rPr>
        <w:t>pákového ETF na volatilním trhu</w:t>
      </w:r>
      <w:bookmarkEnd w:id="33"/>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1842"/>
        <w:gridCol w:w="1842"/>
        <w:gridCol w:w="1843"/>
        <w:gridCol w:w="1843"/>
      </w:tblGrid>
      <w:tr w:rsidR="00AF399C" w:rsidRPr="00463C6B" w:rsidTr="00B51940">
        <w:trPr>
          <w:cnfStyle w:val="100000000000"/>
        </w:trPr>
        <w:tc>
          <w:tcPr>
            <w:cnfStyle w:val="001000000100"/>
            <w:tcW w:w="1842" w:type="dxa"/>
            <w:tcBorders>
              <w:top w:val="none" w:sz="0" w:space="0" w:color="auto"/>
              <w:left w:val="none" w:sz="0" w:space="0" w:color="auto"/>
              <w:bottom w:val="none" w:sz="0" w:space="0" w:color="auto"/>
              <w:right w:val="none" w:sz="0" w:space="0" w:color="auto"/>
            </w:tcBorders>
          </w:tcPr>
          <w:p w:rsidR="00AF399C" w:rsidRPr="00463C6B" w:rsidRDefault="00DC3D9E" w:rsidP="00A33B3A">
            <w:pPr>
              <w:pStyle w:val="Odstavecseseznamem"/>
              <w:spacing w:line="276" w:lineRule="auto"/>
              <w:ind w:left="0"/>
              <w:rPr>
                <w:szCs w:val="22"/>
              </w:rPr>
            </w:pPr>
            <w:r w:rsidRPr="00463C6B">
              <w:rPr>
                <w:szCs w:val="22"/>
              </w:rPr>
              <w:t>D</w:t>
            </w:r>
            <w:r w:rsidR="00AF399C" w:rsidRPr="00463C6B">
              <w:rPr>
                <w:szCs w:val="22"/>
              </w:rPr>
              <w:t>en</w:t>
            </w:r>
          </w:p>
        </w:tc>
        <w:tc>
          <w:tcPr>
            <w:tcW w:w="1842" w:type="dxa"/>
            <w:tcBorders>
              <w:top w:val="none" w:sz="0" w:space="0" w:color="auto"/>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cnfStyle w:val="100000000000"/>
              <w:rPr>
                <w:szCs w:val="22"/>
              </w:rPr>
            </w:pPr>
            <w:r w:rsidRPr="00463C6B">
              <w:rPr>
                <w:szCs w:val="22"/>
              </w:rPr>
              <w:t>Denní výkonnost trhu</w:t>
            </w:r>
          </w:p>
        </w:tc>
        <w:tc>
          <w:tcPr>
            <w:tcW w:w="1842" w:type="dxa"/>
            <w:tcBorders>
              <w:top w:val="none" w:sz="0" w:space="0" w:color="auto"/>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cnfStyle w:val="100000000000"/>
              <w:rPr>
                <w:szCs w:val="22"/>
              </w:rPr>
            </w:pPr>
            <w:r w:rsidRPr="00463C6B">
              <w:rPr>
                <w:szCs w:val="22"/>
              </w:rPr>
              <w:t>Očekávaná hodnota indexu</w:t>
            </w:r>
          </w:p>
        </w:tc>
        <w:tc>
          <w:tcPr>
            <w:tcW w:w="1843" w:type="dxa"/>
            <w:tcBorders>
              <w:top w:val="none" w:sz="0" w:space="0" w:color="auto"/>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cnfStyle w:val="100000000000"/>
              <w:rPr>
                <w:szCs w:val="22"/>
              </w:rPr>
            </w:pPr>
            <w:r w:rsidRPr="00463C6B">
              <w:rPr>
                <w:szCs w:val="22"/>
              </w:rPr>
              <w:t>Očekávaná hodnota pákového ETF (2x)</w:t>
            </w:r>
          </w:p>
        </w:tc>
        <w:tc>
          <w:tcPr>
            <w:tcW w:w="1843" w:type="dxa"/>
            <w:tcBorders>
              <w:top w:val="none" w:sz="0" w:space="0" w:color="auto"/>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cnfStyle w:val="100000000000"/>
              <w:rPr>
                <w:szCs w:val="22"/>
              </w:rPr>
            </w:pPr>
            <w:r w:rsidRPr="00463C6B">
              <w:rPr>
                <w:szCs w:val="22"/>
              </w:rPr>
              <w:t xml:space="preserve">Denní </w:t>
            </w:r>
            <w:proofErr w:type="gramStart"/>
            <w:r w:rsidRPr="00463C6B">
              <w:rPr>
                <w:szCs w:val="22"/>
              </w:rPr>
              <w:t xml:space="preserve">výkonnost </w:t>
            </w:r>
            <w:r w:rsidR="00AD0945">
              <w:rPr>
                <w:szCs w:val="22"/>
              </w:rPr>
              <w:t xml:space="preserve"> pákového</w:t>
            </w:r>
            <w:proofErr w:type="gramEnd"/>
            <w:r w:rsidR="00AD0945">
              <w:rPr>
                <w:szCs w:val="22"/>
              </w:rPr>
              <w:t xml:space="preserve"> </w:t>
            </w:r>
            <w:r w:rsidRPr="00463C6B">
              <w:rPr>
                <w:szCs w:val="22"/>
              </w:rPr>
              <w:t>ETF</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100</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100</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1</w:t>
            </w:r>
          </w:p>
        </w:tc>
        <w:tc>
          <w:tcPr>
            <w:tcW w:w="1842" w:type="dxa"/>
          </w:tcPr>
          <w:p w:rsidR="00AF399C" w:rsidRPr="00463C6B" w:rsidRDefault="00AF399C" w:rsidP="00A33B3A">
            <w:pPr>
              <w:spacing w:line="276" w:lineRule="auto"/>
              <w:cnfStyle w:val="000000000000"/>
            </w:pPr>
            <w:r w:rsidRPr="00463C6B">
              <w:t>10%</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110</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120</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20%</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2</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99</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96</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-20%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3</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108,9</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115,20</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20%</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4</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98,01</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92,16</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-20%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5</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107,81</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110,59</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20%</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6</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97,03</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88,47</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-20%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7</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106,73</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106,17</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20%</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lastRenderedPageBreak/>
              <w:t>8</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96,06</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84,93</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-20%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9</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105,57</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101,92</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20%</w:t>
            </w:r>
          </w:p>
        </w:tc>
      </w:tr>
      <w:tr w:rsidR="00AF399C" w:rsidRPr="00463C6B" w:rsidTr="00B51940">
        <w:trPr>
          <w:cnfStyle w:val="000000100000"/>
        </w:trPr>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-10%</w:t>
            </w:r>
          </w:p>
        </w:tc>
        <w:tc>
          <w:tcPr>
            <w:tcW w:w="1842" w:type="dxa"/>
          </w:tcPr>
          <w:p w:rsidR="00AF399C" w:rsidRPr="00463C6B" w:rsidRDefault="00AF399C" w:rsidP="00A33B3A">
            <w:pPr>
              <w:pStyle w:val="Odstavecseseznamem"/>
              <w:spacing w:line="276" w:lineRule="auto"/>
              <w:ind w:left="0"/>
              <w:cnfStyle w:val="000000100000"/>
              <w:rPr>
                <w:szCs w:val="22"/>
              </w:rPr>
            </w:pPr>
            <w:r w:rsidRPr="00463C6B">
              <w:rPr>
                <w:szCs w:val="22"/>
              </w:rPr>
              <w:t>95,10</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81,54</w:t>
            </w:r>
          </w:p>
        </w:tc>
        <w:tc>
          <w:tcPr>
            <w:tcW w:w="1843" w:type="dxa"/>
          </w:tcPr>
          <w:p w:rsidR="00AF399C" w:rsidRPr="00463C6B" w:rsidRDefault="00AF399C" w:rsidP="00A33B3A">
            <w:pPr>
              <w:pStyle w:val="Odstavecseseznamem"/>
              <w:spacing w:line="276" w:lineRule="auto"/>
              <w:ind w:left="0"/>
              <w:cnfStyle w:val="000000100000"/>
              <w:rPr>
                <w:szCs w:val="22"/>
              </w:rPr>
            </w:pPr>
            <w:r w:rsidRPr="00463C6B">
              <w:rPr>
                <w:szCs w:val="22"/>
              </w:rPr>
              <w:t>-20%</w:t>
            </w:r>
          </w:p>
        </w:tc>
      </w:tr>
      <w:tr w:rsidR="00AF399C" w:rsidRPr="00463C6B" w:rsidTr="00B51940">
        <w:tc>
          <w:tcPr>
            <w:cnfStyle w:val="001000000000"/>
            <w:tcW w:w="1842" w:type="dxa"/>
            <w:tcBorders>
              <w:left w:val="none" w:sz="0" w:space="0" w:color="auto"/>
              <w:bottom w:val="none" w:sz="0" w:space="0" w:color="auto"/>
              <w:right w:val="none" w:sz="0" w:space="0" w:color="auto"/>
            </w:tcBorders>
          </w:tcPr>
          <w:p w:rsidR="00AF399C" w:rsidRPr="00463C6B" w:rsidRDefault="00AF399C" w:rsidP="00A33B3A">
            <w:pPr>
              <w:pStyle w:val="Odstavecseseznamem"/>
              <w:spacing w:line="276" w:lineRule="auto"/>
              <w:ind w:left="0"/>
              <w:rPr>
                <w:szCs w:val="22"/>
              </w:rPr>
            </w:pPr>
            <w:r w:rsidRPr="00463C6B">
              <w:rPr>
                <w:szCs w:val="22"/>
              </w:rPr>
              <w:t>Kumulativní zhodnocení</w:t>
            </w:r>
          </w:p>
        </w:tc>
        <w:tc>
          <w:tcPr>
            <w:tcW w:w="1842" w:type="dxa"/>
          </w:tcPr>
          <w:p w:rsidR="00AF399C" w:rsidRPr="00463C6B" w:rsidRDefault="00AF399C" w:rsidP="00A33B3A">
            <w:pPr>
              <w:pStyle w:val="Odstavecseseznamem"/>
              <w:spacing w:line="276" w:lineRule="auto"/>
              <w:ind w:left="0"/>
              <w:cnfStyle w:val="000000000000"/>
              <w:rPr>
                <w:szCs w:val="22"/>
              </w:rPr>
            </w:pPr>
          </w:p>
        </w:tc>
        <w:tc>
          <w:tcPr>
            <w:tcW w:w="1842" w:type="dxa"/>
          </w:tcPr>
          <w:p w:rsidR="00AF399C" w:rsidRPr="00463C6B" w:rsidRDefault="00AF399C" w:rsidP="00A33B3A">
            <w:pPr>
              <w:pStyle w:val="Odstavecseseznamem"/>
              <w:spacing w:line="276" w:lineRule="auto"/>
              <w:ind w:left="0"/>
              <w:cnfStyle w:val="000000000000"/>
              <w:rPr>
                <w:szCs w:val="22"/>
              </w:rPr>
            </w:pPr>
            <w:r w:rsidRPr="00463C6B">
              <w:rPr>
                <w:szCs w:val="22"/>
              </w:rPr>
              <w:t>-4,9 %</w:t>
            </w:r>
          </w:p>
        </w:tc>
        <w:tc>
          <w:tcPr>
            <w:tcW w:w="1843" w:type="dxa"/>
          </w:tcPr>
          <w:p w:rsidR="00AF399C" w:rsidRPr="00463C6B" w:rsidRDefault="00AF399C" w:rsidP="00A33B3A">
            <w:pPr>
              <w:pStyle w:val="Odstavecseseznamem"/>
              <w:spacing w:line="276" w:lineRule="auto"/>
              <w:ind w:left="0"/>
              <w:cnfStyle w:val="000000000000"/>
              <w:rPr>
                <w:szCs w:val="22"/>
              </w:rPr>
            </w:pPr>
            <w:r w:rsidRPr="00463C6B">
              <w:rPr>
                <w:szCs w:val="22"/>
              </w:rPr>
              <w:t>-18,46 %</w:t>
            </w:r>
          </w:p>
        </w:tc>
        <w:tc>
          <w:tcPr>
            <w:tcW w:w="1843" w:type="dxa"/>
          </w:tcPr>
          <w:p w:rsidR="00AF399C" w:rsidRPr="00463C6B" w:rsidRDefault="00AF399C" w:rsidP="00A33B3A">
            <w:pPr>
              <w:pStyle w:val="Odstavecseseznamem"/>
              <w:spacing w:line="276" w:lineRule="auto"/>
              <w:ind w:left="0"/>
              <w:cnfStyle w:val="000000000000"/>
              <w:rPr>
                <w:szCs w:val="22"/>
              </w:rPr>
            </w:pPr>
          </w:p>
        </w:tc>
      </w:tr>
    </w:tbl>
    <w:p w:rsidR="00AF399C" w:rsidRPr="00736B50" w:rsidRDefault="00AF399C" w:rsidP="00AF399C">
      <w:pPr>
        <w:spacing w:after="240" w:line="360" w:lineRule="auto"/>
        <w:jc w:val="center"/>
        <w:rPr>
          <w:sz w:val="22"/>
        </w:rPr>
      </w:pPr>
      <w:r w:rsidRPr="00736B50">
        <w:rPr>
          <w:sz w:val="22"/>
        </w:rPr>
        <w:t xml:space="preserve">Zdroj: ABNER, David J. </w:t>
      </w:r>
      <w:r w:rsidRPr="00736B50">
        <w:rPr>
          <w:i/>
          <w:iCs/>
          <w:sz w:val="22"/>
        </w:rPr>
        <w:t>The ETF Handbook: How to Value and Trade Exchange-Traded Funds</w:t>
      </w:r>
      <w:r w:rsidRPr="00736B50">
        <w:rPr>
          <w:sz w:val="22"/>
        </w:rPr>
        <w:t>. USA: John Wiley &amp; Sons, Inc., 2010. ISBN 978-0-470-</w:t>
      </w:r>
      <w:proofErr w:type="gramStart"/>
      <w:r w:rsidRPr="00736B50">
        <w:rPr>
          <w:sz w:val="22"/>
        </w:rPr>
        <w:t>55682-5.  str.</w:t>
      </w:r>
      <w:proofErr w:type="gramEnd"/>
      <w:r w:rsidRPr="00736B50">
        <w:rPr>
          <w:sz w:val="22"/>
        </w:rPr>
        <w:t xml:space="preserve"> 124</w:t>
      </w:r>
    </w:p>
    <w:p w:rsidR="00AF399C" w:rsidRPr="00274FDD" w:rsidRDefault="00AF399C" w:rsidP="00A33B3A">
      <w:pPr>
        <w:spacing w:line="360" w:lineRule="auto"/>
      </w:pPr>
      <w:r>
        <w:t>Tabulka č. 2 tedy přibližuje rizika spojena s dlouhodobější držbou pákových ETF</w:t>
      </w:r>
      <w:r w:rsidR="00AD0945">
        <w:t>s</w:t>
      </w:r>
      <w:r>
        <w:t xml:space="preserve">, jejich hodnota je ovlivňována nejen aktuálními hodnotami podkladových aktiv, ale také volatilitou trhu. V prvních dnech sice dokázal pákový efekt udržet vyšší výnosy než přímá investice do podkladu, nicméně na konci sledovaného období už oproti podkladovému indexu značně ztrácel. </w:t>
      </w:r>
    </w:p>
    <w:p w:rsidR="00AF399C" w:rsidRDefault="00AF399C" w:rsidP="00AF399C">
      <w:pPr>
        <w:pStyle w:val="Odstavecseseznamem"/>
        <w:numPr>
          <w:ilvl w:val="1"/>
          <w:numId w:val="13"/>
        </w:numPr>
        <w:sectPr w:rsidR="00AF399C" w:rsidSect="008A5AD0">
          <w:pgSz w:w="11906" w:h="16838"/>
          <w:pgMar w:top="1418" w:right="851" w:bottom="1134" w:left="1985" w:header="709" w:footer="709" w:gutter="0"/>
          <w:cols w:space="708"/>
          <w:docGrid w:linePitch="360"/>
        </w:sectPr>
      </w:pPr>
      <w:r w:rsidRPr="00AD6F63">
        <w:rPr>
          <w:i/>
        </w:rPr>
        <w:t xml:space="preserve">Inverzní ETF </w:t>
      </w:r>
      <w:r w:rsidRPr="00C74078">
        <w:t>– Výše zmíněná páková ETF se po</w:t>
      </w:r>
      <w:r w:rsidR="00AD0945">
        <w:t xml:space="preserve">hybovala společně s trhem, </w:t>
      </w:r>
      <w:proofErr w:type="gramStart"/>
      <w:r w:rsidR="00AD0945">
        <w:t>tzn.,</w:t>
      </w:r>
      <w:r w:rsidRPr="00C74078">
        <w:t>když</w:t>
      </w:r>
      <w:proofErr w:type="gramEnd"/>
      <w:r w:rsidRPr="00C74078">
        <w:t xml:space="preserve"> trh rostl, rostla i hodnota ETF. Oproti tomu inverzní ETF se pohybuje proti trhu, tedy v případě jeho růstu inverzní ETF klesá a naopak</w:t>
      </w:r>
      <w:r w:rsidRPr="00AD6F63">
        <w:rPr>
          <w:i/>
        </w:rPr>
        <w:t>.</w:t>
      </w:r>
      <w:r>
        <w:t xml:space="preserve"> Stejně jako v předešlém případě, i zde je inverzní efekt sledován na denní bázi, v delším časovém horizontu nemusí tedy uvedený profil investice přesně splňovat slibovaná kritéria. Opět i zde může být využívána páka, tedy deklarované zhodnocení může být například -200 % oproti podkladovému indexu. </w:t>
      </w:r>
    </w:p>
    <w:p w:rsidR="00371136" w:rsidRDefault="00371136" w:rsidP="00371136">
      <w:pPr>
        <w:pStyle w:val="Nadpis1"/>
        <w:numPr>
          <w:ilvl w:val="0"/>
          <w:numId w:val="10"/>
        </w:numPr>
        <w:spacing w:before="0" w:after="0" w:line="360" w:lineRule="auto"/>
        <w:rPr>
          <w:sz w:val="28"/>
        </w:rPr>
      </w:pPr>
      <w:bookmarkStart w:id="34" w:name="_Toc386145993"/>
      <w:r w:rsidRPr="00A712BD">
        <w:rPr>
          <w:sz w:val="28"/>
        </w:rPr>
        <w:lastRenderedPageBreak/>
        <w:t xml:space="preserve">ANALÝZA </w:t>
      </w:r>
      <w:r>
        <w:rPr>
          <w:sz w:val="28"/>
        </w:rPr>
        <w:t>TRHU EXCHANGE TRADED FUNDs</w:t>
      </w:r>
      <w:bookmarkEnd w:id="34"/>
    </w:p>
    <w:p w:rsidR="00371136" w:rsidRPr="00CB5FA6" w:rsidRDefault="002A4FDE" w:rsidP="005E5134">
      <w:pPr>
        <w:spacing w:line="360" w:lineRule="auto"/>
      </w:pPr>
      <w:r>
        <w:t>První kapitola byla zaměřena na charakteristiku ETFs a jejich vlastnosti, v této části práce se zaměřím trochu podrobněji na trh ETFs, uvedeni budou největší poskytovatelé ETFs dle objemu spravovaných prostředků, dále se pokusím zjistit, jak jsou tito poskytovatelé zastoupeni na vybraných trzích a do jakých skupin aktiv se na jednotlivých trzích investuje. Ve druhé části kapitoly se zaměřím na vybrané české obchodníky s cennými papíry (OCP)</w:t>
      </w:r>
      <w:r w:rsidR="00606431">
        <w:t>, kteří rovněž umožňují investovat do ETFs,</w:t>
      </w:r>
      <w:r>
        <w:t xml:space="preserve"> a pokusím se na základě zjištěných poznatků zvolit vhodného OCP pro drobného českého investora</w:t>
      </w:r>
      <w:r w:rsidR="00371136">
        <w:t>.</w:t>
      </w:r>
    </w:p>
    <w:p w:rsidR="00371136" w:rsidRDefault="00371136" w:rsidP="00371136">
      <w:pPr>
        <w:pStyle w:val="Nadpis2"/>
        <w:numPr>
          <w:ilvl w:val="1"/>
          <w:numId w:val="10"/>
        </w:numPr>
        <w:spacing w:after="0" w:line="360" w:lineRule="auto"/>
        <w:jc w:val="both"/>
      </w:pPr>
      <w:bookmarkStart w:id="35" w:name="_Toc386145994"/>
      <w:r>
        <w:t>Možnosti investováním prostřednictvím ETP</w:t>
      </w:r>
      <w:bookmarkEnd w:id="35"/>
    </w:p>
    <w:p w:rsidR="00371136" w:rsidRPr="00086A69" w:rsidRDefault="002A4FDE" w:rsidP="005E5134">
      <w:pPr>
        <w:spacing w:line="360" w:lineRule="auto"/>
      </w:pPr>
      <w:r>
        <w:t>V předešlé kapitole byl analyzován vývoj počtu ETPs, stejně tak bylo zkoumáno, které cenné papíry mají u ETF</w:t>
      </w:r>
      <w:r w:rsidR="00606431">
        <w:t>s</w:t>
      </w:r>
      <w:r>
        <w:t xml:space="preserve"> nejvyšší zastoupení z globálního pohledu. Nyní se zaměřím na největší poskytovatele ETPs, na jejich nejúspěšnější produkty a na analýzu vybraných trhů s ETPs.</w:t>
      </w:r>
    </w:p>
    <w:p w:rsidR="00371136" w:rsidRDefault="00371136" w:rsidP="00371136">
      <w:pPr>
        <w:pStyle w:val="Nadpis3"/>
        <w:numPr>
          <w:ilvl w:val="2"/>
          <w:numId w:val="10"/>
        </w:numPr>
        <w:spacing w:after="240" w:line="360" w:lineRule="auto"/>
        <w:rPr>
          <w:sz w:val="24"/>
        </w:rPr>
      </w:pPr>
      <w:bookmarkStart w:id="36" w:name="_Toc386145995"/>
      <w:r>
        <w:rPr>
          <w:sz w:val="24"/>
        </w:rPr>
        <w:t>Analýza největších poskytovatelů</w:t>
      </w:r>
      <w:r w:rsidRPr="00023283">
        <w:rPr>
          <w:sz w:val="24"/>
        </w:rPr>
        <w:t xml:space="preserve"> ET</w:t>
      </w:r>
      <w:r>
        <w:rPr>
          <w:sz w:val="24"/>
        </w:rPr>
        <w:t>P</w:t>
      </w:r>
      <w:r w:rsidR="00606431">
        <w:rPr>
          <w:sz w:val="24"/>
        </w:rPr>
        <w:t>s</w:t>
      </w:r>
      <w:bookmarkEnd w:id="36"/>
    </w:p>
    <w:p w:rsidR="00371136" w:rsidRDefault="002A4FDE" w:rsidP="005E5134">
      <w:pPr>
        <w:spacing w:before="200" w:after="240" w:line="360" w:lineRule="auto"/>
      </w:pPr>
      <w:r>
        <w:t>Jak již bylo ukázáno, ETF</w:t>
      </w:r>
      <w:r w:rsidR="00606431">
        <w:t>s</w:t>
      </w:r>
      <w:r>
        <w:t xml:space="preserve"> tvoří v několika posledních letech velmi dynamický segment, který se těší čím dál vyšší oblibě u investorů. Počet ETP na konci roku 2</w:t>
      </w:r>
      <w:r w:rsidR="00606431">
        <w:t xml:space="preserve">013 celosvětově dosáhl takřka </w:t>
      </w:r>
      <w:r>
        <w:t>5000</w:t>
      </w:r>
      <w:r w:rsidR="00606431">
        <w:t xml:space="preserve"> produktů</w:t>
      </w:r>
      <w:r>
        <w:t>.</w:t>
      </w:r>
      <w:r w:rsidR="00371136">
        <w:t xml:space="preserve"> </w:t>
      </w:r>
    </w:p>
    <w:p w:rsidR="00371136" w:rsidRDefault="00371136" w:rsidP="00371136">
      <w:pPr>
        <w:pStyle w:val="Titulek"/>
        <w:jc w:val="center"/>
        <w:rPr>
          <w:color w:val="auto"/>
          <w:sz w:val="22"/>
        </w:rPr>
      </w:pPr>
      <w:bookmarkStart w:id="37" w:name="_Toc385970316"/>
      <w:r w:rsidRPr="00A527E7">
        <w:rPr>
          <w:color w:val="auto"/>
          <w:sz w:val="22"/>
        </w:rPr>
        <w:t xml:space="preserve">Tabulka č. </w:t>
      </w:r>
      <w:r w:rsidR="008B79C7" w:rsidRPr="00A527E7">
        <w:rPr>
          <w:color w:val="auto"/>
          <w:sz w:val="22"/>
        </w:rPr>
        <w:fldChar w:fldCharType="begin"/>
      </w:r>
      <w:r w:rsidRPr="00A527E7">
        <w:rPr>
          <w:color w:val="auto"/>
          <w:sz w:val="22"/>
        </w:rPr>
        <w:instrText xml:space="preserve"> SEQ Tabulka_č. \* ARABIC </w:instrText>
      </w:r>
      <w:r w:rsidR="008B79C7" w:rsidRPr="00A527E7">
        <w:rPr>
          <w:color w:val="auto"/>
          <w:sz w:val="22"/>
        </w:rPr>
        <w:fldChar w:fldCharType="separate"/>
      </w:r>
      <w:r w:rsidR="00730734">
        <w:rPr>
          <w:noProof/>
          <w:color w:val="auto"/>
          <w:sz w:val="22"/>
        </w:rPr>
        <w:t>3</w:t>
      </w:r>
      <w:r w:rsidR="008B79C7" w:rsidRPr="00A527E7">
        <w:rPr>
          <w:color w:val="auto"/>
          <w:sz w:val="22"/>
        </w:rPr>
        <w:fldChar w:fldCharType="end"/>
      </w:r>
      <w:r w:rsidRPr="00A527E7">
        <w:rPr>
          <w:color w:val="auto"/>
          <w:sz w:val="22"/>
        </w:rPr>
        <w:t>: Největší emitenti ETP dle výše majetku společností k 31.</w:t>
      </w:r>
      <w:r>
        <w:rPr>
          <w:color w:val="auto"/>
          <w:sz w:val="22"/>
        </w:rPr>
        <w:t xml:space="preserve"> </w:t>
      </w:r>
      <w:r w:rsidRPr="00A527E7">
        <w:rPr>
          <w:color w:val="auto"/>
          <w:sz w:val="22"/>
        </w:rPr>
        <w:t>12.</w:t>
      </w:r>
      <w:r>
        <w:rPr>
          <w:color w:val="auto"/>
          <w:sz w:val="22"/>
        </w:rPr>
        <w:t xml:space="preserve"> </w:t>
      </w:r>
      <w:r w:rsidRPr="00A527E7">
        <w:rPr>
          <w:color w:val="auto"/>
          <w:sz w:val="22"/>
        </w:rPr>
        <w:t>2013</w:t>
      </w:r>
      <w:bookmarkEnd w:id="37"/>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71136" w:rsidTr="00B51940">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606431">
            <w:pPr>
              <w:spacing w:before="0"/>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606431">
            <w:pPr>
              <w:spacing w:before="0"/>
              <w:jc w:val="center"/>
              <w:cnfStyle w:val="100000000000"/>
            </w:pPr>
            <w:r>
              <w:t>Majetek fondu v mld. USD</w:t>
            </w:r>
          </w:p>
        </w:tc>
        <w:tc>
          <w:tcPr>
            <w:tcW w:w="3071" w:type="dxa"/>
            <w:tcBorders>
              <w:top w:val="none" w:sz="0" w:space="0" w:color="auto"/>
              <w:left w:val="none" w:sz="0" w:space="0" w:color="auto"/>
              <w:bottom w:val="none" w:sz="0" w:space="0" w:color="auto"/>
              <w:right w:val="none" w:sz="0" w:space="0" w:color="auto"/>
            </w:tcBorders>
          </w:tcPr>
          <w:p w:rsidR="00371136" w:rsidRDefault="00371136" w:rsidP="00606431">
            <w:pPr>
              <w:spacing w:before="0"/>
              <w:jc w:val="center"/>
              <w:cnfStyle w:val="100000000000"/>
            </w:pPr>
            <w:r>
              <w:t>Tržní podíl v %</w:t>
            </w:r>
          </w:p>
        </w:tc>
      </w:tr>
      <w:tr w:rsidR="00371136" w:rsidTr="00B51940">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iShares</w:t>
            </w:r>
          </w:p>
        </w:tc>
        <w:tc>
          <w:tcPr>
            <w:tcW w:w="3071" w:type="dxa"/>
          </w:tcPr>
          <w:p w:rsidR="00371136" w:rsidRDefault="00371136" w:rsidP="00606431">
            <w:pPr>
              <w:spacing w:before="0"/>
              <w:jc w:val="center"/>
              <w:cnfStyle w:val="000000100000"/>
            </w:pPr>
            <w:r>
              <w:t>920,7</w:t>
            </w:r>
          </w:p>
        </w:tc>
        <w:tc>
          <w:tcPr>
            <w:tcW w:w="3071" w:type="dxa"/>
          </w:tcPr>
          <w:p w:rsidR="00371136" w:rsidRDefault="00371136" w:rsidP="00606431">
            <w:pPr>
              <w:spacing w:before="0"/>
              <w:jc w:val="center"/>
              <w:cnfStyle w:val="000000100000"/>
            </w:pPr>
            <w:r>
              <w:t>38,3</w:t>
            </w:r>
          </w:p>
        </w:tc>
      </w:tr>
      <w:tr w:rsidR="00371136" w:rsidTr="00B51940">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State Street</w:t>
            </w:r>
          </w:p>
        </w:tc>
        <w:tc>
          <w:tcPr>
            <w:tcW w:w="3071" w:type="dxa"/>
          </w:tcPr>
          <w:p w:rsidR="00371136" w:rsidRDefault="00371136" w:rsidP="00606431">
            <w:pPr>
              <w:spacing w:before="0"/>
              <w:jc w:val="center"/>
              <w:cnfStyle w:val="000000000000"/>
            </w:pPr>
            <w:r>
              <w:t>398,4</w:t>
            </w:r>
          </w:p>
        </w:tc>
        <w:tc>
          <w:tcPr>
            <w:tcW w:w="3071" w:type="dxa"/>
          </w:tcPr>
          <w:p w:rsidR="00371136" w:rsidRDefault="00371136" w:rsidP="00606431">
            <w:pPr>
              <w:spacing w:before="0"/>
              <w:jc w:val="center"/>
              <w:cnfStyle w:val="000000000000"/>
            </w:pPr>
            <w:r>
              <w:t>16,6</w:t>
            </w:r>
          </w:p>
        </w:tc>
      </w:tr>
      <w:tr w:rsidR="00371136" w:rsidTr="00B51940">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Vanguard</w:t>
            </w:r>
          </w:p>
        </w:tc>
        <w:tc>
          <w:tcPr>
            <w:tcW w:w="3071" w:type="dxa"/>
          </w:tcPr>
          <w:p w:rsidR="00371136" w:rsidRDefault="00371136" w:rsidP="00606431">
            <w:pPr>
              <w:spacing w:before="0"/>
              <w:jc w:val="center"/>
              <w:cnfStyle w:val="000000100000"/>
            </w:pPr>
            <w:r>
              <w:t>339,7</w:t>
            </w:r>
          </w:p>
        </w:tc>
        <w:tc>
          <w:tcPr>
            <w:tcW w:w="3071" w:type="dxa"/>
          </w:tcPr>
          <w:p w:rsidR="00371136" w:rsidRDefault="00371136" w:rsidP="00606431">
            <w:pPr>
              <w:spacing w:before="0"/>
              <w:jc w:val="center"/>
              <w:cnfStyle w:val="000000100000"/>
            </w:pPr>
            <w:r>
              <w:t>14,1</w:t>
            </w:r>
          </w:p>
        </w:tc>
      </w:tr>
      <w:tr w:rsidR="00371136" w:rsidTr="00B51940">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Invesco PowerShares</w:t>
            </w:r>
          </w:p>
        </w:tc>
        <w:tc>
          <w:tcPr>
            <w:tcW w:w="3071" w:type="dxa"/>
          </w:tcPr>
          <w:p w:rsidR="00371136" w:rsidRDefault="00371136" w:rsidP="00606431">
            <w:pPr>
              <w:spacing w:before="0"/>
              <w:jc w:val="center"/>
              <w:cnfStyle w:val="000000000000"/>
            </w:pPr>
            <w:r>
              <w:t>101</w:t>
            </w:r>
          </w:p>
        </w:tc>
        <w:tc>
          <w:tcPr>
            <w:tcW w:w="3071" w:type="dxa"/>
          </w:tcPr>
          <w:p w:rsidR="00371136" w:rsidRDefault="00371136" w:rsidP="00606431">
            <w:pPr>
              <w:spacing w:before="0"/>
              <w:jc w:val="center"/>
              <w:cnfStyle w:val="000000000000"/>
            </w:pPr>
            <w:r>
              <w:t>4,2</w:t>
            </w:r>
          </w:p>
        </w:tc>
      </w:tr>
      <w:tr w:rsidR="00371136" w:rsidTr="00B51940">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Deutsche Asset and Wealth Management</w:t>
            </w:r>
          </w:p>
        </w:tc>
        <w:tc>
          <w:tcPr>
            <w:tcW w:w="3071" w:type="dxa"/>
          </w:tcPr>
          <w:p w:rsidR="00371136" w:rsidRDefault="00371136" w:rsidP="00606431">
            <w:pPr>
              <w:spacing w:before="0"/>
              <w:jc w:val="center"/>
              <w:cnfStyle w:val="000000100000"/>
            </w:pPr>
            <w:r>
              <w:t>59,1</w:t>
            </w:r>
          </w:p>
        </w:tc>
        <w:tc>
          <w:tcPr>
            <w:tcW w:w="3071" w:type="dxa"/>
          </w:tcPr>
          <w:p w:rsidR="00371136" w:rsidRDefault="00371136" w:rsidP="00606431">
            <w:pPr>
              <w:spacing w:before="0"/>
              <w:jc w:val="center"/>
              <w:cnfStyle w:val="000000100000"/>
            </w:pPr>
            <w:r>
              <w:t>2,5</w:t>
            </w:r>
          </w:p>
        </w:tc>
      </w:tr>
      <w:tr w:rsidR="00371136" w:rsidTr="00B51940">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606431">
            <w:pPr>
              <w:spacing w:before="0"/>
              <w:jc w:val="center"/>
            </w:pPr>
            <w:r>
              <w:t>193 ostatních</w:t>
            </w:r>
          </w:p>
        </w:tc>
        <w:tc>
          <w:tcPr>
            <w:tcW w:w="3071" w:type="dxa"/>
          </w:tcPr>
          <w:p w:rsidR="00371136" w:rsidRDefault="00371136" w:rsidP="00606431">
            <w:pPr>
              <w:spacing w:before="0"/>
              <w:jc w:val="center"/>
              <w:cnfStyle w:val="000000000000"/>
            </w:pPr>
            <w:r>
              <w:t>582,3</w:t>
            </w:r>
          </w:p>
        </w:tc>
        <w:tc>
          <w:tcPr>
            <w:tcW w:w="3071" w:type="dxa"/>
          </w:tcPr>
          <w:p w:rsidR="00371136" w:rsidRDefault="00371136" w:rsidP="00606431">
            <w:pPr>
              <w:spacing w:before="0"/>
              <w:jc w:val="center"/>
              <w:cnfStyle w:val="000000000000"/>
            </w:pPr>
            <w:r>
              <w:t>24,3</w:t>
            </w:r>
          </w:p>
        </w:tc>
      </w:tr>
    </w:tbl>
    <w:p w:rsidR="00DC3D9E" w:rsidRPr="00DC3D9E" w:rsidRDefault="00DC3D9E" w:rsidP="00606431">
      <w:pPr>
        <w:spacing w:before="0" w:after="240"/>
        <w:jc w:val="center"/>
        <w:rPr>
          <w:sz w:val="22"/>
        </w:rPr>
      </w:pPr>
      <w:r w:rsidRPr="00DC3D9E">
        <w:rPr>
          <w:sz w:val="22"/>
        </w:rPr>
        <w:t xml:space="preserve">Zdroj: Vlastní zpracování na základě údajů: ETP Landscape. </w:t>
      </w:r>
      <w:r w:rsidRPr="00DC3D9E">
        <w:rPr>
          <w:i/>
          <w:iCs/>
          <w:sz w:val="22"/>
        </w:rPr>
        <w:t>BlackRock</w:t>
      </w:r>
      <w:r w:rsidRPr="00DC3D9E">
        <w:rPr>
          <w:sz w:val="22"/>
        </w:rPr>
        <w:t xml:space="preserve"> [online]. 2014 [cit. 2014-03-15]. Dostupné z: </w:t>
      </w:r>
      <w:hyperlink r:id="rId16" w:history="1">
        <w:r w:rsidRPr="00DC3D9E">
          <w:rPr>
            <w:rStyle w:val="Hypertextovodkaz"/>
            <w:color w:val="auto"/>
            <w:sz w:val="22"/>
            <w:u w:val="none"/>
          </w:rPr>
          <w:t>http://www.blackrocklatam.com/content/groups/internationalsite/documents/literature/etfl_industryhilight_dec13.pdf</w:t>
        </w:r>
      </w:hyperlink>
    </w:p>
    <w:p w:rsidR="00371136" w:rsidRPr="00E252EC" w:rsidRDefault="00606431" w:rsidP="005E5134">
      <w:pPr>
        <w:spacing w:before="200" w:after="240" w:line="360" w:lineRule="auto"/>
      </w:pPr>
      <w:r>
        <w:t>Jak ukazuje tabulka č. 3, pět</w:t>
      </w:r>
      <w:r w:rsidR="002A4FDE">
        <w:t xml:space="preserve"> největších poskytovatelů ETP zaujímá tržní podíl celkem ve výši 75 %. Tento podíl je vypočítán na základě objemu obhospodařovaných prostředků, nikoli dle počtu emitovaných ETP. Na prvních třech příčkách s relativně vysokými tržními podíly se umístila ETP</w:t>
      </w:r>
      <w:r>
        <w:t>s skupiny iShares, State S</w:t>
      </w:r>
      <w:r w:rsidR="002A4FDE">
        <w:t xml:space="preserve">treet a Vanguard, následováni skupinou Power Shares a Deutsche Asset and Wealth Management. Vzhledem k tržnímu podílu těchto poskytovatelů </w:t>
      </w:r>
      <w:r w:rsidR="002A4FDE">
        <w:lastRenderedPageBreak/>
        <w:t>se domnívám, že je vhodné na následujících řádcích alespoň krátce představit tyto společnosti, jejich historii, aktuální stav a zmínit jejich nejvýznamnější produkty.</w:t>
      </w:r>
    </w:p>
    <w:p w:rsidR="00371136" w:rsidRDefault="00371136" w:rsidP="00371136">
      <w:pPr>
        <w:pStyle w:val="Nadpis3"/>
        <w:numPr>
          <w:ilvl w:val="3"/>
          <w:numId w:val="10"/>
        </w:numPr>
        <w:spacing w:after="0" w:line="360" w:lineRule="auto"/>
        <w:rPr>
          <w:sz w:val="24"/>
        </w:rPr>
      </w:pPr>
      <w:bookmarkStart w:id="38" w:name="_Toc386145996"/>
      <w:r>
        <w:rPr>
          <w:sz w:val="24"/>
        </w:rPr>
        <w:t xml:space="preserve">Skupina </w:t>
      </w:r>
      <w:r w:rsidRPr="007F31C4">
        <w:rPr>
          <w:sz w:val="24"/>
        </w:rPr>
        <w:t>iShares</w:t>
      </w:r>
      <w:bookmarkEnd w:id="38"/>
    </w:p>
    <w:p w:rsidR="002A4FDE" w:rsidRDefault="002A4FDE" w:rsidP="002A4FDE">
      <w:pPr>
        <w:spacing w:line="360" w:lineRule="auto"/>
      </w:pPr>
      <w:r w:rsidRPr="009825DF">
        <w:t>Největší poskytovatel ETP</w:t>
      </w:r>
      <w:r w:rsidR="00606431">
        <w:t>s</w:t>
      </w:r>
      <w:r w:rsidRPr="009825DF">
        <w:t xml:space="preserve"> dle tržního podílu je skupina iShares, kterou spravuje firma BlackRock. Tržní podíl tohoto poskytovatele činil na konci roku 2013 38,3 %, celkový počet emitovaných ETP</w:t>
      </w:r>
      <w:r w:rsidR="00606431">
        <w:t>s</w:t>
      </w:r>
      <w:r w:rsidRPr="009825DF">
        <w:t xml:space="preserve"> činil 703</w:t>
      </w:r>
      <w:r w:rsidR="00606431">
        <w:t xml:space="preserve"> produktů</w:t>
      </w:r>
      <w:r w:rsidRPr="007F31C4">
        <w:t xml:space="preserve">. </w:t>
      </w:r>
    </w:p>
    <w:p w:rsidR="002A4FDE" w:rsidRDefault="002A4FDE" w:rsidP="002A4FDE">
      <w:pPr>
        <w:spacing w:line="360" w:lineRule="auto"/>
      </w:pPr>
      <w:r>
        <w:t>Společnost BlackRock vznikla v roce 1988, předmět její činnosti byla správa majetku a risk management. Na základě poptávky klientů postupně rozšiřovala své služby. V současnosti má tato společnost své pobočky po celém světě, kde se týmy odborníků ve zhruba 30 zemích snaží nalézt nejlepší investiční příležitosti za účelem získání co nejvyšších možných výnosů z investic. Mezi klienty této společnosti patří jak velké investiční společnosti, tak vlády zemí, až po drobné investory z řad běžných občanů.</w:t>
      </w:r>
      <w:r>
        <w:rPr>
          <w:rStyle w:val="Znakapoznpodarou"/>
        </w:rPr>
        <w:footnoteReference w:id="50"/>
      </w:r>
    </w:p>
    <w:p w:rsidR="002A4FDE" w:rsidRDefault="002A4FDE" w:rsidP="002A4FDE">
      <w:pPr>
        <w:spacing w:line="360" w:lineRule="auto"/>
      </w:pPr>
      <w:r>
        <w:t xml:space="preserve">Na počátku své existence ještě fungovala pod záštitou společnosti The Blackstone Group, která se primárně zaměřovala na cenné papíry s fixním výnosem. Na počátku své existence měla tato společnost pouhých 8 zaměstnanců, na konci roku 2013 zaměstnávala přes 11.000 osob. I toto svědčí o dynamickém růstu této společnosti. Za významné milníky této společnosti lze považovat rok 1992, kdy se přejmenovala na již známé BlackRock. </w:t>
      </w:r>
      <w:r>
        <w:rPr>
          <w:rStyle w:val="Znakapoznpodarou"/>
        </w:rPr>
        <w:footnoteReference w:id="51"/>
      </w:r>
    </w:p>
    <w:p w:rsidR="00371136" w:rsidRDefault="002A4FDE" w:rsidP="002A4FDE">
      <w:pPr>
        <w:spacing w:line="360" w:lineRule="auto"/>
      </w:pPr>
      <w:r>
        <w:t>V roce 1995 se stala součástí holdingu PNC Financial, což jim umožnilo přístup k široké distribuční síti a brzy začala spravovat otevřené fondy kolektivního investování. Od tohoto roku začala postupně fúzovat s celou řadou významných institucí, jako například Merrill Lynch Investment Managers, Quellos Group, LLC. nebo Barclays Global Investors, čímž právě dosahuje možnosti správy skupiny iShares. V roce 1999 vstoupila společnost na veřejnou burzu, ETF začíná emitovat od roku 2001.</w:t>
      </w:r>
    </w:p>
    <w:p w:rsidR="00371136" w:rsidRPr="00821AE7" w:rsidRDefault="00371136" w:rsidP="005E5134">
      <w:pPr>
        <w:spacing w:after="240" w:line="360" w:lineRule="auto"/>
        <w:rPr>
          <w:b/>
        </w:rPr>
      </w:pPr>
      <w:r>
        <w:t>Hodnota spravovaného majetku dosahovala na konci roku 1992 hodnoty 17 mld. USD, na konci roku 1994 53 mld. USD. O deset let později spravovala majetek za více než 342 mld. USD a v současnosti hodnota spravovaného majetku činí více než 4,3</w:t>
      </w:r>
      <w:r w:rsidR="00606431">
        <w:t xml:space="preserve"> bilionů</w:t>
      </w:r>
      <w:r>
        <w:t xml:space="preserve"> USD</w:t>
      </w:r>
      <w:r w:rsidR="00606431">
        <w:t>.</w:t>
      </w:r>
    </w:p>
    <w:p w:rsidR="00371136" w:rsidRPr="008F0ACF" w:rsidRDefault="00371136" w:rsidP="005E5134">
      <w:pPr>
        <w:spacing w:after="240" w:line="360" w:lineRule="auto"/>
        <w:rPr>
          <w:szCs w:val="24"/>
        </w:rPr>
      </w:pPr>
      <w:r w:rsidRPr="008F0ACF">
        <w:rPr>
          <w:szCs w:val="24"/>
        </w:rPr>
        <w:t xml:space="preserve">Pokud jde o produkty této společnosti, pak mezi ty s největším objemem spravovaných aktiv patří například iShares Core S&amp;P 500, iShares MSCI Japan iShares MSCI EAFE nebo </w:t>
      </w:r>
      <w:r w:rsidRPr="008F0ACF">
        <w:rPr>
          <w:szCs w:val="24"/>
        </w:rPr>
        <w:lastRenderedPageBreak/>
        <w:t>iShares Barclays TIPS Bond</w:t>
      </w:r>
      <w:r>
        <w:rPr>
          <w:szCs w:val="24"/>
        </w:rPr>
        <w:t xml:space="preserve">. Produkty této společnosti se zaměřují na rozmanité oblasti, od klasických ETF zaměřených na nejvýznamnější indexy, přes komoditní ETF až například ETF zaměřených na Emerging Markets. </w:t>
      </w:r>
    </w:p>
    <w:p w:rsidR="00371136" w:rsidRPr="008F0ACF" w:rsidRDefault="00371136" w:rsidP="00371136">
      <w:pPr>
        <w:pStyle w:val="Nadpis3"/>
        <w:numPr>
          <w:ilvl w:val="3"/>
          <w:numId w:val="10"/>
        </w:numPr>
        <w:spacing w:after="0" w:line="360" w:lineRule="auto"/>
        <w:rPr>
          <w:sz w:val="24"/>
          <w:szCs w:val="24"/>
        </w:rPr>
      </w:pPr>
      <w:bookmarkStart w:id="39" w:name="_Toc386145997"/>
      <w:r>
        <w:rPr>
          <w:sz w:val="24"/>
          <w:szCs w:val="24"/>
        </w:rPr>
        <w:t xml:space="preserve">Skupina </w:t>
      </w:r>
      <w:r w:rsidRPr="008F0ACF">
        <w:rPr>
          <w:sz w:val="24"/>
          <w:szCs w:val="24"/>
        </w:rPr>
        <w:t>State Street</w:t>
      </w:r>
      <w:bookmarkEnd w:id="39"/>
    </w:p>
    <w:p w:rsidR="00371136" w:rsidRDefault="00371136" w:rsidP="005E5134">
      <w:pPr>
        <w:spacing w:after="240" w:line="360" w:lineRule="auto"/>
        <w:rPr>
          <w:szCs w:val="24"/>
        </w:rPr>
      </w:pPr>
      <w:r>
        <w:rPr>
          <w:szCs w:val="24"/>
        </w:rPr>
        <w:t xml:space="preserve">Na druhém místě producentů ETF dle objemu spravovaných prostředků se </w:t>
      </w:r>
      <w:proofErr w:type="gramStart"/>
      <w:r>
        <w:rPr>
          <w:szCs w:val="24"/>
        </w:rPr>
        <w:t>umístila</w:t>
      </w:r>
      <w:proofErr w:type="gramEnd"/>
      <w:r>
        <w:rPr>
          <w:szCs w:val="24"/>
        </w:rPr>
        <w:t xml:space="preserve"> skupina </w:t>
      </w:r>
      <w:proofErr w:type="gramStart"/>
      <w:r>
        <w:rPr>
          <w:szCs w:val="24"/>
        </w:rPr>
        <w:t>State</w:t>
      </w:r>
      <w:proofErr w:type="gramEnd"/>
      <w:r>
        <w:rPr>
          <w:szCs w:val="24"/>
        </w:rPr>
        <w:t xml:space="preserve"> Street. Na konci roku 2013 zaujímala tato společnost tržní podíl 16,6 % v objemu spravovaných prostředků ETP. Celkový počet emitovaných ETP koncem roku 2013 činil 196</w:t>
      </w:r>
      <w:r w:rsidR="00606431">
        <w:rPr>
          <w:szCs w:val="24"/>
        </w:rPr>
        <w:t xml:space="preserve"> produktů</w:t>
      </w:r>
      <w:r>
        <w:rPr>
          <w:szCs w:val="24"/>
        </w:rPr>
        <w:t>.</w:t>
      </w:r>
      <w:r>
        <w:rPr>
          <w:rStyle w:val="Znakapoznpodarou"/>
          <w:szCs w:val="24"/>
        </w:rPr>
        <w:footnoteReference w:id="52"/>
      </w:r>
    </w:p>
    <w:p w:rsidR="00371136" w:rsidRDefault="00371136" w:rsidP="005E5134">
      <w:pPr>
        <w:spacing w:after="240" w:line="360" w:lineRule="auto"/>
        <w:rPr>
          <w:szCs w:val="24"/>
        </w:rPr>
      </w:pPr>
      <w:r w:rsidRPr="000B447C">
        <w:rPr>
          <w:szCs w:val="24"/>
        </w:rPr>
        <w:t>Skupina State Street nabízí</w:t>
      </w:r>
      <w:r>
        <w:rPr>
          <w:szCs w:val="24"/>
        </w:rPr>
        <w:t xml:space="preserve"> širokou škálu služeb, které se snaží identifikovat příležitosti a </w:t>
      </w:r>
      <w:proofErr w:type="gramStart"/>
      <w:r>
        <w:rPr>
          <w:szCs w:val="24"/>
        </w:rPr>
        <w:t>výzvy</w:t>
      </w:r>
      <w:r w:rsidR="00A33B3A">
        <w:rPr>
          <w:szCs w:val="24"/>
        </w:rPr>
        <w:t xml:space="preserve">, </w:t>
      </w:r>
      <w:r>
        <w:rPr>
          <w:szCs w:val="24"/>
        </w:rPr>
        <w:t xml:space="preserve"> které</w:t>
      </w:r>
      <w:proofErr w:type="gramEnd"/>
      <w:r>
        <w:rPr>
          <w:szCs w:val="24"/>
        </w:rPr>
        <w:t xml:space="preserve"> mohou společnostem zvýšit profit a efektivitu. Celkem slouží klientům ve více než 100 zemích, díky svému globálnímu rozsahu, expertízám a inovacím. </w:t>
      </w:r>
      <w:r>
        <w:rPr>
          <w:rStyle w:val="Znakapoznpodarou"/>
          <w:szCs w:val="24"/>
        </w:rPr>
        <w:footnoteReference w:id="53"/>
      </w:r>
    </w:p>
    <w:p w:rsidR="00371136" w:rsidRDefault="00371136" w:rsidP="005E5134">
      <w:pPr>
        <w:spacing w:after="240" w:line="360" w:lineRule="auto"/>
        <w:rPr>
          <w:szCs w:val="24"/>
        </w:rPr>
      </w:pPr>
      <w:r>
        <w:rPr>
          <w:szCs w:val="24"/>
        </w:rPr>
        <w:t xml:space="preserve">Široký záběr skupiny State Street je </w:t>
      </w:r>
      <w:r w:rsidR="002A4FDE">
        <w:rPr>
          <w:szCs w:val="24"/>
        </w:rPr>
        <w:t xml:space="preserve">možný </w:t>
      </w:r>
      <w:r>
        <w:rPr>
          <w:szCs w:val="24"/>
        </w:rPr>
        <w:t>díky tomu, že pod ni spadají celkem 4 specializované společnosti. První z nich je State Street Global Services, která se zabývá zejména správou hedge fondů, nemovitostí, nebo fond</w:t>
      </w:r>
      <w:r w:rsidR="002A4FDE">
        <w:rPr>
          <w:szCs w:val="24"/>
        </w:rPr>
        <w:t>ů</w:t>
      </w:r>
      <w:r>
        <w:rPr>
          <w:szCs w:val="24"/>
        </w:rPr>
        <w:t xml:space="preserve"> fondů, přičemž na konci roku 2013 celková výše spravovaného majetku činila 1,24 bn. USD. Dále pod skupinu State Street </w:t>
      </w:r>
      <w:proofErr w:type="gramStart"/>
      <w:r>
        <w:rPr>
          <w:szCs w:val="24"/>
        </w:rPr>
        <w:t>spadá State</w:t>
      </w:r>
      <w:proofErr w:type="gramEnd"/>
      <w:r>
        <w:rPr>
          <w:szCs w:val="24"/>
        </w:rPr>
        <w:t xml:space="preserve"> Street Global Markets, sloužící zejména pro zajištění poradenství a správu portfolia institucionálním investorům a dále State Street Global Exchange.</w:t>
      </w:r>
      <w:r>
        <w:rPr>
          <w:rStyle w:val="Znakapoznpodarou"/>
          <w:szCs w:val="24"/>
        </w:rPr>
        <w:footnoteReference w:id="54"/>
      </w:r>
    </w:p>
    <w:p w:rsidR="00371136" w:rsidRDefault="00371136" w:rsidP="005E5134">
      <w:pPr>
        <w:spacing w:after="240" w:line="360" w:lineRule="auto"/>
        <w:rPr>
          <w:szCs w:val="24"/>
        </w:rPr>
      </w:pPr>
      <w:r>
        <w:rPr>
          <w:szCs w:val="24"/>
        </w:rPr>
        <w:t>Pro oblast ETF je však významná poslední společnost skupiny State Street. Emitentem a správcem ETF je State Street Global Advisors, která poskytuje své služby širokému spektru klientů, působí na trhu od roku 1978</w:t>
      </w:r>
      <w:r w:rsidR="002A4FDE">
        <w:rPr>
          <w:szCs w:val="24"/>
        </w:rPr>
        <w:t xml:space="preserve"> a</w:t>
      </w:r>
      <w:r>
        <w:rPr>
          <w:szCs w:val="24"/>
        </w:rPr>
        <w:t xml:space="preserve"> byla oceněna 6 krát v řadě cenou pro nejuznávanější značku ETF. Tato společnost má zhruba 2.400 zaměstnanců po celém světě a pro své investice využívá znalostí a zkušeností zhruba 400 investičních profesionálů.</w:t>
      </w:r>
    </w:p>
    <w:p w:rsidR="00371136" w:rsidRPr="008F0ACF" w:rsidRDefault="00371136" w:rsidP="005E5134">
      <w:pPr>
        <w:spacing w:line="360" w:lineRule="auto"/>
        <w:rPr>
          <w:szCs w:val="24"/>
        </w:rPr>
      </w:pPr>
      <w:r>
        <w:rPr>
          <w:szCs w:val="24"/>
        </w:rPr>
        <w:t>Mezi ETF</w:t>
      </w:r>
      <w:r w:rsidR="00606431">
        <w:rPr>
          <w:szCs w:val="24"/>
        </w:rPr>
        <w:t>s</w:t>
      </w:r>
      <w:r>
        <w:rPr>
          <w:szCs w:val="24"/>
        </w:rPr>
        <w:t xml:space="preserve">, která </w:t>
      </w:r>
      <w:proofErr w:type="gramStart"/>
      <w:r>
        <w:rPr>
          <w:szCs w:val="24"/>
        </w:rPr>
        <w:t>spravuje State</w:t>
      </w:r>
      <w:proofErr w:type="gramEnd"/>
      <w:r>
        <w:rPr>
          <w:szCs w:val="24"/>
        </w:rPr>
        <w:t xml:space="preserve"> Street, patří i </w:t>
      </w:r>
      <w:r w:rsidRPr="00C9471D">
        <w:rPr>
          <w:szCs w:val="18"/>
        </w:rPr>
        <w:t>SPDR S&amp;P 500</w:t>
      </w:r>
      <w:r>
        <w:rPr>
          <w:szCs w:val="18"/>
        </w:rPr>
        <w:t xml:space="preserve">, jenž v současné době </w:t>
      </w:r>
      <w:r w:rsidR="002A4FDE">
        <w:rPr>
          <w:szCs w:val="18"/>
        </w:rPr>
        <w:t>obhospodařuje</w:t>
      </w:r>
      <w:r>
        <w:rPr>
          <w:szCs w:val="18"/>
        </w:rPr>
        <w:t xml:space="preserve"> největší podíl svěřených prostředků investorů a představuje tak nejoblíbenější </w:t>
      </w:r>
      <w:r>
        <w:rPr>
          <w:szCs w:val="18"/>
        </w:rPr>
        <w:lastRenderedPageBreak/>
        <w:t xml:space="preserve">ETF, kopíruje vývoj amerického burzovního indexu </w:t>
      </w:r>
      <w:r w:rsidRPr="00C9471D">
        <w:rPr>
          <w:szCs w:val="18"/>
        </w:rPr>
        <w:t>S&amp;P 500</w:t>
      </w:r>
      <w:r>
        <w:rPr>
          <w:szCs w:val="18"/>
        </w:rPr>
        <w:t xml:space="preserve">. Vedle toho spravuje také například SPDR Gold, komoditní ETF zaměřené na investice do zlata, ve své kategorii také spadá mezi produkt s největším objemem spravovaných prostředků. </w:t>
      </w:r>
    </w:p>
    <w:p w:rsidR="00371136" w:rsidRDefault="00371136" w:rsidP="00371136">
      <w:pPr>
        <w:pStyle w:val="Nadpis3"/>
        <w:numPr>
          <w:ilvl w:val="3"/>
          <w:numId w:val="10"/>
        </w:numPr>
        <w:spacing w:after="240" w:line="360" w:lineRule="auto"/>
        <w:rPr>
          <w:sz w:val="24"/>
          <w:szCs w:val="24"/>
        </w:rPr>
      </w:pPr>
      <w:bookmarkStart w:id="40" w:name="_Toc386145998"/>
      <w:r w:rsidRPr="008F0ACF">
        <w:rPr>
          <w:sz w:val="24"/>
          <w:szCs w:val="24"/>
        </w:rPr>
        <w:t>Vanguard</w:t>
      </w:r>
      <w:bookmarkEnd w:id="40"/>
    </w:p>
    <w:p w:rsidR="00371136" w:rsidRDefault="00371136" w:rsidP="00DC3D9E">
      <w:pPr>
        <w:spacing w:after="240" w:line="360" w:lineRule="auto"/>
      </w:pPr>
      <w:r>
        <w:t xml:space="preserve">Na třetím místě našeho žebříčku se umístila společnost Vanguard s tržním podílem 14,1 % spravovaného objemu vložených peněžních prostředků ETP. Jedná se o jednu z největších investičních společností, která nabízí celou řadu nízkonákladových fondů kolektivního investování, ETF, poradenství a služeb s těmito souvisejících. </w:t>
      </w:r>
      <w:r w:rsidR="002A4FDE">
        <w:t>Vanguard</w:t>
      </w:r>
      <w:r>
        <w:t xml:space="preserve"> poskytuje své služby jak velkým společnostem, tak drobným investorům. Celkový počet emitovaných ETP na konci sledovaného období činil 100</w:t>
      </w:r>
      <w:r w:rsidR="00606431">
        <w:t xml:space="preserve"> produktů</w:t>
      </w:r>
      <w:r>
        <w:t xml:space="preserve">. </w:t>
      </w:r>
      <w:r>
        <w:rPr>
          <w:rStyle w:val="Znakapoznpodarou"/>
        </w:rPr>
        <w:footnoteReference w:id="55"/>
      </w:r>
    </w:p>
    <w:p w:rsidR="00371136" w:rsidRDefault="00371136" w:rsidP="00DC3D9E">
      <w:pPr>
        <w:spacing w:after="240" w:line="360" w:lineRule="auto"/>
      </w:pPr>
      <w:r>
        <w:t>Vznik společnosti v nynější podobě je datován k 1. 5. 1975, sídlo se nachází v Pensylvánii a koncem roku zaměstnávala tato společnost více než 14.000 zaměstnanců v USA a zahraničí. V roce 1976 založila tato společnost první indexový fond kolektivního investování pod názvem Vanguard 500. Společně s tím, jak tato společnost rostla, klesaly náklady, které museli nést klienti. Expense ratio v roce 1975 se pohybovalo na úrovni 0,89 %, do roku 1990 kleslo na 0,38 % a koncem roku 2013 se dostalo na úroveň 0,19 %. Těmito nízkými náklady, které jsou až o 75 % nižší než u jiných emitentů ETF</w:t>
      </w:r>
      <w:r>
        <w:rPr>
          <w:rStyle w:val="Znakapoznpodarou"/>
        </w:rPr>
        <w:footnoteReference w:id="56"/>
      </w:r>
      <w:r>
        <w:t>, se staly produkty společnosti široce oblíbené.</w:t>
      </w:r>
      <w:r>
        <w:rPr>
          <w:rStyle w:val="Znakapoznpodarou"/>
        </w:rPr>
        <w:footnoteReference w:id="57"/>
      </w:r>
      <w:r>
        <w:t xml:space="preserve"> </w:t>
      </w:r>
    </w:p>
    <w:p w:rsidR="00371136" w:rsidRDefault="00371136" w:rsidP="00DC3D9E">
      <w:pPr>
        <w:spacing w:after="240" w:line="360" w:lineRule="auto"/>
        <w:rPr>
          <w:szCs w:val="24"/>
        </w:rPr>
      </w:pPr>
      <w:r>
        <w:t xml:space="preserve">Mezi ETF, která spravuje tato </w:t>
      </w:r>
      <w:r w:rsidRPr="00064D92">
        <w:rPr>
          <w:szCs w:val="24"/>
        </w:rPr>
        <w:t>společnost, patří například Vanguard European zaměřené na evropské akcie, dále samozřejmě nesmí chybět Vanguard S&amp;P 500, které sleduje vývoj indexu S&amp;P 500, kromě toho má ve své nabídce i ETF zaměřená na emerging markets</w:t>
      </w:r>
    </w:p>
    <w:p w:rsidR="00371136" w:rsidRDefault="002872A0" w:rsidP="00371136">
      <w:pPr>
        <w:pStyle w:val="Nadpis3"/>
        <w:numPr>
          <w:ilvl w:val="3"/>
          <w:numId w:val="10"/>
        </w:numPr>
        <w:spacing w:after="240" w:line="360" w:lineRule="auto"/>
        <w:rPr>
          <w:sz w:val="24"/>
          <w:szCs w:val="24"/>
        </w:rPr>
      </w:pPr>
      <w:bookmarkStart w:id="41" w:name="_Toc386145999"/>
      <w:r>
        <w:rPr>
          <w:sz w:val="24"/>
          <w:szCs w:val="24"/>
        </w:rPr>
        <w:t xml:space="preserve">Invesco Power </w:t>
      </w:r>
      <w:r w:rsidR="00371136" w:rsidRPr="008B2537">
        <w:rPr>
          <w:sz w:val="24"/>
          <w:szCs w:val="24"/>
        </w:rPr>
        <w:t>Shares</w:t>
      </w:r>
      <w:bookmarkEnd w:id="41"/>
    </w:p>
    <w:p w:rsidR="002872A0" w:rsidRDefault="002872A0" w:rsidP="002872A0">
      <w:pPr>
        <w:spacing w:line="360" w:lineRule="auto"/>
      </w:pPr>
      <w:r>
        <w:t>Na čtvrté příčce největších poskytovatel</w:t>
      </w:r>
      <w:r w:rsidR="002A4FDE">
        <w:t>ů</w:t>
      </w:r>
      <w:r>
        <w:t xml:space="preserve"> ETPs se umístila společnosti Power Shares. Tato společnost začala</w:t>
      </w:r>
      <w:r w:rsidR="00C02AA5">
        <w:t xml:space="preserve"> ETPs</w:t>
      </w:r>
      <w:r>
        <w:t xml:space="preserve"> nabízet široké veřejnosti od roku 2003. </w:t>
      </w:r>
      <w:r w:rsidR="00286856">
        <w:t xml:space="preserve">ETFs Power Shares jsou obchodovány zejména na americké burze, dále nabízí své produkty také na burzách v Evropě </w:t>
      </w:r>
      <w:r w:rsidR="00286856">
        <w:lastRenderedPageBreak/>
        <w:t>a v Kanadě.</w:t>
      </w:r>
      <w:r>
        <w:t xml:space="preserve"> Invesco Power Shares je součástí spolčenosti Invesco Ltd.</w:t>
      </w:r>
      <w:r w:rsidR="00C02AA5">
        <w:t xml:space="preserve"> </w:t>
      </w:r>
      <w:r>
        <w:t>od roku 2006, což jí umož</w:t>
      </w:r>
      <w:r w:rsidR="00C02AA5">
        <w:t>n</w:t>
      </w:r>
      <w:r>
        <w:t>ilo další expanzi a širší zázemí pro poskytování svých aktivit a poskytování ETFs.</w:t>
      </w:r>
    </w:p>
    <w:p w:rsidR="00286856" w:rsidRDefault="00286856" w:rsidP="002872A0">
      <w:pPr>
        <w:spacing w:line="360" w:lineRule="auto"/>
      </w:pPr>
      <w:r>
        <w:t xml:space="preserve">Produkty PowerShares se zaměřují jak na akcie, tak na dluhopisy, komodity, měny, tak případně i na páková a inverzní ETFs. Ke konci roku 2013 čítal spravovaný majetek fondů Power Shares takřka </w:t>
      </w:r>
      <w:r w:rsidR="00464817">
        <w:t>96</w:t>
      </w:r>
      <w:r>
        <w:t xml:space="preserve"> mld USD.</w:t>
      </w:r>
      <w:r w:rsidR="00464817">
        <w:rPr>
          <w:rStyle w:val="Znakapoznpodarou"/>
        </w:rPr>
        <w:footnoteReference w:id="58"/>
      </w:r>
      <w:r>
        <w:t xml:space="preserve"> O majetek se stará na 750 investičních profesionálů a dalších takřka</w:t>
      </w:r>
      <w:r w:rsidR="002A4FDE">
        <w:t xml:space="preserve"> </w:t>
      </w:r>
      <w:r>
        <w:t>6.000 zaměstnanců této společnosti po celém světě. Celkem poskytují své služby ve více než 150 zemích celého světa.</w:t>
      </w:r>
      <w:r w:rsidR="00464817">
        <w:rPr>
          <w:rStyle w:val="Znakapoznpodarou"/>
        </w:rPr>
        <w:footnoteReference w:id="59"/>
      </w:r>
      <w:r>
        <w:t xml:space="preserve"> </w:t>
      </w:r>
    </w:p>
    <w:p w:rsidR="002872A0" w:rsidRDefault="002872A0" w:rsidP="00464817">
      <w:pPr>
        <w:spacing w:line="360" w:lineRule="auto"/>
      </w:pPr>
      <w:r>
        <w:t xml:space="preserve">Společnost </w:t>
      </w:r>
      <w:r w:rsidR="00464817">
        <w:t xml:space="preserve">Invesco </w:t>
      </w:r>
      <w:r>
        <w:t xml:space="preserve">Ltd. datuje svůj vznik do 40. let minulého století. </w:t>
      </w:r>
      <w:r w:rsidR="00464817">
        <w:t>Jedná se o jednoho z největších nezávislých hráčů na poli investičních firem. Jejich snahou je napomáhat investorům dosáhnout jejich cíl</w:t>
      </w:r>
      <w:r w:rsidR="001B538C">
        <w:t>ů</w:t>
      </w:r>
      <w:r w:rsidR="00464817">
        <w:t>. Společnost Invesco Ltd. poskytuje služby nejen drobným investorům, ale také samozřejmě institucionálním po celém světě.</w:t>
      </w:r>
    </w:p>
    <w:p w:rsidR="002872A0" w:rsidRPr="002872A0" w:rsidRDefault="00464817" w:rsidP="002872A0">
      <w:pPr>
        <w:spacing w:line="360" w:lineRule="auto"/>
      </w:pPr>
      <w:r>
        <w:t>Mezi nejznámější produkty Invesco Power Shares patří nepochybně PowerShares QQQ</w:t>
      </w:r>
      <w:r>
        <w:rPr>
          <w:vertAlign w:val="superscript"/>
        </w:rPr>
        <w:t>™</w:t>
      </w:r>
      <w:r>
        <w:t>, známý jednoduše pod označením QQQ. Podkladovým indexem tohoto ETF je americký index Nasdaq-100 Index</w:t>
      </w:r>
      <w:r>
        <w:rPr>
          <w:vertAlign w:val="superscript"/>
        </w:rPr>
        <w:t>®</w:t>
      </w:r>
      <w:r>
        <w:t xml:space="preserve">. QQQ kopíruje přesné složení tohoto indexu, obsahuje tedy všech 100 společností zahrnutých ve výše zmíněném benchmarku. </w:t>
      </w:r>
      <w:r>
        <w:rPr>
          <w:rStyle w:val="Znakapoznpodarou"/>
        </w:rPr>
        <w:footnoteReference w:id="60"/>
      </w:r>
    </w:p>
    <w:p w:rsidR="00091E74" w:rsidRDefault="00846CAE" w:rsidP="00846CAE">
      <w:pPr>
        <w:pStyle w:val="Nadpis3"/>
        <w:numPr>
          <w:ilvl w:val="3"/>
          <w:numId w:val="11"/>
        </w:numPr>
      </w:pPr>
      <w:bookmarkStart w:id="42" w:name="_Toc386146000"/>
      <w:r>
        <w:t>Deutsche Asset and Wealth Management</w:t>
      </w:r>
      <w:bookmarkEnd w:id="42"/>
    </w:p>
    <w:p w:rsidR="00464817" w:rsidRDefault="00C02AA5" w:rsidP="00C02AA5">
      <w:pPr>
        <w:spacing w:line="360" w:lineRule="auto"/>
      </w:pPr>
      <w:r w:rsidRPr="00752214">
        <w:t xml:space="preserve">Pátým největším emitentem ETPs je Deutshce Bank, respektive X-trackers Deutsche Bank skupiny Deutsche Asset and Wealth Management. </w:t>
      </w:r>
      <w:r w:rsidR="00752214">
        <w:t xml:space="preserve">Skupina Deutsche Bank má relativně dlouhou historii, byla založena již v 70. letech 19. století. </w:t>
      </w:r>
      <w:r w:rsidR="007906A5">
        <w:t xml:space="preserve">Co se moderní historie této společnosti týče, pak od roku 1989 začala rozšiřovat své služby do zemí Velké Británie, České republiky, Maďarska, Polska a postupně se z této společnosti začal stávat globální hráč. Pokud jde o jejich aktivity na poli investičního bankovnictví, pak zde je významným milníkem rok 2001, kdy byly uvedeny akcie této společnosti na trh USA. </w:t>
      </w:r>
      <w:r w:rsidR="008050B6">
        <w:rPr>
          <w:rStyle w:val="Znakapoznpodarou"/>
        </w:rPr>
        <w:footnoteReference w:id="61"/>
      </w:r>
    </w:p>
    <w:p w:rsidR="00752214" w:rsidRDefault="00752214" w:rsidP="00C02AA5">
      <w:pPr>
        <w:spacing w:line="360" w:lineRule="auto"/>
      </w:pPr>
      <w:r>
        <w:t xml:space="preserve">ETFs této společnosti jsou obchodována na burzách Miláně, Frankfurtu, Londýně, Singaporu nebo například i v Hong Kongu. Nabízí možnost investování do různých podkladových aktiv, </w:t>
      </w:r>
      <w:r>
        <w:lastRenderedPageBreak/>
        <w:t xml:space="preserve">kromě akcií také dluhopisů, měn, nástrojů peněžního trhu či komodit. Ke konci roku 2012 spravovala majetek ve výši přes 63 mld. USD, a to v aktivech USA, </w:t>
      </w:r>
      <w:proofErr w:type="gramStart"/>
      <w:r>
        <w:t xml:space="preserve">Evropy  </w:t>
      </w:r>
      <w:r w:rsidR="002A4FDE">
        <w:t>či</w:t>
      </w:r>
      <w:proofErr w:type="gramEnd"/>
      <w:r>
        <w:t xml:space="preserve"> Asie. Takto široký záběr podkladových aktiv je právě to, co řadí tuto společnost na přední příčky poskytovatelů ETPs.</w:t>
      </w:r>
      <w:r>
        <w:rPr>
          <w:rStyle w:val="Znakapoznpodarou"/>
        </w:rPr>
        <w:footnoteReference w:id="62"/>
      </w:r>
    </w:p>
    <w:p w:rsidR="00752214" w:rsidRPr="00752214" w:rsidRDefault="00856B48" w:rsidP="00C02AA5">
      <w:pPr>
        <w:spacing w:line="360" w:lineRule="auto"/>
      </w:pPr>
      <w:r>
        <w:t xml:space="preserve">Nejvýznamnějším produktem je pravděpodobně db x-trackers DAX UCITS ETF, </w:t>
      </w:r>
      <w:r w:rsidR="002A4FDE">
        <w:t>dohledatelný</w:t>
      </w:r>
      <w:r>
        <w:t xml:space="preserve"> pod tickerem XDAX:</w:t>
      </w:r>
      <w:proofErr w:type="gramStart"/>
      <w:r>
        <w:t>GR.Toto</w:t>
      </w:r>
      <w:proofErr w:type="gramEnd"/>
      <w:r>
        <w:t xml:space="preserve"> ETF sleduje vývoj německého burzovního indexu DAX. Významné zastoupení má tento emitent zejména na evropském trhu, kde ke konci roku 2013 činil jeho tržní podíl 13,4 %.</w:t>
      </w:r>
    </w:p>
    <w:p w:rsidR="00371136" w:rsidRDefault="00371136" w:rsidP="00371136">
      <w:pPr>
        <w:pStyle w:val="Nadpis3"/>
        <w:numPr>
          <w:ilvl w:val="2"/>
          <w:numId w:val="10"/>
        </w:numPr>
        <w:spacing w:after="240" w:line="360" w:lineRule="auto"/>
        <w:rPr>
          <w:sz w:val="24"/>
          <w:szCs w:val="24"/>
        </w:rPr>
      </w:pPr>
      <w:bookmarkStart w:id="43" w:name="_Toc386146001"/>
      <w:r w:rsidRPr="008B2537">
        <w:rPr>
          <w:sz w:val="24"/>
          <w:szCs w:val="24"/>
        </w:rPr>
        <w:t>Analýza vybraných trhů ETP</w:t>
      </w:r>
      <w:r>
        <w:rPr>
          <w:sz w:val="24"/>
          <w:szCs w:val="24"/>
        </w:rPr>
        <w:t>s</w:t>
      </w:r>
      <w:bookmarkEnd w:id="43"/>
    </w:p>
    <w:p w:rsidR="00371136" w:rsidRPr="008B2537" w:rsidRDefault="00371136" w:rsidP="005E5134">
      <w:pPr>
        <w:spacing w:line="360" w:lineRule="auto"/>
      </w:pPr>
      <w:r>
        <w:t xml:space="preserve">V první kapitole byl charakterizován vývoj počtů ETPs od roku 2000. V této části jsem zvolila 5 vybraných trhů s ETPs, přičemž cílem je zjistit, </w:t>
      </w:r>
      <w:r w:rsidR="002A4FDE">
        <w:t>jaký</w:t>
      </w:r>
      <w:r>
        <w:t xml:space="preserve"> poskytovatel ETPs má na kterém trhu dominantní postavení a jaké zaměření ETPs na daných trzích převládá. Cílem této části je tedy zjistit, zda jsou trhy po celém světě srovnatelné, nebo zda existují regionální rozdíly v oblíbenosti určitých typů produktů. V této podkapitole budu vycházet z údajů zveřejněných společností BlackRock</w:t>
      </w:r>
      <w:r>
        <w:rPr>
          <w:rStyle w:val="Znakapoznpodarou"/>
        </w:rPr>
        <w:footnoteReference w:id="63"/>
      </w:r>
      <w:r>
        <w:t xml:space="preserve">, uvedená data se vztahují ke konci </w:t>
      </w:r>
      <w:r w:rsidR="002A4FDE">
        <w:t xml:space="preserve">září </w:t>
      </w:r>
      <w:r>
        <w:t xml:space="preserve">roku 2012. Celkový podíl ETFs na ETPs činí 89 % (z pohledu objemu spravovaných prostředků), zbytek připadá na ETNs a případně ETCs. </w:t>
      </w:r>
    </w:p>
    <w:p w:rsidR="00371136" w:rsidRDefault="00371136" w:rsidP="00371136">
      <w:pPr>
        <w:pStyle w:val="Nadpis3"/>
        <w:numPr>
          <w:ilvl w:val="3"/>
          <w:numId w:val="10"/>
        </w:numPr>
        <w:spacing w:after="240" w:line="360" w:lineRule="auto"/>
        <w:rPr>
          <w:sz w:val="24"/>
          <w:szCs w:val="24"/>
        </w:rPr>
      </w:pPr>
      <w:bookmarkStart w:id="44" w:name="_Toc386146002"/>
      <w:r w:rsidRPr="008B2537">
        <w:rPr>
          <w:sz w:val="24"/>
          <w:szCs w:val="24"/>
        </w:rPr>
        <w:t xml:space="preserve">Trh </w:t>
      </w:r>
      <w:r>
        <w:rPr>
          <w:sz w:val="24"/>
          <w:szCs w:val="24"/>
        </w:rPr>
        <w:t>Spojených států amerických</w:t>
      </w:r>
      <w:bookmarkEnd w:id="44"/>
    </w:p>
    <w:p w:rsidR="00371136" w:rsidRDefault="00371136" w:rsidP="005E5134">
      <w:pPr>
        <w:spacing w:after="240" w:line="360" w:lineRule="auto"/>
      </w:pPr>
      <w:r>
        <w:t xml:space="preserve">Celkem se na americkém trhu </w:t>
      </w:r>
      <w:r w:rsidR="002A4FDE">
        <w:t xml:space="preserve">objevuje 49 poskytovatelů ETPs, nicméně </w:t>
      </w:r>
      <w:r>
        <w:t xml:space="preserve">přes 80 % veškerých aktiv je soustředěno v rukou tří největších poskytovatelů těchto produktů. Na prvním místě s více než 40 % se umístila společnost iShares. Druhé místo </w:t>
      </w:r>
      <w:proofErr w:type="gramStart"/>
      <w:r>
        <w:t>patří</w:t>
      </w:r>
      <w:proofErr w:type="gramEnd"/>
      <w:r>
        <w:t xml:space="preserve"> poskytovateli </w:t>
      </w:r>
      <w:proofErr w:type="gramStart"/>
      <w:r>
        <w:t>State</w:t>
      </w:r>
      <w:proofErr w:type="gramEnd"/>
      <w:r>
        <w:t xml:space="preserve"> Street s takřka čtvrtinovým podílem na americkém trhu a na třetím místě se umístila společnost Vanguard s tržním podílem necelých 18 %. </w:t>
      </w:r>
    </w:p>
    <w:p w:rsidR="0063402E" w:rsidRDefault="0063402E" w:rsidP="005E5134">
      <w:pPr>
        <w:spacing w:after="240" w:line="360" w:lineRule="auto"/>
      </w:pPr>
    </w:p>
    <w:p w:rsidR="0063402E" w:rsidRDefault="0063402E" w:rsidP="005E5134">
      <w:pPr>
        <w:spacing w:after="240" w:line="360" w:lineRule="auto"/>
      </w:pPr>
    </w:p>
    <w:p w:rsidR="000B447C" w:rsidRDefault="000B447C" w:rsidP="005E5134">
      <w:pPr>
        <w:spacing w:after="240" w:line="360" w:lineRule="auto"/>
      </w:pPr>
    </w:p>
    <w:p w:rsidR="00371136" w:rsidRPr="008200E7" w:rsidRDefault="00371136" w:rsidP="00371136">
      <w:pPr>
        <w:pStyle w:val="Titulek"/>
        <w:jc w:val="center"/>
        <w:rPr>
          <w:color w:val="auto"/>
          <w:sz w:val="22"/>
          <w:szCs w:val="22"/>
        </w:rPr>
      </w:pPr>
      <w:bookmarkStart w:id="45" w:name="_Toc385970317"/>
      <w:r w:rsidRPr="008200E7">
        <w:rPr>
          <w:color w:val="auto"/>
          <w:sz w:val="22"/>
          <w:szCs w:val="22"/>
        </w:rPr>
        <w:lastRenderedPageBreak/>
        <w:t xml:space="preserve">Tabulka č. </w:t>
      </w:r>
      <w:r w:rsidR="008B79C7" w:rsidRPr="008200E7">
        <w:rPr>
          <w:color w:val="auto"/>
          <w:sz w:val="22"/>
          <w:szCs w:val="22"/>
        </w:rPr>
        <w:fldChar w:fldCharType="begin"/>
      </w:r>
      <w:r w:rsidRPr="008200E7">
        <w:rPr>
          <w:color w:val="auto"/>
          <w:sz w:val="22"/>
          <w:szCs w:val="22"/>
        </w:rPr>
        <w:instrText xml:space="preserve"> SEQ Tabulka_č. \* ARABIC </w:instrText>
      </w:r>
      <w:r w:rsidR="008B79C7" w:rsidRPr="008200E7">
        <w:rPr>
          <w:color w:val="auto"/>
          <w:sz w:val="22"/>
          <w:szCs w:val="22"/>
        </w:rPr>
        <w:fldChar w:fldCharType="separate"/>
      </w:r>
      <w:r w:rsidR="00730734">
        <w:rPr>
          <w:noProof/>
          <w:color w:val="auto"/>
          <w:sz w:val="22"/>
          <w:szCs w:val="22"/>
        </w:rPr>
        <w:t>4</w:t>
      </w:r>
      <w:r w:rsidR="008B79C7" w:rsidRPr="008200E7">
        <w:rPr>
          <w:color w:val="auto"/>
          <w:sz w:val="22"/>
          <w:szCs w:val="22"/>
        </w:rPr>
        <w:fldChar w:fldCharType="end"/>
      </w:r>
      <w:r w:rsidRPr="008200E7">
        <w:rPr>
          <w:color w:val="auto"/>
          <w:sz w:val="22"/>
          <w:szCs w:val="22"/>
        </w:rPr>
        <w:t xml:space="preserve">: Podíly největších emitentů ETPs na americkém trhu ke </w:t>
      </w:r>
      <w:proofErr w:type="gramStart"/>
      <w:r w:rsidRPr="008200E7">
        <w:rPr>
          <w:color w:val="auto"/>
          <w:sz w:val="22"/>
          <w:szCs w:val="22"/>
        </w:rPr>
        <w:t>30.9.2012</w:t>
      </w:r>
      <w:bookmarkEnd w:id="45"/>
      <w:proofErr w:type="gramEnd"/>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71136" w:rsidTr="000F2DE6">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371136">
            <w:pPr>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Majetek fondu v mld. USD</w:t>
            </w: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Tržní podíl v %</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iShares</w:t>
            </w:r>
          </w:p>
        </w:tc>
        <w:tc>
          <w:tcPr>
            <w:tcW w:w="3071" w:type="dxa"/>
          </w:tcPr>
          <w:p w:rsidR="00371136" w:rsidRDefault="00371136" w:rsidP="00371136">
            <w:pPr>
              <w:jc w:val="center"/>
              <w:cnfStyle w:val="000000100000"/>
            </w:pPr>
            <w:r>
              <w:t>525,9</w:t>
            </w:r>
          </w:p>
        </w:tc>
        <w:tc>
          <w:tcPr>
            <w:tcW w:w="3071" w:type="dxa"/>
          </w:tcPr>
          <w:p w:rsidR="00371136" w:rsidRDefault="00371136" w:rsidP="00371136">
            <w:pPr>
              <w:jc w:val="center"/>
              <w:cnfStyle w:val="000000100000"/>
            </w:pPr>
            <w:r>
              <w:t>40,4</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State Street</w:t>
            </w:r>
          </w:p>
        </w:tc>
        <w:tc>
          <w:tcPr>
            <w:tcW w:w="3071" w:type="dxa"/>
          </w:tcPr>
          <w:p w:rsidR="00371136" w:rsidRDefault="00371136" w:rsidP="00371136">
            <w:pPr>
              <w:jc w:val="center"/>
              <w:cnfStyle w:val="000000000000"/>
            </w:pPr>
            <w:r>
              <w:t>317,1</w:t>
            </w:r>
          </w:p>
        </w:tc>
        <w:tc>
          <w:tcPr>
            <w:tcW w:w="3071" w:type="dxa"/>
          </w:tcPr>
          <w:p w:rsidR="00371136" w:rsidRDefault="00371136" w:rsidP="00371136">
            <w:pPr>
              <w:jc w:val="center"/>
              <w:cnfStyle w:val="000000000000"/>
            </w:pPr>
            <w:r>
              <w:t>24,4</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Vanguard</w:t>
            </w:r>
          </w:p>
        </w:tc>
        <w:tc>
          <w:tcPr>
            <w:tcW w:w="3071" w:type="dxa"/>
          </w:tcPr>
          <w:p w:rsidR="00371136" w:rsidRDefault="00371136" w:rsidP="00371136">
            <w:pPr>
              <w:jc w:val="center"/>
              <w:cnfStyle w:val="000000100000"/>
            </w:pPr>
            <w:r>
              <w:t>230,3</w:t>
            </w:r>
          </w:p>
        </w:tc>
        <w:tc>
          <w:tcPr>
            <w:tcW w:w="3071" w:type="dxa"/>
          </w:tcPr>
          <w:p w:rsidR="00371136" w:rsidRDefault="00371136" w:rsidP="00371136">
            <w:pPr>
              <w:jc w:val="center"/>
              <w:cnfStyle w:val="000000100000"/>
            </w:pPr>
            <w:r>
              <w:t>17,7</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Invesco PowerShares</w:t>
            </w:r>
          </w:p>
        </w:tc>
        <w:tc>
          <w:tcPr>
            <w:tcW w:w="3071" w:type="dxa"/>
          </w:tcPr>
          <w:p w:rsidR="00371136" w:rsidRDefault="00371136" w:rsidP="00371136">
            <w:pPr>
              <w:jc w:val="center"/>
              <w:cnfStyle w:val="000000000000"/>
            </w:pPr>
            <w:r>
              <w:t>73,9</w:t>
            </w:r>
          </w:p>
        </w:tc>
        <w:tc>
          <w:tcPr>
            <w:tcW w:w="3071" w:type="dxa"/>
          </w:tcPr>
          <w:p w:rsidR="00371136" w:rsidRDefault="00371136" w:rsidP="00371136">
            <w:pPr>
              <w:jc w:val="center"/>
              <w:cnfStyle w:val="000000000000"/>
            </w:pPr>
            <w:r>
              <w:t>5,7</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Van Eck Associates Corp</w:t>
            </w:r>
          </w:p>
        </w:tc>
        <w:tc>
          <w:tcPr>
            <w:tcW w:w="3071" w:type="dxa"/>
          </w:tcPr>
          <w:p w:rsidR="00371136" w:rsidRDefault="00371136" w:rsidP="00371136">
            <w:pPr>
              <w:jc w:val="center"/>
              <w:cnfStyle w:val="000000100000"/>
            </w:pPr>
            <w:r>
              <w:t>28,1</w:t>
            </w:r>
          </w:p>
        </w:tc>
        <w:tc>
          <w:tcPr>
            <w:tcW w:w="3071" w:type="dxa"/>
          </w:tcPr>
          <w:p w:rsidR="00371136" w:rsidRDefault="00371136" w:rsidP="00371136">
            <w:pPr>
              <w:jc w:val="center"/>
              <w:cnfStyle w:val="000000100000"/>
            </w:pPr>
            <w:r>
              <w:t>2,2</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44 ostatních</w:t>
            </w:r>
          </w:p>
        </w:tc>
        <w:tc>
          <w:tcPr>
            <w:tcW w:w="3071" w:type="dxa"/>
          </w:tcPr>
          <w:p w:rsidR="00371136" w:rsidRDefault="00371136" w:rsidP="00371136">
            <w:pPr>
              <w:jc w:val="center"/>
              <w:cnfStyle w:val="000000000000"/>
            </w:pPr>
            <w:r>
              <w:t>125,8</w:t>
            </w:r>
          </w:p>
        </w:tc>
        <w:tc>
          <w:tcPr>
            <w:tcW w:w="3071" w:type="dxa"/>
          </w:tcPr>
          <w:p w:rsidR="00371136" w:rsidRDefault="00371136" w:rsidP="00371136">
            <w:pPr>
              <w:jc w:val="center"/>
              <w:cnfStyle w:val="000000000000"/>
            </w:pPr>
            <w:r>
              <w:t>9,6</w:t>
            </w:r>
          </w:p>
        </w:tc>
      </w:tr>
    </w:tbl>
    <w:p w:rsidR="00371136" w:rsidRPr="00275BAD" w:rsidRDefault="00371136" w:rsidP="00371136">
      <w:pPr>
        <w:spacing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Landscape: Global Handbook 2012. </w:t>
      </w:r>
      <w:r w:rsidRPr="004730DA">
        <w:rPr>
          <w:i/>
          <w:iCs/>
          <w:sz w:val="22"/>
        </w:rPr>
        <w:t>BlackRock</w:t>
      </w:r>
      <w:r w:rsidRPr="004730DA">
        <w:rPr>
          <w:sz w:val="22"/>
        </w:rPr>
        <w:t xml:space="preserve"> [online]. 2013 [cit. </w:t>
      </w:r>
      <w:r w:rsidRPr="00275BAD">
        <w:rPr>
          <w:sz w:val="22"/>
        </w:rPr>
        <w:t xml:space="preserve">2014-03-20]. Dostupné z: </w:t>
      </w:r>
      <w:hyperlink r:id="rId17" w:history="1">
        <w:r w:rsidRPr="00275BAD">
          <w:rPr>
            <w:rStyle w:val="Hypertextovodkaz"/>
            <w:color w:val="auto"/>
            <w:sz w:val="22"/>
            <w:u w:val="none"/>
          </w:rPr>
          <w:t>http://www.blackrockinternational.com/content/groups/internationalsite/documents/literature/etfl_globalhandbook_2012.pdf</w:t>
        </w:r>
      </w:hyperlink>
    </w:p>
    <w:p w:rsidR="0063402E" w:rsidRDefault="00371136" w:rsidP="005E5134">
      <w:pPr>
        <w:spacing w:after="240" w:line="360" w:lineRule="auto"/>
      </w:pPr>
      <w:r>
        <w:t>Celkem se na konci září 2012 na americkém trhu obchodovalo 1.465 ETPs, z toho celkem 1.188 ETFs. Produktem s nejvyšším objemem aktiv je ETF kopírující vývoj jednoho z nejvyužívanějších amerických indexů, a to ETF SPDR S</w:t>
      </w:r>
      <w:r w:rsidRPr="000F69BB">
        <w:t>&amp;</w:t>
      </w:r>
      <w:r>
        <w:t xml:space="preserve">P 500, </w:t>
      </w:r>
      <w:proofErr w:type="gramStart"/>
      <w:r>
        <w:t>následováno</w:t>
      </w:r>
      <w:proofErr w:type="gramEnd"/>
      <w:r>
        <w:t xml:space="preserve"> produktem taktéž společnosti </w:t>
      </w:r>
      <w:proofErr w:type="gramStart"/>
      <w:r>
        <w:t>State</w:t>
      </w:r>
      <w:proofErr w:type="gramEnd"/>
      <w:r>
        <w:t xml:space="preserve"> Street, tentokrát však kopírující vývoj zlata, tedy SPDR Gold. Z deseti top ETFs dle objemu aktiv jich 5 spravuje společnost iShares, poskytovatelem dvou produktů je společnost State Street, taktéž 2 náleží skupině Vanguard a poslední náleží pod PowerShares. Jak je vidět, top 10 ETFs dle objemu aktiv spravuje právě top 5 největších poskytovatelů ETPs na severoamerickém kontinentě.</w:t>
      </w:r>
    </w:p>
    <w:p w:rsidR="00371136" w:rsidRDefault="00371136" w:rsidP="002A4FDE">
      <w:pPr>
        <w:pStyle w:val="Titulek"/>
        <w:jc w:val="center"/>
      </w:pPr>
      <w:bookmarkStart w:id="46" w:name="_Toc385970606"/>
      <w:r w:rsidRPr="0045612B">
        <w:rPr>
          <w:color w:val="auto"/>
          <w:sz w:val="22"/>
          <w:szCs w:val="22"/>
        </w:rPr>
        <w:t xml:space="preserve">Graf č. </w:t>
      </w:r>
      <w:r w:rsidR="008B79C7" w:rsidRPr="0045612B">
        <w:rPr>
          <w:color w:val="auto"/>
          <w:sz w:val="22"/>
          <w:szCs w:val="22"/>
        </w:rPr>
        <w:fldChar w:fldCharType="begin"/>
      </w:r>
      <w:r w:rsidRPr="0045612B">
        <w:rPr>
          <w:color w:val="auto"/>
          <w:sz w:val="22"/>
          <w:szCs w:val="22"/>
        </w:rPr>
        <w:instrText xml:space="preserve"> SEQ Graf_č. \* ARABIC </w:instrText>
      </w:r>
      <w:r w:rsidR="008B79C7" w:rsidRPr="0045612B">
        <w:rPr>
          <w:color w:val="auto"/>
          <w:sz w:val="22"/>
          <w:szCs w:val="22"/>
        </w:rPr>
        <w:fldChar w:fldCharType="separate"/>
      </w:r>
      <w:r w:rsidR="002E0A33">
        <w:rPr>
          <w:noProof/>
          <w:color w:val="auto"/>
          <w:sz w:val="22"/>
          <w:szCs w:val="22"/>
        </w:rPr>
        <w:t>5</w:t>
      </w:r>
      <w:r w:rsidR="008B79C7" w:rsidRPr="0045612B">
        <w:rPr>
          <w:color w:val="auto"/>
          <w:sz w:val="22"/>
          <w:szCs w:val="22"/>
        </w:rPr>
        <w:fldChar w:fldCharType="end"/>
      </w:r>
      <w:r w:rsidRPr="0045612B">
        <w:rPr>
          <w:color w:val="auto"/>
          <w:sz w:val="22"/>
          <w:szCs w:val="22"/>
        </w:rPr>
        <w:t xml:space="preserve">: Podíly ETPs dle zaměření na </w:t>
      </w:r>
      <w:r>
        <w:rPr>
          <w:color w:val="auto"/>
          <w:sz w:val="22"/>
          <w:szCs w:val="22"/>
        </w:rPr>
        <w:t>americkém</w:t>
      </w:r>
      <w:r w:rsidRPr="0045612B">
        <w:rPr>
          <w:color w:val="auto"/>
          <w:sz w:val="22"/>
          <w:szCs w:val="22"/>
        </w:rPr>
        <w:t xml:space="preserve"> trhu k </w:t>
      </w:r>
      <w:proofErr w:type="gramStart"/>
      <w:r w:rsidRPr="0045612B">
        <w:rPr>
          <w:color w:val="auto"/>
          <w:sz w:val="22"/>
          <w:szCs w:val="22"/>
        </w:rPr>
        <w:t>30.9.2012</w:t>
      </w:r>
      <w:proofErr w:type="gramEnd"/>
      <w:r w:rsidRPr="0045612B">
        <w:rPr>
          <w:color w:val="auto"/>
          <w:sz w:val="22"/>
          <w:szCs w:val="22"/>
        </w:rPr>
        <w:t xml:space="preserve"> (v %)</w:t>
      </w:r>
      <w:r w:rsidR="002A4FDE" w:rsidRPr="00694751">
        <w:rPr>
          <w:noProof/>
        </w:rPr>
        <w:drawing>
          <wp:inline distT="0" distB="0" distL="0" distR="0">
            <wp:extent cx="4488872" cy="2861953"/>
            <wp:effectExtent l="0" t="0" r="0" b="0"/>
            <wp:docPr id="1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End w:id="46"/>
    </w:p>
    <w:p w:rsidR="00371136" w:rsidRPr="004730DA" w:rsidRDefault="00371136" w:rsidP="00371136">
      <w:pPr>
        <w:spacing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Landscape: Global Handbook 2012. </w:t>
      </w:r>
      <w:r w:rsidRPr="004730DA">
        <w:rPr>
          <w:i/>
          <w:iCs/>
          <w:sz w:val="22"/>
        </w:rPr>
        <w:t>BlackRock</w:t>
      </w:r>
      <w:r w:rsidRPr="004730DA">
        <w:rPr>
          <w:sz w:val="22"/>
        </w:rPr>
        <w:t xml:space="preserve"> [online]. 2013 [cit. </w:t>
      </w:r>
      <w:r w:rsidRPr="00275BAD">
        <w:rPr>
          <w:sz w:val="22"/>
        </w:rPr>
        <w:t xml:space="preserve">2014-03-20]. Dostupné z: </w:t>
      </w:r>
      <w:hyperlink r:id="rId19" w:history="1">
        <w:r w:rsidRPr="00275BAD">
          <w:rPr>
            <w:rStyle w:val="Hypertextovodkaz"/>
            <w:color w:val="auto"/>
            <w:sz w:val="22"/>
            <w:u w:val="none"/>
          </w:rPr>
          <w:t>http://www.blackrockinternational.com/content/groups/internationalsite/documents/literature/etfl_globalhandbook_2012.pdf</w:t>
        </w:r>
      </w:hyperlink>
    </w:p>
    <w:p w:rsidR="00371136" w:rsidRPr="000E378E" w:rsidRDefault="00371136" w:rsidP="005E5134">
      <w:pPr>
        <w:spacing w:before="240" w:line="360" w:lineRule="auto"/>
      </w:pPr>
      <w:r>
        <w:lastRenderedPageBreak/>
        <w:t xml:space="preserve">Graf č. </w:t>
      </w:r>
      <w:r w:rsidR="002A4FDE">
        <w:t>5</w:t>
      </w:r>
      <w:r>
        <w:t xml:space="preserve"> znázorňuje rozdělení ETPs v USA dle jejich investičního zaměření. Takřka polovina ETPs cílí na americké akcie. Celkový podíl akcií je přes 70%, necelých 18 % investuje do dluhopisových produktů a do komodit necelých 10 %. Pokud by nás zajímaly například měnové produkty, tak do měn investuje pouze 0,4 % ETPs. </w:t>
      </w:r>
    </w:p>
    <w:p w:rsidR="00371136" w:rsidRDefault="00371136" w:rsidP="00371136">
      <w:pPr>
        <w:pStyle w:val="Nadpis3"/>
        <w:numPr>
          <w:ilvl w:val="3"/>
          <w:numId w:val="10"/>
        </w:numPr>
        <w:spacing w:before="240" w:after="0" w:line="360" w:lineRule="auto"/>
        <w:rPr>
          <w:sz w:val="24"/>
          <w:szCs w:val="24"/>
        </w:rPr>
      </w:pPr>
      <w:bookmarkStart w:id="47" w:name="_Toc386146003"/>
      <w:r w:rsidRPr="008B2537">
        <w:rPr>
          <w:sz w:val="24"/>
          <w:szCs w:val="24"/>
        </w:rPr>
        <w:t>Evropský trh</w:t>
      </w:r>
      <w:bookmarkEnd w:id="47"/>
      <w:r w:rsidRPr="008B2537">
        <w:rPr>
          <w:sz w:val="24"/>
          <w:szCs w:val="24"/>
        </w:rPr>
        <w:t xml:space="preserve"> </w:t>
      </w:r>
    </w:p>
    <w:p w:rsidR="00371136" w:rsidRPr="00A04D17" w:rsidRDefault="00371136" w:rsidP="005E5134">
      <w:pPr>
        <w:spacing w:after="240" w:line="360" w:lineRule="auto"/>
      </w:pPr>
      <w:r>
        <w:t xml:space="preserve">Pokud se podíváme na tabulku </w:t>
      </w:r>
      <w:proofErr w:type="gramStart"/>
      <w:r>
        <w:t>č.</w:t>
      </w:r>
      <w:r w:rsidR="006422A9">
        <w:t>5</w:t>
      </w:r>
      <w:r>
        <w:t>, pak</w:t>
      </w:r>
      <w:proofErr w:type="gramEnd"/>
      <w:r>
        <w:t xml:space="preserve"> je patrné, že v Evropě není tak široká základna emitentů ETPs</w:t>
      </w:r>
      <w:r w:rsidR="006422A9">
        <w:t xml:space="preserve"> jako v USA</w:t>
      </w:r>
      <w:r>
        <w:t xml:space="preserve">. Celkem na evropském trhu působí 41 emitentů. Oproti srovnání se Spojenými státy je zde také patrný rozdíl v koncentraci, kdy 3 největší emitenti drží tržní podíl 62 % v Evropě, ale v USA je tento ukazatel mnohem vyšší, a sice 82 %. </w:t>
      </w:r>
    </w:p>
    <w:p w:rsidR="00371136" w:rsidRPr="00A04D17" w:rsidRDefault="00371136" w:rsidP="00371136">
      <w:pPr>
        <w:pStyle w:val="Titulek"/>
        <w:spacing w:after="240"/>
        <w:jc w:val="center"/>
        <w:rPr>
          <w:color w:val="auto"/>
          <w:sz w:val="22"/>
          <w:szCs w:val="22"/>
        </w:rPr>
      </w:pPr>
      <w:bookmarkStart w:id="48" w:name="_Toc385970318"/>
      <w:r w:rsidRPr="00A04D17">
        <w:rPr>
          <w:color w:val="auto"/>
          <w:sz w:val="22"/>
          <w:szCs w:val="22"/>
        </w:rPr>
        <w:t xml:space="preserve">Tabulka č. </w:t>
      </w:r>
      <w:r w:rsidR="008B79C7" w:rsidRPr="00A04D17">
        <w:rPr>
          <w:color w:val="auto"/>
          <w:sz w:val="22"/>
          <w:szCs w:val="22"/>
        </w:rPr>
        <w:fldChar w:fldCharType="begin"/>
      </w:r>
      <w:r w:rsidRPr="00A04D17">
        <w:rPr>
          <w:color w:val="auto"/>
          <w:sz w:val="22"/>
          <w:szCs w:val="22"/>
        </w:rPr>
        <w:instrText xml:space="preserve"> SEQ Tabulka_č. \* ARABIC </w:instrText>
      </w:r>
      <w:r w:rsidR="008B79C7" w:rsidRPr="00A04D17">
        <w:rPr>
          <w:color w:val="auto"/>
          <w:sz w:val="22"/>
          <w:szCs w:val="22"/>
        </w:rPr>
        <w:fldChar w:fldCharType="separate"/>
      </w:r>
      <w:r w:rsidR="00730734">
        <w:rPr>
          <w:noProof/>
          <w:color w:val="auto"/>
          <w:sz w:val="22"/>
          <w:szCs w:val="22"/>
        </w:rPr>
        <w:t>5</w:t>
      </w:r>
      <w:r w:rsidR="008B79C7" w:rsidRPr="00A04D17">
        <w:rPr>
          <w:color w:val="auto"/>
          <w:sz w:val="22"/>
          <w:szCs w:val="22"/>
        </w:rPr>
        <w:fldChar w:fldCharType="end"/>
      </w:r>
      <w:r w:rsidRPr="00A04D17">
        <w:rPr>
          <w:color w:val="auto"/>
          <w:sz w:val="22"/>
          <w:szCs w:val="22"/>
        </w:rPr>
        <w:t xml:space="preserve">: Podíly největších emitentů ETPs na evropském trhu ke </w:t>
      </w:r>
      <w:proofErr w:type="gramStart"/>
      <w:r w:rsidRPr="00A04D17">
        <w:rPr>
          <w:color w:val="auto"/>
          <w:sz w:val="22"/>
          <w:szCs w:val="22"/>
        </w:rPr>
        <w:t>30.9.2012</w:t>
      </w:r>
      <w:bookmarkEnd w:id="48"/>
      <w:proofErr w:type="gramEnd"/>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71136" w:rsidTr="000F2DE6">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371136">
            <w:pPr>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Majetek fondu v mld. USD</w:t>
            </w: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Tržní podíl v %</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iShares</w:t>
            </w:r>
          </w:p>
        </w:tc>
        <w:tc>
          <w:tcPr>
            <w:tcW w:w="3071" w:type="dxa"/>
          </w:tcPr>
          <w:p w:rsidR="00371136" w:rsidRDefault="00371136" w:rsidP="00371136">
            <w:pPr>
              <w:jc w:val="center"/>
              <w:cnfStyle w:val="000000100000"/>
            </w:pPr>
            <w:r>
              <w:t>127</w:t>
            </w:r>
          </w:p>
        </w:tc>
        <w:tc>
          <w:tcPr>
            <w:tcW w:w="3071" w:type="dxa"/>
          </w:tcPr>
          <w:p w:rsidR="00371136" w:rsidRDefault="00371136" w:rsidP="00371136">
            <w:pPr>
              <w:jc w:val="center"/>
              <w:cnfStyle w:val="000000100000"/>
            </w:pPr>
            <w:r>
              <w:t>36,6</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Db x-trackers/db ETC</w:t>
            </w:r>
          </w:p>
        </w:tc>
        <w:tc>
          <w:tcPr>
            <w:tcW w:w="3071" w:type="dxa"/>
          </w:tcPr>
          <w:p w:rsidR="00371136" w:rsidRDefault="00371136" w:rsidP="00371136">
            <w:pPr>
              <w:jc w:val="center"/>
              <w:cnfStyle w:val="000000000000"/>
            </w:pPr>
            <w:r>
              <w:t>48,3</w:t>
            </w:r>
          </w:p>
        </w:tc>
        <w:tc>
          <w:tcPr>
            <w:tcW w:w="3071" w:type="dxa"/>
          </w:tcPr>
          <w:p w:rsidR="00371136" w:rsidRDefault="00371136" w:rsidP="00371136">
            <w:pPr>
              <w:jc w:val="center"/>
              <w:cnfStyle w:val="000000000000"/>
            </w:pPr>
            <w:r>
              <w:t>13,9</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Lyxor Asset Management/Soc Gen</w:t>
            </w:r>
          </w:p>
        </w:tc>
        <w:tc>
          <w:tcPr>
            <w:tcW w:w="3071" w:type="dxa"/>
          </w:tcPr>
          <w:p w:rsidR="00371136" w:rsidRDefault="00371136" w:rsidP="00371136">
            <w:pPr>
              <w:jc w:val="center"/>
              <w:cnfStyle w:val="000000100000"/>
            </w:pPr>
            <w:r>
              <w:t>40</w:t>
            </w:r>
          </w:p>
        </w:tc>
        <w:tc>
          <w:tcPr>
            <w:tcW w:w="3071" w:type="dxa"/>
          </w:tcPr>
          <w:p w:rsidR="00371136" w:rsidRDefault="00371136" w:rsidP="00371136">
            <w:pPr>
              <w:jc w:val="center"/>
              <w:cnfStyle w:val="000000100000"/>
            </w:pPr>
            <w:r>
              <w:t>11,5</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ETF Securities</w:t>
            </w:r>
          </w:p>
        </w:tc>
        <w:tc>
          <w:tcPr>
            <w:tcW w:w="3071" w:type="dxa"/>
          </w:tcPr>
          <w:p w:rsidR="00371136" w:rsidRDefault="00371136" w:rsidP="00371136">
            <w:pPr>
              <w:jc w:val="center"/>
              <w:cnfStyle w:val="000000000000"/>
            </w:pPr>
            <w:r>
              <w:t>24,8</w:t>
            </w:r>
          </w:p>
        </w:tc>
        <w:tc>
          <w:tcPr>
            <w:tcW w:w="3071" w:type="dxa"/>
          </w:tcPr>
          <w:p w:rsidR="00371136" w:rsidRDefault="00371136" w:rsidP="00371136">
            <w:pPr>
              <w:jc w:val="center"/>
              <w:cnfStyle w:val="000000000000"/>
            </w:pPr>
            <w:r>
              <w:t>7,1</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Credit Suisse Asset Management</w:t>
            </w:r>
          </w:p>
        </w:tc>
        <w:tc>
          <w:tcPr>
            <w:tcW w:w="3071" w:type="dxa"/>
          </w:tcPr>
          <w:p w:rsidR="00371136" w:rsidRDefault="00371136" w:rsidP="00371136">
            <w:pPr>
              <w:jc w:val="center"/>
              <w:cnfStyle w:val="000000100000"/>
            </w:pPr>
            <w:r>
              <w:t>17,2</w:t>
            </w:r>
          </w:p>
        </w:tc>
        <w:tc>
          <w:tcPr>
            <w:tcW w:w="3071" w:type="dxa"/>
          </w:tcPr>
          <w:p w:rsidR="00371136" w:rsidRDefault="00371136" w:rsidP="00371136">
            <w:pPr>
              <w:jc w:val="center"/>
              <w:cnfStyle w:val="000000100000"/>
            </w:pPr>
            <w:r>
              <w:t>5</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36 ostatních</w:t>
            </w:r>
          </w:p>
        </w:tc>
        <w:tc>
          <w:tcPr>
            <w:tcW w:w="3071" w:type="dxa"/>
          </w:tcPr>
          <w:p w:rsidR="00371136" w:rsidRDefault="00371136" w:rsidP="00371136">
            <w:pPr>
              <w:jc w:val="center"/>
              <w:cnfStyle w:val="000000000000"/>
            </w:pPr>
            <w:r>
              <w:t>89,9</w:t>
            </w:r>
          </w:p>
        </w:tc>
        <w:tc>
          <w:tcPr>
            <w:tcW w:w="3071" w:type="dxa"/>
          </w:tcPr>
          <w:p w:rsidR="00371136" w:rsidRDefault="00371136" w:rsidP="00371136">
            <w:pPr>
              <w:jc w:val="center"/>
              <w:cnfStyle w:val="000000000000"/>
            </w:pPr>
            <w:r>
              <w:t>25,9</w:t>
            </w:r>
          </w:p>
        </w:tc>
      </w:tr>
    </w:tbl>
    <w:p w:rsidR="00371136" w:rsidRPr="00275BAD" w:rsidRDefault="00371136" w:rsidP="00371136">
      <w:pPr>
        <w:spacing w:before="240"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Landscape: Global Handbook 2012. </w:t>
      </w:r>
      <w:r w:rsidRPr="004730DA">
        <w:rPr>
          <w:i/>
          <w:iCs/>
          <w:sz w:val="22"/>
        </w:rPr>
        <w:t>BlackRock</w:t>
      </w:r>
      <w:r w:rsidRPr="004730DA">
        <w:rPr>
          <w:sz w:val="22"/>
        </w:rPr>
        <w:t xml:space="preserve"> [online]. 2013 [cit. </w:t>
      </w:r>
      <w:r w:rsidRPr="00275BAD">
        <w:rPr>
          <w:sz w:val="22"/>
        </w:rPr>
        <w:t xml:space="preserve">2014-03-20]. Dostupné z: </w:t>
      </w:r>
      <w:hyperlink r:id="rId20" w:history="1">
        <w:r w:rsidRPr="00275BAD">
          <w:rPr>
            <w:rStyle w:val="Hypertextovodkaz"/>
            <w:color w:val="auto"/>
            <w:sz w:val="22"/>
            <w:u w:val="none"/>
          </w:rPr>
          <w:t>http://www.blackrockinternational.com/content/groups/internationalsite/documents/literature/etfl_globalhandbook_2012.pdf</w:t>
        </w:r>
      </w:hyperlink>
    </w:p>
    <w:p w:rsidR="00371136" w:rsidRDefault="00371136" w:rsidP="005E5134">
      <w:pPr>
        <w:spacing w:after="240" w:line="360" w:lineRule="auto"/>
      </w:pPr>
      <w:r>
        <w:t>Dominantní na evropském trhu je společnost iShares s necelými 37 %, na druhém místě se drží Db x-trackers/db ETC s necelými 14 % a třetí příčku obsadila společnost</w:t>
      </w:r>
      <w:r w:rsidRPr="00A04D17">
        <w:t xml:space="preserve"> </w:t>
      </w:r>
      <w:r>
        <w:t xml:space="preserve">Lyxor Asset Management skupiny Societe Generale. Tyto tři společnosti jsou také poskytovatelé sedmi z deseti ETPs dle objemu spravovaných prostředků. Z celkového počtu 2.101 ETPs činilo 1.311 produkty ETFs. </w:t>
      </w:r>
    </w:p>
    <w:p w:rsidR="006422A9" w:rsidRDefault="00371136" w:rsidP="005E5134">
      <w:pPr>
        <w:spacing w:after="240" w:line="360" w:lineRule="auto"/>
      </w:pPr>
      <w:r>
        <w:t>Pokud bychom zkoumali ETPs v Evropě s nejvyššími aktivy, pak na prvním místě se umístilo iShares DAX ETF, tedy ETF kopírující vývoj německého burzovního indexu DAX. Druhou příčku opět zaujímá produkt společnosti iShares, a sice iShares S</w:t>
      </w:r>
      <w:r w:rsidRPr="000F69BB">
        <w:t>&amp;</w:t>
      </w:r>
      <w:r>
        <w:t xml:space="preserve">P 500. Na třetím a čtvrtém místě se umístily produkty sledující vývoj zlata. Na dalších příčkách se umístily například </w:t>
      </w:r>
      <w:r>
        <w:lastRenderedPageBreak/>
        <w:t>produkty sledující vývoj indexů MSCI Emerging Markets, FTSE 100 nebo EURO STOXX 50.</w:t>
      </w:r>
    </w:p>
    <w:p w:rsidR="00371136" w:rsidRPr="00DB2C0A" w:rsidRDefault="00371136" w:rsidP="00371136">
      <w:pPr>
        <w:pStyle w:val="Titulek"/>
        <w:jc w:val="center"/>
        <w:rPr>
          <w:color w:val="auto"/>
          <w:sz w:val="22"/>
        </w:rPr>
      </w:pPr>
      <w:bookmarkStart w:id="49" w:name="_Toc385970607"/>
      <w:r w:rsidRPr="00DB2C0A">
        <w:rPr>
          <w:color w:val="auto"/>
          <w:sz w:val="22"/>
        </w:rPr>
        <w:t xml:space="preserve">Graf č. </w:t>
      </w:r>
      <w:r w:rsidR="008B79C7" w:rsidRPr="00DB2C0A">
        <w:rPr>
          <w:color w:val="auto"/>
          <w:sz w:val="22"/>
        </w:rPr>
        <w:fldChar w:fldCharType="begin"/>
      </w:r>
      <w:r w:rsidRPr="00DB2C0A">
        <w:rPr>
          <w:color w:val="auto"/>
          <w:sz w:val="22"/>
        </w:rPr>
        <w:instrText xml:space="preserve"> SEQ Graf_č. \* ARABIC </w:instrText>
      </w:r>
      <w:r w:rsidR="008B79C7" w:rsidRPr="00DB2C0A">
        <w:rPr>
          <w:color w:val="auto"/>
          <w:sz w:val="22"/>
        </w:rPr>
        <w:fldChar w:fldCharType="separate"/>
      </w:r>
      <w:r w:rsidR="002E0A33">
        <w:rPr>
          <w:noProof/>
          <w:color w:val="auto"/>
          <w:sz w:val="22"/>
        </w:rPr>
        <w:t>6</w:t>
      </w:r>
      <w:r w:rsidR="008B79C7" w:rsidRPr="00DB2C0A">
        <w:rPr>
          <w:color w:val="auto"/>
          <w:sz w:val="22"/>
        </w:rPr>
        <w:fldChar w:fldCharType="end"/>
      </w:r>
      <w:r w:rsidRPr="00DB2C0A">
        <w:rPr>
          <w:color w:val="auto"/>
          <w:sz w:val="22"/>
        </w:rPr>
        <w:t xml:space="preserve">: </w:t>
      </w:r>
      <w:r>
        <w:rPr>
          <w:color w:val="auto"/>
          <w:sz w:val="22"/>
        </w:rPr>
        <w:t>Podíly</w:t>
      </w:r>
      <w:r w:rsidRPr="00DB2C0A">
        <w:rPr>
          <w:color w:val="auto"/>
          <w:sz w:val="22"/>
        </w:rPr>
        <w:t xml:space="preserve"> ETPs </w:t>
      </w:r>
      <w:r>
        <w:rPr>
          <w:color w:val="auto"/>
          <w:sz w:val="22"/>
        </w:rPr>
        <w:t xml:space="preserve">dle zaměření </w:t>
      </w:r>
      <w:r w:rsidRPr="00DB2C0A">
        <w:rPr>
          <w:color w:val="auto"/>
          <w:sz w:val="22"/>
        </w:rPr>
        <w:t>na evropském trhu k </w:t>
      </w:r>
      <w:proofErr w:type="gramStart"/>
      <w:r w:rsidRPr="00DB2C0A">
        <w:rPr>
          <w:color w:val="auto"/>
          <w:sz w:val="22"/>
        </w:rPr>
        <w:t>30.9.2012</w:t>
      </w:r>
      <w:proofErr w:type="gramEnd"/>
      <w:r>
        <w:rPr>
          <w:color w:val="auto"/>
          <w:sz w:val="22"/>
        </w:rPr>
        <w:t xml:space="preserve"> (v %)</w:t>
      </w:r>
      <w:bookmarkEnd w:id="49"/>
    </w:p>
    <w:p w:rsidR="00371136" w:rsidRDefault="00371136" w:rsidP="00371136">
      <w:pPr>
        <w:spacing w:after="240"/>
        <w:jc w:val="center"/>
      </w:pPr>
      <w:r>
        <w:rPr>
          <w:noProof/>
          <w:lang w:eastAsia="cs-CZ"/>
        </w:rPr>
        <w:drawing>
          <wp:inline distT="0" distB="0" distL="0" distR="0">
            <wp:extent cx="4493260" cy="2861945"/>
            <wp:effectExtent l="0" t="0" r="0" b="0"/>
            <wp:docPr id="1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71136" w:rsidRPr="00856B48" w:rsidRDefault="00371136" w:rsidP="00856B48">
      <w:pPr>
        <w:spacing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w:t>
      </w:r>
      <w:r w:rsidRPr="00275BAD">
        <w:rPr>
          <w:sz w:val="22"/>
        </w:rPr>
        <w:t xml:space="preserve">ETP Landscape: Global Handbook 2012. </w:t>
      </w:r>
      <w:r w:rsidRPr="00275BAD">
        <w:rPr>
          <w:i/>
          <w:iCs/>
          <w:sz w:val="22"/>
        </w:rPr>
        <w:t>BlackRock</w:t>
      </w:r>
      <w:r w:rsidRPr="00275BAD">
        <w:rPr>
          <w:sz w:val="22"/>
        </w:rPr>
        <w:t xml:space="preserve"> [online]. 2013 [cit. 2014-03-20]. Dostupné z: </w:t>
      </w:r>
      <w:hyperlink r:id="rId22" w:history="1">
        <w:r w:rsidRPr="00275BAD">
          <w:rPr>
            <w:rStyle w:val="Hypertextovodkaz"/>
            <w:color w:val="auto"/>
            <w:sz w:val="22"/>
            <w:u w:val="none"/>
          </w:rPr>
          <w:t>http://www.blackrockinternational.com/content/groups/internationalsite/documents/literature/etfl_globalhandbook_2012.pdf</w:t>
        </w:r>
      </w:hyperlink>
    </w:p>
    <w:p w:rsidR="00371136" w:rsidRPr="00946525" w:rsidRDefault="00371136" w:rsidP="005E5134">
      <w:pPr>
        <w:spacing w:line="360" w:lineRule="auto"/>
      </w:pPr>
      <w:r>
        <w:t xml:space="preserve">Graf č. </w:t>
      </w:r>
      <w:r w:rsidR="006422A9">
        <w:t>6</w:t>
      </w:r>
      <w:r>
        <w:t xml:space="preserve"> znázorňuje podíly ETPs dle zaměření na evropském trhu. Třetina produktů investuje do akcií evropských společností, mezi tyto produkty se řadí tedy i ty, které sledují evropské burzovní indexy, jako například výše zmíněný DAX, FTSE 100 nebo EURO STOXX 50. Při celkovém pohledu zjistíme, že necelých 60 % všech ETPs investuje do akcií. Do dluhopisů investuje přes 18 % produkt. Výrazné zastoupení tu mají i komodity, na které se zaměřuje více než 21 % těchto produktů.</w:t>
      </w:r>
    </w:p>
    <w:p w:rsidR="00371136" w:rsidRDefault="00371136" w:rsidP="00371136">
      <w:pPr>
        <w:pStyle w:val="Nadpis3"/>
        <w:numPr>
          <w:ilvl w:val="3"/>
          <w:numId w:val="10"/>
        </w:numPr>
        <w:spacing w:after="0" w:line="360" w:lineRule="auto"/>
        <w:rPr>
          <w:sz w:val="24"/>
          <w:szCs w:val="24"/>
        </w:rPr>
      </w:pPr>
      <w:bookmarkStart w:id="50" w:name="_Toc386146004"/>
      <w:r w:rsidRPr="008B2537">
        <w:rPr>
          <w:sz w:val="24"/>
          <w:szCs w:val="24"/>
        </w:rPr>
        <w:t>Kanadský trh</w:t>
      </w:r>
      <w:bookmarkEnd w:id="50"/>
    </w:p>
    <w:p w:rsidR="00371136" w:rsidRDefault="00371136" w:rsidP="005E5134">
      <w:pPr>
        <w:spacing w:before="240" w:after="240" w:line="360" w:lineRule="auto"/>
      </w:pPr>
      <w:r>
        <w:t>Kanadský trh s ETPs již nenabývá takových rozměrů jako americký či evropský, nicméně i zde bylo ke konci září 2012 evidováno 263 ETPs, z čehož 260 připadalo na Exchange traded funds. Kanadský trh tak zaujímá 3 % globálního trhu s ETPs. Ani rozsah poskytovatelů na tomto trhu není tak široký jako v USA či Evropě, celkem tu působí pouze 8 emitentů ETPs.</w:t>
      </w:r>
    </w:p>
    <w:p w:rsidR="006422A9" w:rsidRDefault="006422A9" w:rsidP="00371136">
      <w:pPr>
        <w:pStyle w:val="Titulek"/>
        <w:spacing w:after="240"/>
        <w:jc w:val="center"/>
        <w:rPr>
          <w:color w:val="auto"/>
          <w:sz w:val="22"/>
          <w:szCs w:val="22"/>
        </w:rPr>
      </w:pPr>
    </w:p>
    <w:p w:rsidR="006422A9" w:rsidRDefault="006422A9" w:rsidP="00371136">
      <w:pPr>
        <w:pStyle w:val="Titulek"/>
        <w:spacing w:after="240"/>
        <w:jc w:val="center"/>
        <w:rPr>
          <w:color w:val="auto"/>
          <w:sz w:val="22"/>
          <w:szCs w:val="22"/>
        </w:rPr>
      </w:pPr>
    </w:p>
    <w:p w:rsidR="0063402E" w:rsidRPr="0063402E" w:rsidRDefault="0063402E" w:rsidP="0063402E">
      <w:pPr>
        <w:rPr>
          <w:lang w:eastAsia="cs-CZ"/>
        </w:rPr>
      </w:pPr>
    </w:p>
    <w:p w:rsidR="00371136" w:rsidRPr="00BA2985" w:rsidRDefault="00371136" w:rsidP="00371136">
      <w:pPr>
        <w:pStyle w:val="Titulek"/>
        <w:spacing w:after="240"/>
        <w:jc w:val="center"/>
        <w:rPr>
          <w:color w:val="auto"/>
          <w:sz w:val="22"/>
          <w:szCs w:val="22"/>
        </w:rPr>
      </w:pPr>
      <w:bookmarkStart w:id="51" w:name="_Toc385970319"/>
      <w:r w:rsidRPr="00837045">
        <w:rPr>
          <w:color w:val="auto"/>
          <w:sz w:val="22"/>
          <w:szCs w:val="22"/>
        </w:rPr>
        <w:lastRenderedPageBreak/>
        <w:t xml:space="preserve">Tabulka č. </w:t>
      </w:r>
      <w:r w:rsidR="008B79C7" w:rsidRPr="00837045">
        <w:rPr>
          <w:color w:val="auto"/>
          <w:sz w:val="22"/>
          <w:szCs w:val="22"/>
        </w:rPr>
        <w:fldChar w:fldCharType="begin"/>
      </w:r>
      <w:r w:rsidRPr="00837045">
        <w:rPr>
          <w:color w:val="auto"/>
          <w:sz w:val="22"/>
          <w:szCs w:val="22"/>
        </w:rPr>
        <w:instrText xml:space="preserve"> SEQ Tabulka_č. \* ARABIC </w:instrText>
      </w:r>
      <w:r w:rsidR="008B79C7" w:rsidRPr="00837045">
        <w:rPr>
          <w:color w:val="auto"/>
          <w:sz w:val="22"/>
          <w:szCs w:val="22"/>
        </w:rPr>
        <w:fldChar w:fldCharType="separate"/>
      </w:r>
      <w:r w:rsidR="00730734">
        <w:rPr>
          <w:noProof/>
          <w:color w:val="auto"/>
          <w:sz w:val="22"/>
          <w:szCs w:val="22"/>
        </w:rPr>
        <w:t>6</w:t>
      </w:r>
      <w:r w:rsidR="008B79C7" w:rsidRPr="00837045">
        <w:rPr>
          <w:color w:val="auto"/>
          <w:sz w:val="22"/>
          <w:szCs w:val="22"/>
        </w:rPr>
        <w:fldChar w:fldCharType="end"/>
      </w:r>
      <w:r w:rsidRPr="00837045">
        <w:rPr>
          <w:color w:val="auto"/>
          <w:sz w:val="22"/>
          <w:szCs w:val="22"/>
        </w:rPr>
        <w:t>: Podíly největších</w:t>
      </w:r>
      <w:r w:rsidRPr="00A04D17">
        <w:rPr>
          <w:color w:val="auto"/>
          <w:sz w:val="22"/>
          <w:szCs w:val="22"/>
        </w:rPr>
        <w:t xml:space="preserve"> emitentů ETPs na </w:t>
      </w:r>
      <w:r>
        <w:rPr>
          <w:color w:val="auto"/>
          <w:sz w:val="22"/>
          <w:szCs w:val="22"/>
        </w:rPr>
        <w:t>kanadském</w:t>
      </w:r>
      <w:r w:rsidRPr="00A04D17">
        <w:rPr>
          <w:color w:val="auto"/>
          <w:sz w:val="22"/>
          <w:szCs w:val="22"/>
        </w:rPr>
        <w:t xml:space="preserve"> trhu ke </w:t>
      </w:r>
      <w:proofErr w:type="gramStart"/>
      <w:r w:rsidRPr="00A04D17">
        <w:rPr>
          <w:color w:val="auto"/>
          <w:sz w:val="22"/>
          <w:szCs w:val="22"/>
        </w:rPr>
        <w:t>30.9.2012</w:t>
      </w:r>
      <w:bookmarkEnd w:id="51"/>
      <w:proofErr w:type="gramEnd"/>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71136" w:rsidTr="000F2DE6">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371136">
            <w:pPr>
              <w:spacing w:before="240" w:after="240"/>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Majetek fondu v mld. USD</w:t>
            </w: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Tržní podíl v %</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iShares</w:t>
            </w:r>
          </w:p>
        </w:tc>
        <w:tc>
          <w:tcPr>
            <w:tcW w:w="3071" w:type="dxa"/>
          </w:tcPr>
          <w:p w:rsidR="00371136" w:rsidRDefault="00371136" w:rsidP="00371136">
            <w:pPr>
              <w:jc w:val="center"/>
              <w:cnfStyle w:val="000000100000"/>
            </w:pPr>
            <w:r>
              <w:t>41,6</w:t>
            </w:r>
          </w:p>
        </w:tc>
        <w:tc>
          <w:tcPr>
            <w:tcW w:w="3071" w:type="dxa"/>
          </w:tcPr>
          <w:p w:rsidR="00371136" w:rsidRDefault="00371136" w:rsidP="00371136">
            <w:pPr>
              <w:jc w:val="center"/>
              <w:cnfStyle w:val="000000100000"/>
            </w:pPr>
            <w:r>
              <w:t>76,4</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BMO Asset Management</w:t>
            </w:r>
          </w:p>
        </w:tc>
        <w:tc>
          <w:tcPr>
            <w:tcW w:w="3071" w:type="dxa"/>
          </w:tcPr>
          <w:p w:rsidR="00371136" w:rsidRDefault="00371136" w:rsidP="00371136">
            <w:pPr>
              <w:jc w:val="center"/>
              <w:cnfStyle w:val="000000000000"/>
            </w:pPr>
            <w:r>
              <w:t>7,7</w:t>
            </w:r>
          </w:p>
        </w:tc>
        <w:tc>
          <w:tcPr>
            <w:tcW w:w="3071" w:type="dxa"/>
          </w:tcPr>
          <w:p w:rsidR="00371136" w:rsidRDefault="00371136" w:rsidP="00371136">
            <w:pPr>
              <w:jc w:val="center"/>
              <w:cnfStyle w:val="000000000000"/>
            </w:pPr>
            <w:r>
              <w:t>14,1</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BetaPro Management</w:t>
            </w:r>
          </w:p>
        </w:tc>
        <w:tc>
          <w:tcPr>
            <w:tcW w:w="3071" w:type="dxa"/>
          </w:tcPr>
          <w:p w:rsidR="00371136" w:rsidRDefault="00371136" w:rsidP="00371136">
            <w:pPr>
              <w:jc w:val="center"/>
              <w:cnfStyle w:val="000000100000"/>
            </w:pPr>
            <w:r>
              <w:t>3,5</w:t>
            </w:r>
          </w:p>
        </w:tc>
        <w:tc>
          <w:tcPr>
            <w:tcW w:w="3071" w:type="dxa"/>
          </w:tcPr>
          <w:p w:rsidR="00371136" w:rsidRDefault="00371136" w:rsidP="00371136">
            <w:pPr>
              <w:jc w:val="center"/>
              <w:cnfStyle w:val="000000100000"/>
            </w:pPr>
            <w:r>
              <w:t>6,5</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Invesco PowerShares</w:t>
            </w:r>
          </w:p>
        </w:tc>
        <w:tc>
          <w:tcPr>
            <w:tcW w:w="3071" w:type="dxa"/>
          </w:tcPr>
          <w:p w:rsidR="00371136" w:rsidRDefault="00371136" w:rsidP="00371136">
            <w:pPr>
              <w:jc w:val="center"/>
              <w:cnfStyle w:val="000000000000"/>
            </w:pPr>
            <w:r>
              <w:t>1,1</w:t>
            </w:r>
          </w:p>
        </w:tc>
        <w:tc>
          <w:tcPr>
            <w:tcW w:w="3071" w:type="dxa"/>
          </w:tcPr>
          <w:p w:rsidR="00371136" w:rsidRDefault="00371136" w:rsidP="00371136">
            <w:pPr>
              <w:jc w:val="center"/>
              <w:cnfStyle w:val="000000000000"/>
            </w:pPr>
            <w:r>
              <w:t>2</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Vanguard</w:t>
            </w:r>
          </w:p>
        </w:tc>
        <w:tc>
          <w:tcPr>
            <w:tcW w:w="3071" w:type="dxa"/>
          </w:tcPr>
          <w:p w:rsidR="00371136" w:rsidRDefault="00371136" w:rsidP="00371136">
            <w:pPr>
              <w:jc w:val="center"/>
              <w:cnfStyle w:val="000000100000"/>
            </w:pPr>
            <w:r>
              <w:t>0,3</w:t>
            </w:r>
          </w:p>
        </w:tc>
        <w:tc>
          <w:tcPr>
            <w:tcW w:w="3071" w:type="dxa"/>
          </w:tcPr>
          <w:p w:rsidR="00371136" w:rsidRDefault="00371136" w:rsidP="00371136">
            <w:pPr>
              <w:jc w:val="center"/>
              <w:cnfStyle w:val="000000100000"/>
            </w:pPr>
            <w:r>
              <w:t>0,6</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3 ostatní</w:t>
            </w:r>
          </w:p>
        </w:tc>
        <w:tc>
          <w:tcPr>
            <w:tcW w:w="3071" w:type="dxa"/>
          </w:tcPr>
          <w:p w:rsidR="00371136" w:rsidRDefault="00371136" w:rsidP="00371136">
            <w:pPr>
              <w:jc w:val="center"/>
              <w:cnfStyle w:val="000000000000"/>
            </w:pPr>
            <w:r>
              <w:t>0,2</w:t>
            </w:r>
          </w:p>
        </w:tc>
        <w:tc>
          <w:tcPr>
            <w:tcW w:w="3071" w:type="dxa"/>
          </w:tcPr>
          <w:p w:rsidR="00371136" w:rsidRDefault="00371136" w:rsidP="00371136">
            <w:pPr>
              <w:jc w:val="center"/>
              <w:cnfStyle w:val="000000000000"/>
            </w:pPr>
            <w:r>
              <w:t>0,5</w:t>
            </w:r>
          </w:p>
        </w:tc>
      </w:tr>
    </w:tbl>
    <w:p w:rsidR="00371136" w:rsidRPr="00275BAD" w:rsidRDefault="00371136" w:rsidP="00371136">
      <w:pPr>
        <w:spacing w:before="240"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w:t>
      </w:r>
      <w:r w:rsidRPr="00275BAD">
        <w:rPr>
          <w:sz w:val="22"/>
        </w:rPr>
        <w:t xml:space="preserve">Landscape: Global Handbook 2012. </w:t>
      </w:r>
      <w:r w:rsidRPr="00275BAD">
        <w:rPr>
          <w:i/>
          <w:iCs/>
          <w:sz w:val="22"/>
        </w:rPr>
        <w:t>BlackRock</w:t>
      </w:r>
      <w:r w:rsidRPr="00275BAD">
        <w:rPr>
          <w:sz w:val="22"/>
        </w:rPr>
        <w:t xml:space="preserve"> [online]. 2013 [cit. 2014-03-20]. Dostupné z: </w:t>
      </w:r>
      <w:hyperlink r:id="rId23" w:history="1">
        <w:r w:rsidRPr="00275BAD">
          <w:rPr>
            <w:rStyle w:val="Hypertextovodkaz"/>
            <w:color w:val="auto"/>
            <w:sz w:val="22"/>
            <w:u w:val="none"/>
          </w:rPr>
          <w:t>http://www.blackrockinternational.com/content/groups/internationalsite/documents/literature/etfl_globalhandbook_2012.pdf</w:t>
        </w:r>
      </w:hyperlink>
    </w:p>
    <w:p w:rsidR="00371136" w:rsidRDefault="00371136" w:rsidP="00A71794">
      <w:pPr>
        <w:spacing w:after="0" w:line="360" w:lineRule="auto"/>
      </w:pPr>
      <w:r>
        <w:t xml:space="preserve">První příčka patří společnosti iShares, která ovládá více než ¾ kanadského trhu s ETPs. Jak ukazuje tabulka č. </w:t>
      </w:r>
      <w:r w:rsidR="006422A9">
        <w:t>6</w:t>
      </w:r>
      <w:r>
        <w:t xml:space="preserve">, koncentrace trhu pěti největších poskytovatelů ETPs tvoří téměř celých 100 %. Pokud bychom brali v úvahu pouze první tři poskytovatele, pak koncentrace se blíží k 97 %. Všech top 10 produktů dle objemu aktiv spravuje společnost iShares, tyto produkty se zaměřují například a kanadské dluhopisy nebo sledují vývoj indexu Toronto Stock Exchange (TSX). </w:t>
      </w:r>
    </w:p>
    <w:p w:rsidR="00371136" w:rsidRPr="00BA2985" w:rsidRDefault="00371136" w:rsidP="00371136">
      <w:pPr>
        <w:pStyle w:val="Titulek"/>
        <w:jc w:val="center"/>
        <w:rPr>
          <w:color w:val="auto"/>
          <w:sz w:val="22"/>
          <w:szCs w:val="22"/>
        </w:rPr>
      </w:pPr>
      <w:bookmarkStart w:id="52" w:name="_Toc385970608"/>
      <w:r w:rsidRPr="00BA2985">
        <w:rPr>
          <w:color w:val="auto"/>
          <w:sz w:val="22"/>
          <w:szCs w:val="22"/>
        </w:rPr>
        <w:t xml:space="preserve">Graf č. </w:t>
      </w:r>
      <w:r w:rsidR="008B79C7" w:rsidRPr="00BA2985">
        <w:rPr>
          <w:color w:val="auto"/>
          <w:sz w:val="22"/>
          <w:szCs w:val="22"/>
        </w:rPr>
        <w:fldChar w:fldCharType="begin"/>
      </w:r>
      <w:r w:rsidRPr="00BA2985">
        <w:rPr>
          <w:color w:val="auto"/>
          <w:sz w:val="22"/>
          <w:szCs w:val="22"/>
        </w:rPr>
        <w:instrText xml:space="preserve"> SEQ Graf_č. \* ARABIC </w:instrText>
      </w:r>
      <w:r w:rsidR="008B79C7" w:rsidRPr="00BA2985">
        <w:rPr>
          <w:color w:val="auto"/>
          <w:sz w:val="22"/>
          <w:szCs w:val="22"/>
        </w:rPr>
        <w:fldChar w:fldCharType="separate"/>
      </w:r>
      <w:r w:rsidR="002E0A33">
        <w:rPr>
          <w:noProof/>
          <w:color w:val="auto"/>
          <w:sz w:val="22"/>
          <w:szCs w:val="22"/>
        </w:rPr>
        <w:t>7</w:t>
      </w:r>
      <w:r w:rsidR="008B79C7" w:rsidRPr="00BA2985">
        <w:rPr>
          <w:color w:val="auto"/>
          <w:sz w:val="22"/>
          <w:szCs w:val="22"/>
        </w:rPr>
        <w:fldChar w:fldCharType="end"/>
      </w:r>
      <w:r w:rsidRPr="00BA2985">
        <w:rPr>
          <w:color w:val="auto"/>
          <w:sz w:val="22"/>
          <w:szCs w:val="22"/>
        </w:rPr>
        <w:t xml:space="preserve">: Podíly ETPs dle zaměření na </w:t>
      </w:r>
      <w:r>
        <w:rPr>
          <w:color w:val="auto"/>
          <w:sz w:val="22"/>
          <w:szCs w:val="22"/>
        </w:rPr>
        <w:t xml:space="preserve">kanadském </w:t>
      </w:r>
      <w:r w:rsidRPr="00BA2985">
        <w:rPr>
          <w:color w:val="auto"/>
          <w:sz w:val="22"/>
          <w:szCs w:val="22"/>
        </w:rPr>
        <w:t xml:space="preserve"> trhu k </w:t>
      </w:r>
      <w:proofErr w:type="gramStart"/>
      <w:r w:rsidRPr="00BA2985">
        <w:rPr>
          <w:color w:val="auto"/>
          <w:sz w:val="22"/>
          <w:szCs w:val="22"/>
        </w:rPr>
        <w:t>30.9.2012</w:t>
      </w:r>
      <w:proofErr w:type="gramEnd"/>
      <w:r w:rsidRPr="00BA2985">
        <w:rPr>
          <w:color w:val="auto"/>
          <w:sz w:val="22"/>
          <w:szCs w:val="22"/>
        </w:rPr>
        <w:t xml:space="preserve"> (v %)</w:t>
      </w:r>
      <w:bookmarkEnd w:id="52"/>
    </w:p>
    <w:p w:rsidR="00371136" w:rsidRDefault="00371136" w:rsidP="00371136">
      <w:pPr>
        <w:spacing w:after="240"/>
        <w:jc w:val="center"/>
      </w:pPr>
      <w:r w:rsidRPr="007C1E21">
        <w:rPr>
          <w:noProof/>
          <w:lang w:eastAsia="cs-CZ"/>
        </w:rPr>
        <w:drawing>
          <wp:inline distT="0" distB="0" distL="0" distR="0">
            <wp:extent cx="4493260" cy="2861945"/>
            <wp:effectExtent l="0" t="0" r="0" b="0"/>
            <wp:docPr id="15"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71136" w:rsidRPr="004730DA" w:rsidRDefault="00371136" w:rsidP="00371136">
      <w:pPr>
        <w:spacing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w:t>
      </w:r>
      <w:r w:rsidRPr="00275BAD">
        <w:rPr>
          <w:sz w:val="22"/>
        </w:rPr>
        <w:t xml:space="preserve">ETP Landscape: Global Handbook 2012. </w:t>
      </w:r>
      <w:r w:rsidRPr="00275BAD">
        <w:rPr>
          <w:i/>
          <w:iCs/>
          <w:sz w:val="22"/>
        </w:rPr>
        <w:t>BlackRock</w:t>
      </w:r>
      <w:r w:rsidRPr="00275BAD">
        <w:rPr>
          <w:sz w:val="22"/>
        </w:rPr>
        <w:t xml:space="preserve"> [online]. 2013 [cit. 2014-03-20]. Dostupné z: </w:t>
      </w:r>
      <w:hyperlink r:id="rId25" w:history="1">
        <w:r w:rsidRPr="00275BAD">
          <w:rPr>
            <w:rStyle w:val="Hypertextovodkaz"/>
            <w:color w:val="auto"/>
            <w:sz w:val="22"/>
            <w:u w:val="none"/>
          </w:rPr>
          <w:t>http://www.blackrockinternational.com/content/groups/internationalsite/documents/literature/etfl_globalhandbook_2012.pdf</w:t>
        </w:r>
      </w:hyperlink>
    </w:p>
    <w:p w:rsidR="00371136" w:rsidRPr="000E378E" w:rsidRDefault="00371136" w:rsidP="005E5134">
      <w:pPr>
        <w:spacing w:line="360" w:lineRule="auto"/>
      </w:pPr>
      <w:proofErr w:type="gramStart"/>
      <w:r>
        <w:lastRenderedPageBreak/>
        <w:t xml:space="preserve">Graf. č </w:t>
      </w:r>
      <w:r w:rsidR="006422A9">
        <w:t>7</w:t>
      </w:r>
      <w:r>
        <w:t xml:space="preserve"> znázorňuje</w:t>
      </w:r>
      <w:proofErr w:type="gramEnd"/>
      <w:r>
        <w:t xml:space="preserve"> podíly ETPs dle zaměření na kanadském trhu. Takřka polovina produktů je zaměřena na akcie kanadských společností. Celkový podíl akcií činí 64,2 %. Na rozdíl od dříve zmíněných trhů zde mají však mnohem vyšší zastoupení dluhopisy, do kterých investuje </w:t>
      </w:r>
      <w:r w:rsidR="006422A9">
        <w:t>téměř</w:t>
      </w:r>
      <w:r>
        <w:t xml:space="preserve"> třetina fondů, naopak investice do komodit jsou zde zastoupeny pouhými 3 %. </w:t>
      </w:r>
    </w:p>
    <w:p w:rsidR="00371136" w:rsidRDefault="00371136" w:rsidP="00371136">
      <w:pPr>
        <w:pStyle w:val="Nadpis3"/>
        <w:numPr>
          <w:ilvl w:val="3"/>
          <w:numId w:val="10"/>
        </w:numPr>
        <w:spacing w:after="0" w:line="360" w:lineRule="auto"/>
        <w:rPr>
          <w:sz w:val="24"/>
          <w:szCs w:val="24"/>
        </w:rPr>
      </w:pPr>
      <w:bookmarkStart w:id="53" w:name="_Toc386146005"/>
      <w:r>
        <w:rPr>
          <w:sz w:val="24"/>
          <w:szCs w:val="24"/>
        </w:rPr>
        <w:t>Trh Latinské Ameriky</w:t>
      </w:r>
      <w:bookmarkEnd w:id="53"/>
    </w:p>
    <w:p w:rsidR="00371136" w:rsidRDefault="00371136" w:rsidP="005E5134">
      <w:pPr>
        <w:spacing w:line="360" w:lineRule="auto"/>
      </w:pPr>
      <w:r>
        <w:t xml:space="preserve">Trh Latinské Ameriky není až tak významný, zaujímá pouhá 0,6 % celkového globálního trhu s ETPs. Ke konci září 2012 zde bylo </w:t>
      </w:r>
      <w:r w:rsidR="00C05EAA">
        <w:t>vedeno</w:t>
      </w:r>
      <w:r>
        <w:t xml:space="preserve"> celkem 34 produktů a všechny spadaly pod skupinu ETF. V roce 2012 zde byly emitovány pouhé 4 nové produkty.</w:t>
      </w:r>
    </w:p>
    <w:p w:rsidR="00371136" w:rsidRPr="004730DA" w:rsidRDefault="00371136" w:rsidP="00371136">
      <w:pPr>
        <w:pStyle w:val="Titulek"/>
        <w:spacing w:before="240"/>
        <w:jc w:val="center"/>
        <w:rPr>
          <w:color w:val="auto"/>
          <w:sz w:val="22"/>
          <w:szCs w:val="22"/>
        </w:rPr>
      </w:pPr>
      <w:bookmarkStart w:id="54" w:name="_Toc385970320"/>
      <w:r w:rsidRPr="004730DA">
        <w:rPr>
          <w:color w:val="auto"/>
          <w:sz w:val="22"/>
          <w:szCs w:val="22"/>
        </w:rPr>
        <w:t xml:space="preserve">Tabulka č. </w:t>
      </w:r>
      <w:r w:rsidR="008B79C7" w:rsidRPr="004730DA">
        <w:rPr>
          <w:color w:val="auto"/>
          <w:sz w:val="22"/>
          <w:szCs w:val="22"/>
        </w:rPr>
        <w:fldChar w:fldCharType="begin"/>
      </w:r>
      <w:r w:rsidRPr="004730DA">
        <w:rPr>
          <w:color w:val="auto"/>
          <w:sz w:val="22"/>
          <w:szCs w:val="22"/>
        </w:rPr>
        <w:instrText xml:space="preserve"> SEQ Tabulka_č. \* ARABIC </w:instrText>
      </w:r>
      <w:r w:rsidR="008B79C7" w:rsidRPr="004730DA">
        <w:rPr>
          <w:color w:val="auto"/>
          <w:sz w:val="22"/>
          <w:szCs w:val="22"/>
        </w:rPr>
        <w:fldChar w:fldCharType="separate"/>
      </w:r>
      <w:r w:rsidR="00730734">
        <w:rPr>
          <w:noProof/>
          <w:color w:val="auto"/>
          <w:sz w:val="22"/>
          <w:szCs w:val="22"/>
        </w:rPr>
        <w:t>7</w:t>
      </w:r>
      <w:r w:rsidR="008B79C7" w:rsidRPr="004730DA">
        <w:rPr>
          <w:color w:val="auto"/>
          <w:sz w:val="22"/>
          <w:szCs w:val="22"/>
        </w:rPr>
        <w:fldChar w:fldCharType="end"/>
      </w:r>
      <w:r w:rsidRPr="004730DA">
        <w:rPr>
          <w:color w:val="auto"/>
          <w:sz w:val="22"/>
          <w:szCs w:val="22"/>
        </w:rPr>
        <w:t xml:space="preserve">: Podíly největších emitentů ETPs na trhu Latinské Ameriky ke </w:t>
      </w:r>
      <w:proofErr w:type="gramStart"/>
      <w:r w:rsidRPr="004730DA">
        <w:rPr>
          <w:color w:val="auto"/>
          <w:sz w:val="22"/>
          <w:szCs w:val="22"/>
        </w:rPr>
        <w:t>30.9.2012</w:t>
      </w:r>
      <w:bookmarkEnd w:id="54"/>
      <w:proofErr w:type="gramEnd"/>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tblGrid>
      <w:tr w:rsidR="00371136" w:rsidTr="000F2DE6">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371136">
            <w:pPr>
              <w:spacing w:before="240"/>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Tržní podíl v %</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iShares</w:t>
            </w:r>
          </w:p>
        </w:tc>
        <w:tc>
          <w:tcPr>
            <w:tcW w:w="3071" w:type="dxa"/>
          </w:tcPr>
          <w:p w:rsidR="00371136" w:rsidRDefault="00371136" w:rsidP="00371136">
            <w:pPr>
              <w:jc w:val="center"/>
              <w:cnfStyle w:val="000000100000"/>
            </w:pPr>
            <w:r>
              <w:t>85</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BBVA</w:t>
            </w:r>
          </w:p>
        </w:tc>
        <w:tc>
          <w:tcPr>
            <w:tcW w:w="3071" w:type="dxa"/>
          </w:tcPr>
          <w:p w:rsidR="00371136" w:rsidRDefault="00371136" w:rsidP="00371136">
            <w:pPr>
              <w:jc w:val="center"/>
              <w:cnfStyle w:val="000000000000"/>
            </w:pPr>
            <w:r>
              <w:t>8</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Itau Unibanco</w:t>
            </w:r>
          </w:p>
        </w:tc>
        <w:tc>
          <w:tcPr>
            <w:tcW w:w="3071" w:type="dxa"/>
          </w:tcPr>
          <w:p w:rsidR="00371136" w:rsidRDefault="00371136" w:rsidP="00371136">
            <w:pPr>
              <w:jc w:val="center"/>
              <w:cnfStyle w:val="000000100000"/>
            </w:pPr>
            <w:r>
              <w:t>7</w:t>
            </w:r>
          </w:p>
        </w:tc>
      </w:tr>
    </w:tbl>
    <w:p w:rsidR="00371136" w:rsidRPr="00275BAD" w:rsidRDefault="00371136" w:rsidP="00371136">
      <w:pPr>
        <w:spacing w:before="240"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w:t>
      </w:r>
      <w:r w:rsidRPr="00275BAD">
        <w:rPr>
          <w:sz w:val="22"/>
        </w:rPr>
        <w:t xml:space="preserve">Landscape: Global Handbook 2012. </w:t>
      </w:r>
      <w:r w:rsidRPr="00275BAD">
        <w:rPr>
          <w:i/>
          <w:iCs/>
          <w:sz w:val="22"/>
        </w:rPr>
        <w:t>BlackRock</w:t>
      </w:r>
      <w:r w:rsidRPr="00275BAD">
        <w:rPr>
          <w:sz w:val="22"/>
        </w:rPr>
        <w:t xml:space="preserve"> [online]. 2013 [cit. 2014-03-20]. Dostupné z: </w:t>
      </w:r>
      <w:hyperlink r:id="rId26" w:history="1">
        <w:r w:rsidRPr="00275BAD">
          <w:rPr>
            <w:rStyle w:val="Hypertextovodkaz"/>
            <w:color w:val="auto"/>
            <w:sz w:val="22"/>
            <w:u w:val="none"/>
          </w:rPr>
          <w:t>http://www.blackrockinternational.com/content/groups/internationalsite/documents/literature/etfl_globalhandbook_2012.pdf</w:t>
        </w:r>
      </w:hyperlink>
      <w:r w:rsidRPr="00275BAD">
        <w:t xml:space="preserve"> </w:t>
      </w:r>
    </w:p>
    <w:p w:rsidR="00371136" w:rsidRDefault="00371136" w:rsidP="005E5134">
      <w:pPr>
        <w:spacing w:after="240" w:line="360" w:lineRule="auto"/>
      </w:pPr>
      <w:r>
        <w:t xml:space="preserve">Tabulka č. </w:t>
      </w:r>
      <w:r w:rsidR="006422A9">
        <w:t>7</w:t>
      </w:r>
      <w:r>
        <w:t xml:space="preserve"> ukazuje celkové podíly největších poskytovatelů ETFs v Latinské Americe. </w:t>
      </w:r>
      <w:r w:rsidR="006422A9">
        <w:t xml:space="preserve">             </w:t>
      </w:r>
      <w:r>
        <w:t>85 % patří společnosti iShares, Jak je vidět, ostatní celosvětoví poskytovatelé ETPs jako třeba State Street, Vanguard ani PowerShares nejeví o tento trh zájem a nesnaží se sem ani proniknout.</w:t>
      </w:r>
    </w:p>
    <w:p w:rsidR="006422A9" w:rsidRDefault="006422A9" w:rsidP="005E5134">
      <w:pPr>
        <w:spacing w:after="240" w:line="360" w:lineRule="auto"/>
      </w:pPr>
    </w:p>
    <w:p w:rsidR="006422A9" w:rsidRDefault="006422A9" w:rsidP="005E5134">
      <w:pPr>
        <w:spacing w:after="240" w:line="360" w:lineRule="auto"/>
      </w:pPr>
    </w:p>
    <w:p w:rsidR="006422A9" w:rsidRDefault="006422A9" w:rsidP="005E5134">
      <w:pPr>
        <w:spacing w:after="240" w:line="360" w:lineRule="auto"/>
      </w:pPr>
    </w:p>
    <w:p w:rsidR="006422A9" w:rsidRDefault="006422A9" w:rsidP="005E5134">
      <w:pPr>
        <w:spacing w:after="240" w:line="360" w:lineRule="auto"/>
      </w:pPr>
    </w:p>
    <w:p w:rsidR="006422A9" w:rsidRDefault="006422A9" w:rsidP="005E5134">
      <w:pPr>
        <w:spacing w:after="240" w:line="360" w:lineRule="auto"/>
      </w:pPr>
    </w:p>
    <w:p w:rsidR="006422A9" w:rsidRDefault="006422A9" w:rsidP="005E5134">
      <w:pPr>
        <w:spacing w:after="240" w:line="360" w:lineRule="auto"/>
      </w:pPr>
    </w:p>
    <w:p w:rsidR="006422A9" w:rsidRDefault="006422A9" w:rsidP="005E5134">
      <w:pPr>
        <w:spacing w:after="240" w:line="360" w:lineRule="auto"/>
      </w:pPr>
    </w:p>
    <w:p w:rsidR="00371136" w:rsidRPr="00B5736B" w:rsidRDefault="00371136" w:rsidP="00371136">
      <w:pPr>
        <w:pStyle w:val="Titulek"/>
        <w:jc w:val="center"/>
        <w:rPr>
          <w:color w:val="auto"/>
          <w:sz w:val="22"/>
          <w:szCs w:val="22"/>
        </w:rPr>
      </w:pPr>
      <w:bookmarkStart w:id="55" w:name="_Toc385970609"/>
      <w:r w:rsidRPr="00B5736B">
        <w:rPr>
          <w:color w:val="auto"/>
          <w:sz w:val="22"/>
          <w:szCs w:val="22"/>
        </w:rPr>
        <w:lastRenderedPageBreak/>
        <w:t xml:space="preserve">Graf č. </w:t>
      </w:r>
      <w:r w:rsidR="008B79C7" w:rsidRPr="00B5736B">
        <w:rPr>
          <w:color w:val="auto"/>
          <w:sz w:val="22"/>
          <w:szCs w:val="22"/>
        </w:rPr>
        <w:fldChar w:fldCharType="begin"/>
      </w:r>
      <w:r w:rsidRPr="00B5736B">
        <w:rPr>
          <w:color w:val="auto"/>
          <w:sz w:val="22"/>
          <w:szCs w:val="22"/>
        </w:rPr>
        <w:instrText xml:space="preserve"> SEQ Graf_č. \* ARABIC </w:instrText>
      </w:r>
      <w:r w:rsidR="008B79C7" w:rsidRPr="00B5736B">
        <w:rPr>
          <w:color w:val="auto"/>
          <w:sz w:val="22"/>
          <w:szCs w:val="22"/>
        </w:rPr>
        <w:fldChar w:fldCharType="separate"/>
      </w:r>
      <w:r w:rsidR="002E0A33">
        <w:rPr>
          <w:noProof/>
          <w:color w:val="auto"/>
          <w:sz w:val="22"/>
          <w:szCs w:val="22"/>
        </w:rPr>
        <w:t>8</w:t>
      </w:r>
      <w:r w:rsidR="008B79C7" w:rsidRPr="00B5736B">
        <w:rPr>
          <w:color w:val="auto"/>
          <w:sz w:val="22"/>
          <w:szCs w:val="22"/>
        </w:rPr>
        <w:fldChar w:fldCharType="end"/>
      </w:r>
      <w:r w:rsidRPr="00B5736B">
        <w:rPr>
          <w:color w:val="auto"/>
          <w:sz w:val="22"/>
          <w:szCs w:val="22"/>
        </w:rPr>
        <w:t>: : Podíly ETPs dle zaměření na trhu</w:t>
      </w:r>
      <w:r>
        <w:rPr>
          <w:color w:val="auto"/>
          <w:sz w:val="22"/>
          <w:szCs w:val="22"/>
        </w:rPr>
        <w:t xml:space="preserve"> Latinské Ameriky</w:t>
      </w:r>
      <w:r w:rsidRPr="00B5736B">
        <w:rPr>
          <w:color w:val="auto"/>
          <w:sz w:val="22"/>
          <w:szCs w:val="22"/>
        </w:rPr>
        <w:t xml:space="preserve"> k </w:t>
      </w:r>
      <w:proofErr w:type="gramStart"/>
      <w:r w:rsidRPr="00B5736B">
        <w:rPr>
          <w:color w:val="auto"/>
          <w:sz w:val="22"/>
          <w:szCs w:val="22"/>
        </w:rPr>
        <w:t>30.9.2012</w:t>
      </w:r>
      <w:proofErr w:type="gramEnd"/>
      <w:r w:rsidRPr="00B5736B">
        <w:rPr>
          <w:color w:val="auto"/>
          <w:sz w:val="22"/>
          <w:szCs w:val="22"/>
        </w:rPr>
        <w:t xml:space="preserve"> (v %)</w:t>
      </w:r>
      <w:bookmarkEnd w:id="55"/>
    </w:p>
    <w:p w:rsidR="00371136" w:rsidRPr="004730DA" w:rsidRDefault="00371136" w:rsidP="00371136">
      <w:pPr>
        <w:spacing w:after="240" w:line="240" w:lineRule="auto"/>
        <w:jc w:val="center"/>
        <w:rPr>
          <w:sz w:val="22"/>
        </w:rPr>
      </w:pPr>
      <w:r w:rsidRPr="00506ED0">
        <w:rPr>
          <w:noProof/>
          <w:lang w:eastAsia="cs-CZ"/>
        </w:rPr>
        <w:drawing>
          <wp:inline distT="0" distB="0" distL="0" distR="0">
            <wp:extent cx="4488872" cy="2861953"/>
            <wp:effectExtent l="0" t="0" r="0" b="0"/>
            <wp:docPr id="17"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br w:type="textWrapping" w:clear="all"/>
      </w:r>
      <w:r w:rsidRPr="004730DA">
        <w:rPr>
          <w:sz w:val="22"/>
        </w:rPr>
        <w:t xml:space="preserve">Zdroj: Vlastní zpracování </w:t>
      </w:r>
      <w:proofErr w:type="gramStart"/>
      <w:r w:rsidRPr="004730DA">
        <w:rPr>
          <w:sz w:val="22"/>
        </w:rPr>
        <w:t>dle</w:t>
      </w:r>
      <w:proofErr w:type="gramEnd"/>
      <w:r w:rsidRPr="004730DA">
        <w:rPr>
          <w:sz w:val="22"/>
        </w:rPr>
        <w:t xml:space="preserve">: ETP </w:t>
      </w:r>
      <w:r w:rsidRPr="00275BAD">
        <w:rPr>
          <w:sz w:val="22"/>
        </w:rPr>
        <w:t xml:space="preserve">Landscape: Global Handbook 2012. </w:t>
      </w:r>
      <w:r w:rsidRPr="00275BAD">
        <w:rPr>
          <w:i/>
          <w:iCs/>
          <w:sz w:val="22"/>
        </w:rPr>
        <w:t>BlackRock</w:t>
      </w:r>
      <w:r w:rsidRPr="00275BAD">
        <w:rPr>
          <w:sz w:val="22"/>
        </w:rPr>
        <w:t xml:space="preserve"> [online]. 2013 [cit. 2014-03-20]. Dostupné z: </w:t>
      </w:r>
      <w:hyperlink r:id="rId28" w:history="1">
        <w:r w:rsidRPr="00275BAD">
          <w:rPr>
            <w:rStyle w:val="Hypertextovodkaz"/>
            <w:color w:val="auto"/>
            <w:sz w:val="22"/>
            <w:u w:val="none"/>
          </w:rPr>
          <w:t>http://www.blackrockinternational.com/content/groups/internationalsite/documents/literature/etfl_globalhandbook_2012.pdf</w:t>
        </w:r>
      </w:hyperlink>
    </w:p>
    <w:p w:rsidR="00371136" w:rsidRPr="000E378E" w:rsidRDefault="00371136" w:rsidP="005E5134">
      <w:pPr>
        <w:spacing w:line="360" w:lineRule="auto"/>
      </w:pPr>
      <w:r>
        <w:t>Co se týče zaměření těchto fon</w:t>
      </w:r>
      <w:r w:rsidR="00C05EAA">
        <w:t>dů, pak jak znázorňuje graf č. 8</w:t>
      </w:r>
      <w:r>
        <w:t xml:space="preserve">, drtivou většinu představují fondy zaměřené na akcie trhu z Latinské Ameriky, necelých 70 % je orientováno na mexické akcie, necelých 20 % poté brazilské a na třetím místě se umístily akcie kolumbijské. Pouhá 3 % ETFs investuje do dluhopisových instrumentů. Jak je také patrné, nenalezneme zde instrumenty cílené na měny nebo komodity, což oproti dříve zmíněným trhům představuje další výraznou odchylku. </w:t>
      </w:r>
    </w:p>
    <w:p w:rsidR="00371136" w:rsidRDefault="00371136" w:rsidP="00371136">
      <w:pPr>
        <w:pStyle w:val="Nadpis3"/>
        <w:numPr>
          <w:ilvl w:val="3"/>
          <w:numId w:val="10"/>
        </w:numPr>
        <w:spacing w:after="0" w:line="360" w:lineRule="auto"/>
      </w:pPr>
      <w:bookmarkStart w:id="56" w:name="_Toc386146006"/>
      <w:r>
        <w:t>Trh Asie a Tichomoří</w:t>
      </w:r>
      <w:bookmarkEnd w:id="56"/>
    </w:p>
    <w:p w:rsidR="00371136" w:rsidRDefault="00C05EAA" w:rsidP="00D77F5C">
      <w:pPr>
        <w:spacing w:line="360" w:lineRule="auto"/>
      </w:pPr>
      <w:r>
        <w:t>Trh Asie a Tichomoří se na celkovém globálním trhu ETPs podílí zhruba 6 %. Ke konci září 2012 zde bylo evidováno celkem 524 ETPs, z nichž 473 spadalo pod skupinu ETF.</w:t>
      </w:r>
      <w:r w:rsidR="00D77F5C">
        <w:t xml:space="preserve"> Tato ETPs jsou poté nabízena na burzách v Číně, Malajsii, Japonsku, Singapuru, Australii, Indii, Thajsku, Nového Zélandu nebo Indonesii. </w:t>
      </w:r>
    </w:p>
    <w:p w:rsidR="006422A9" w:rsidRDefault="006422A9" w:rsidP="00D77F5C">
      <w:pPr>
        <w:spacing w:line="360" w:lineRule="auto"/>
      </w:pPr>
    </w:p>
    <w:p w:rsidR="006422A9" w:rsidRDefault="006422A9" w:rsidP="00D77F5C">
      <w:pPr>
        <w:spacing w:line="360" w:lineRule="auto"/>
      </w:pPr>
    </w:p>
    <w:p w:rsidR="006422A9" w:rsidRDefault="006422A9" w:rsidP="00D77F5C">
      <w:pPr>
        <w:spacing w:line="360" w:lineRule="auto"/>
      </w:pPr>
    </w:p>
    <w:p w:rsidR="006422A9" w:rsidRDefault="006422A9" w:rsidP="00D77F5C">
      <w:pPr>
        <w:spacing w:line="360" w:lineRule="auto"/>
      </w:pPr>
    </w:p>
    <w:p w:rsidR="006422A9" w:rsidRDefault="006422A9" w:rsidP="00D77F5C">
      <w:pPr>
        <w:spacing w:line="360" w:lineRule="auto"/>
      </w:pPr>
    </w:p>
    <w:p w:rsidR="00371136" w:rsidRPr="004730DA" w:rsidRDefault="00371136" w:rsidP="00371136">
      <w:pPr>
        <w:pStyle w:val="Titulek"/>
        <w:jc w:val="center"/>
        <w:rPr>
          <w:color w:val="auto"/>
          <w:sz w:val="22"/>
          <w:szCs w:val="22"/>
        </w:rPr>
      </w:pPr>
      <w:bookmarkStart w:id="57" w:name="_Toc385970321"/>
      <w:r w:rsidRPr="004730DA">
        <w:rPr>
          <w:color w:val="auto"/>
          <w:sz w:val="22"/>
          <w:szCs w:val="22"/>
        </w:rPr>
        <w:lastRenderedPageBreak/>
        <w:t xml:space="preserve">Tabulka č. </w:t>
      </w:r>
      <w:r w:rsidR="008B79C7" w:rsidRPr="004730DA">
        <w:rPr>
          <w:color w:val="auto"/>
          <w:sz w:val="22"/>
          <w:szCs w:val="22"/>
        </w:rPr>
        <w:fldChar w:fldCharType="begin"/>
      </w:r>
      <w:r w:rsidRPr="004730DA">
        <w:rPr>
          <w:color w:val="auto"/>
          <w:sz w:val="22"/>
          <w:szCs w:val="22"/>
        </w:rPr>
        <w:instrText xml:space="preserve"> SEQ Tabulka_č. \* ARABIC </w:instrText>
      </w:r>
      <w:r w:rsidR="008B79C7" w:rsidRPr="004730DA">
        <w:rPr>
          <w:color w:val="auto"/>
          <w:sz w:val="22"/>
          <w:szCs w:val="22"/>
        </w:rPr>
        <w:fldChar w:fldCharType="separate"/>
      </w:r>
      <w:r w:rsidR="00730734">
        <w:rPr>
          <w:noProof/>
          <w:color w:val="auto"/>
          <w:sz w:val="22"/>
          <w:szCs w:val="22"/>
        </w:rPr>
        <w:t>8</w:t>
      </w:r>
      <w:r w:rsidR="008B79C7" w:rsidRPr="004730DA">
        <w:rPr>
          <w:color w:val="auto"/>
          <w:sz w:val="22"/>
          <w:szCs w:val="22"/>
        </w:rPr>
        <w:fldChar w:fldCharType="end"/>
      </w:r>
      <w:r w:rsidRPr="004730DA">
        <w:rPr>
          <w:color w:val="auto"/>
          <w:sz w:val="22"/>
          <w:szCs w:val="22"/>
        </w:rPr>
        <w:t xml:space="preserve">: Podíly největších emitentů ETPs na trhu Asie a Tichomoří ke </w:t>
      </w:r>
      <w:proofErr w:type="gramStart"/>
      <w:r w:rsidRPr="004730DA">
        <w:rPr>
          <w:color w:val="auto"/>
          <w:sz w:val="22"/>
          <w:szCs w:val="22"/>
        </w:rPr>
        <w:t>30.9.2012</w:t>
      </w:r>
      <w:bookmarkEnd w:id="57"/>
      <w:proofErr w:type="gramEnd"/>
    </w:p>
    <w:tbl>
      <w:tblPr>
        <w:tblStyle w:val="Stednstnovn2zvraznn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371136" w:rsidTr="000F2DE6">
        <w:trPr>
          <w:cnfStyle w:val="100000000000"/>
          <w:jc w:val="center"/>
        </w:trPr>
        <w:tc>
          <w:tcPr>
            <w:cnfStyle w:val="001000000100"/>
            <w:tcW w:w="3070" w:type="dxa"/>
            <w:tcBorders>
              <w:top w:val="none" w:sz="0" w:space="0" w:color="auto"/>
              <w:left w:val="none" w:sz="0" w:space="0" w:color="auto"/>
              <w:bottom w:val="none" w:sz="0" w:space="0" w:color="auto"/>
              <w:right w:val="none" w:sz="0" w:space="0" w:color="auto"/>
            </w:tcBorders>
          </w:tcPr>
          <w:p w:rsidR="00371136" w:rsidRDefault="00371136" w:rsidP="00371136">
            <w:pPr>
              <w:jc w:val="center"/>
            </w:pP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Majetek fondu v mld. USD</w:t>
            </w:r>
          </w:p>
        </w:tc>
        <w:tc>
          <w:tcPr>
            <w:tcW w:w="3071" w:type="dxa"/>
            <w:tcBorders>
              <w:top w:val="none" w:sz="0" w:space="0" w:color="auto"/>
              <w:left w:val="none" w:sz="0" w:space="0" w:color="auto"/>
              <w:bottom w:val="none" w:sz="0" w:space="0" w:color="auto"/>
              <w:right w:val="none" w:sz="0" w:space="0" w:color="auto"/>
            </w:tcBorders>
          </w:tcPr>
          <w:p w:rsidR="00371136" w:rsidRDefault="00371136" w:rsidP="00371136">
            <w:pPr>
              <w:jc w:val="center"/>
              <w:cnfStyle w:val="100000000000"/>
            </w:pPr>
            <w:r>
              <w:t>Tržní podíl v %</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Nomura Group</w:t>
            </w:r>
          </w:p>
        </w:tc>
        <w:tc>
          <w:tcPr>
            <w:tcW w:w="3071" w:type="dxa"/>
          </w:tcPr>
          <w:p w:rsidR="00371136" w:rsidRDefault="00371136" w:rsidP="00371136">
            <w:pPr>
              <w:jc w:val="center"/>
              <w:cnfStyle w:val="000000100000"/>
            </w:pPr>
            <w:r>
              <w:t>20,8</w:t>
            </w:r>
          </w:p>
        </w:tc>
        <w:tc>
          <w:tcPr>
            <w:tcW w:w="3071" w:type="dxa"/>
          </w:tcPr>
          <w:p w:rsidR="00371136" w:rsidRDefault="00371136" w:rsidP="00371136">
            <w:pPr>
              <w:jc w:val="center"/>
              <w:cnfStyle w:val="000000100000"/>
            </w:pPr>
            <w:r>
              <w:t>18,6</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State Street</w:t>
            </w:r>
          </w:p>
        </w:tc>
        <w:tc>
          <w:tcPr>
            <w:tcW w:w="3071" w:type="dxa"/>
          </w:tcPr>
          <w:p w:rsidR="00371136" w:rsidRDefault="00371136" w:rsidP="00371136">
            <w:pPr>
              <w:jc w:val="center"/>
              <w:cnfStyle w:val="000000000000"/>
            </w:pPr>
            <w:r>
              <w:t>13,2</w:t>
            </w:r>
          </w:p>
        </w:tc>
        <w:tc>
          <w:tcPr>
            <w:tcW w:w="3071" w:type="dxa"/>
          </w:tcPr>
          <w:p w:rsidR="00371136" w:rsidRDefault="00371136" w:rsidP="00371136">
            <w:pPr>
              <w:jc w:val="center"/>
              <w:cnfStyle w:val="000000000000"/>
            </w:pPr>
            <w:r>
              <w:t>11.8</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Nikko Asset Management</w:t>
            </w:r>
          </w:p>
        </w:tc>
        <w:tc>
          <w:tcPr>
            <w:tcW w:w="3071" w:type="dxa"/>
          </w:tcPr>
          <w:p w:rsidR="00371136" w:rsidRDefault="00371136" w:rsidP="00371136">
            <w:pPr>
              <w:jc w:val="center"/>
              <w:cnfStyle w:val="000000100000"/>
            </w:pPr>
            <w:r>
              <w:t>10,8</w:t>
            </w:r>
          </w:p>
        </w:tc>
        <w:tc>
          <w:tcPr>
            <w:tcW w:w="3071" w:type="dxa"/>
          </w:tcPr>
          <w:p w:rsidR="00371136" w:rsidRDefault="00371136" w:rsidP="00371136">
            <w:pPr>
              <w:jc w:val="center"/>
              <w:cnfStyle w:val="000000100000"/>
            </w:pPr>
            <w:r>
              <w:t>9,6</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Daiwa Securities Group</w:t>
            </w:r>
          </w:p>
        </w:tc>
        <w:tc>
          <w:tcPr>
            <w:tcW w:w="3071" w:type="dxa"/>
          </w:tcPr>
          <w:p w:rsidR="00371136" w:rsidRDefault="00371136" w:rsidP="00371136">
            <w:pPr>
              <w:jc w:val="center"/>
              <w:cnfStyle w:val="000000000000"/>
            </w:pPr>
            <w:r>
              <w:t>8,2</w:t>
            </w:r>
          </w:p>
        </w:tc>
        <w:tc>
          <w:tcPr>
            <w:tcW w:w="3071" w:type="dxa"/>
          </w:tcPr>
          <w:p w:rsidR="00371136" w:rsidRDefault="00371136" w:rsidP="00371136">
            <w:pPr>
              <w:jc w:val="center"/>
              <w:cnfStyle w:val="000000000000"/>
            </w:pPr>
            <w:r>
              <w:t>7,3</w:t>
            </w:r>
          </w:p>
        </w:tc>
      </w:tr>
      <w:tr w:rsidR="00371136" w:rsidTr="000F2DE6">
        <w:trPr>
          <w:cnfStyle w:val="000000100000"/>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iShares Management</w:t>
            </w:r>
          </w:p>
        </w:tc>
        <w:tc>
          <w:tcPr>
            <w:tcW w:w="3071" w:type="dxa"/>
          </w:tcPr>
          <w:p w:rsidR="00371136" w:rsidRDefault="00371136" w:rsidP="00371136">
            <w:pPr>
              <w:jc w:val="center"/>
              <w:cnfStyle w:val="000000100000"/>
            </w:pPr>
            <w:r>
              <w:t>8,1</w:t>
            </w:r>
          </w:p>
        </w:tc>
        <w:tc>
          <w:tcPr>
            <w:tcW w:w="3071" w:type="dxa"/>
          </w:tcPr>
          <w:p w:rsidR="00371136" w:rsidRDefault="00371136" w:rsidP="00371136">
            <w:pPr>
              <w:jc w:val="center"/>
              <w:cnfStyle w:val="000000100000"/>
            </w:pPr>
            <w:r>
              <w:t>7,2</w:t>
            </w:r>
          </w:p>
        </w:tc>
      </w:tr>
      <w:tr w:rsidR="00371136" w:rsidTr="000F2DE6">
        <w:trPr>
          <w:jc w:val="center"/>
        </w:trPr>
        <w:tc>
          <w:tcPr>
            <w:cnfStyle w:val="001000000000"/>
            <w:tcW w:w="3070" w:type="dxa"/>
            <w:tcBorders>
              <w:left w:val="none" w:sz="0" w:space="0" w:color="auto"/>
              <w:bottom w:val="none" w:sz="0" w:space="0" w:color="auto"/>
              <w:right w:val="none" w:sz="0" w:space="0" w:color="auto"/>
            </w:tcBorders>
          </w:tcPr>
          <w:p w:rsidR="00371136" w:rsidRDefault="00371136" w:rsidP="00371136">
            <w:pPr>
              <w:jc w:val="center"/>
            </w:pPr>
            <w:r>
              <w:t>88 ostatních</w:t>
            </w:r>
          </w:p>
        </w:tc>
        <w:tc>
          <w:tcPr>
            <w:tcW w:w="3071" w:type="dxa"/>
          </w:tcPr>
          <w:p w:rsidR="00371136" w:rsidRDefault="00371136" w:rsidP="00371136">
            <w:pPr>
              <w:jc w:val="center"/>
              <w:cnfStyle w:val="000000000000"/>
            </w:pPr>
            <w:r>
              <w:t>138,9</w:t>
            </w:r>
          </w:p>
        </w:tc>
        <w:tc>
          <w:tcPr>
            <w:tcW w:w="3071" w:type="dxa"/>
          </w:tcPr>
          <w:p w:rsidR="00371136" w:rsidRDefault="00371136" w:rsidP="00371136">
            <w:pPr>
              <w:jc w:val="center"/>
              <w:cnfStyle w:val="000000000000"/>
            </w:pPr>
            <w:r>
              <w:t>45,5</w:t>
            </w:r>
          </w:p>
        </w:tc>
      </w:tr>
    </w:tbl>
    <w:p w:rsidR="00371136" w:rsidRDefault="00371136" w:rsidP="00371136">
      <w:pPr>
        <w:spacing w:after="240" w:line="240" w:lineRule="auto"/>
        <w:jc w:val="center"/>
      </w:pPr>
      <w:r w:rsidRPr="004730DA">
        <w:rPr>
          <w:sz w:val="22"/>
        </w:rPr>
        <w:t xml:space="preserve">Zdroj: Vlastní zpracování </w:t>
      </w:r>
      <w:proofErr w:type="gramStart"/>
      <w:r w:rsidRPr="004730DA">
        <w:rPr>
          <w:sz w:val="22"/>
        </w:rPr>
        <w:t>dle</w:t>
      </w:r>
      <w:proofErr w:type="gramEnd"/>
      <w:r w:rsidRPr="004730DA">
        <w:rPr>
          <w:sz w:val="22"/>
        </w:rPr>
        <w:t xml:space="preserve">: ETP </w:t>
      </w:r>
      <w:r w:rsidRPr="00275BAD">
        <w:rPr>
          <w:sz w:val="22"/>
        </w:rPr>
        <w:t xml:space="preserve">Landscape: Global Handbook 2012. </w:t>
      </w:r>
      <w:r w:rsidRPr="00275BAD">
        <w:rPr>
          <w:i/>
          <w:iCs/>
          <w:sz w:val="22"/>
        </w:rPr>
        <w:t>BlackRock</w:t>
      </w:r>
      <w:r w:rsidRPr="00275BAD">
        <w:rPr>
          <w:sz w:val="22"/>
        </w:rPr>
        <w:t xml:space="preserve"> [online]. 2013 [cit. 2014-03-20]. Dostupné z: </w:t>
      </w:r>
      <w:hyperlink r:id="rId29" w:history="1">
        <w:r w:rsidRPr="00275BAD">
          <w:rPr>
            <w:rStyle w:val="Hypertextovodkaz"/>
            <w:color w:val="auto"/>
            <w:sz w:val="22"/>
            <w:u w:val="none"/>
          </w:rPr>
          <w:t>http://www.blackrockinternational.com/content/groups/internationalsite/documents/literature/etfl_globalhandbook_2012.pdf</w:t>
        </w:r>
      </w:hyperlink>
    </w:p>
    <w:p w:rsidR="00D77F5C" w:rsidRDefault="00D77F5C" w:rsidP="00D77F5C">
      <w:pPr>
        <w:spacing w:after="240" w:line="360" w:lineRule="auto"/>
      </w:pPr>
      <w:r>
        <w:t xml:space="preserve">Celkem v této oblasti působilo 93 poskytovatelů ETPs, jak však ukazuje tabulka č. 8, ani zdaleka zde nedosahuje koncentrace prvních pěti největších poskytovatelů takové míry, jako v ostatních regionech. Dohromady ovládá těchto 5 největších emitentů ETPs něco málo přes polovinu trhu. Největším poskytovatelem v této oblasti je Nomura Group s necelými 19 %, </w:t>
      </w:r>
      <w:proofErr w:type="gramStart"/>
      <w:r>
        <w:t>následován</w:t>
      </w:r>
      <w:proofErr w:type="gramEnd"/>
      <w:r>
        <w:t xml:space="preserve"> je již skupinou </w:t>
      </w:r>
      <w:proofErr w:type="gramStart"/>
      <w:r>
        <w:t>State</w:t>
      </w:r>
      <w:proofErr w:type="gramEnd"/>
      <w:r>
        <w:t xml:space="preserve"> Street s necelými 12 % a na třetím místě se umístila Nikko Asset Management s necelými 10 %.</w:t>
      </w:r>
    </w:p>
    <w:p w:rsidR="00D77F5C" w:rsidRPr="00275BAD" w:rsidRDefault="00D77F5C" w:rsidP="00D77F5C">
      <w:pPr>
        <w:spacing w:after="240" w:line="360" w:lineRule="auto"/>
        <w:rPr>
          <w:sz w:val="22"/>
        </w:rPr>
      </w:pPr>
      <w:r>
        <w:t>Od roku 2011 do 2012 bylo uvedeno na trh Asie a Tichomoří takřka 100 nových produktů ETPs, to bylo umožněno zejména změnami v regulatorním rámci, což poskytovatelům umožnilo emitovat takové produkty, které dříve zákony neumožňovaly.</w:t>
      </w: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0B447C" w:rsidRPr="000B447C" w:rsidRDefault="000B447C" w:rsidP="000B447C">
      <w:pPr>
        <w:rPr>
          <w:lang w:eastAsia="cs-CZ"/>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6422A9" w:rsidRDefault="006422A9" w:rsidP="00371136">
      <w:pPr>
        <w:pStyle w:val="Titulek"/>
        <w:jc w:val="center"/>
        <w:rPr>
          <w:color w:val="auto"/>
          <w:sz w:val="22"/>
          <w:szCs w:val="22"/>
        </w:rPr>
      </w:pPr>
    </w:p>
    <w:p w:rsidR="00371136" w:rsidRPr="004730DA" w:rsidRDefault="00371136" w:rsidP="00371136">
      <w:pPr>
        <w:pStyle w:val="Titulek"/>
        <w:jc w:val="center"/>
        <w:rPr>
          <w:color w:val="auto"/>
          <w:sz w:val="22"/>
          <w:szCs w:val="22"/>
        </w:rPr>
      </w:pPr>
      <w:bookmarkStart w:id="58" w:name="_Toc385970610"/>
      <w:r w:rsidRPr="004730DA">
        <w:rPr>
          <w:color w:val="auto"/>
          <w:sz w:val="22"/>
          <w:szCs w:val="22"/>
        </w:rPr>
        <w:lastRenderedPageBreak/>
        <w:t xml:space="preserve">Graf č. </w:t>
      </w:r>
      <w:r w:rsidR="008B79C7" w:rsidRPr="004730DA">
        <w:rPr>
          <w:color w:val="auto"/>
          <w:sz w:val="22"/>
          <w:szCs w:val="22"/>
        </w:rPr>
        <w:fldChar w:fldCharType="begin"/>
      </w:r>
      <w:r w:rsidRPr="004730DA">
        <w:rPr>
          <w:color w:val="auto"/>
          <w:sz w:val="22"/>
          <w:szCs w:val="22"/>
        </w:rPr>
        <w:instrText xml:space="preserve"> SEQ Graf_č. \* ARABIC </w:instrText>
      </w:r>
      <w:r w:rsidR="008B79C7" w:rsidRPr="004730DA">
        <w:rPr>
          <w:color w:val="auto"/>
          <w:sz w:val="22"/>
          <w:szCs w:val="22"/>
        </w:rPr>
        <w:fldChar w:fldCharType="separate"/>
      </w:r>
      <w:r w:rsidR="002E0A33">
        <w:rPr>
          <w:noProof/>
          <w:color w:val="auto"/>
          <w:sz w:val="22"/>
          <w:szCs w:val="22"/>
        </w:rPr>
        <w:t>9</w:t>
      </w:r>
      <w:r w:rsidR="008B79C7" w:rsidRPr="004730DA">
        <w:rPr>
          <w:color w:val="auto"/>
          <w:sz w:val="22"/>
          <w:szCs w:val="22"/>
        </w:rPr>
        <w:fldChar w:fldCharType="end"/>
      </w:r>
      <w:r w:rsidRPr="004730DA">
        <w:rPr>
          <w:color w:val="auto"/>
          <w:sz w:val="22"/>
          <w:szCs w:val="22"/>
        </w:rPr>
        <w:t>: Podíly ETPs dle zaměření na trhu Asie a Tichomoří k </w:t>
      </w:r>
      <w:proofErr w:type="gramStart"/>
      <w:r w:rsidRPr="004730DA">
        <w:rPr>
          <w:color w:val="auto"/>
          <w:sz w:val="22"/>
          <w:szCs w:val="22"/>
        </w:rPr>
        <w:t>30.9.2012</w:t>
      </w:r>
      <w:proofErr w:type="gramEnd"/>
      <w:r w:rsidRPr="004730DA">
        <w:rPr>
          <w:color w:val="auto"/>
          <w:sz w:val="22"/>
          <w:szCs w:val="22"/>
        </w:rPr>
        <w:t xml:space="preserve"> (v %)</w:t>
      </w:r>
      <w:bookmarkEnd w:id="58"/>
    </w:p>
    <w:p w:rsidR="00371136" w:rsidRPr="000E378E" w:rsidRDefault="00371136" w:rsidP="00371136">
      <w:pPr>
        <w:pStyle w:val="Titulek"/>
      </w:pPr>
    </w:p>
    <w:p w:rsidR="00371136" w:rsidRDefault="00371136" w:rsidP="00371136">
      <w:pPr>
        <w:spacing w:after="240"/>
        <w:jc w:val="center"/>
      </w:pPr>
      <w:r w:rsidRPr="00BD6721">
        <w:rPr>
          <w:noProof/>
          <w:lang w:eastAsia="cs-CZ"/>
        </w:rPr>
        <w:drawing>
          <wp:inline distT="0" distB="0" distL="0" distR="0">
            <wp:extent cx="4488872" cy="2861953"/>
            <wp:effectExtent l="0" t="0" r="0" b="0"/>
            <wp:docPr id="20"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71136" w:rsidRPr="004730DA" w:rsidRDefault="00371136" w:rsidP="00371136">
      <w:pPr>
        <w:spacing w:after="240" w:line="240" w:lineRule="auto"/>
        <w:jc w:val="center"/>
        <w:rPr>
          <w:sz w:val="22"/>
        </w:rPr>
      </w:pPr>
      <w:r w:rsidRPr="004730DA">
        <w:rPr>
          <w:sz w:val="22"/>
        </w:rPr>
        <w:t xml:space="preserve">Zdroj: Vlastní zpracování </w:t>
      </w:r>
      <w:proofErr w:type="gramStart"/>
      <w:r w:rsidRPr="004730DA">
        <w:rPr>
          <w:sz w:val="22"/>
        </w:rPr>
        <w:t>dle</w:t>
      </w:r>
      <w:proofErr w:type="gramEnd"/>
      <w:r w:rsidRPr="004730DA">
        <w:rPr>
          <w:sz w:val="22"/>
        </w:rPr>
        <w:t xml:space="preserve">: ETP Landscape: Global Handbook 2012. </w:t>
      </w:r>
      <w:r w:rsidRPr="004730DA">
        <w:rPr>
          <w:i/>
          <w:iCs/>
          <w:sz w:val="22"/>
        </w:rPr>
        <w:t>BlackRock</w:t>
      </w:r>
      <w:r w:rsidRPr="004730DA">
        <w:rPr>
          <w:sz w:val="22"/>
        </w:rPr>
        <w:t xml:space="preserve"> [online]. 2013 [cit. </w:t>
      </w:r>
      <w:r w:rsidRPr="00275BAD">
        <w:rPr>
          <w:sz w:val="22"/>
        </w:rPr>
        <w:t xml:space="preserve">2014-03-20]. Dostupné z: </w:t>
      </w:r>
      <w:hyperlink r:id="rId31" w:history="1">
        <w:r w:rsidRPr="00275BAD">
          <w:rPr>
            <w:rStyle w:val="Hypertextovodkaz"/>
            <w:color w:val="auto"/>
            <w:sz w:val="22"/>
            <w:u w:val="none"/>
          </w:rPr>
          <w:t>http://www.blackrockinternational.com/content/groups/internationalsite/documents/literature/etfl_globalhandbook_2012.pdf</w:t>
        </w:r>
      </w:hyperlink>
    </w:p>
    <w:p w:rsidR="00371136" w:rsidRPr="00F732D1" w:rsidRDefault="00671DAE" w:rsidP="00671DAE">
      <w:pPr>
        <w:spacing w:line="360" w:lineRule="auto"/>
      </w:pPr>
      <w:r>
        <w:t xml:space="preserve">Graf. </w:t>
      </w:r>
      <w:proofErr w:type="gramStart"/>
      <w:r>
        <w:t>č.</w:t>
      </w:r>
      <w:proofErr w:type="gramEnd"/>
      <w:r>
        <w:t xml:space="preserve"> 9 znázorňuje, do jakých aktiv tyto fondy investují. Takřka 93 % investuje do akcií, přičemž značnou část představují akcie Asie a Tichomoří (největší podíl mají japonské a čínské akcie). Pouhá 0,2 % jsou investována do akcií evropských, akcií Severní </w:t>
      </w:r>
      <w:r w:rsidR="006422A9">
        <w:t>A</w:t>
      </w:r>
      <w:r>
        <w:t xml:space="preserve">meriky či do globálních indexů. Je zde tedy velmi vysoké zastoupení akcií domácího trhu. Jen něco málo přes 5 % představují dluhopisy, co se komodit týče, pak ty jsou </w:t>
      </w:r>
      <w:proofErr w:type="gramStart"/>
      <w:r>
        <w:t>zastoupeny z 1,5</w:t>
      </w:r>
      <w:proofErr w:type="gramEnd"/>
      <w:r>
        <w:t xml:space="preserve"> %.</w:t>
      </w:r>
    </w:p>
    <w:p w:rsidR="00371136" w:rsidRDefault="00371136" w:rsidP="00371136">
      <w:pPr>
        <w:pStyle w:val="Nadpis3"/>
        <w:numPr>
          <w:ilvl w:val="2"/>
          <w:numId w:val="10"/>
        </w:numPr>
        <w:spacing w:after="0" w:line="360" w:lineRule="auto"/>
        <w:rPr>
          <w:sz w:val="24"/>
        </w:rPr>
      </w:pPr>
      <w:bookmarkStart w:id="59" w:name="_Toc386146007"/>
      <w:r w:rsidRPr="007F31C4">
        <w:rPr>
          <w:sz w:val="24"/>
        </w:rPr>
        <w:t>Obchodníci s cennými papíry v České republice</w:t>
      </w:r>
      <w:bookmarkEnd w:id="59"/>
    </w:p>
    <w:p w:rsidR="00371136" w:rsidRPr="00376CC1" w:rsidRDefault="00371136" w:rsidP="005E5134">
      <w:pPr>
        <w:spacing w:line="360" w:lineRule="auto"/>
      </w:pPr>
      <w:r>
        <w:t xml:space="preserve">Aby mohl drobný investor obchodovat </w:t>
      </w:r>
      <w:r w:rsidR="00606431">
        <w:t>Exchange Traded F</w:t>
      </w:r>
      <w:r w:rsidR="003D4384">
        <w:t>unds</w:t>
      </w:r>
      <w:r>
        <w:t>, musí se stát klientem některého z obchodní</w:t>
      </w:r>
      <w:bookmarkStart w:id="60" w:name="_GoBack"/>
      <w:bookmarkEnd w:id="60"/>
      <w:r>
        <w:t xml:space="preserve">ků s cennými papíry, který má ovšem přístup na burzy, kde se tyto instrumenty obchodují. Od výběru obchodníka se poté odvíjí i výše poplatků, kterou investor zaplatí v souvislosti s nákupem či prodejem těchto </w:t>
      </w:r>
      <w:r w:rsidR="0013214F">
        <w:t>nástrojů</w:t>
      </w:r>
      <w:r>
        <w:t>. V následujících podkapitolách se pokusím charakterizovat vybrané obchodníky působící v České republice, srovnat jejich výši poplatků spojených s obchodováním a na základě zjištěných faktů zvolit obchodníka nejvhodnějšího pro drobného investora.</w:t>
      </w:r>
    </w:p>
    <w:p w:rsidR="00371136" w:rsidRDefault="00AD7DC9" w:rsidP="00371136">
      <w:pPr>
        <w:pStyle w:val="Nadpis3"/>
        <w:numPr>
          <w:ilvl w:val="3"/>
          <w:numId w:val="10"/>
        </w:numPr>
        <w:spacing w:after="0" w:line="360" w:lineRule="auto"/>
        <w:rPr>
          <w:sz w:val="24"/>
        </w:rPr>
      </w:pPr>
      <w:bookmarkStart w:id="61" w:name="_Toc386146008"/>
      <w:r>
        <w:rPr>
          <w:sz w:val="24"/>
        </w:rPr>
        <w:t>Cyrrus a.s.</w:t>
      </w:r>
      <w:bookmarkEnd w:id="61"/>
    </w:p>
    <w:p w:rsidR="00371136" w:rsidRDefault="00063687" w:rsidP="00063687">
      <w:pPr>
        <w:spacing w:line="360" w:lineRule="auto"/>
      </w:pPr>
      <w:r>
        <w:t xml:space="preserve">Společnost Cyrrus a.s. působí na českém trhu od roku 1995, jedná se o licencovaného obchodníka s cennými papíry, který se zaměřuje jak na soukromou, tak na firemní klientelu. </w:t>
      </w:r>
      <w:r>
        <w:lastRenderedPageBreak/>
        <w:t xml:space="preserve">Od roku 2000 je členem Burzy cenných papírů Praha a od roku 2003 se snaží o neustálé rozšiřování nabídky svých služeb. </w:t>
      </w:r>
      <w:r w:rsidR="00A8496E">
        <w:t>Kromě akcií je možné přes Cyrrus obchodovat dluhopisy, ETF a v neposlední řadě je Cyrrus také průkopníkem v oblasti investičních certifikátů v ČR, emitoval vůbec první investiční certifikát navázaný na český index PX.</w:t>
      </w:r>
      <w:r w:rsidR="00CE6AB7">
        <w:rPr>
          <w:rStyle w:val="Znakapoznpodarou"/>
        </w:rPr>
        <w:footnoteReference w:id="64"/>
      </w:r>
    </w:p>
    <w:p w:rsidR="00063687" w:rsidRDefault="00063687" w:rsidP="00063687">
      <w:pPr>
        <w:spacing w:line="360" w:lineRule="auto"/>
      </w:pPr>
      <w:r>
        <w:t>Založit si účet u Cyrrusu lze buď osobně na některé z jejich poboček, které se však nachází pouze v Brně a Praze, nebo korespondenčně. Aktuálně má tento obchodník s cennými papíry přístup na pražskou burzu</w:t>
      </w:r>
      <w:r w:rsidR="00666717">
        <w:t>, RM-Systém</w:t>
      </w:r>
      <w:r>
        <w:t>, polský trh, na burzu v Německu, USA či Maďarsku. Oproti ostatním obchodníkům nabízí tato společnost jednotnou měnu investic v CZK.</w:t>
      </w:r>
      <w:r w:rsidR="00CE6AB7">
        <w:rPr>
          <w:rStyle w:val="Znakapoznpodarou"/>
        </w:rPr>
        <w:footnoteReference w:id="65"/>
      </w:r>
    </w:p>
    <w:p w:rsidR="00666717" w:rsidRDefault="0013214F" w:rsidP="00063687">
      <w:pPr>
        <w:spacing w:line="360" w:lineRule="auto"/>
      </w:pPr>
      <w:r>
        <w:t>Pokud jde o poplatkovou politiku</w:t>
      </w:r>
      <w:r w:rsidR="00666717">
        <w:t xml:space="preserve"> Cyrrusu, pak rozlišuje obchody s akciemi a obchody s ETFs. Akciové obchody jsou </w:t>
      </w:r>
      <w:r w:rsidR="00CE6AB7">
        <w:t xml:space="preserve">zpoplatňovány dle objemu investice, výše poplatku se pohybuje od 0,90 % - 0,30 %. Poplatky za obchod s ETFs </w:t>
      </w:r>
      <w:r>
        <w:t>jsou dány</w:t>
      </w:r>
      <w:r w:rsidR="00CE6AB7">
        <w:t xml:space="preserve"> fixní a variabilní částí, konkrétně 0,10 % z objemu investice + 9,95 USD/EUR.</w:t>
      </w:r>
      <w:r w:rsidR="00CE6AB7">
        <w:rPr>
          <w:rStyle w:val="Znakapoznpodarou"/>
        </w:rPr>
        <w:footnoteReference w:id="66"/>
      </w:r>
      <w:r w:rsidR="00CE6AB7">
        <w:t xml:space="preserve"> </w:t>
      </w:r>
    </w:p>
    <w:p w:rsidR="00371136" w:rsidRDefault="00371136" w:rsidP="00371136">
      <w:pPr>
        <w:pStyle w:val="Nadpis3"/>
        <w:numPr>
          <w:ilvl w:val="3"/>
          <w:numId w:val="10"/>
        </w:numPr>
        <w:spacing w:after="0" w:line="360" w:lineRule="auto"/>
        <w:rPr>
          <w:sz w:val="24"/>
        </w:rPr>
      </w:pPr>
      <w:bookmarkStart w:id="62" w:name="_Toc386146009"/>
      <w:r w:rsidRPr="007F31C4">
        <w:rPr>
          <w:sz w:val="24"/>
        </w:rPr>
        <w:t>Brokerjet České spořitelny</w:t>
      </w:r>
      <w:bookmarkEnd w:id="62"/>
    </w:p>
    <w:p w:rsidR="00371136" w:rsidRDefault="00C27B55" w:rsidP="00C27B55">
      <w:pPr>
        <w:spacing w:line="360" w:lineRule="auto"/>
      </w:pPr>
      <w:r>
        <w:t xml:space="preserve">Brokerjet České spořitelny působí na českém trhu od roku 2003, kdy získal od </w:t>
      </w:r>
      <w:r w:rsidR="00FA51F6">
        <w:t xml:space="preserve">tehdejšího regulátora, kterým byla </w:t>
      </w:r>
      <w:r>
        <w:t xml:space="preserve">Komise pro cenné papíry povolení k poskytování služeb obchodníka s cennými papíry. </w:t>
      </w:r>
      <w:r w:rsidR="0013214F">
        <w:t>B</w:t>
      </w:r>
      <w:r>
        <w:t>rokerjet umožňuje investorům podávat pokyny k nákupu či prodeji investičních instrumentů přes internetovou aplikaci, získávat informace o aktuálním dění na finančních trzích nebo využívat úvěry k uskutečnění investičních záměrů.</w:t>
      </w:r>
      <w:r w:rsidR="005550B1">
        <w:rPr>
          <w:rStyle w:val="Znakapoznpodarou"/>
        </w:rPr>
        <w:footnoteReference w:id="67"/>
      </w:r>
      <w:r>
        <w:t xml:space="preserve"> </w:t>
      </w:r>
    </w:p>
    <w:p w:rsidR="00C27B55" w:rsidRDefault="00C27B55" w:rsidP="00C27B55">
      <w:pPr>
        <w:spacing w:line="360" w:lineRule="auto"/>
      </w:pPr>
      <w:r>
        <w:t xml:space="preserve">Brokerjet České spořitelny a.s. byl založen již roku 2002, spadá pod skupinu Erste Bank. Jak </w:t>
      </w:r>
      <w:r w:rsidR="0013214F">
        <w:t>název sám napovídá, patří tedy B</w:t>
      </w:r>
      <w:r>
        <w:t xml:space="preserve">rokerjet do stejné skupiny jako Česká spořitelna a investoři tak mohou uzavřít komisionářkou smlouvu na kterékoli pobočce této banky. </w:t>
      </w:r>
      <w:r w:rsidR="00805C5B">
        <w:t>Co se přístupů na burzy týče, pak přes Brokerjet lze samozřejmě obchodovat na českém trhu, dále na trh USA, vybrané evropské burzy, jako například Německo, Velká Británie, Polsko, Chorvatsko nebo Francie. Přístup na trh Kanady tato společnost nemá.</w:t>
      </w:r>
      <w:r w:rsidR="005550B1">
        <w:rPr>
          <w:rStyle w:val="Znakapoznpodarou"/>
        </w:rPr>
        <w:footnoteReference w:id="68"/>
      </w:r>
    </w:p>
    <w:p w:rsidR="00805C5B" w:rsidRDefault="00805C5B" w:rsidP="00C27B55">
      <w:pPr>
        <w:spacing w:line="360" w:lineRule="auto"/>
      </w:pPr>
      <w:r>
        <w:t xml:space="preserve">Výše poplatku spojena s obchodováním přes Brokerjet se odvíjí od investovaného objemu prostředků a také závisí na trhu, na kterém chce investor obchod provést. Kromě elektronického podání pokynu přes webovou aplikaci lze u této společnosti zadat pokyn i </w:t>
      </w:r>
      <w:r>
        <w:lastRenderedPageBreak/>
        <w:t>telefonicky, což však navýší poplatky za podání pokynu. Pro zjednodušení budeme uvažovat pouze elektronické podání pokynu</w:t>
      </w:r>
      <w:r w:rsidR="009C7F71">
        <w:t>,</w:t>
      </w:r>
      <w:r>
        <w:t xml:space="preserve"> a sice na burze USA a v Německu, přehled poplatků pak udává následující tabulka</w:t>
      </w:r>
      <w:r w:rsidR="0013214F">
        <w:t xml:space="preserve"> č. 9</w:t>
      </w:r>
      <w:r>
        <w:t>:</w:t>
      </w:r>
    </w:p>
    <w:p w:rsidR="009C7F71" w:rsidRPr="009C7F71" w:rsidRDefault="009C7F71" w:rsidP="009C7F71">
      <w:pPr>
        <w:pStyle w:val="Titulek"/>
        <w:jc w:val="center"/>
        <w:rPr>
          <w:color w:val="auto"/>
          <w:sz w:val="22"/>
        </w:rPr>
      </w:pPr>
      <w:bookmarkStart w:id="63" w:name="_Toc385970322"/>
      <w:r w:rsidRPr="009C7F71">
        <w:rPr>
          <w:color w:val="auto"/>
          <w:sz w:val="22"/>
        </w:rPr>
        <w:t xml:space="preserve">Tabulka č. </w:t>
      </w:r>
      <w:r w:rsidR="008B79C7" w:rsidRPr="009C7F71">
        <w:rPr>
          <w:color w:val="auto"/>
          <w:sz w:val="22"/>
        </w:rPr>
        <w:fldChar w:fldCharType="begin"/>
      </w:r>
      <w:r w:rsidRPr="009C7F71">
        <w:rPr>
          <w:color w:val="auto"/>
          <w:sz w:val="22"/>
        </w:rPr>
        <w:instrText xml:space="preserve"> SEQ Tabulka_č. \* ARABIC </w:instrText>
      </w:r>
      <w:r w:rsidR="008B79C7" w:rsidRPr="009C7F71">
        <w:rPr>
          <w:color w:val="auto"/>
          <w:sz w:val="22"/>
        </w:rPr>
        <w:fldChar w:fldCharType="separate"/>
      </w:r>
      <w:r w:rsidR="00730734">
        <w:rPr>
          <w:noProof/>
          <w:color w:val="auto"/>
          <w:sz w:val="22"/>
        </w:rPr>
        <w:t>9</w:t>
      </w:r>
      <w:r w:rsidR="008B79C7" w:rsidRPr="009C7F71">
        <w:rPr>
          <w:color w:val="auto"/>
          <w:sz w:val="22"/>
        </w:rPr>
        <w:fldChar w:fldCharType="end"/>
      </w:r>
      <w:r w:rsidRPr="009C7F71">
        <w:rPr>
          <w:color w:val="auto"/>
          <w:sz w:val="22"/>
        </w:rPr>
        <w:t>: Přehled poplatků Brokerjet</w:t>
      </w:r>
      <w:bookmarkEnd w:id="63"/>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0"/>
        <w:gridCol w:w="2160"/>
        <w:gridCol w:w="2299"/>
        <w:gridCol w:w="2427"/>
      </w:tblGrid>
      <w:tr w:rsidR="00805C5B" w:rsidTr="00E977AA">
        <w:trPr>
          <w:cnfStyle w:val="100000000000"/>
        </w:trPr>
        <w:tc>
          <w:tcPr>
            <w:cnfStyle w:val="001000000100"/>
            <w:tcW w:w="2400" w:type="dxa"/>
            <w:tcBorders>
              <w:top w:val="none" w:sz="0" w:space="0" w:color="auto"/>
              <w:left w:val="none" w:sz="0" w:space="0" w:color="auto"/>
              <w:bottom w:val="none" w:sz="0" w:space="0" w:color="auto"/>
              <w:right w:val="none" w:sz="0" w:space="0" w:color="auto"/>
            </w:tcBorders>
          </w:tcPr>
          <w:p w:rsidR="00805C5B" w:rsidRDefault="00805C5B" w:rsidP="00FA51F6">
            <w:r>
              <w:t>Objem obchodu USA</w:t>
            </w:r>
          </w:p>
        </w:tc>
        <w:tc>
          <w:tcPr>
            <w:tcW w:w="2160" w:type="dxa"/>
            <w:tcBorders>
              <w:top w:val="none" w:sz="0" w:space="0" w:color="auto"/>
              <w:left w:val="none" w:sz="0" w:space="0" w:color="auto"/>
              <w:bottom w:val="none" w:sz="0" w:space="0" w:color="auto"/>
              <w:right w:val="none" w:sz="0" w:space="0" w:color="auto"/>
            </w:tcBorders>
          </w:tcPr>
          <w:p w:rsidR="00805C5B" w:rsidRDefault="00805C5B" w:rsidP="00FA51F6">
            <w:pPr>
              <w:cnfStyle w:val="100000000000"/>
            </w:pPr>
            <w:r>
              <w:t>Cena USA</w:t>
            </w:r>
          </w:p>
        </w:tc>
        <w:tc>
          <w:tcPr>
            <w:tcW w:w="2299" w:type="dxa"/>
            <w:tcBorders>
              <w:top w:val="none" w:sz="0" w:space="0" w:color="auto"/>
              <w:left w:val="none" w:sz="0" w:space="0" w:color="auto"/>
              <w:bottom w:val="none" w:sz="0" w:space="0" w:color="auto"/>
              <w:right w:val="none" w:sz="0" w:space="0" w:color="auto"/>
            </w:tcBorders>
          </w:tcPr>
          <w:p w:rsidR="00805C5B" w:rsidRDefault="00805C5B" w:rsidP="00FA51F6">
            <w:pPr>
              <w:cnfStyle w:val="100000000000"/>
            </w:pPr>
            <w:r>
              <w:t>Objem obchodu Německo</w:t>
            </w:r>
            <w:r w:rsidR="009C7F71">
              <w:t xml:space="preserve"> XETRA</w:t>
            </w:r>
          </w:p>
        </w:tc>
        <w:tc>
          <w:tcPr>
            <w:tcW w:w="2427" w:type="dxa"/>
            <w:tcBorders>
              <w:top w:val="none" w:sz="0" w:space="0" w:color="auto"/>
              <w:left w:val="none" w:sz="0" w:space="0" w:color="auto"/>
              <w:bottom w:val="none" w:sz="0" w:space="0" w:color="auto"/>
              <w:right w:val="none" w:sz="0" w:space="0" w:color="auto"/>
            </w:tcBorders>
          </w:tcPr>
          <w:p w:rsidR="00805C5B" w:rsidRDefault="00805C5B" w:rsidP="00FA51F6">
            <w:pPr>
              <w:cnfStyle w:val="100000000000"/>
            </w:pPr>
            <w:r>
              <w:t>Německo</w:t>
            </w:r>
            <w:r w:rsidR="009C7F71">
              <w:t xml:space="preserve"> XETRA</w:t>
            </w:r>
          </w:p>
        </w:tc>
      </w:tr>
      <w:tr w:rsidR="00805C5B" w:rsidTr="00E977AA">
        <w:trPr>
          <w:cnfStyle w:val="000000100000"/>
        </w:trPr>
        <w:tc>
          <w:tcPr>
            <w:cnfStyle w:val="001000000000"/>
            <w:tcW w:w="2400" w:type="dxa"/>
            <w:tcBorders>
              <w:left w:val="none" w:sz="0" w:space="0" w:color="auto"/>
              <w:bottom w:val="none" w:sz="0" w:space="0" w:color="auto"/>
              <w:right w:val="none" w:sz="0" w:space="0" w:color="auto"/>
            </w:tcBorders>
          </w:tcPr>
          <w:p w:rsidR="00805C5B" w:rsidRDefault="00805C5B" w:rsidP="00FA51F6">
            <w:r>
              <w:t>0</w:t>
            </w:r>
            <w:r w:rsidR="009C7F71">
              <w:t xml:space="preserve"> </w:t>
            </w:r>
            <w:r>
              <w:t>-</w:t>
            </w:r>
            <w:r w:rsidR="009C7F71">
              <w:t xml:space="preserve"> </w:t>
            </w:r>
            <w:r>
              <w:t>4.000 USD</w:t>
            </w:r>
          </w:p>
        </w:tc>
        <w:tc>
          <w:tcPr>
            <w:tcW w:w="2160" w:type="dxa"/>
          </w:tcPr>
          <w:p w:rsidR="00805C5B" w:rsidRDefault="009C7F71" w:rsidP="00FA51F6">
            <w:pPr>
              <w:cnfStyle w:val="000000100000"/>
            </w:pPr>
            <w:r>
              <w:t>11,95 USD</w:t>
            </w:r>
          </w:p>
        </w:tc>
        <w:tc>
          <w:tcPr>
            <w:tcW w:w="2299" w:type="dxa"/>
          </w:tcPr>
          <w:p w:rsidR="00805C5B" w:rsidRDefault="009C7F71" w:rsidP="00FA51F6">
            <w:pPr>
              <w:cnfStyle w:val="000000100000"/>
            </w:pPr>
            <w:r>
              <w:t>0 – 5.000 EUR</w:t>
            </w:r>
          </w:p>
        </w:tc>
        <w:tc>
          <w:tcPr>
            <w:tcW w:w="2427" w:type="dxa"/>
          </w:tcPr>
          <w:p w:rsidR="00805C5B" w:rsidRDefault="009C7F71" w:rsidP="00FA51F6">
            <w:pPr>
              <w:cnfStyle w:val="000000100000"/>
            </w:pPr>
            <w:r>
              <w:t>10,95 EUR</w:t>
            </w:r>
          </w:p>
        </w:tc>
      </w:tr>
      <w:tr w:rsidR="00805C5B" w:rsidTr="00E977AA">
        <w:tc>
          <w:tcPr>
            <w:cnfStyle w:val="001000000000"/>
            <w:tcW w:w="2400" w:type="dxa"/>
            <w:tcBorders>
              <w:left w:val="none" w:sz="0" w:space="0" w:color="auto"/>
              <w:bottom w:val="none" w:sz="0" w:space="0" w:color="auto"/>
              <w:right w:val="none" w:sz="0" w:space="0" w:color="auto"/>
            </w:tcBorders>
          </w:tcPr>
          <w:p w:rsidR="00805C5B" w:rsidRDefault="009C7F71" w:rsidP="00FA51F6">
            <w:r>
              <w:t>Nad 4.000 USD</w:t>
            </w:r>
          </w:p>
        </w:tc>
        <w:tc>
          <w:tcPr>
            <w:tcW w:w="2160" w:type="dxa"/>
          </w:tcPr>
          <w:p w:rsidR="00805C5B" w:rsidRDefault="009C7F71" w:rsidP="00FA51F6">
            <w:pPr>
              <w:cnfStyle w:val="000000000000"/>
            </w:pPr>
            <w:r>
              <w:t>7,75 USD + 0,09 %</w:t>
            </w:r>
          </w:p>
        </w:tc>
        <w:tc>
          <w:tcPr>
            <w:tcW w:w="2299" w:type="dxa"/>
          </w:tcPr>
          <w:p w:rsidR="00805C5B" w:rsidRDefault="009C7F71" w:rsidP="00FA51F6">
            <w:pPr>
              <w:cnfStyle w:val="000000000000"/>
            </w:pPr>
            <w:r>
              <w:t>Nad 5.000 EUR</w:t>
            </w:r>
          </w:p>
        </w:tc>
        <w:tc>
          <w:tcPr>
            <w:tcW w:w="2427" w:type="dxa"/>
          </w:tcPr>
          <w:p w:rsidR="00805C5B" w:rsidRDefault="009C7F71" w:rsidP="00FA51F6">
            <w:pPr>
              <w:cnfStyle w:val="000000000000"/>
            </w:pPr>
            <w:r>
              <w:t>9,95 EUR + 0,1 %</w:t>
            </w:r>
          </w:p>
        </w:tc>
      </w:tr>
    </w:tbl>
    <w:p w:rsidR="00371136" w:rsidRDefault="009C7F71" w:rsidP="00A07E35">
      <w:pPr>
        <w:spacing w:line="360" w:lineRule="auto"/>
        <w:jc w:val="center"/>
      </w:pPr>
      <w:r>
        <w:t xml:space="preserve">Zdroj: vlastní zpracování dle </w:t>
      </w:r>
      <w:proofErr w:type="gramStart"/>
      <w:r w:rsidR="00A07E35">
        <w:t>Ceník</w:t>
      </w:r>
      <w:proofErr w:type="gramEnd"/>
      <w:r w:rsidR="00A07E35">
        <w:t xml:space="preserve"> služeb. </w:t>
      </w:r>
      <w:r w:rsidR="00A07E35">
        <w:rPr>
          <w:i/>
          <w:iCs/>
        </w:rPr>
        <w:t>BROKERJET</w:t>
      </w:r>
      <w:r w:rsidR="00A07E35">
        <w:t xml:space="preserve"> [online]. 2014 [cit. 2014-03-28]. Dostupné z: https://www.brokerjet.cz/products/fees/</w:t>
      </w:r>
      <w:r w:rsidR="00662A50">
        <w:t>X-Trade B</w:t>
      </w:r>
      <w:r w:rsidR="00371136" w:rsidRPr="007F31C4">
        <w:t>rokers</w:t>
      </w:r>
    </w:p>
    <w:p w:rsidR="0013214F" w:rsidRDefault="0013214F" w:rsidP="0013214F">
      <w:pPr>
        <w:pStyle w:val="Nadpis3"/>
        <w:numPr>
          <w:ilvl w:val="3"/>
          <w:numId w:val="11"/>
        </w:numPr>
      </w:pPr>
      <w:bookmarkStart w:id="64" w:name="_Toc386146010"/>
      <w:r>
        <w:t>X-Trade Brokers</w:t>
      </w:r>
      <w:bookmarkEnd w:id="64"/>
    </w:p>
    <w:p w:rsidR="00371136" w:rsidRDefault="00662A50" w:rsidP="00662A50">
      <w:pPr>
        <w:spacing w:line="360" w:lineRule="auto"/>
      </w:pPr>
      <w:r>
        <w:t xml:space="preserve">Společnost X-Trade Brokers působí na českém trhu teprve od roku 2007 pod dohledem České národní banky. Jedná se o pobočku zahraniční společnosti X-Trade Brokers Dom Maklerski </w:t>
      </w:r>
      <w:proofErr w:type="gramStart"/>
      <w:r>
        <w:t>S.A.</w:t>
      </w:r>
      <w:proofErr w:type="gramEnd"/>
      <w:r>
        <w:t>. Mateřská společnost má domicil v Polsku a</w:t>
      </w:r>
      <w:r w:rsidR="0013214F">
        <w:t xml:space="preserve"> působí od roku 1993. Prostřednict</w:t>
      </w:r>
      <w:r>
        <w:t>vím své aplikace umožňuje obchodovat akcie, komodity, indexy, opce, ETF</w:t>
      </w:r>
      <w:r w:rsidR="00FA51F6">
        <w:t>s</w:t>
      </w:r>
      <w:r>
        <w:t xml:space="preserve"> a mimoto umožňuje obchodovat i na devizovém trhu FOREX. Od roku 2007 expandovalo do dalších 27 zemí, kde nabízí své služby.</w:t>
      </w:r>
      <w:r w:rsidR="00C073FC">
        <w:rPr>
          <w:rStyle w:val="Znakapoznpodarou"/>
        </w:rPr>
        <w:footnoteReference w:id="69"/>
      </w:r>
      <w:r>
        <w:t xml:space="preserve"> </w:t>
      </w:r>
    </w:p>
    <w:p w:rsidR="00662A50" w:rsidRDefault="00C073FC" w:rsidP="00662A50">
      <w:pPr>
        <w:spacing w:line="360" w:lineRule="auto"/>
      </w:pPr>
      <w:r>
        <w:t>Založit si reálný účet u X-Trade Brokers lze buď online, nebo telefonicky.</w:t>
      </w:r>
      <w:r w:rsidR="00B75EA5">
        <w:t xml:space="preserve"> Nemá tedy pobočky, nicméně veškerá komunikace probíhá buď telefonicky nebo případně přes live chat na webových stránkách společnosti.</w:t>
      </w:r>
      <w:r>
        <w:t xml:space="preserve"> Aktuálně má </w:t>
      </w:r>
      <w:r w:rsidR="00B75EA5">
        <w:t>X-Trade Brokers</w:t>
      </w:r>
      <w:r>
        <w:t xml:space="preserve"> přístup na trhy USA, Velké Británie, Německa, český trh, dále například Francie, Maďarsko, Polsko, či Španělsko. </w:t>
      </w:r>
    </w:p>
    <w:p w:rsidR="00B75EA5" w:rsidRDefault="00B75EA5" w:rsidP="00662A50">
      <w:pPr>
        <w:spacing w:line="360" w:lineRule="auto"/>
      </w:pPr>
      <w:r>
        <w:t>Pokud se podíváme na poplatky tohoto obchodníka, pak se opět budou odvíjet od trhu, kde investor zadává pokyn a dále od objemu investovaných prostředků. Přehled poplatků na německé a americké burze udává následující tabulka.</w:t>
      </w:r>
    </w:p>
    <w:p w:rsidR="00B75EA5" w:rsidRPr="00B75EA5" w:rsidRDefault="00B75EA5" w:rsidP="00B75EA5">
      <w:pPr>
        <w:pStyle w:val="Titulek"/>
        <w:jc w:val="center"/>
        <w:rPr>
          <w:color w:val="auto"/>
          <w:sz w:val="22"/>
        </w:rPr>
      </w:pPr>
      <w:bookmarkStart w:id="65" w:name="_Toc385970323"/>
      <w:r w:rsidRPr="00B75EA5">
        <w:rPr>
          <w:color w:val="auto"/>
          <w:sz w:val="22"/>
        </w:rPr>
        <w:t xml:space="preserve">Tabulka č. </w:t>
      </w:r>
      <w:r w:rsidR="008B79C7" w:rsidRPr="00B75EA5">
        <w:rPr>
          <w:color w:val="auto"/>
          <w:sz w:val="22"/>
        </w:rPr>
        <w:fldChar w:fldCharType="begin"/>
      </w:r>
      <w:r w:rsidRPr="00B75EA5">
        <w:rPr>
          <w:color w:val="auto"/>
          <w:sz w:val="22"/>
        </w:rPr>
        <w:instrText xml:space="preserve"> SEQ Tabulka_č. \* ARABIC </w:instrText>
      </w:r>
      <w:r w:rsidR="008B79C7" w:rsidRPr="00B75EA5">
        <w:rPr>
          <w:color w:val="auto"/>
          <w:sz w:val="22"/>
        </w:rPr>
        <w:fldChar w:fldCharType="separate"/>
      </w:r>
      <w:r w:rsidR="00730734">
        <w:rPr>
          <w:noProof/>
          <w:color w:val="auto"/>
          <w:sz w:val="22"/>
        </w:rPr>
        <w:t>10</w:t>
      </w:r>
      <w:r w:rsidR="008B79C7" w:rsidRPr="00B75EA5">
        <w:rPr>
          <w:color w:val="auto"/>
          <w:sz w:val="22"/>
        </w:rPr>
        <w:fldChar w:fldCharType="end"/>
      </w:r>
      <w:r w:rsidRPr="00B75EA5">
        <w:rPr>
          <w:color w:val="auto"/>
          <w:sz w:val="22"/>
        </w:rPr>
        <w:t>:</w:t>
      </w:r>
      <w:r w:rsidR="00DF64E8">
        <w:rPr>
          <w:color w:val="auto"/>
          <w:sz w:val="22"/>
        </w:rPr>
        <w:t xml:space="preserve"> </w:t>
      </w:r>
      <w:r w:rsidRPr="00B75EA5">
        <w:rPr>
          <w:color w:val="auto"/>
          <w:sz w:val="22"/>
        </w:rPr>
        <w:t>Přehled poplatků X-Trade Brokers</w:t>
      </w:r>
      <w:bookmarkEnd w:id="65"/>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0"/>
        <w:gridCol w:w="3070"/>
      </w:tblGrid>
      <w:tr w:rsidR="00B75EA5" w:rsidTr="00E977AA">
        <w:trPr>
          <w:cnfStyle w:val="100000000000"/>
        </w:trPr>
        <w:tc>
          <w:tcPr>
            <w:cnfStyle w:val="001000000100"/>
            <w:tcW w:w="3070" w:type="dxa"/>
            <w:tcBorders>
              <w:top w:val="none" w:sz="0" w:space="0" w:color="auto"/>
              <w:left w:val="none" w:sz="0" w:space="0" w:color="auto"/>
              <w:bottom w:val="none" w:sz="0" w:space="0" w:color="auto"/>
              <w:right w:val="none" w:sz="0" w:space="0" w:color="auto"/>
            </w:tcBorders>
          </w:tcPr>
          <w:p w:rsidR="00B75EA5" w:rsidRDefault="00B75EA5" w:rsidP="00B75EA5">
            <w:pPr>
              <w:rPr>
                <w:lang w:eastAsia="cs-CZ"/>
              </w:rPr>
            </w:pPr>
          </w:p>
        </w:tc>
        <w:tc>
          <w:tcPr>
            <w:tcW w:w="3070" w:type="dxa"/>
            <w:tcBorders>
              <w:top w:val="none" w:sz="0" w:space="0" w:color="auto"/>
              <w:left w:val="none" w:sz="0" w:space="0" w:color="auto"/>
              <w:bottom w:val="none" w:sz="0" w:space="0" w:color="auto"/>
              <w:right w:val="none" w:sz="0" w:space="0" w:color="auto"/>
            </w:tcBorders>
          </w:tcPr>
          <w:p w:rsidR="00B75EA5" w:rsidRDefault="00B75EA5" w:rsidP="00B75EA5">
            <w:pPr>
              <w:cnfStyle w:val="100000000000"/>
              <w:rPr>
                <w:lang w:eastAsia="cs-CZ"/>
              </w:rPr>
            </w:pPr>
            <w:r>
              <w:rPr>
                <w:lang w:eastAsia="cs-CZ"/>
              </w:rPr>
              <w:t>Trh USA</w:t>
            </w:r>
          </w:p>
        </w:tc>
        <w:tc>
          <w:tcPr>
            <w:tcW w:w="3070" w:type="dxa"/>
            <w:tcBorders>
              <w:top w:val="none" w:sz="0" w:space="0" w:color="auto"/>
              <w:left w:val="none" w:sz="0" w:space="0" w:color="auto"/>
              <w:bottom w:val="none" w:sz="0" w:space="0" w:color="auto"/>
              <w:right w:val="none" w:sz="0" w:space="0" w:color="auto"/>
            </w:tcBorders>
          </w:tcPr>
          <w:p w:rsidR="00B75EA5" w:rsidRDefault="00B75EA5" w:rsidP="00B75EA5">
            <w:pPr>
              <w:cnfStyle w:val="100000000000"/>
              <w:rPr>
                <w:lang w:eastAsia="cs-CZ"/>
              </w:rPr>
            </w:pPr>
            <w:r>
              <w:rPr>
                <w:lang w:eastAsia="cs-CZ"/>
              </w:rPr>
              <w:t>Trh Německo</w:t>
            </w:r>
          </w:p>
        </w:tc>
      </w:tr>
      <w:tr w:rsidR="00B75EA5" w:rsidTr="00E977AA">
        <w:trPr>
          <w:cnfStyle w:val="000000100000"/>
        </w:trPr>
        <w:tc>
          <w:tcPr>
            <w:cnfStyle w:val="001000000000"/>
            <w:tcW w:w="3070" w:type="dxa"/>
            <w:tcBorders>
              <w:left w:val="none" w:sz="0" w:space="0" w:color="auto"/>
              <w:bottom w:val="none" w:sz="0" w:space="0" w:color="auto"/>
              <w:right w:val="none" w:sz="0" w:space="0" w:color="auto"/>
            </w:tcBorders>
          </w:tcPr>
          <w:p w:rsidR="00B75EA5" w:rsidRDefault="00B75EA5" w:rsidP="00B75EA5">
            <w:pPr>
              <w:rPr>
                <w:lang w:eastAsia="cs-CZ"/>
              </w:rPr>
            </w:pPr>
            <w:r>
              <w:rPr>
                <w:lang w:eastAsia="cs-CZ"/>
              </w:rPr>
              <w:t xml:space="preserve">Poplatek za obchod </w:t>
            </w:r>
          </w:p>
        </w:tc>
        <w:tc>
          <w:tcPr>
            <w:tcW w:w="3070" w:type="dxa"/>
          </w:tcPr>
          <w:p w:rsidR="00B75EA5" w:rsidRDefault="00B75EA5" w:rsidP="00B75EA5">
            <w:pPr>
              <w:cnfStyle w:val="000000100000"/>
              <w:rPr>
                <w:lang w:eastAsia="cs-CZ"/>
              </w:rPr>
            </w:pPr>
            <w:r>
              <w:rPr>
                <w:lang w:eastAsia="cs-CZ"/>
              </w:rPr>
              <w:t>0,08 % z objemu investice, min. 8 USD</w:t>
            </w:r>
          </w:p>
        </w:tc>
        <w:tc>
          <w:tcPr>
            <w:tcW w:w="3070" w:type="dxa"/>
          </w:tcPr>
          <w:p w:rsidR="00B75EA5" w:rsidRDefault="00B75EA5" w:rsidP="00AD7DC9">
            <w:pPr>
              <w:cnfStyle w:val="000000100000"/>
              <w:rPr>
                <w:lang w:eastAsia="cs-CZ"/>
              </w:rPr>
            </w:pPr>
            <w:r>
              <w:rPr>
                <w:lang w:eastAsia="cs-CZ"/>
              </w:rPr>
              <w:t>0,08 % z objemu investice, min. 8 EUR</w:t>
            </w:r>
          </w:p>
        </w:tc>
      </w:tr>
    </w:tbl>
    <w:p w:rsidR="00B75EA5" w:rsidRPr="00B75EA5" w:rsidRDefault="00B75EA5" w:rsidP="00B75EA5">
      <w:pPr>
        <w:jc w:val="center"/>
        <w:rPr>
          <w:lang w:eastAsia="cs-CZ"/>
        </w:rPr>
      </w:pPr>
      <w:r>
        <w:rPr>
          <w:lang w:eastAsia="cs-CZ"/>
        </w:rPr>
        <w:t>Zdroj: Vlastní zp</w:t>
      </w:r>
      <w:r w:rsidRPr="00A07E35">
        <w:rPr>
          <w:lang w:eastAsia="cs-CZ"/>
        </w:rPr>
        <w:t xml:space="preserve">racování dle </w:t>
      </w:r>
      <w:r w:rsidR="00A07E35" w:rsidRPr="00A07E35">
        <w:t xml:space="preserve">Obchodní podmínky: Poplatky a provize. </w:t>
      </w:r>
      <w:r w:rsidR="00A07E35" w:rsidRPr="00A07E35">
        <w:rPr>
          <w:i/>
          <w:iCs/>
        </w:rPr>
        <w:t>XTB</w:t>
      </w:r>
      <w:r w:rsidR="00A07E35" w:rsidRPr="00A07E35">
        <w:t xml:space="preserve"> [online]. 2014 [cit. 2014-03-27]. Dostupné z: </w:t>
      </w:r>
      <w:hyperlink r:id="rId32" w:history="1">
        <w:r w:rsidR="00A07E35" w:rsidRPr="00A07E35">
          <w:rPr>
            <w:rStyle w:val="Hypertextovodkaz"/>
            <w:color w:val="auto"/>
            <w:u w:val="none"/>
          </w:rPr>
          <w:t>http://www.xtb.cz/obchodni-podminky/poplatky-a-provize</w:t>
        </w:r>
      </w:hyperlink>
    </w:p>
    <w:p w:rsidR="00371136" w:rsidRDefault="00371136" w:rsidP="00371136">
      <w:pPr>
        <w:pStyle w:val="Nadpis3"/>
        <w:numPr>
          <w:ilvl w:val="3"/>
          <w:numId w:val="10"/>
        </w:numPr>
        <w:spacing w:after="0" w:line="360" w:lineRule="auto"/>
        <w:rPr>
          <w:sz w:val="24"/>
        </w:rPr>
      </w:pPr>
      <w:bookmarkStart w:id="66" w:name="_Toc386146011"/>
      <w:r w:rsidRPr="007F31C4">
        <w:rPr>
          <w:sz w:val="24"/>
        </w:rPr>
        <w:lastRenderedPageBreak/>
        <w:t>Fio banka</w:t>
      </w:r>
      <w:bookmarkEnd w:id="66"/>
    </w:p>
    <w:p w:rsidR="00371136" w:rsidRDefault="00DF64E8" w:rsidP="00DF64E8">
      <w:pPr>
        <w:spacing w:line="360" w:lineRule="auto"/>
      </w:pPr>
      <w:r>
        <w:t xml:space="preserve">Významným obchodníkem s cennými papíry zaměřeným na drobnou klientelu je Fio banka, a.s. Jedná se o společnost působící na českém trhu od roku 1993. Fio banka je zároveň vlastníkem české burzy RM-SYSTÉM, česká burza cenných papírů a.s., která získala roku 2008 statut standardního burzovního trhu. Finanční skupina Fio nabízí kromě investičních produktů také </w:t>
      </w:r>
      <w:r w:rsidR="00940EC8">
        <w:t>tradiční bankovní produkty</w:t>
      </w:r>
      <w:r>
        <w:t xml:space="preserve">. </w:t>
      </w:r>
      <w:r w:rsidR="00940EC8">
        <w:rPr>
          <w:rStyle w:val="Znakapoznpodarou"/>
        </w:rPr>
        <w:footnoteReference w:id="70"/>
      </w:r>
    </w:p>
    <w:p w:rsidR="00DF64E8" w:rsidRDefault="00940EC8" w:rsidP="00DF64E8">
      <w:pPr>
        <w:spacing w:line="360" w:lineRule="auto"/>
      </w:pPr>
      <w:r>
        <w:t xml:space="preserve">Aplikaci e-Broker, přes kterou je možné podávat příkazy, </w:t>
      </w:r>
      <w:r w:rsidR="001C3A7A">
        <w:t>byla poprvé spuštěna</w:t>
      </w:r>
      <w:r>
        <w:t xml:space="preserve"> v roce 1997, kdy bylo možné obchodovat nejdříve pouze české akcie, v roce 1999 umožnila online obchodování na trhu USA a v roce 2001 rozšířila své služby taktéž na německou burzu. Kromě těchto trhů je možné podávat pokyny i na polský či maďarský trh.</w:t>
      </w:r>
      <w:r>
        <w:rPr>
          <w:rStyle w:val="Znakapoznpodarou"/>
        </w:rPr>
        <w:footnoteReference w:id="71"/>
      </w:r>
      <w:r>
        <w:t xml:space="preserve"> Obchodovat lze jak akcie, tak deriváty, investiční certifikáty, warranty či ETFs. Využívat lze také telefonické či osobní podání pokynu na nákup resp. prodej, dále úvěrů na obchodování, či služeb osobního makléře nebo správy portfolia. </w:t>
      </w:r>
    </w:p>
    <w:p w:rsidR="00940EC8" w:rsidRDefault="001D7F39" w:rsidP="00DF64E8">
      <w:pPr>
        <w:spacing w:line="360" w:lineRule="auto"/>
      </w:pPr>
      <w:r>
        <w:t>Poplatek za podání pokynu elektronicky je zdarma, pokud by chtěl investor zadat pokyn osobně případně telefonicky, musí počítat s dodatečným nákladem ve výši 100 CZK. Aby mohl obchodovat, je zapotřebí uzavřít komisionářskou smlouvu na kterékoli ze zhruba 70 poboček po celé ČR. Poplatek za obchod se pak odvíjí od trhu, kde je pokyn zadáván a od objemu investice (resp. počtu nakoupených/prodaných kusů aktiva). Konkrétní podobu poplatků uvádí následující tabulka:</w:t>
      </w:r>
    </w:p>
    <w:p w:rsidR="001D7F39" w:rsidRDefault="001D7F39" w:rsidP="001D7F39">
      <w:pPr>
        <w:pStyle w:val="Titulek"/>
        <w:jc w:val="center"/>
        <w:rPr>
          <w:color w:val="auto"/>
          <w:sz w:val="22"/>
        </w:rPr>
      </w:pPr>
      <w:bookmarkStart w:id="67" w:name="_Toc385970324"/>
      <w:r w:rsidRPr="001D7F39">
        <w:rPr>
          <w:color w:val="auto"/>
          <w:sz w:val="22"/>
        </w:rPr>
        <w:t xml:space="preserve">Tabulka č. </w:t>
      </w:r>
      <w:r w:rsidR="008B79C7" w:rsidRPr="001D7F39">
        <w:rPr>
          <w:color w:val="auto"/>
          <w:sz w:val="22"/>
        </w:rPr>
        <w:fldChar w:fldCharType="begin"/>
      </w:r>
      <w:r w:rsidRPr="001D7F39">
        <w:rPr>
          <w:color w:val="auto"/>
          <w:sz w:val="22"/>
        </w:rPr>
        <w:instrText xml:space="preserve"> SEQ Tabulka_č. \* ARABIC </w:instrText>
      </w:r>
      <w:r w:rsidR="008B79C7" w:rsidRPr="001D7F39">
        <w:rPr>
          <w:color w:val="auto"/>
          <w:sz w:val="22"/>
        </w:rPr>
        <w:fldChar w:fldCharType="separate"/>
      </w:r>
      <w:r w:rsidR="00730734">
        <w:rPr>
          <w:noProof/>
          <w:color w:val="auto"/>
          <w:sz w:val="22"/>
        </w:rPr>
        <w:t>11</w:t>
      </w:r>
      <w:r w:rsidR="008B79C7" w:rsidRPr="001D7F39">
        <w:rPr>
          <w:color w:val="auto"/>
          <w:sz w:val="22"/>
        </w:rPr>
        <w:fldChar w:fldCharType="end"/>
      </w:r>
      <w:r w:rsidRPr="001D7F39">
        <w:rPr>
          <w:color w:val="auto"/>
          <w:sz w:val="22"/>
        </w:rPr>
        <w:t>: Přehled poplatků Fio banky</w:t>
      </w:r>
      <w:bookmarkEnd w:id="67"/>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2"/>
        <w:gridCol w:w="2302"/>
        <w:gridCol w:w="2303"/>
        <w:gridCol w:w="2303"/>
      </w:tblGrid>
      <w:tr w:rsidR="001D7F39" w:rsidTr="00E977AA">
        <w:trPr>
          <w:cnfStyle w:val="100000000000"/>
        </w:trPr>
        <w:tc>
          <w:tcPr>
            <w:cnfStyle w:val="001000000100"/>
            <w:tcW w:w="2302" w:type="dxa"/>
            <w:tcBorders>
              <w:top w:val="none" w:sz="0" w:space="0" w:color="auto"/>
              <w:left w:val="none" w:sz="0" w:space="0" w:color="auto"/>
              <w:bottom w:val="none" w:sz="0" w:space="0" w:color="auto"/>
              <w:right w:val="none" w:sz="0" w:space="0" w:color="auto"/>
            </w:tcBorders>
          </w:tcPr>
          <w:p w:rsidR="001D7F39" w:rsidRDefault="001D7F39" w:rsidP="001D7F39">
            <w:pPr>
              <w:rPr>
                <w:lang w:eastAsia="cs-CZ"/>
              </w:rPr>
            </w:pPr>
            <w:r>
              <w:rPr>
                <w:lang w:eastAsia="cs-CZ"/>
              </w:rPr>
              <w:t>Velikost obchodu</w:t>
            </w:r>
          </w:p>
        </w:tc>
        <w:tc>
          <w:tcPr>
            <w:tcW w:w="2302" w:type="dxa"/>
            <w:tcBorders>
              <w:top w:val="none" w:sz="0" w:space="0" w:color="auto"/>
              <w:left w:val="none" w:sz="0" w:space="0" w:color="auto"/>
              <w:bottom w:val="none" w:sz="0" w:space="0" w:color="auto"/>
              <w:right w:val="none" w:sz="0" w:space="0" w:color="auto"/>
            </w:tcBorders>
          </w:tcPr>
          <w:p w:rsidR="001D7F39" w:rsidRDefault="001D7F39" w:rsidP="001D7F39">
            <w:pPr>
              <w:cnfStyle w:val="100000000000"/>
              <w:rPr>
                <w:lang w:eastAsia="cs-CZ"/>
              </w:rPr>
            </w:pPr>
            <w:r>
              <w:rPr>
                <w:lang w:eastAsia="cs-CZ"/>
              </w:rPr>
              <w:t xml:space="preserve">Trh USA </w:t>
            </w:r>
          </w:p>
        </w:tc>
        <w:tc>
          <w:tcPr>
            <w:tcW w:w="2303" w:type="dxa"/>
            <w:tcBorders>
              <w:top w:val="none" w:sz="0" w:space="0" w:color="auto"/>
              <w:left w:val="none" w:sz="0" w:space="0" w:color="auto"/>
              <w:bottom w:val="none" w:sz="0" w:space="0" w:color="auto"/>
              <w:right w:val="none" w:sz="0" w:space="0" w:color="auto"/>
            </w:tcBorders>
          </w:tcPr>
          <w:p w:rsidR="001D7F39" w:rsidRDefault="001D7F39" w:rsidP="001D7F39">
            <w:pPr>
              <w:cnfStyle w:val="100000000000"/>
              <w:rPr>
                <w:lang w:eastAsia="cs-CZ"/>
              </w:rPr>
            </w:pPr>
          </w:p>
        </w:tc>
        <w:tc>
          <w:tcPr>
            <w:tcW w:w="2303" w:type="dxa"/>
            <w:tcBorders>
              <w:top w:val="none" w:sz="0" w:space="0" w:color="auto"/>
              <w:left w:val="none" w:sz="0" w:space="0" w:color="auto"/>
              <w:bottom w:val="none" w:sz="0" w:space="0" w:color="auto"/>
              <w:right w:val="none" w:sz="0" w:space="0" w:color="auto"/>
            </w:tcBorders>
          </w:tcPr>
          <w:p w:rsidR="001D7F39" w:rsidRDefault="001D7F39" w:rsidP="001D7F39">
            <w:pPr>
              <w:cnfStyle w:val="100000000000"/>
              <w:rPr>
                <w:lang w:eastAsia="cs-CZ"/>
              </w:rPr>
            </w:pPr>
            <w:r>
              <w:rPr>
                <w:lang w:eastAsia="cs-CZ"/>
              </w:rPr>
              <w:t>Německý trh</w:t>
            </w:r>
          </w:p>
        </w:tc>
      </w:tr>
      <w:tr w:rsidR="001D7F39" w:rsidTr="00E977AA">
        <w:trPr>
          <w:cnfStyle w:val="000000100000"/>
        </w:trPr>
        <w:tc>
          <w:tcPr>
            <w:cnfStyle w:val="001000000000"/>
            <w:tcW w:w="2302" w:type="dxa"/>
            <w:tcBorders>
              <w:left w:val="none" w:sz="0" w:space="0" w:color="auto"/>
              <w:bottom w:val="none" w:sz="0" w:space="0" w:color="auto"/>
              <w:right w:val="none" w:sz="0" w:space="0" w:color="auto"/>
            </w:tcBorders>
          </w:tcPr>
          <w:p w:rsidR="001D7F39" w:rsidRDefault="001D7F39" w:rsidP="001D7F39">
            <w:pPr>
              <w:rPr>
                <w:lang w:eastAsia="cs-CZ"/>
              </w:rPr>
            </w:pPr>
            <w:r>
              <w:rPr>
                <w:lang w:eastAsia="cs-CZ"/>
              </w:rPr>
              <w:t>Do 100 ks</w:t>
            </w:r>
          </w:p>
        </w:tc>
        <w:tc>
          <w:tcPr>
            <w:tcW w:w="2302" w:type="dxa"/>
          </w:tcPr>
          <w:p w:rsidR="001D7F39" w:rsidRDefault="001D7F39" w:rsidP="001D7F39">
            <w:pPr>
              <w:cnfStyle w:val="000000100000"/>
              <w:rPr>
                <w:lang w:eastAsia="cs-CZ"/>
              </w:rPr>
            </w:pPr>
            <w:r>
              <w:rPr>
                <w:lang w:eastAsia="cs-CZ"/>
              </w:rPr>
              <w:t>7,95 USD</w:t>
            </w:r>
          </w:p>
        </w:tc>
        <w:tc>
          <w:tcPr>
            <w:tcW w:w="2303" w:type="dxa"/>
            <w:vMerge w:val="restart"/>
          </w:tcPr>
          <w:p w:rsidR="001D7F39" w:rsidRDefault="001D7F39" w:rsidP="001D7F39">
            <w:pPr>
              <w:jc w:val="center"/>
              <w:cnfStyle w:val="000000100000"/>
              <w:rPr>
                <w:lang w:eastAsia="cs-CZ"/>
              </w:rPr>
            </w:pPr>
            <w:r>
              <w:rPr>
                <w:lang w:eastAsia="cs-CZ"/>
              </w:rPr>
              <w:t>Poplatek za obchod</w:t>
            </w:r>
          </w:p>
        </w:tc>
        <w:tc>
          <w:tcPr>
            <w:tcW w:w="2303" w:type="dxa"/>
            <w:vMerge w:val="restart"/>
          </w:tcPr>
          <w:p w:rsidR="001D7F39" w:rsidRDefault="001D7F39" w:rsidP="001D7F39">
            <w:pPr>
              <w:jc w:val="center"/>
              <w:cnfStyle w:val="000000100000"/>
              <w:rPr>
                <w:lang w:eastAsia="cs-CZ"/>
              </w:rPr>
            </w:pPr>
            <w:r>
              <w:rPr>
                <w:lang w:eastAsia="cs-CZ"/>
              </w:rPr>
              <w:t>0,15 % z objemu, min 9,95 EUR</w:t>
            </w:r>
          </w:p>
        </w:tc>
      </w:tr>
      <w:tr w:rsidR="001D7F39" w:rsidTr="00E977AA">
        <w:tc>
          <w:tcPr>
            <w:cnfStyle w:val="001000000000"/>
            <w:tcW w:w="2302" w:type="dxa"/>
            <w:tcBorders>
              <w:left w:val="none" w:sz="0" w:space="0" w:color="auto"/>
              <w:bottom w:val="none" w:sz="0" w:space="0" w:color="auto"/>
              <w:right w:val="none" w:sz="0" w:space="0" w:color="auto"/>
            </w:tcBorders>
          </w:tcPr>
          <w:p w:rsidR="001D7F39" w:rsidRDefault="001D7F39" w:rsidP="001D7F39">
            <w:pPr>
              <w:rPr>
                <w:lang w:eastAsia="cs-CZ"/>
              </w:rPr>
            </w:pPr>
            <w:r>
              <w:rPr>
                <w:lang w:eastAsia="cs-CZ"/>
              </w:rPr>
              <w:t>Nad 100 ks</w:t>
            </w:r>
          </w:p>
        </w:tc>
        <w:tc>
          <w:tcPr>
            <w:tcW w:w="2302" w:type="dxa"/>
          </w:tcPr>
          <w:p w:rsidR="001D7F39" w:rsidRDefault="001D7F39" w:rsidP="001D7F39">
            <w:pPr>
              <w:cnfStyle w:val="000000000000"/>
              <w:rPr>
                <w:lang w:eastAsia="cs-CZ"/>
              </w:rPr>
            </w:pPr>
            <w:r>
              <w:rPr>
                <w:lang w:eastAsia="cs-CZ"/>
              </w:rPr>
              <w:t>9,95 USD</w:t>
            </w:r>
          </w:p>
        </w:tc>
        <w:tc>
          <w:tcPr>
            <w:tcW w:w="2303" w:type="dxa"/>
            <w:vMerge/>
          </w:tcPr>
          <w:p w:rsidR="001D7F39" w:rsidRDefault="001D7F39" w:rsidP="001D7F39">
            <w:pPr>
              <w:cnfStyle w:val="000000000000"/>
              <w:rPr>
                <w:lang w:eastAsia="cs-CZ"/>
              </w:rPr>
            </w:pPr>
          </w:p>
        </w:tc>
        <w:tc>
          <w:tcPr>
            <w:tcW w:w="2303" w:type="dxa"/>
            <w:vMerge/>
          </w:tcPr>
          <w:p w:rsidR="001D7F39" w:rsidRDefault="001D7F39" w:rsidP="001D7F39">
            <w:pPr>
              <w:cnfStyle w:val="000000000000"/>
              <w:rPr>
                <w:lang w:eastAsia="cs-CZ"/>
              </w:rPr>
            </w:pPr>
          </w:p>
        </w:tc>
      </w:tr>
    </w:tbl>
    <w:p w:rsidR="001D7F39" w:rsidRPr="001D7F39" w:rsidRDefault="001D7F39" w:rsidP="00A07E35">
      <w:pPr>
        <w:jc w:val="center"/>
        <w:rPr>
          <w:lang w:eastAsia="cs-CZ"/>
        </w:rPr>
      </w:pPr>
      <w:r>
        <w:rPr>
          <w:lang w:eastAsia="cs-CZ"/>
        </w:rPr>
        <w:t>Zdroj: vlastn</w:t>
      </w:r>
      <w:r w:rsidRPr="00A07E35">
        <w:rPr>
          <w:lang w:eastAsia="cs-CZ"/>
        </w:rPr>
        <w:t xml:space="preserve">í zpracování </w:t>
      </w:r>
      <w:proofErr w:type="gramStart"/>
      <w:r w:rsidRPr="00A07E35">
        <w:rPr>
          <w:lang w:eastAsia="cs-CZ"/>
        </w:rPr>
        <w:t>dle</w:t>
      </w:r>
      <w:proofErr w:type="gramEnd"/>
      <w:r w:rsidRPr="00A07E35">
        <w:rPr>
          <w:lang w:eastAsia="cs-CZ"/>
        </w:rPr>
        <w:t xml:space="preserve">: </w:t>
      </w:r>
      <w:r w:rsidR="00A07E35" w:rsidRPr="00A07E35">
        <w:t xml:space="preserve">Poplatky, sazby, úroky. </w:t>
      </w:r>
      <w:r w:rsidR="00A07E35" w:rsidRPr="00A07E35">
        <w:rPr>
          <w:i/>
          <w:iCs/>
        </w:rPr>
        <w:t>Fio banka</w:t>
      </w:r>
      <w:r w:rsidR="00A07E35" w:rsidRPr="00A07E35">
        <w:t xml:space="preserve"> [online]. 2014 [cit. 2014-03-26]. Dostupné z: </w:t>
      </w:r>
      <w:hyperlink r:id="rId33" w:history="1">
        <w:r w:rsidR="00A07E35" w:rsidRPr="00A07E35">
          <w:rPr>
            <w:rStyle w:val="Hypertextovodkaz"/>
            <w:color w:val="auto"/>
            <w:u w:val="none"/>
          </w:rPr>
          <w:t>http://www.fio.cz/o-nas/dokumenty-ceniky/ceniky-sazebniky</w:t>
        </w:r>
      </w:hyperlink>
    </w:p>
    <w:p w:rsidR="00371136" w:rsidRDefault="00371136" w:rsidP="00371136">
      <w:pPr>
        <w:pStyle w:val="Nadpis3"/>
        <w:numPr>
          <w:ilvl w:val="3"/>
          <w:numId w:val="10"/>
        </w:numPr>
        <w:spacing w:after="0" w:line="360" w:lineRule="auto"/>
        <w:rPr>
          <w:sz w:val="24"/>
        </w:rPr>
      </w:pPr>
      <w:bookmarkStart w:id="68" w:name="_Toc386146012"/>
      <w:r w:rsidRPr="007F31C4">
        <w:rPr>
          <w:sz w:val="24"/>
        </w:rPr>
        <w:t>Patria Direct</w:t>
      </w:r>
      <w:bookmarkEnd w:id="68"/>
    </w:p>
    <w:p w:rsidR="00EF5AB2" w:rsidRDefault="00EF5AB2" w:rsidP="00EF5AB2">
      <w:pPr>
        <w:spacing w:line="360" w:lineRule="auto"/>
      </w:pPr>
      <w:r>
        <w:t>Patria Direct a.s. je součástí finanční skupiny Patria Finance. Tato finanční skupina půso</w:t>
      </w:r>
      <w:r w:rsidR="001C3A7A">
        <w:t>b</w:t>
      </w:r>
      <w:r>
        <w:t xml:space="preserve">í na českém trhu od roku 1994. Jediným akcionářem společnosti Patria Direct a.s. je KBC Securities a spadá tak pod rozsáhlou finanční skupinu KBC Group (kam spadá mimo jiné </w:t>
      </w:r>
      <w:r>
        <w:lastRenderedPageBreak/>
        <w:t xml:space="preserve">například i Československá obchodní banka). Licenci od </w:t>
      </w:r>
      <w:r w:rsidR="001C3A7A">
        <w:t>Komise pro cenné papíry</w:t>
      </w:r>
      <w:r>
        <w:t xml:space="preserve"> působit jako obchodník s cennými papíry získala již v roce 2001. </w:t>
      </w:r>
      <w:r>
        <w:rPr>
          <w:rStyle w:val="Znakapoznpodarou"/>
        </w:rPr>
        <w:footnoteReference w:id="72"/>
      </w:r>
    </w:p>
    <w:p w:rsidR="00EF5AB2" w:rsidRDefault="00EF5AB2" w:rsidP="00EF5AB2">
      <w:pPr>
        <w:spacing w:line="360" w:lineRule="auto"/>
      </w:pPr>
      <w:r>
        <w:t>Přes obchodníka Patria Direct lze obchodovat nejen na českém trhu, má přístup i na trhy střední a východní Evropy (Slovensko, Polsko, Maďarsko, Rumunsko či Rusko), dále trhy západní Evropy (např. Belgie, Velká Británie, Německo, Rakousko, Francie a další) a samozřejmě burzy Severní Ameriky, tedy burzy USA a Kanady.</w:t>
      </w:r>
      <w:r>
        <w:rPr>
          <w:rStyle w:val="Znakapoznpodarou"/>
        </w:rPr>
        <w:footnoteReference w:id="73"/>
      </w:r>
      <w:r w:rsidR="001C3A7A">
        <w:t xml:space="preserve"> Ze všech zmíněných obchodníků má tedy nejširší nabídku trhů, na které lze zadávat pokyny.</w:t>
      </w:r>
    </w:p>
    <w:p w:rsidR="00EF5AB2" w:rsidRDefault="00FA4365" w:rsidP="00EF5AB2">
      <w:pPr>
        <w:spacing w:line="360" w:lineRule="auto"/>
      </w:pPr>
      <w:r>
        <w:t>Obchodovat přes tohoto obchodníka lze po uzavření komisionářské smlouvy, kterou lze podepsat na kterékoli pobočce ČSOB. Co se poplatkové politiky Patra Direct týče, je třeba rozlišovat trh, na kterém pokyn zadáme</w:t>
      </w:r>
      <w:r w:rsidR="00E52759">
        <w:t>, objem investice</w:t>
      </w:r>
      <w:r>
        <w:t xml:space="preserve"> a způsob podání. Pro zjednodušení budeme uvažovat elektronické podání pokynu přes jejich aplikaci a zároveň </w:t>
      </w:r>
      <w:r w:rsidR="00E52759">
        <w:t>budeme volit pouze trhy USA, Kanady a evropské trhy. O poplatcích pak vypovídá následující tabulka</w:t>
      </w:r>
      <w:r w:rsidR="001C3A7A">
        <w:t xml:space="preserve"> </w:t>
      </w:r>
      <w:proofErr w:type="gramStart"/>
      <w:r w:rsidR="001C3A7A">
        <w:t>č.12</w:t>
      </w:r>
      <w:proofErr w:type="gramEnd"/>
      <w:r w:rsidR="00E52759">
        <w:t>:</w:t>
      </w:r>
    </w:p>
    <w:p w:rsidR="00E52759" w:rsidRPr="00E52759" w:rsidRDefault="00E52759" w:rsidP="00E52759">
      <w:pPr>
        <w:pStyle w:val="Titulek"/>
        <w:jc w:val="center"/>
        <w:rPr>
          <w:color w:val="auto"/>
          <w:sz w:val="22"/>
        </w:rPr>
      </w:pPr>
      <w:bookmarkStart w:id="69" w:name="_Toc385970325"/>
      <w:r w:rsidRPr="00E52759">
        <w:rPr>
          <w:color w:val="auto"/>
          <w:sz w:val="22"/>
        </w:rPr>
        <w:t xml:space="preserve">Tabulka č. </w:t>
      </w:r>
      <w:proofErr w:type="gramStart"/>
      <w:r w:rsidR="008B79C7" w:rsidRPr="00E52759">
        <w:rPr>
          <w:color w:val="auto"/>
          <w:sz w:val="22"/>
        </w:rPr>
        <w:fldChar w:fldCharType="begin"/>
      </w:r>
      <w:r w:rsidRPr="00E52759">
        <w:rPr>
          <w:color w:val="auto"/>
          <w:sz w:val="22"/>
        </w:rPr>
        <w:instrText xml:space="preserve"> SEQ Tabulka_č. \* ARABIC </w:instrText>
      </w:r>
      <w:r w:rsidR="008B79C7" w:rsidRPr="00E52759">
        <w:rPr>
          <w:color w:val="auto"/>
          <w:sz w:val="22"/>
        </w:rPr>
        <w:fldChar w:fldCharType="separate"/>
      </w:r>
      <w:r w:rsidR="00730734">
        <w:rPr>
          <w:noProof/>
          <w:color w:val="auto"/>
          <w:sz w:val="22"/>
        </w:rPr>
        <w:t>12</w:t>
      </w:r>
      <w:r w:rsidR="008B79C7" w:rsidRPr="00E52759">
        <w:rPr>
          <w:color w:val="auto"/>
          <w:sz w:val="22"/>
        </w:rPr>
        <w:fldChar w:fldCharType="end"/>
      </w:r>
      <w:r w:rsidRPr="00E52759">
        <w:rPr>
          <w:color w:val="auto"/>
          <w:sz w:val="22"/>
        </w:rPr>
        <w:t xml:space="preserve"> : Přehled</w:t>
      </w:r>
      <w:proofErr w:type="gramEnd"/>
      <w:r w:rsidRPr="00E52759">
        <w:rPr>
          <w:color w:val="auto"/>
          <w:sz w:val="22"/>
        </w:rPr>
        <w:t xml:space="preserve"> poplatků Patria Direct</w:t>
      </w:r>
      <w:bookmarkEnd w:id="69"/>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2"/>
        <w:gridCol w:w="2302"/>
        <w:gridCol w:w="2303"/>
        <w:gridCol w:w="2303"/>
      </w:tblGrid>
      <w:tr w:rsidR="00E52759" w:rsidTr="00E977AA">
        <w:trPr>
          <w:cnfStyle w:val="100000000000"/>
        </w:trPr>
        <w:tc>
          <w:tcPr>
            <w:cnfStyle w:val="001000000100"/>
            <w:tcW w:w="2302" w:type="dxa"/>
            <w:tcBorders>
              <w:top w:val="none" w:sz="0" w:space="0" w:color="auto"/>
              <w:left w:val="none" w:sz="0" w:space="0" w:color="auto"/>
              <w:bottom w:val="none" w:sz="0" w:space="0" w:color="auto"/>
              <w:right w:val="none" w:sz="0" w:space="0" w:color="auto"/>
            </w:tcBorders>
          </w:tcPr>
          <w:p w:rsidR="00E52759" w:rsidRDefault="00E52759" w:rsidP="00FA51F6"/>
        </w:tc>
        <w:tc>
          <w:tcPr>
            <w:tcW w:w="2302" w:type="dxa"/>
            <w:tcBorders>
              <w:top w:val="none" w:sz="0" w:space="0" w:color="auto"/>
              <w:left w:val="none" w:sz="0" w:space="0" w:color="auto"/>
              <w:bottom w:val="none" w:sz="0" w:space="0" w:color="auto"/>
              <w:right w:val="none" w:sz="0" w:space="0" w:color="auto"/>
            </w:tcBorders>
          </w:tcPr>
          <w:p w:rsidR="00E52759" w:rsidRDefault="00E52759" w:rsidP="00FA51F6">
            <w:pPr>
              <w:cnfStyle w:val="100000000000"/>
            </w:pPr>
            <w:r>
              <w:t>USA</w:t>
            </w:r>
          </w:p>
        </w:tc>
        <w:tc>
          <w:tcPr>
            <w:tcW w:w="2303" w:type="dxa"/>
            <w:tcBorders>
              <w:top w:val="none" w:sz="0" w:space="0" w:color="auto"/>
              <w:left w:val="none" w:sz="0" w:space="0" w:color="auto"/>
              <w:bottom w:val="none" w:sz="0" w:space="0" w:color="auto"/>
              <w:right w:val="none" w:sz="0" w:space="0" w:color="auto"/>
            </w:tcBorders>
          </w:tcPr>
          <w:p w:rsidR="00E52759" w:rsidRDefault="00E52759" w:rsidP="00FA51F6">
            <w:pPr>
              <w:cnfStyle w:val="100000000000"/>
            </w:pPr>
            <w:r>
              <w:t>Evropské trhy</w:t>
            </w:r>
          </w:p>
        </w:tc>
        <w:tc>
          <w:tcPr>
            <w:tcW w:w="2303" w:type="dxa"/>
            <w:tcBorders>
              <w:top w:val="none" w:sz="0" w:space="0" w:color="auto"/>
              <w:left w:val="none" w:sz="0" w:space="0" w:color="auto"/>
              <w:bottom w:val="none" w:sz="0" w:space="0" w:color="auto"/>
              <w:right w:val="none" w:sz="0" w:space="0" w:color="auto"/>
            </w:tcBorders>
          </w:tcPr>
          <w:p w:rsidR="00E52759" w:rsidRDefault="00E52759" w:rsidP="00FA51F6">
            <w:pPr>
              <w:cnfStyle w:val="100000000000"/>
            </w:pPr>
            <w:r>
              <w:t>Kanada</w:t>
            </w:r>
          </w:p>
        </w:tc>
      </w:tr>
      <w:tr w:rsidR="00E52759" w:rsidTr="00E977AA">
        <w:trPr>
          <w:cnfStyle w:val="000000100000"/>
        </w:trPr>
        <w:tc>
          <w:tcPr>
            <w:cnfStyle w:val="001000000000"/>
            <w:tcW w:w="2302" w:type="dxa"/>
            <w:tcBorders>
              <w:left w:val="none" w:sz="0" w:space="0" w:color="auto"/>
              <w:bottom w:val="none" w:sz="0" w:space="0" w:color="auto"/>
              <w:right w:val="none" w:sz="0" w:space="0" w:color="auto"/>
            </w:tcBorders>
          </w:tcPr>
          <w:p w:rsidR="00E52759" w:rsidRPr="00E52759" w:rsidRDefault="00E52759" w:rsidP="00FA51F6">
            <w:r>
              <w:t xml:space="preserve">0 - </w:t>
            </w:r>
            <w:r w:rsidRPr="00E52759">
              <w:t>299.000 CZK</w:t>
            </w:r>
          </w:p>
        </w:tc>
        <w:tc>
          <w:tcPr>
            <w:tcW w:w="2302" w:type="dxa"/>
          </w:tcPr>
          <w:p w:rsidR="00E52759" w:rsidRDefault="00E52759" w:rsidP="00FA51F6">
            <w:pPr>
              <w:cnfStyle w:val="000000100000"/>
            </w:pPr>
            <w:r>
              <w:t>14,90 USD</w:t>
            </w:r>
          </w:p>
        </w:tc>
        <w:tc>
          <w:tcPr>
            <w:tcW w:w="2303" w:type="dxa"/>
          </w:tcPr>
          <w:p w:rsidR="00E52759" w:rsidRDefault="00E52759" w:rsidP="00FA51F6">
            <w:pPr>
              <w:cnfStyle w:val="000000100000"/>
            </w:pPr>
            <w:r>
              <w:t>16,90 EUR</w:t>
            </w:r>
          </w:p>
        </w:tc>
        <w:tc>
          <w:tcPr>
            <w:tcW w:w="2303" w:type="dxa"/>
          </w:tcPr>
          <w:p w:rsidR="00E52759" w:rsidRDefault="00E52759" w:rsidP="00FA51F6">
            <w:pPr>
              <w:cnfStyle w:val="000000100000"/>
            </w:pPr>
            <w:r>
              <w:t>44,90 CAD</w:t>
            </w:r>
          </w:p>
        </w:tc>
      </w:tr>
      <w:tr w:rsidR="00E52759" w:rsidTr="00E977AA">
        <w:tc>
          <w:tcPr>
            <w:cnfStyle w:val="001000000000"/>
            <w:tcW w:w="2302" w:type="dxa"/>
            <w:tcBorders>
              <w:left w:val="none" w:sz="0" w:space="0" w:color="auto"/>
              <w:bottom w:val="none" w:sz="0" w:space="0" w:color="auto"/>
              <w:right w:val="none" w:sz="0" w:space="0" w:color="auto"/>
            </w:tcBorders>
          </w:tcPr>
          <w:p w:rsidR="00E52759" w:rsidRDefault="00E52759" w:rsidP="00FA51F6">
            <w:r>
              <w:t>Nad 300.000 CZK</w:t>
            </w:r>
          </w:p>
        </w:tc>
        <w:tc>
          <w:tcPr>
            <w:tcW w:w="2302" w:type="dxa"/>
          </w:tcPr>
          <w:p w:rsidR="00E52759" w:rsidRDefault="00E52759" w:rsidP="00FA51F6">
            <w:pPr>
              <w:cnfStyle w:val="000000000000"/>
            </w:pPr>
            <w:r>
              <w:t>4,90 USD+ 0,10%</w:t>
            </w:r>
          </w:p>
        </w:tc>
        <w:tc>
          <w:tcPr>
            <w:tcW w:w="2303" w:type="dxa"/>
          </w:tcPr>
          <w:p w:rsidR="00E52759" w:rsidRDefault="00E52759" w:rsidP="00FA51F6">
            <w:pPr>
              <w:cnfStyle w:val="000000000000"/>
            </w:pPr>
            <w:r>
              <w:t>6,90 EUR +0,15%</w:t>
            </w:r>
          </w:p>
        </w:tc>
        <w:tc>
          <w:tcPr>
            <w:tcW w:w="2303" w:type="dxa"/>
          </w:tcPr>
          <w:p w:rsidR="00E52759" w:rsidRDefault="00E52759" w:rsidP="00FA51F6">
            <w:pPr>
              <w:cnfStyle w:val="000000000000"/>
            </w:pPr>
            <w:r>
              <w:t>29,90CAD + 0,30 %</w:t>
            </w:r>
          </w:p>
        </w:tc>
      </w:tr>
    </w:tbl>
    <w:p w:rsidR="00E52759" w:rsidRPr="00EF5AB2" w:rsidRDefault="00E52759" w:rsidP="00E52759">
      <w:pPr>
        <w:spacing w:line="360" w:lineRule="auto"/>
        <w:jc w:val="center"/>
      </w:pPr>
      <w:r>
        <w:t xml:space="preserve">Zdroj: vlastní zpracování dle údajů </w:t>
      </w:r>
      <w:r w:rsidR="00A07E35">
        <w:t xml:space="preserve">Sazebník poplatků. </w:t>
      </w:r>
      <w:r w:rsidR="00A07E35">
        <w:rPr>
          <w:i/>
          <w:iCs/>
        </w:rPr>
        <w:t>Patria Direct</w:t>
      </w:r>
      <w:r w:rsidR="00A07E35">
        <w:t xml:space="preserve"> [online]. 2014 [cit. 2014-03-26]. Dostupné z: https://cdn.patria-direct.cz/Sazebnik-PD.pdf</w:t>
      </w:r>
    </w:p>
    <w:p w:rsidR="00371136" w:rsidRDefault="00371136" w:rsidP="006274C8">
      <w:pPr>
        <w:pStyle w:val="Nadpis3"/>
        <w:numPr>
          <w:ilvl w:val="3"/>
          <w:numId w:val="10"/>
        </w:numPr>
        <w:spacing w:after="0" w:line="360" w:lineRule="auto"/>
        <w:rPr>
          <w:sz w:val="24"/>
        </w:rPr>
      </w:pPr>
      <w:bookmarkStart w:id="70" w:name="_Toc386146013"/>
      <w:r w:rsidRPr="008B2537">
        <w:rPr>
          <w:sz w:val="24"/>
        </w:rPr>
        <w:t>V</w:t>
      </w:r>
      <w:r w:rsidR="00940EC8">
        <w:rPr>
          <w:sz w:val="24"/>
        </w:rPr>
        <w:t xml:space="preserve">olba </w:t>
      </w:r>
      <w:r w:rsidRPr="008B2537">
        <w:rPr>
          <w:sz w:val="24"/>
        </w:rPr>
        <w:t>obchodníka s cennými papíry</w:t>
      </w:r>
      <w:bookmarkEnd w:id="70"/>
      <w:r w:rsidRPr="008B2537">
        <w:rPr>
          <w:sz w:val="24"/>
        </w:rPr>
        <w:tab/>
      </w:r>
    </w:p>
    <w:p w:rsidR="006274C8" w:rsidRDefault="006274C8" w:rsidP="006274C8">
      <w:pPr>
        <w:spacing w:line="360" w:lineRule="auto"/>
      </w:pPr>
      <w:r>
        <w:t xml:space="preserve">Všichni výše zmínění obchodníci s cennými papíry umožňují přístup na zahraniční burzy, kde jsou aktivně obchodována ETFs. Při výběru obchodníka s cennými papíry záleží především na preferencích investora, </w:t>
      </w:r>
      <w:proofErr w:type="gramStart"/>
      <w:r>
        <w:t>tedy na</w:t>
      </w:r>
      <w:proofErr w:type="gramEnd"/>
      <w:r>
        <w:t xml:space="preserve"> který trh chce mít přístup, jaké požaduje od obchodníka služby a jaké je ochoten akceptovat poplatky. </w:t>
      </w:r>
    </w:p>
    <w:p w:rsidR="006274C8" w:rsidRDefault="006274C8" w:rsidP="006274C8">
      <w:pPr>
        <w:spacing w:line="360" w:lineRule="auto"/>
      </w:pPr>
      <w:r>
        <w:t>Pokud by měl investor zájem o obchodování ETFs</w:t>
      </w:r>
      <w:r w:rsidR="001C3A7A">
        <w:t xml:space="preserve"> a</w:t>
      </w:r>
      <w:r>
        <w:t xml:space="preserve"> akcií nejen na americké a německé burze, ale i na dalších zahraničních burzách, pak je třeba sledovat, na které trhy má který obchodník přístup. Z výše uvedeného výčtu má nejširší nabídku Patria Direct. </w:t>
      </w:r>
    </w:p>
    <w:p w:rsidR="006274C8" w:rsidRDefault="006274C8" w:rsidP="006274C8">
      <w:pPr>
        <w:spacing w:line="360" w:lineRule="auto"/>
      </w:pPr>
      <w:r>
        <w:lastRenderedPageBreak/>
        <w:t>Dalším aspektem, který může mít při rozhodování význam, je možnost osobního kontaktu s kompetentními pracovníky, někteří investoři upřednostňují osobní kontakt před telefonickým, rozhodují se tedy dle dostupnosti pobočkové sítě. Z tohoto pohledu se jeví jako vhodní zejména BrokerJet, Patria Direct, nebo Fio banka, a.s.</w:t>
      </w:r>
    </w:p>
    <w:p w:rsidR="006274C8" w:rsidRDefault="006274C8" w:rsidP="006274C8">
      <w:pPr>
        <w:spacing w:line="360" w:lineRule="auto"/>
      </w:pPr>
      <w:r>
        <w:t xml:space="preserve">V neposlední řadě je samozřejmě zapotřebí sledovat výši poplatků spojených s investicí, tedy nákupem či prodejem investičního instrumentu. Z výše uvedeného vyplývá, že z tohoto pohledu při částkách zhruba do 300.000 CZK je vhodným obchodníkem Fio banka, a.s. pro trh USA a X-Trade Brokers pro německý trh. </w:t>
      </w:r>
    </w:p>
    <w:p w:rsidR="00894BE8" w:rsidRDefault="00A1654E" w:rsidP="00894BE8">
      <w:pPr>
        <w:spacing w:line="360" w:lineRule="auto"/>
      </w:pPr>
      <w:r>
        <w:t xml:space="preserve">Osobně bych zvolila obchodníka Fio banka, a.s., jakožto drobný investor neočekávám, že bych chtěla investovat </w:t>
      </w:r>
      <w:r w:rsidR="007E5078">
        <w:t xml:space="preserve">vyšší částky, z hlediska poplatků se mi tedy tento obchodník zamlouvá nejvíce. Také relativně rozšířená síť kontaktních míst je pro klienty přívětivá, jako pozitivní hodnotím také možnost rozšíření znalostí prostřednictvím jejich seminářů a využívání informací od makléřů této společnosti. </w:t>
      </w:r>
    </w:p>
    <w:p w:rsidR="001C3A7A" w:rsidRDefault="001C3A7A" w:rsidP="006274C8">
      <w:pPr>
        <w:pStyle w:val="Nadpis1"/>
        <w:jc w:val="both"/>
        <w:sectPr w:rsidR="001C3A7A" w:rsidSect="008A5AD0">
          <w:pgSz w:w="11906" w:h="16838"/>
          <w:pgMar w:top="1418" w:right="851" w:bottom="1134" w:left="1985" w:header="709" w:footer="709" w:gutter="0"/>
          <w:cols w:space="708"/>
          <w:docGrid w:linePitch="360"/>
        </w:sectPr>
      </w:pPr>
    </w:p>
    <w:p w:rsidR="00AF399C" w:rsidRPr="00CC6A6C" w:rsidRDefault="00AF399C" w:rsidP="000B447C">
      <w:pPr>
        <w:pStyle w:val="Nadpis1"/>
        <w:spacing w:before="0"/>
      </w:pPr>
      <w:bookmarkStart w:id="71" w:name="_Toc386146014"/>
      <w:r w:rsidRPr="00CC6A6C">
        <w:lastRenderedPageBreak/>
        <w:t>APLIKACE ZJIŠTĚNÝCH POZNATKŮ NA KONKRÉTNÍCH TYPECH FONDŮ A NÁSLEDNÁ KOMPARACE</w:t>
      </w:r>
      <w:bookmarkEnd w:id="71"/>
    </w:p>
    <w:p w:rsidR="00AF399C" w:rsidRPr="004246B8" w:rsidRDefault="00AF399C" w:rsidP="001904E3">
      <w:pPr>
        <w:spacing w:before="0" w:after="240" w:line="360" w:lineRule="auto"/>
        <w:rPr>
          <w:szCs w:val="24"/>
        </w:rPr>
      </w:pPr>
      <w:r w:rsidRPr="004246B8">
        <w:rPr>
          <w:szCs w:val="24"/>
        </w:rPr>
        <w:t xml:space="preserve">Závěrečná část této práce bude věnována již konkrétním produktům vybraných typů fondů. Společným rysem těchto produktů bude, že podkladovým aktivem je vybraný index. Hodnocení těchto investičních nástrojů poté bude provedeno z několika hledisek. </w:t>
      </w:r>
    </w:p>
    <w:p w:rsidR="00AF399C" w:rsidRPr="00BE4631" w:rsidRDefault="00AF399C" w:rsidP="00371136">
      <w:pPr>
        <w:pStyle w:val="Nadpis2"/>
        <w:rPr>
          <w:sz w:val="24"/>
        </w:rPr>
      </w:pPr>
      <w:bookmarkStart w:id="72" w:name="_Toc386146015"/>
      <w:r w:rsidRPr="00BE4631">
        <w:rPr>
          <w:sz w:val="24"/>
        </w:rPr>
        <w:t>Charakteristika vybraných ukazatelů</w:t>
      </w:r>
      <w:bookmarkEnd w:id="72"/>
    </w:p>
    <w:p w:rsidR="00AF399C" w:rsidRPr="004246B8" w:rsidRDefault="00AF399C" w:rsidP="00AF399C">
      <w:pPr>
        <w:spacing w:before="240" w:after="240" w:line="360" w:lineRule="auto"/>
        <w:ind w:left="-6"/>
        <w:rPr>
          <w:b/>
          <w:szCs w:val="24"/>
        </w:rPr>
      </w:pPr>
      <w:r w:rsidRPr="004246B8">
        <w:rPr>
          <w:szCs w:val="24"/>
        </w:rPr>
        <w:t xml:space="preserve">Aby bylo možné konkrétní investiční nástroje vzájemně srovnávat, je zapotřebí si předem vymezit ukazatele, které budou pro tyto účely využívány. </w:t>
      </w:r>
      <w:r w:rsidR="001F28C7">
        <w:rPr>
          <w:szCs w:val="24"/>
        </w:rPr>
        <w:t>Nejdříve proto určím</w:t>
      </w:r>
      <w:r>
        <w:rPr>
          <w:szCs w:val="24"/>
        </w:rPr>
        <w:t xml:space="preserve"> indikátory</w:t>
      </w:r>
      <w:r w:rsidRPr="004246B8">
        <w:rPr>
          <w:szCs w:val="24"/>
        </w:rPr>
        <w:t>, které využiji pro hodnocení vybraných produktů fondů kolektivního investování</w:t>
      </w:r>
    </w:p>
    <w:p w:rsidR="00AF399C" w:rsidRPr="00BE4631" w:rsidRDefault="00AF399C" w:rsidP="00371136">
      <w:pPr>
        <w:pStyle w:val="Nadpis3"/>
        <w:rPr>
          <w:sz w:val="24"/>
        </w:rPr>
      </w:pPr>
      <w:r w:rsidRPr="00BE4631">
        <w:rPr>
          <w:sz w:val="24"/>
        </w:rPr>
        <w:t xml:space="preserve"> </w:t>
      </w:r>
      <w:bookmarkStart w:id="73" w:name="_Toc386146016"/>
      <w:r w:rsidRPr="00BE4631">
        <w:rPr>
          <w:sz w:val="24"/>
        </w:rPr>
        <w:t>Výnosnost produktu</w:t>
      </w:r>
      <w:bookmarkEnd w:id="73"/>
    </w:p>
    <w:p w:rsidR="00AF399C" w:rsidRPr="004246B8" w:rsidRDefault="00AF399C" w:rsidP="00AF399C">
      <w:pPr>
        <w:spacing w:after="240" w:line="360" w:lineRule="auto"/>
        <w:rPr>
          <w:szCs w:val="24"/>
        </w:rPr>
      </w:pPr>
      <w:r w:rsidRPr="004246B8">
        <w:rPr>
          <w:szCs w:val="24"/>
        </w:rPr>
        <w:t xml:space="preserve">Prvním výchozím ukazatelem, který bude následně sloužit i pro následující výpočty, je výnosnost daného produktu. Při výpočtu tohoto ukazatele budu vycházet z historických dat, tedy skutečných kurzů či cen daných produktů, bude se jednat o ex post výnos. Výpočet ročního výnosu </w:t>
      </w:r>
      <w:r w:rsidRPr="004246B8">
        <w:rPr>
          <w:i/>
          <w:szCs w:val="24"/>
        </w:rPr>
        <w:t>r</w:t>
      </w:r>
      <w:r w:rsidRPr="004246B8">
        <w:rPr>
          <w:szCs w:val="24"/>
        </w:rPr>
        <w:t xml:space="preserve"> bude probíhat dle následujícího vzorce</w:t>
      </w:r>
      <w:r w:rsidR="001F28C7">
        <w:rPr>
          <w:szCs w:val="24"/>
        </w:rPr>
        <w:t xml:space="preserve"> č. 8</w:t>
      </w:r>
      <w:r w:rsidRPr="004246B8">
        <w:rPr>
          <w:szCs w:val="24"/>
        </w:rPr>
        <w:t xml:space="preserve">: </w:t>
      </w:r>
    </w:p>
    <w:p w:rsidR="00AF399C" w:rsidRPr="001B7C40" w:rsidRDefault="00275BAD" w:rsidP="001B7C40">
      <w:pPr>
        <w:spacing w:after="240"/>
        <w:jc w:val="left"/>
        <w:rPr>
          <w:szCs w:val="24"/>
        </w:rPr>
      </w:pPr>
      <w:r w:rsidRPr="001B7C40">
        <w:rPr>
          <w:rFonts w:eastAsiaTheme="minorEastAsia"/>
          <w:iCs/>
          <w:szCs w:val="24"/>
        </w:rPr>
        <w:tab/>
      </w:r>
      <w:r w:rsidRPr="001B7C40">
        <w:rPr>
          <w:rFonts w:eastAsiaTheme="minorEastAsia"/>
          <w:iCs/>
          <w:szCs w:val="24"/>
        </w:rPr>
        <w:tab/>
      </w:r>
      <w:r w:rsidRPr="001B7C40">
        <w:rPr>
          <w:rFonts w:eastAsiaTheme="minorEastAsia"/>
          <w:iCs/>
          <w:szCs w:val="24"/>
        </w:rPr>
        <w:tab/>
      </w:r>
      <w:r w:rsidRPr="001B7C40">
        <w:rPr>
          <w:rFonts w:eastAsiaTheme="minorEastAsia"/>
          <w:iCs/>
          <w:szCs w:val="24"/>
        </w:rPr>
        <w:tab/>
      </w:r>
      <w:r w:rsidRPr="001B7C40">
        <w:rPr>
          <w:rFonts w:eastAsiaTheme="minorEastAsia"/>
          <w:iCs/>
          <w:szCs w:val="24"/>
        </w:rPr>
        <w:tab/>
      </w:r>
      <w:r w:rsidRPr="001B7C40">
        <w:rPr>
          <w:rFonts w:eastAsiaTheme="minorEastAsia"/>
          <w:iCs/>
          <w:szCs w:val="24"/>
        </w:rPr>
        <w:tab/>
      </w:r>
      <m:oMath>
        <m:r>
          <w:rPr>
            <w:rFonts w:ascii="Cambria Math" w:hAnsi="Cambria Math"/>
            <w:szCs w:val="24"/>
          </w:rPr>
          <m:t>r</m:t>
        </m:r>
        <m:r>
          <w:rPr>
            <w:rFonts w:asci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P</m:t>
                </m:r>
              </m:e>
              <m:sub>
                <m:r>
                  <w:rPr>
                    <w:rFonts w:ascii="Cambria Math"/>
                    <w:szCs w:val="24"/>
                  </w:rPr>
                  <m:t>1</m:t>
                </m:r>
              </m:sub>
            </m:sSub>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P</m:t>
                </m:r>
              </m:e>
              <m:sub>
                <m:r>
                  <w:rPr>
                    <w:rFonts w:ascii="Cambria Math"/>
                    <w:szCs w:val="24"/>
                  </w:rPr>
                  <m:t>0</m:t>
                </m:r>
              </m:sub>
            </m:sSub>
          </m:num>
          <m:den>
            <m:sSub>
              <m:sSubPr>
                <m:ctrlPr>
                  <w:rPr>
                    <w:rFonts w:ascii="Cambria Math" w:hAnsi="Cambria Math"/>
                    <w:i/>
                    <w:szCs w:val="24"/>
                  </w:rPr>
                </m:ctrlPr>
              </m:sSubPr>
              <m:e>
                <m:r>
                  <w:rPr>
                    <w:rFonts w:ascii="Cambria Math" w:hAnsi="Cambria Math"/>
                    <w:szCs w:val="24"/>
                  </w:rPr>
                  <m:t>P</m:t>
                </m:r>
              </m:e>
              <m:sub>
                <m:r>
                  <w:rPr>
                    <w:rFonts w:ascii="Cambria Math"/>
                    <w:szCs w:val="24"/>
                  </w:rPr>
                  <m:t>0</m:t>
                </m:r>
              </m:sub>
            </m:sSub>
          </m:den>
        </m:f>
      </m:oMath>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Style w:val="null"/>
        </w:rPr>
        <w:t>[8]</w:t>
      </w:r>
    </w:p>
    <w:p w:rsidR="00AF399C" w:rsidRPr="004246B8" w:rsidRDefault="00AF399C" w:rsidP="00BE4631">
      <w:pPr>
        <w:spacing w:before="0" w:after="0" w:line="240" w:lineRule="auto"/>
        <w:rPr>
          <w:i/>
          <w:szCs w:val="24"/>
        </w:rPr>
      </w:pPr>
      <w:r w:rsidRPr="004246B8">
        <w:rPr>
          <w:i/>
          <w:szCs w:val="24"/>
        </w:rPr>
        <w:t xml:space="preserve">r………. </w:t>
      </w:r>
      <w:proofErr w:type="gramStart"/>
      <w:r w:rsidRPr="004246B8">
        <w:rPr>
          <w:i/>
          <w:szCs w:val="24"/>
        </w:rPr>
        <w:t>výnos</w:t>
      </w:r>
      <w:proofErr w:type="gramEnd"/>
      <w:r w:rsidRPr="004246B8">
        <w:rPr>
          <w:i/>
          <w:szCs w:val="24"/>
        </w:rPr>
        <w:t xml:space="preserve"> </w:t>
      </w:r>
    </w:p>
    <w:p w:rsidR="00AF399C" w:rsidRPr="004246B8" w:rsidRDefault="00AF399C" w:rsidP="00BE4631">
      <w:pPr>
        <w:spacing w:before="0" w:after="0" w:line="240" w:lineRule="auto"/>
        <w:rPr>
          <w:i/>
          <w:szCs w:val="24"/>
        </w:rPr>
      </w:pPr>
      <w:r w:rsidRPr="004246B8">
        <w:rPr>
          <w:i/>
          <w:szCs w:val="24"/>
        </w:rPr>
        <w:t>P</w:t>
      </w:r>
      <w:r w:rsidRPr="004246B8">
        <w:rPr>
          <w:i/>
          <w:szCs w:val="24"/>
          <w:vertAlign w:val="subscript"/>
        </w:rPr>
        <w:t>1</w:t>
      </w:r>
      <w:r w:rsidRPr="004246B8">
        <w:rPr>
          <w:i/>
          <w:szCs w:val="24"/>
        </w:rPr>
        <w:t xml:space="preserve">……… hodnota produktu na konci období </w:t>
      </w:r>
    </w:p>
    <w:p w:rsidR="00AF399C" w:rsidRPr="004246B8" w:rsidRDefault="00AF399C" w:rsidP="00BE4631">
      <w:pPr>
        <w:spacing w:before="0" w:after="0" w:line="240" w:lineRule="auto"/>
        <w:rPr>
          <w:i/>
          <w:szCs w:val="24"/>
        </w:rPr>
      </w:pPr>
      <w:r w:rsidRPr="004246B8">
        <w:rPr>
          <w:i/>
          <w:szCs w:val="24"/>
        </w:rPr>
        <w:t>P</w:t>
      </w:r>
      <w:r w:rsidRPr="004246B8">
        <w:rPr>
          <w:i/>
          <w:szCs w:val="24"/>
          <w:vertAlign w:val="subscript"/>
        </w:rPr>
        <w:t>0</w:t>
      </w:r>
      <w:r w:rsidRPr="004246B8">
        <w:rPr>
          <w:i/>
          <w:szCs w:val="24"/>
        </w:rPr>
        <w:t>……… hodnota produktu na počátku období</w:t>
      </w:r>
    </w:p>
    <w:p w:rsidR="00AF399C" w:rsidRPr="004246B8" w:rsidRDefault="00AF399C" w:rsidP="001904E3">
      <w:pPr>
        <w:spacing w:before="0" w:after="0" w:line="360" w:lineRule="auto"/>
        <w:rPr>
          <w:i/>
          <w:szCs w:val="24"/>
        </w:rPr>
      </w:pPr>
    </w:p>
    <w:p w:rsidR="00AF399C" w:rsidRPr="004246B8" w:rsidRDefault="00AF399C" w:rsidP="00AF399C">
      <w:pPr>
        <w:spacing w:line="360" w:lineRule="auto"/>
        <w:rPr>
          <w:szCs w:val="24"/>
        </w:rPr>
      </w:pPr>
      <w:r w:rsidRPr="004246B8">
        <w:rPr>
          <w:szCs w:val="24"/>
        </w:rPr>
        <w:t>Samotný výnos není však dostatečným hodnoticím kritériem, jedná se pouze o mezikrok výpočtu ke zjištění průměrné výnosové míry, která nám poté bude sloužit i k dalším propočtům. Výpočet bude probíhat dle následujícího vzorce:</w:t>
      </w:r>
    </w:p>
    <w:p w:rsidR="00AF399C" w:rsidRPr="001B7C40" w:rsidRDefault="00275BAD" w:rsidP="001B7C40">
      <w:pPr>
        <w:spacing w:before="240"/>
        <w:jc w:val="left"/>
        <w:rPr>
          <w:szCs w:val="24"/>
        </w:rPr>
      </w:pP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m:oMath>
        <m:acc>
          <m:accPr>
            <m:chr m:val="̅"/>
            <m:ctrlPr>
              <w:rPr>
                <w:rFonts w:ascii="Cambria Math" w:hAnsi="Cambria Math"/>
                <w:i/>
                <w:szCs w:val="24"/>
              </w:rPr>
            </m:ctrlPr>
          </m:accPr>
          <m:e>
            <m:r>
              <w:rPr>
                <w:rFonts w:ascii="Cambria Math" w:hAnsi="Cambria Math"/>
                <w:szCs w:val="24"/>
              </w:rPr>
              <m:t>r</m:t>
            </m:r>
          </m:e>
        </m:acc>
        <m:r>
          <w:rPr>
            <w:rFonts w:ascii="Cambria Math" w:hAnsi="Cambria Math"/>
            <w:szCs w:val="24"/>
          </w:rPr>
          <m:t xml:space="preserve">= </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t</m:t>
                </m:r>
                <m:r>
                  <w:rPr>
                    <w:rFonts w:ascii="Cambria Math"/>
                    <w:szCs w:val="24"/>
                  </w:rPr>
                  <m:t>=1</m:t>
                </m:r>
              </m:sub>
              <m:sup>
                <m:r>
                  <w:rPr>
                    <w:rFonts w:ascii="Cambria Math" w:hAnsi="Cambria Math"/>
                    <w:szCs w:val="24"/>
                  </w:rPr>
                  <m:t>T</m:t>
                </m:r>
              </m:sup>
              <m:e>
                <m:sSub>
                  <m:sSubPr>
                    <m:ctrlPr>
                      <w:rPr>
                        <w:rFonts w:ascii="Cambria Math" w:hAnsi="Cambria Math"/>
                        <w:i/>
                        <w:szCs w:val="24"/>
                      </w:rPr>
                    </m:ctrlPr>
                  </m:sSubPr>
                  <m:e>
                    <m:r>
                      <w:rPr>
                        <w:rFonts w:ascii="Cambria Math" w:hAnsi="Cambria Math"/>
                        <w:szCs w:val="24"/>
                      </w:rPr>
                      <m:t>r</m:t>
                    </m:r>
                  </m:e>
                  <m:sub>
                    <m:r>
                      <w:rPr>
                        <w:rFonts w:ascii="Cambria Math" w:hAnsi="Cambria Math"/>
                        <w:szCs w:val="24"/>
                      </w:rPr>
                      <m:t>t</m:t>
                    </m:r>
                  </m:sub>
                </m:sSub>
              </m:e>
            </m:nary>
          </m:num>
          <m:den>
            <m:r>
              <w:rPr>
                <w:rFonts w:ascii="Cambria Math" w:hAnsi="Cambria Math"/>
                <w:szCs w:val="24"/>
              </w:rPr>
              <m:t>T</m:t>
            </m:r>
          </m:den>
        </m:f>
      </m:oMath>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Pr>
          <w:rStyle w:val="null"/>
        </w:rPr>
        <w:t>[9]</w:t>
      </w:r>
    </w:p>
    <w:p w:rsidR="00AF399C" w:rsidRPr="004246B8" w:rsidRDefault="008B79C7" w:rsidP="00BE4631">
      <w:pPr>
        <w:spacing w:before="0" w:after="0" w:line="240" w:lineRule="auto"/>
        <w:rPr>
          <w:i/>
          <w:szCs w:val="24"/>
        </w:rPr>
      </w:pPr>
      <m:oMath>
        <m:acc>
          <m:accPr>
            <m:chr m:val="̅"/>
            <m:ctrlPr>
              <w:rPr>
                <w:rFonts w:ascii="Cambria Math" w:hAnsi="Cambria Math"/>
                <w:i/>
                <w:szCs w:val="24"/>
              </w:rPr>
            </m:ctrlPr>
          </m:accPr>
          <m:e>
            <m:r>
              <w:rPr>
                <w:rFonts w:ascii="Cambria Math" w:hAnsi="Cambria Math"/>
                <w:szCs w:val="24"/>
              </w:rPr>
              <m:t>r</m:t>
            </m:r>
          </m:e>
        </m:acc>
      </m:oMath>
      <w:r w:rsidR="00AF399C" w:rsidRPr="004246B8">
        <w:rPr>
          <w:i/>
          <w:szCs w:val="24"/>
        </w:rPr>
        <w:t>…… průměrná roční výnosová míra ex post</w:t>
      </w:r>
    </w:p>
    <w:p w:rsidR="00AF399C" w:rsidRPr="004246B8" w:rsidRDefault="00AF399C" w:rsidP="00BE4631">
      <w:pPr>
        <w:spacing w:before="0" w:after="0" w:line="240" w:lineRule="auto"/>
        <w:rPr>
          <w:i/>
          <w:szCs w:val="24"/>
        </w:rPr>
      </w:pPr>
      <w:r w:rsidRPr="004246B8">
        <w:rPr>
          <w:i/>
          <w:szCs w:val="24"/>
        </w:rPr>
        <w:t>r</w:t>
      </w:r>
      <w:r w:rsidRPr="004246B8">
        <w:rPr>
          <w:i/>
          <w:szCs w:val="24"/>
          <w:vertAlign w:val="subscript"/>
        </w:rPr>
        <w:t>t</w:t>
      </w:r>
      <w:r w:rsidRPr="004246B8">
        <w:rPr>
          <w:i/>
          <w:szCs w:val="24"/>
        </w:rPr>
        <w:t>…… výnosová míra v jednotlivých obdobích</w:t>
      </w:r>
    </w:p>
    <w:p w:rsidR="00AF399C" w:rsidRPr="004246B8" w:rsidRDefault="00AF399C" w:rsidP="00BE4631">
      <w:pPr>
        <w:spacing w:before="0" w:after="0" w:line="240" w:lineRule="auto"/>
        <w:rPr>
          <w:i/>
          <w:szCs w:val="24"/>
        </w:rPr>
      </w:pPr>
      <w:r w:rsidRPr="004246B8">
        <w:rPr>
          <w:i/>
          <w:szCs w:val="24"/>
        </w:rPr>
        <w:t>T</w:t>
      </w:r>
      <w:proofErr w:type="gramStart"/>
      <w:r w:rsidRPr="004246B8">
        <w:rPr>
          <w:i/>
          <w:szCs w:val="24"/>
        </w:rPr>
        <w:t>….. počet</w:t>
      </w:r>
      <w:proofErr w:type="gramEnd"/>
      <w:r w:rsidRPr="004246B8">
        <w:rPr>
          <w:i/>
          <w:szCs w:val="24"/>
        </w:rPr>
        <w:t xml:space="preserve"> sledovaných období</w:t>
      </w:r>
    </w:p>
    <w:p w:rsidR="001F28C7" w:rsidRDefault="001F28C7" w:rsidP="001904E3">
      <w:pPr>
        <w:spacing w:before="0" w:after="0" w:line="360" w:lineRule="auto"/>
        <w:rPr>
          <w:szCs w:val="24"/>
        </w:rPr>
      </w:pPr>
    </w:p>
    <w:p w:rsidR="00AF399C" w:rsidRPr="004246B8" w:rsidRDefault="00AF399C" w:rsidP="001904E3">
      <w:pPr>
        <w:spacing w:before="0" w:after="0" w:line="360" w:lineRule="auto"/>
        <w:rPr>
          <w:szCs w:val="24"/>
        </w:rPr>
      </w:pPr>
      <w:r w:rsidRPr="004246B8">
        <w:rPr>
          <w:szCs w:val="24"/>
        </w:rPr>
        <w:t xml:space="preserve">Ani hodnota průměrné výnosové míry nám však nedává dostatečný obrázek o daném produktu. Pomocí tohoto ukazatele jsme sice schopni </w:t>
      </w:r>
      <w:proofErr w:type="gramStart"/>
      <w:r w:rsidRPr="004246B8">
        <w:rPr>
          <w:szCs w:val="24"/>
        </w:rPr>
        <w:t>určit,  zda</w:t>
      </w:r>
      <w:proofErr w:type="gramEnd"/>
      <w:r w:rsidRPr="004246B8">
        <w:rPr>
          <w:szCs w:val="24"/>
        </w:rPr>
        <w:t xml:space="preserve"> a v jaké míře byl ziskový, </w:t>
      </w:r>
      <w:r w:rsidRPr="004246B8">
        <w:rPr>
          <w:szCs w:val="24"/>
        </w:rPr>
        <w:lastRenderedPageBreak/>
        <w:t>můžeme z tohoto ukazatele vycházet, pokud se snažíme určit očekávanou výnosovou míru do budoucna</w:t>
      </w:r>
      <w:r w:rsidRPr="004246B8">
        <w:rPr>
          <w:rStyle w:val="Znakapoznpodarou"/>
          <w:szCs w:val="24"/>
        </w:rPr>
        <w:footnoteReference w:id="74"/>
      </w:r>
      <w:r w:rsidRPr="004246B8">
        <w:rPr>
          <w:szCs w:val="24"/>
        </w:rPr>
        <w:t xml:space="preserve">. </w:t>
      </w:r>
    </w:p>
    <w:p w:rsidR="00AF399C" w:rsidRPr="004246B8" w:rsidRDefault="00AF399C" w:rsidP="00AF399C">
      <w:pPr>
        <w:spacing w:before="240" w:after="240" w:line="360" w:lineRule="auto"/>
        <w:rPr>
          <w:szCs w:val="24"/>
        </w:rPr>
      </w:pPr>
      <w:r>
        <w:rPr>
          <w:szCs w:val="24"/>
        </w:rPr>
        <w:t>Výše uvedený vzorec</w:t>
      </w:r>
      <w:r w:rsidR="00C6366E">
        <w:rPr>
          <w:szCs w:val="24"/>
        </w:rPr>
        <w:t xml:space="preserve"> č. 9</w:t>
      </w:r>
      <w:r>
        <w:rPr>
          <w:szCs w:val="24"/>
        </w:rPr>
        <w:t xml:space="preserve"> slouží pouze k výpočtu tzv. </w:t>
      </w:r>
      <w:r w:rsidR="00C6366E">
        <w:rPr>
          <w:szCs w:val="24"/>
        </w:rPr>
        <w:t xml:space="preserve">průměrného </w:t>
      </w:r>
      <w:r>
        <w:rPr>
          <w:szCs w:val="24"/>
        </w:rPr>
        <w:t>hrubého výnos</w:t>
      </w:r>
      <w:r w:rsidR="00C6366E">
        <w:rPr>
          <w:szCs w:val="24"/>
        </w:rPr>
        <w:t>u</w:t>
      </w:r>
      <w:r>
        <w:rPr>
          <w:szCs w:val="24"/>
        </w:rPr>
        <w:t>. Pro získání čistého</w:t>
      </w:r>
      <w:r w:rsidRPr="004246B8">
        <w:rPr>
          <w:szCs w:val="24"/>
        </w:rPr>
        <w:t xml:space="preserve"> výnosu produktu je třeba brát v úvahu také daňové náklady spojené s investicí, transakční náklady</w:t>
      </w:r>
      <w:r>
        <w:rPr>
          <w:szCs w:val="24"/>
        </w:rPr>
        <w:t>, poplatky</w:t>
      </w:r>
      <w:r w:rsidRPr="004246B8">
        <w:rPr>
          <w:szCs w:val="24"/>
        </w:rPr>
        <w:t xml:space="preserve"> a případné důchodové platby, pokud jsou s tímto instrumentem spojeny. </w:t>
      </w:r>
      <w:r>
        <w:rPr>
          <w:szCs w:val="24"/>
        </w:rPr>
        <w:t xml:space="preserve">Intuitivně, veškeré náklady spojené s investicí, budou snižovat výnosnost produktu, případné průběžné výnosy budou očekávanou výnosnost zvyšovat. Při porovnávání produktů je mimo jiné také zapotřebí zkoumat, zda jsou dividendy reinvestovány v rámci fondu, nebo zda jsou vypláceny průběžné důchodové platby. Pokud jsou průběžné výnosy reinvestovány, zvyšuje se tím samozřejmě také aktuální hodnota daného cenného papíru. </w:t>
      </w:r>
    </w:p>
    <w:p w:rsidR="00AF399C" w:rsidRPr="00CC6A6C" w:rsidRDefault="00AF399C" w:rsidP="00371136">
      <w:pPr>
        <w:pStyle w:val="Nadpis3"/>
      </w:pPr>
      <w:r w:rsidRPr="00CC6A6C">
        <w:t xml:space="preserve"> </w:t>
      </w:r>
      <w:bookmarkStart w:id="74" w:name="_Toc386146017"/>
      <w:r w:rsidRPr="00CC6A6C">
        <w:t>Rizikovost produktu</w:t>
      </w:r>
      <w:bookmarkEnd w:id="74"/>
    </w:p>
    <w:p w:rsidR="00AF399C" w:rsidRPr="004246B8" w:rsidRDefault="00AF399C" w:rsidP="00AF399C">
      <w:pPr>
        <w:spacing w:after="240" w:line="360" w:lineRule="auto"/>
        <w:rPr>
          <w:szCs w:val="24"/>
        </w:rPr>
      </w:pPr>
      <w:r w:rsidRPr="004246B8">
        <w:rPr>
          <w:szCs w:val="24"/>
        </w:rPr>
        <w:t>Riziko lze definovat jako míru nejistoty spojenou s investicí do konkrétního cenného papíru. Ačkoli většina lidí chápe riziko jako čistě negativní záležitost, v tomto případě míra rizika určuje možnost odchýlení reálné hodnoty cenného papíru od očekávané hodnoty, ať již v pozitivním, či negativním smyslu. K hodnocení rizikovosti produktu lze přistupovat jednak ze subjektivního hlediska, kdy záleží na pocitech a zkušenostech daného investora, a jednak z objektivního hlediska, které vychází z reálných hodnot daných produktů. Při výpočtech rizikovosti produktů v následující části bude použito právě objektivní hledisko.</w:t>
      </w:r>
    </w:p>
    <w:p w:rsidR="00AF399C" w:rsidRPr="004246B8" w:rsidRDefault="00AF399C" w:rsidP="00AF399C">
      <w:pPr>
        <w:spacing w:after="240" w:line="360" w:lineRule="auto"/>
        <w:rPr>
          <w:szCs w:val="24"/>
        </w:rPr>
      </w:pPr>
      <w:r w:rsidRPr="004246B8">
        <w:rPr>
          <w:szCs w:val="24"/>
        </w:rPr>
        <w:t>Stejně jako při výpočtu míry výnosnosti budeme vycházet z reálných historických hodnot cenných papírů a budeme tedy počítat riziko ex post. Pro výpočet míry rizika jsou využívány veličiny rozptylu resp. směrodatné odchylky. Rozptyl lze vypočítat dle následujícího vzorce</w:t>
      </w:r>
      <w:r w:rsidR="00C6366E">
        <w:rPr>
          <w:szCs w:val="24"/>
        </w:rPr>
        <w:t xml:space="preserve"> </w:t>
      </w:r>
      <w:proofErr w:type="gramStart"/>
      <w:r w:rsidR="00C6366E">
        <w:rPr>
          <w:szCs w:val="24"/>
        </w:rPr>
        <w:t>č.10</w:t>
      </w:r>
      <w:proofErr w:type="gramEnd"/>
      <w:r w:rsidRPr="004246B8">
        <w:rPr>
          <w:szCs w:val="24"/>
        </w:rPr>
        <w:t>:</w:t>
      </w:r>
    </w:p>
    <w:p w:rsidR="00AF399C" w:rsidRPr="001B7C40" w:rsidRDefault="00275BAD" w:rsidP="001B7C40">
      <w:pPr>
        <w:jc w:val="left"/>
        <w:rPr>
          <w:szCs w:val="24"/>
        </w:rPr>
      </w:pP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m:oMath>
        <m:sSup>
          <m:sSupPr>
            <m:ctrlPr>
              <w:rPr>
                <w:rFonts w:ascii="Cambria Math" w:hAnsi="Cambria Math"/>
                <w:i/>
                <w:szCs w:val="24"/>
              </w:rPr>
            </m:ctrlPr>
          </m:sSupPr>
          <m:e>
            <m:r>
              <w:rPr>
                <w:rFonts w:ascii="Cambria Math" w:hAnsi="Cambria Math"/>
                <w:szCs w:val="24"/>
              </w:rPr>
              <m:t>σ</m:t>
            </m:r>
          </m:e>
          <m:sup>
            <m:r>
              <w:rPr>
                <w:rFonts w:ascii="Cambria Math"/>
                <w:szCs w:val="24"/>
              </w:rPr>
              <m:t>2</m:t>
            </m:r>
          </m:sup>
        </m:sSup>
        <m:r>
          <w:rPr>
            <w:rFonts w:ascii="Cambria Math"/>
            <w:szCs w:val="24"/>
          </w:rPr>
          <m:t xml:space="preserve">= </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t</m:t>
                </m:r>
                <m:r>
                  <w:rPr>
                    <w:rFonts w:ascii="Cambria Math"/>
                    <w:szCs w:val="24"/>
                  </w:rPr>
                  <m:t>=1</m:t>
                </m:r>
              </m:sub>
              <m:sup>
                <m:r>
                  <w:rPr>
                    <w:rFonts w:ascii="Cambria Math" w:hAnsi="Cambria Math"/>
                    <w:szCs w:val="24"/>
                  </w:rPr>
                  <m:t>T</m:t>
                </m:r>
              </m:sup>
              <m:e>
                <m:sSup>
                  <m:sSupPr>
                    <m:ctrlPr>
                      <w:rPr>
                        <w:rFonts w:ascii="Cambria Math" w:hAnsi="Cambria Math"/>
                        <w:i/>
                        <w:szCs w:val="24"/>
                      </w:rPr>
                    </m:ctrlPr>
                  </m:sSupPr>
                  <m:e>
                    <m:r>
                      <w:rPr>
                        <w:rFonts w:ascii="Cambria Math"/>
                        <w:szCs w:val="24"/>
                      </w:rPr>
                      <m:t>(</m:t>
                    </m:r>
                    <m:acc>
                      <m:accPr>
                        <m:chr m:val="̅"/>
                        <m:ctrlPr>
                          <w:rPr>
                            <w:rFonts w:ascii="Cambria Math" w:hAnsi="Cambria Math"/>
                            <w:i/>
                            <w:szCs w:val="24"/>
                          </w:rPr>
                        </m:ctrlPr>
                      </m:accPr>
                      <m:e>
                        <m:r>
                          <w:rPr>
                            <w:rFonts w:ascii="Cambria Math" w:hAnsi="Cambria Math"/>
                            <w:szCs w:val="24"/>
                          </w:rPr>
                          <m:t>r</m:t>
                        </m:r>
                      </m:e>
                    </m:acc>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t</m:t>
                        </m:r>
                      </m:sub>
                    </m:sSub>
                    <m:r>
                      <w:rPr>
                        <w:rFonts w:ascii="Cambria Math"/>
                        <w:szCs w:val="24"/>
                      </w:rPr>
                      <m:t>)</m:t>
                    </m:r>
                  </m:e>
                  <m:sup>
                    <m:r>
                      <w:rPr>
                        <w:rFonts w:ascii="Cambria Math"/>
                        <w:szCs w:val="24"/>
                      </w:rPr>
                      <m:t>2</m:t>
                    </m:r>
                  </m:sup>
                </m:sSup>
              </m:e>
            </m:nary>
          </m:num>
          <m:den>
            <m:r>
              <w:rPr>
                <w:rFonts w:ascii="Cambria Math" w:hAnsi="Cambria Math"/>
                <w:szCs w:val="24"/>
              </w:rPr>
              <m:t>T</m:t>
            </m:r>
          </m:den>
        </m:f>
      </m:oMath>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Pr>
          <w:rStyle w:val="null"/>
        </w:rPr>
        <w:t>[10]</w:t>
      </w:r>
    </w:p>
    <w:p w:rsidR="00AF399C" w:rsidRPr="004246B8" w:rsidRDefault="00AF399C" w:rsidP="00BE4631">
      <w:pPr>
        <w:spacing w:before="0" w:after="0" w:line="240" w:lineRule="auto"/>
        <w:rPr>
          <w:szCs w:val="24"/>
        </w:rPr>
      </w:pPr>
      <w:r w:rsidRPr="004246B8">
        <w:rPr>
          <w:i/>
          <w:szCs w:val="24"/>
        </w:rPr>
        <w:t>σ</w:t>
      </w:r>
      <w:r w:rsidRPr="004246B8">
        <w:rPr>
          <w:i/>
          <w:szCs w:val="24"/>
          <w:vertAlign w:val="superscript"/>
        </w:rPr>
        <w:t>2</w:t>
      </w:r>
      <w:r w:rsidRPr="004246B8">
        <w:rPr>
          <w:i/>
          <w:szCs w:val="24"/>
        </w:rPr>
        <w:t xml:space="preserve"> </w:t>
      </w:r>
      <w:proofErr w:type="gramStart"/>
      <w:r w:rsidRPr="004246B8">
        <w:rPr>
          <w:szCs w:val="24"/>
        </w:rPr>
        <w:t>…..</w:t>
      </w:r>
      <w:r w:rsidRPr="004246B8">
        <w:rPr>
          <w:i/>
          <w:szCs w:val="24"/>
        </w:rPr>
        <w:t xml:space="preserve"> rozptyl</w:t>
      </w:r>
      <w:proofErr w:type="gramEnd"/>
    </w:p>
    <w:p w:rsidR="00AF399C" w:rsidRPr="004246B8" w:rsidRDefault="008B79C7" w:rsidP="00BE4631">
      <w:pPr>
        <w:spacing w:before="0" w:after="0" w:line="240" w:lineRule="auto"/>
        <w:rPr>
          <w:i/>
          <w:szCs w:val="24"/>
        </w:rPr>
      </w:pPr>
      <m:oMath>
        <m:acc>
          <m:accPr>
            <m:chr m:val="̅"/>
            <m:ctrlPr>
              <w:rPr>
                <w:rFonts w:ascii="Cambria Math" w:hAnsi="Cambria Math"/>
                <w:i/>
                <w:szCs w:val="24"/>
              </w:rPr>
            </m:ctrlPr>
          </m:accPr>
          <m:e>
            <m:r>
              <w:rPr>
                <w:rFonts w:ascii="Cambria Math" w:hAnsi="Cambria Math"/>
                <w:szCs w:val="24"/>
              </w:rPr>
              <m:t>r</m:t>
            </m:r>
          </m:e>
        </m:acc>
      </m:oMath>
      <w:r w:rsidR="00AF399C" w:rsidRPr="004246B8">
        <w:rPr>
          <w:i/>
          <w:szCs w:val="24"/>
        </w:rPr>
        <w:t>…</w:t>
      </w:r>
      <w:proofErr w:type="gramStart"/>
      <w:r w:rsidR="00AF399C" w:rsidRPr="004246B8">
        <w:rPr>
          <w:i/>
          <w:szCs w:val="24"/>
        </w:rPr>
        <w:t>…</w:t>
      </w:r>
      <w:proofErr w:type="gramEnd"/>
      <w:r w:rsidR="00AF399C" w:rsidRPr="004246B8">
        <w:rPr>
          <w:i/>
          <w:szCs w:val="24"/>
        </w:rPr>
        <w:t>.</w:t>
      </w:r>
      <w:proofErr w:type="gramStart"/>
      <w:r w:rsidR="00AF399C" w:rsidRPr="004246B8">
        <w:rPr>
          <w:i/>
          <w:szCs w:val="24"/>
        </w:rPr>
        <w:t>průměrná</w:t>
      </w:r>
      <w:proofErr w:type="gramEnd"/>
      <w:r w:rsidR="00AF399C" w:rsidRPr="004246B8">
        <w:rPr>
          <w:i/>
          <w:szCs w:val="24"/>
        </w:rPr>
        <w:t xml:space="preserve"> roční výnosová míra ex post</w:t>
      </w:r>
    </w:p>
    <w:p w:rsidR="00AF399C" w:rsidRPr="004246B8" w:rsidRDefault="00AF399C" w:rsidP="00BE4631">
      <w:pPr>
        <w:spacing w:before="0" w:after="0" w:line="240" w:lineRule="auto"/>
        <w:rPr>
          <w:i/>
          <w:szCs w:val="24"/>
        </w:rPr>
      </w:pPr>
      <w:r w:rsidRPr="004246B8">
        <w:rPr>
          <w:i/>
          <w:szCs w:val="24"/>
        </w:rPr>
        <w:t>r</w:t>
      </w:r>
      <w:r w:rsidRPr="004246B8">
        <w:rPr>
          <w:i/>
          <w:szCs w:val="24"/>
          <w:vertAlign w:val="subscript"/>
        </w:rPr>
        <w:t>t</w:t>
      </w:r>
      <w:r w:rsidRPr="004246B8">
        <w:rPr>
          <w:i/>
          <w:szCs w:val="24"/>
        </w:rPr>
        <w:t>…… výnosová míra v jednotlivých obdobích</w:t>
      </w:r>
    </w:p>
    <w:p w:rsidR="00AF399C" w:rsidRDefault="00AF399C" w:rsidP="00BE4631">
      <w:pPr>
        <w:spacing w:before="0" w:after="0" w:line="240" w:lineRule="auto"/>
        <w:rPr>
          <w:i/>
          <w:szCs w:val="24"/>
        </w:rPr>
      </w:pPr>
      <w:r w:rsidRPr="004246B8">
        <w:rPr>
          <w:i/>
          <w:szCs w:val="24"/>
        </w:rPr>
        <w:t>T</w:t>
      </w:r>
      <w:proofErr w:type="gramStart"/>
      <w:r w:rsidRPr="004246B8">
        <w:rPr>
          <w:i/>
          <w:szCs w:val="24"/>
        </w:rPr>
        <w:t>….. počet</w:t>
      </w:r>
      <w:proofErr w:type="gramEnd"/>
      <w:r w:rsidRPr="004246B8">
        <w:rPr>
          <w:i/>
          <w:szCs w:val="24"/>
        </w:rPr>
        <w:t xml:space="preserve"> sledovaných období</w:t>
      </w:r>
    </w:p>
    <w:p w:rsidR="00BE4631" w:rsidRPr="004246B8" w:rsidRDefault="00BE4631" w:rsidP="00BE4631">
      <w:pPr>
        <w:spacing w:before="0" w:after="0" w:line="240" w:lineRule="auto"/>
        <w:rPr>
          <w:i/>
          <w:szCs w:val="24"/>
        </w:rPr>
      </w:pPr>
    </w:p>
    <w:p w:rsidR="00AF399C" w:rsidRPr="004246B8" w:rsidRDefault="00AF399C" w:rsidP="001904E3">
      <w:pPr>
        <w:spacing w:before="0" w:after="0" w:line="360" w:lineRule="auto"/>
        <w:rPr>
          <w:szCs w:val="24"/>
        </w:rPr>
      </w:pPr>
      <w:r w:rsidRPr="004246B8">
        <w:rPr>
          <w:szCs w:val="24"/>
        </w:rPr>
        <w:t>Hodnotu směrodatné odchylky</w:t>
      </w:r>
      <w:r w:rsidRPr="004246B8">
        <w:rPr>
          <w:i/>
          <w:szCs w:val="24"/>
        </w:rPr>
        <w:t xml:space="preserve"> σ </w:t>
      </w:r>
      <w:r w:rsidRPr="004246B8">
        <w:rPr>
          <w:szCs w:val="24"/>
        </w:rPr>
        <w:t>pak zjistíme jednoduše jako odmocninu rozptylu, tedy:</w:t>
      </w:r>
    </w:p>
    <w:p w:rsidR="00AF399C" w:rsidRPr="001B7C40" w:rsidRDefault="00275BAD" w:rsidP="001B7C40">
      <w:pPr>
        <w:spacing w:after="240"/>
        <w:jc w:val="left"/>
        <w:rPr>
          <w:i/>
          <w:szCs w:val="24"/>
        </w:rPr>
      </w:pPr>
      <w:r w:rsidRPr="001B7C40">
        <w:rPr>
          <w:i/>
          <w:szCs w:val="24"/>
        </w:rPr>
        <w:t xml:space="preserve"> </w:t>
      </w:r>
      <w:r w:rsidRPr="001B7C40">
        <w:rPr>
          <w:i/>
          <w:szCs w:val="24"/>
        </w:rPr>
        <w:tab/>
      </w:r>
      <w:r w:rsidRPr="001B7C40">
        <w:rPr>
          <w:i/>
          <w:szCs w:val="24"/>
        </w:rPr>
        <w:tab/>
      </w:r>
      <w:r w:rsidRPr="001B7C40">
        <w:rPr>
          <w:i/>
          <w:szCs w:val="24"/>
        </w:rPr>
        <w:tab/>
      </w:r>
      <w:r w:rsidRPr="001B7C40">
        <w:rPr>
          <w:i/>
          <w:szCs w:val="24"/>
        </w:rPr>
        <w:tab/>
      </w:r>
      <w:r w:rsidRPr="001B7C40">
        <w:rPr>
          <w:i/>
          <w:szCs w:val="24"/>
        </w:rPr>
        <w:tab/>
      </w:r>
      <w:r w:rsidRPr="001B7C40">
        <w:rPr>
          <w:i/>
          <w:szCs w:val="24"/>
        </w:rPr>
        <w:tab/>
      </w:r>
      <w:r w:rsidR="00AF399C" w:rsidRPr="001B7C40">
        <w:rPr>
          <w:i/>
          <w:szCs w:val="24"/>
        </w:rPr>
        <w:t xml:space="preserve">σ = </w:t>
      </w:r>
      <m:oMath>
        <m:rad>
          <m:radPr>
            <m:degHide m:val="on"/>
            <m:ctrlPr>
              <w:rPr>
                <w:rFonts w:ascii="Cambria Math" w:hAnsi="Cambria Math"/>
                <w:i/>
                <w:szCs w:val="24"/>
              </w:rPr>
            </m:ctrlPr>
          </m:radPr>
          <m:deg/>
          <m:e>
            <m:sSup>
              <m:sSupPr>
                <m:ctrlPr>
                  <w:rPr>
                    <w:rFonts w:ascii="Cambria Math" w:hAnsi="Cambria Math"/>
                    <w:i/>
                    <w:szCs w:val="24"/>
                  </w:rPr>
                </m:ctrlPr>
              </m:sSupPr>
              <m:e>
                <m:r>
                  <w:rPr>
                    <w:rFonts w:ascii="Cambria Math" w:hAnsi="Cambria Math"/>
                    <w:szCs w:val="24"/>
                  </w:rPr>
                  <m:t>σ</m:t>
                </m:r>
              </m:e>
              <m:sup>
                <m:r>
                  <w:rPr>
                    <w:rFonts w:ascii="Cambria Math"/>
                    <w:szCs w:val="24"/>
                  </w:rPr>
                  <m:t>2</m:t>
                </m:r>
              </m:sup>
            </m:sSup>
          </m:e>
        </m:rad>
      </m:oMath>
      <w:r w:rsidR="00AF399C" w:rsidRPr="001B7C40">
        <w:rPr>
          <w:i/>
          <w:szCs w:val="24"/>
        </w:rPr>
        <w:t>=</w:t>
      </w:r>
      <m:oMath>
        <m:rad>
          <m:radPr>
            <m:degHide m:val="on"/>
            <m:ctrlPr>
              <w:rPr>
                <w:rFonts w:ascii="Cambria Math" w:hAnsi="Cambria Math"/>
                <w:i/>
                <w:szCs w:val="24"/>
              </w:rPr>
            </m:ctrlPr>
          </m:radPr>
          <m:deg/>
          <m:e>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t</m:t>
                    </m:r>
                    <m:r>
                      <w:rPr>
                        <w:rFonts w:ascii="Cambria Math"/>
                        <w:szCs w:val="24"/>
                      </w:rPr>
                      <m:t>=1</m:t>
                    </m:r>
                  </m:sub>
                  <m:sup>
                    <m:r>
                      <w:rPr>
                        <w:rFonts w:ascii="Cambria Math" w:hAnsi="Cambria Math"/>
                        <w:szCs w:val="24"/>
                      </w:rPr>
                      <m:t>T</m:t>
                    </m:r>
                  </m:sup>
                  <m:e>
                    <m:sSup>
                      <m:sSupPr>
                        <m:ctrlPr>
                          <w:rPr>
                            <w:rFonts w:ascii="Cambria Math" w:hAnsi="Cambria Math"/>
                            <w:i/>
                            <w:szCs w:val="24"/>
                          </w:rPr>
                        </m:ctrlPr>
                      </m:sSupPr>
                      <m:e>
                        <m:r>
                          <w:rPr>
                            <w:rFonts w:ascii="Cambria Math"/>
                            <w:szCs w:val="24"/>
                          </w:rPr>
                          <m:t>(</m:t>
                        </m:r>
                        <m:acc>
                          <m:accPr>
                            <m:chr m:val="̅"/>
                            <m:ctrlPr>
                              <w:rPr>
                                <w:rFonts w:ascii="Cambria Math" w:hAnsi="Cambria Math"/>
                                <w:i/>
                                <w:szCs w:val="24"/>
                              </w:rPr>
                            </m:ctrlPr>
                          </m:accPr>
                          <m:e>
                            <m:r>
                              <w:rPr>
                                <w:rFonts w:ascii="Cambria Math" w:hAnsi="Cambria Math"/>
                                <w:szCs w:val="24"/>
                              </w:rPr>
                              <m:t>r</m:t>
                            </m:r>
                          </m:e>
                        </m:acc>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t</m:t>
                            </m:r>
                          </m:sub>
                        </m:sSub>
                        <m:r>
                          <w:rPr>
                            <w:rFonts w:ascii="Cambria Math"/>
                            <w:szCs w:val="24"/>
                          </w:rPr>
                          <m:t>)</m:t>
                        </m:r>
                      </m:e>
                      <m:sup>
                        <m:r>
                          <w:rPr>
                            <w:rFonts w:ascii="Cambria Math"/>
                            <w:szCs w:val="24"/>
                          </w:rPr>
                          <m:t>2</m:t>
                        </m:r>
                      </m:sup>
                    </m:sSup>
                  </m:e>
                </m:nary>
              </m:num>
              <m:den>
                <m:r>
                  <w:rPr>
                    <w:rFonts w:ascii="Cambria Math" w:hAnsi="Cambria Math"/>
                    <w:szCs w:val="24"/>
                  </w:rPr>
                  <m:t>T</m:t>
                </m:r>
              </m:den>
            </m:f>
          </m:e>
        </m:rad>
      </m:oMath>
      <w:r w:rsidR="001B7C40" w:rsidRPr="001B7C40">
        <w:rPr>
          <w:i/>
          <w:szCs w:val="24"/>
        </w:rPr>
        <w:tab/>
      </w:r>
      <w:r w:rsidR="001B7C40" w:rsidRPr="001B7C40">
        <w:rPr>
          <w:i/>
          <w:szCs w:val="24"/>
        </w:rPr>
        <w:tab/>
      </w:r>
      <w:r w:rsidR="001B7C40" w:rsidRPr="001B7C40">
        <w:rPr>
          <w:i/>
          <w:szCs w:val="24"/>
        </w:rPr>
        <w:tab/>
      </w:r>
      <w:r w:rsidR="001B7C40">
        <w:rPr>
          <w:rStyle w:val="null"/>
        </w:rPr>
        <w:t>[11]</w:t>
      </w:r>
    </w:p>
    <w:p w:rsidR="00AF399C" w:rsidRPr="00275BAD" w:rsidRDefault="00AF399C" w:rsidP="00AF399C">
      <w:pPr>
        <w:spacing w:line="360" w:lineRule="auto"/>
        <w:rPr>
          <w:b/>
          <w:color w:val="FF0000"/>
          <w:szCs w:val="24"/>
        </w:rPr>
      </w:pPr>
      <w:r w:rsidRPr="004246B8">
        <w:rPr>
          <w:szCs w:val="24"/>
        </w:rPr>
        <w:lastRenderedPageBreak/>
        <w:t>Zdrojem této nejistoty je jednak systematické riziko, které souvisí s vývojem trhu jako takového, nelze ho tedy odstranit diverzifikací v rámci daného trhu, a jednak riziko jedinečné, které se vztahuje na konkrétní cenný papír. Blíže byla rizika spojena s investováním do ETFs a podílových fondů specifikována v </w:t>
      </w:r>
      <w:r w:rsidRPr="001904E3">
        <w:rPr>
          <w:szCs w:val="24"/>
        </w:rPr>
        <w:t xml:space="preserve">podkapitole č. </w:t>
      </w:r>
      <w:r w:rsidR="001904E3" w:rsidRPr="001904E3">
        <w:rPr>
          <w:szCs w:val="24"/>
        </w:rPr>
        <w:t>1.2.</w:t>
      </w:r>
    </w:p>
    <w:p w:rsidR="00AF399C" w:rsidRPr="004246B8" w:rsidRDefault="00AF399C" w:rsidP="00AF399C">
      <w:pPr>
        <w:spacing w:line="360" w:lineRule="auto"/>
        <w:rPr>
          <w:szCs w:val="24"/>
        </w:rPr>
      </w:pPr>
      <w:r w:rsidRPr="004246B8">
        <w:rPr>
          <w:szCs w:val="24"/>
        </w:rPr>
        <w:t>Samozřejmě platí, že čím nižší hodnota směrodatné odchylky, tím lépe pro investora. Nižší hodnota směrodatné odchylky značí nižší volatilitu kurzu ce</w:t>
      </w:r>
      <w:r>
        <w:rPr>
          <w:szCs w:val="24"/>
        </w:rPr>
        <w:t xml:space="preserve">nného papíru. </w:t>
      </w:r>
    </w:p>
    <w:p w:rsidR="00AF399C" w:rsidRPr="00CC6A6C" w:rsidRDefault="00AF399C" w:rsidP="00371136">
      <w:pPr>
        <w:pStyle w:val="Nadpis3"/>
      </w:pPr>
      <w:r w:rsidRPr="00CC6A6C">
        <w:t xml:space="preserve"> </w:t>
      </w:r>
      <w:bookmarkStart w:id="75" w:name="_Toc386146018"/>
      <w:r w:rsidRPr="00CC6A6C">
        <w:t>Sharpe ratio</w:t>
      </w:r>
      <w:bookmarkEnd w:id="75"/>
    </w:p>
    <w:p w:rsidR="00AF399C" w:rsidRPr="004246B8" w:rsidRDefault="00AF399C" w:rsidP="00AF399C">
      <w:pPr>
        <w:spacing w:after="240" w:line="360" w:lineRule="auto"/>
        <w:rPr>
          <w:szCs w:val="24"/>
        </w:rPr>
      </w:pPr>
      <w:r w:rsidRPr="004246B8">
        <w:rPr>
          <w:szCs w:val="24"/>
        </w:rPr>
        <w:t xml:space="preserve">Pokud investor vybírá z několika různých produktů, do kterých chce vložit volné prostředky, pak nestačí srovnávat pouhou výnosnost. Ta sice může napovědět, jaké výnosy lze do budoucna očekávat, ale neříká nám nic o stupni podstupovaného rizika. Ukazatel, který v sobě kombinuje výnosnost a volatilitu určitého produktu, se </w:t>
      </w:r>
      <w:proofErr w:type="gramStart"/>
      <w:r w:rsidRPr="004246B8">
        <w:rPr>
          <w:szCs w:val="24"/>
        </w:rPr>
        <w:t>nazývá Sharpe</w:t>
      </w:r>
      <w:proofErr w:type="gramEnd"/>
      <w:r w:rsidRPr="004246B8">
        <w:rPr>
          <w:szCs w:val="24"/>
        </w:rPr>
        <w:t xml:space="preserve"> ratio, česky Sharpeho poměr. </w:t>
      </w:r>
    </w:p>
    <w:p w:rsidR="00AF399C" w:rsidRPr="004246B8" w:rsidRDefault="00AF399C" w:rsidP="00AF399C">
      <w:pPr>
        <w:spacing w:after="240" w:line="360" w:lineRule="auto"/>
        <w:rPr>
          <w:szCs w:val="24"/>
        </w:rPr>
      </w:pPr>
      <w:r w:rsidRPr="004246B8">
        <w:rPr>
          <w:szCs w:val="24"/>
        </w:rPr>
        <w:t xml:space="preserve">Tento ukazatel </w:t>
      </w:r>
      <w:r>
        <w:rPr>
          <w:szCs w:val="24"/>
        </w:rPr>
        <w:t>zjednodušeně vyjadřuje</w:t>
      </w:r>
      <w:r w:rsidRPr="004246B8">
        <w:rPr>
          <w:szCs w:val="24"/>
        </w:rPr>
        <w:t>, jakou odměnu získá investor za podstoupené riziko, bere v úvahu rizikový profil investice.  Čím vyšší je tento ukazatel, tím vyšší odměnu za podstoupené riziko investor získá, z toho plyne, že čím vyšší Sharpe ratio, tím výhodnější investice.</w:t>
      </w:r>
    </w:p>
    <w:p w:rsidR="00AF399C" w:rsidRPr="004246B8" w:rsidRDefault="000F6786" w:rsidP="00AF399C">
      <w:pPr>
        <w:spacing w:after="240" w:line="360" w:lineRule="auto"/>
        <w:rPr>
          <w:szCs w:val="24"/>
        </w:rPr>
      </w:pPr>
      <w:r>
        <w:rPr>
          <w:szCs w:val="24"/>
        </w:rPr>
        <w:t xml:space="preserve">Výpočet </w:t>
      </w:r>
      <w:proofErr w:type="gramStart"/>
      <w:r>
        <w:rPr>
          <w:szCs w:val="24"/>
        </w:rPr>
        <w:t>Sharpe</w:t>
      </w:r>
      <w:proofErr w:type="gramEnd"/>
      <w:r>
        <w:rPr>
          <w:szCs w:val="24"/>
        </w:rPr>
        <w:t xml:space="preserve"> ratio </w:t>
      </w:r>
      <w:proofErr w:type="gramStart"/>
      <w:r w:rsidR="00AF399C" w:rsidRPr="004246B8">
        <w:rPr>
          <w:szCs w:val="24"/>
        </w:rPr>
        <w:t>vychází</w:t>
      </w:r>
      <w:proofErr w:type="gramEnd"/>
      <w:r w:rsidR="00AF399C" w:rsidRPr="004246B8">
        <w:rPr>
          <w:szCs w:val="24"/>
        </w:rPr>
        <w:t xml:space="preserve"> z následujícího vzorce:</w:t>
      </w:r>
    </w:p>
    <w:p w:rsidR="00AF399C" w:rsidRPr="001B7C40" w:rsidRDefault="00275BAD" w:rsidP="001B7C40">
      <w:pPr>
        <w:spacing w:after="240"/>
        <w:jc w:val="left"/>
        <w:rPr>
          <w:szCs w:val="24"/>
        </w:rPr>
      </w:pP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h</m:t>
            </m:r>
          </m:sub>
        </m:sSub>
        <m:r>
          <w:rPr>
            <w:rFonts w:ascii="Cambria Math"/>
            <w:szCs w:val="24"/>
          </w:rPr>
          <m:t xml:space="preserve">= </m:t>
        </m:r>
        <m:f>
          <m:fPr>
            <m:ctrlPr>
              <w:rPr>
                <w:rFonts w:ascii="Cambria Math" w:hAnsi="Cambria Math"/>
                <w:i/>
                <w:szCs w:val="24"/>
              </w:rPr>
            </m:ctrlPr>
          </m:fPr>
          <m:num>
            <m:acc>
              <m:accPr>
                <m:chr m:val="̅"/>
                <m:ctrlPr>
                  <w:rPr>
                    <w:rFonts w:ascii="Cambria Math" w:hAnsi="Cambria Math"/>
                    <w:i/>
                    <w:szCs w:val="24"/>
                  </w:rPr>
                </m:ctrlPr>
              </m:accPr>
              <m:e>
                <m:sSub>
                  <m:sSubPr>
                    <m:ctrlPr>
                      <w:rPr>
                        <w:rFonts w:ascii="Cambria Math" w:hAnsi="Cambria Math"/>
                        <w:i/>
                        <w:szCs w:val="24"/>
                      </w:rPr>
                    </m:ctrlPr>
                  </m:sSubPr>
                  <m:e>
                    <m:r>
                      <w:rPr>
                        <w:rFonts w:ascii="Cambria Math" w:hAnsi="Cambria Math"/>
                        <w:szCs w:val="24"/>
                      </w:rPr>
                      <m:t>r</m:t>
                    </m:r>
                  </m:e>
                  <m:sub>
                    <m:r>
                      <w:rPr>
                        <w:rFonts w:ascii="Cambria Math" w:hAnsi="Cambria Math"/>
                        <w:szCs w:val="24"/>
                      </w:rPr>
                      <m:t>p</m:t>
                    </m:r>
                  </m:sub>
                </m:sSub>
              </m:e>
            </m:acc>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f</m:t>
                </m:r>
              </m:sub>
            </m:sSub>
          </m:num>
          <m:den>
            <m:r>
              <w:rPr>
                <w:rFonts w:ascii="Cambria Math" w:hAnsi="Cambria Math"/>
                <w:szCs w:val="24"/>
              </w:rPr>
              <m:t>σ</m:t>
            </m:r>
          </m:den>
        </m:f>
      </m:oMath>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Style w:val="null"/>
        </w:rPr>
        <w:t>[12]</w:t>
      </w:r>
    </w:p>
    <w:p w:rsidR="00AF399C" w:rsidRPr="004246B8" w:rsidRDefault="00AF399C" w:rsidP="00322488">
      <w:pPr>
        <w:spacing w:before="0" w:after="0" w:line="240" w:lineRule="auto"/>
        <w:rPr>
          <w:i/>
          <w:szCs w:val="24"/>
        </w:rPr>
      </w:pPr>
      <w:proofErr w:type="gramStart"/>
      <w:r w:rsidRPr="004246B8">
        <w:rPr>
          <w:i/>
          <w:szCs w:val="24"/>
        </w:rPr>
        <w:t>S</w:t>
      </w:r>
      <w:r w:rsidRPr="004246B8">
        <w:rPr>
          <w:i/>
          <w:szCs w:val="24"/>
          <w:vertAlign w:val="subscript"/>
        </w:rPr>
        <w:t xml:space="preserve">h </w:t>
      </w:r>
      <w:r w:rsidRPr="004246B8">
        <w:rPr>
          <w:i/>
          <w:szCs w:val="24"/>
        </w:rPr>
        <w:t>.......Sharpe</w:t>
      </w:r>
      <w:proofErr w:type="gramEnd"/>
      <w:r w:rsidRPr="004246B8">
        <w:rPr>
          <w:i/>
          <w:szCs w:val="24"/>
        </w:rPr>
        <w:t xml:space="preserve"> ratio</w:t>
      </w:r>
    </w:p>
    <w:p w:rsidR="00AF399C" w:rsidRPr="004246B8" w:rsidRDefault="008B79C7" w:rsidP="00322488">
      <w:pPr>
        <w:spacing w:before="0" w:after="0" w:line="240" w:lineRule="auto"/>
        <w:rPr>
          <w:i/>
          <w:szCs w:val="24"/>
        </w:rPr>
      </w:pPr>
      <m:oMath>
        <m:acc>
          <m:accPr>
            <m:chr m:val="̅"/>
            <m:ctrlPr>
              <w:rPr>
                <w:rFonts w:ascii="Cambria Math" w:hAnsi="Cambria Math"/>
                <w:i/>
                <w:szCs w:val="24"/>
              </w:rPr>
            </m:ctrlPr>
          </m:accPr>
          <m:e>
            <m:r>
              <w:rPr>
                <w:rFonts w:ascii="Cambria Math" w:hAnsi="Cambria Math"/>
                <w:szCs w:val="24"/>
              </w:rPr>
              <m:t>r</m:t>
            </m:r>
          </m:e>
        </m:acc>
      </m:oMath>
      <w:r w:rsidR="00AF399C" w:rsidRPr="004246B8">
        <w:rPr>
          <w:i/>
          <w:szCs w:val="24"/>
          <w:vertAlign w:val="subscript"/>
        </w:rPr>
        <w:t>p</w:t>
      </w:r>
      <w:r w:rsidR="00AF399C" w:rsidRPr="004246B8">
        <w:rPr>
          <w:i/>
          <w:szCs w:val="24"/>
        </w:rPr>
        <w:t>…</w:t>
      </w:r>
      <w:proofErr w:type="gramStart"/>
      <w:r w:rsidR="00AF399C" w:rsidRPr="004246B8">
        <w:rPr>
          <w:i/>
          <w:szCs w:val="24"/>
        </w:rPr>
        <w:t>…</w:t>
      </w:r>
      <w:proofErr w:type="gramEnd"/>
      <w:r w:rsidR="00AF399C" w:rsidRPr="004246B8">
        <w:rPr>
          <w:i/>
          <w:szCs w:val="24"/>
        </w:rPr>
        <w:t>.</w:t>
      </w:r>
      <w:proofErr w:type="gramStart"/>
      <w:r w:rsidR="00AF399C" w:rsidRPr="004246B8">
        <w:rPr>
          <w:i/>
          <w:szCs w:val="24"/>
        </w:rPr>
        <w:t>průměrná</w:t>
      </w:r>
      <w:proofErr w:type="gramEnd"/>
      <w:r w:rsidR="00AF399C" w:rsidRPr="004246B8">
        <w:rPr>
          <w:i/>
          <w:szCs w:val="24"/>
        </w:rPr>
        <w:t xml:space="preserve"> výnosová míra ex post</w:t>
      </w:r>
    </w:p>
    <w:p w:rsidR="00AF399C" w:rsidRPr="004246B8" w:rsidRDefault="00AF399C" w:rsidP="00322488">
      <w:pPr>
        <w:spacing w:before="0" w:after="0" w:line="240" w:lineRule="auto"/>
        <w:rPr>
          <w:i/>
          <w:szCs w:val="24"/>
        </w:rPr>
      </w:pPr>
      <w:r w:rsidRPr="004246B8">
        <w:rPr>
          <w:i/>
          <w:szCs w:val="24"/>
        </w:rPr>
        <w:t>r</w:t>
      </w:r>
      <w:r w:rsidRPr="004246B8">
        <w:rPr>
          <w:i/>
          <w:szCs w:val="24"/>
          <w:vertAlign w:val="subscript"/>
        </w:rPr>
        <w:t>f</w:t>
      </w:r>
      <w:r w:rsidRPr="004246B8">
        <w:rPr>
          <w:i/>
          <w:szCs w:val="24"/>
        </w:rPr>
        <w:t>…… bezriziková výnosová míra</w:t>
      </w:r>
    </w:p>
    <w:p w:rsidR="00AF399C" w:rsidRDefault="00AF399C" w:rsidP="00322488">
      <w:pPr>
        <w:spacing w:before="0" w:after="0" w:line="240" w:lineRule="auto"/>
        <w:rPr>
          <w:szCs w:val="24"/>
        </w:rPr>
      </w:pPr>
      <w:r w:rsidRPr="004246B8">
        <w:rPr>
          <w:i/>
          <w:szCs w:val="24"/>
        </w:rPr>
        <w:t xml:space="preserve">σ </w:t>
      </w:r>
      <w:proofErr w:type="gramStart"/>
      <w:r w:rsidRPr="004246B8">
        <w:rPr>
          <w:szCs w:val="24"/>
        </w:rPr>
        <w:t>…..</w:t>
      </w:r>
      <w:r w:rsidRPr="004246B8">
        <w:rPr>
          <w:i/>
          <w:szCs w:val="24"/>
        </w:rPr>
        <w:t xml:space="preserve"> volatilita</w:t>
      </w:r>
      <w:proofErr w:type="gramEnd"/>
      <w:r w:rsidRPr="004246B8">
        <w:rPr>
          <w:i/>
          <w:szCs w:val="24"/>
        </w:rPr>
        <w:t xml:space="preserve"> (riziko)</w:t>
      </w:r>
    </w:p>
    <w:p w:rsidR="00275BAD" w:rsidRPr="00275BAD" w:rsidRDefault="00275BAD" w:rsidP="001904E3">
      <w:pPr>
        <w:spacing w:before="0" w:after="0" w:line="240" w:lineRule="auto"/>
        <w:rPr>
          <w:szCs w:val="24"/>
        </w:rPr>
      </w:pPr>
    </w:p>
    <w:p w:rsidR="00AF399C" w:rsidRPr="004246B8" w:rsidRDefault="00AF399C" w:rsidP="00AF399C">
      <w:pPr>
        <w:spacing w:after="240" w:line="360" w:lineRule="auto"/>
        <w:rPr>
          <w:szCs w:val="24"/>
        </w:rPr>
      </w:pPr>
      <w:r w:rsidRPr="004246B8">
        <w:rPr>
          <w:szCs w:val="24"/>
        </w:rPr>
        <w:t>Při interpretaci tohoto ukazatele však může dojít k několika nesrovnalostem. Prvním z nich je využití σ jakožto ukazatele rizika. σ nám však udává jak znehodnocení hodnoty produktu, tak zároveň i zhodnocení. V </w:t>
      </w:r>
      <w:proofErr w:type="gramStart"/>
      <w:r w:rsidRPr="004246B8">
        <w:rPr>
          <w:szCs w:val="24"/>
        </w:rPr>
        <w:t>Sharpe</w:t>
      </w:r>
      <w:proofErr w:type="gramEnd"/>
      <w:r w:rsidRPr="004246B8">
        <w:rPr>
          <w:szCs w:val="24"/>
        </w:rPr>
        <w:t xml:space="preserve"> ratio však není rozlišováno, zda </w:t>
      </w:r>
      <w:r w:rsidRPr="004246B8">
        <w:rPr>
          <w:i/>
          <w:szCs w:val="24"/>
        </w:rPr>
        <w:t xml:space="preserve">σ </w:t>
      </w:r>
      <w:r w:rsidRPr="004246B8">
        <w:rPr>
          <w:szCs w:val="24"/>
        </w:rPr>
        <w:t xml:space="preserve"> je pro investora pozitivní či negativní. Druhým problémem při interpretaci Sharpe ratio je to, že nebere v potaz maximální pokles hodnoty investice. Výhodou tohoto ukazatele je mimo jiné i to, že není náročný na vstupní data, informace potřebné pro výpočet tohoto ukazatele není třeba složitě dopočítávat. </w:t>
      </w:r>
    </w:p>
    <w:p w:rsidR="00AF399C" w:rsidRPr="007D0859" w:rsidRDefault="00AF399C" w:rsidP="00AF399C">
      <w:pPr>
        <w:spacing w:line="360" w:lineRule="auto"/>
        <w:rPr>
          <w:szCs w:val="24"/>
        </w:rPr>
      </w:pPr>
      <w:r w:rsidRPr="004246B8">
        <w:rPr>
          <w:szCs w:val="24"/>
        </w:rPr>
        <w:lastRenderedPageBreak/>
        <w:t xml:space="preserve">Hodnota </w:t>
      </w:r>
      <w:proofErr w:type="gramStart"/>
      <w:r w:rsidRPr="004246B8">
        <w:rPr>
          <w:szCs w:val="24"/>
        </w:rPr>
        <w:t>Sharpe</w:t>
      </w:r>
      <w:proofErr w:type="gramEnd"/>
      <w:r w:rsidRPr="004246B8">
        <w:rPr>
          <w:szCs w:val="24"/>
        </w:rPr>
        <w:t xml:space="preserve"> ratio kolem </w:t>
      </w:r>
      <w:r>
        <w:rPr>
          <w:szCs w:val="24"/>
        </w:rPr>
        <w:t xml:space="preserve">1 je </w:t>
      </w:r>
      <w:proofErr w:type="gramStart"/>
      <w:r>
        <w:rPr>
          <w:szCs w:val="24"/>
        </w:rPr>
        <w:t>považována</w:t>
      </w:r>
      <w:proofErr w:type="gramEnd"/>
      <w:r w:rsidRPr="004246B8">
        <w:rPr>
          <w:szCs w:val="24"/>
        </w:rPr>
        <w:t xml:space="preserve"> za dobr</w:t>
      </w:r>
      <w:r>
        <w:rPr>
          <w:szCs w:val="24"/>
        </w:rPr>
        <w:t>ou</w:t>
      </w:r>
      <w:r w:rsidRPr="004246B8">
        <w:rPr>
          <w:szCs w:val="24"/>
        </w:rPr>
        <w:t>, hodnota větší než 2 je považována za výbornou a hodnota nad 3 jako excelentní.</w:t>
      </w:r>
      <w:r w:rsidRPr="004246B8">
        <w:rPr>
          <w:rStyle w:val="Znakapoznpodarou"/>
          <w:szCs w:val="24"/>
        </w:rPr>
        <w:footnoteReference w:id="75"/>
      </w:r>
    </w:p>
    <w:p w:rsidR="00AF399C" w:rsidRPr="00CC6A6C" w:rsidRDefault="00AF399C" w:rsidP="00371136">
      <w:pPr>
        <w:pStyle w:val="Nadpis3"/>
      </w:pPr>
      <w:r w:rsidRPr="00CC6A6C">
        <w:t xml:space="preserve">  </w:t>
      </w:r>
      <w:bookmarkStart w:id="76" w:name="_Toc386146019"/>
      <w:r w:rsidRPr="00CC6A6C">
        <w:t>Information ratio</w:t>
      </w:r>
      <w:bookmarkEnd w:id="76"/>
    </w:p>
    <w:p w:rsidR="00AF399C" w:rsidRPr="004246B8" w:rsidRDefault="00AF399C" w:rsidP="00AF399C">
      <w:pPr>
        <w:spacing w:after="240" w:line="360" w:lineRule="auto"/>
        <w:rPr>
          <w:szCs w:val="24"/>
        </w:rPr>
      </w:pPr>
      <w:r w:rsidRPr="004246B8">
        <w:rPr>
          <w:szCs w:val="24"/>
        </w:rPr>
        <w:t>V poslední době stále více využívaným ukazatelem fondů je tzv. Information ratio (Informační poměr).</w:t>
      </w:r>
      <w:r w:rsidR="000F6786">
        <w:rPr>
          <w:szCs w:val="24"/>
        </w:rPr>
        <w:t xml:space="preserve"> Information ratio měří průměrný dosažený výnos s ohledem na relativní míru rizika spojenou s danou investicí.</w:t>
      </w:r>
      <w:r w:rsidRPr="004246B8">
        <w:rPr>
          <w:szCs w:val="24"/>
        </w:rPr>
        <w:t xml:space="preserve"> Čím vyšší je tento ukazatel, tím výkonnější je fond oproti benchmarku, tedy kladná hodnota tohoto ukazatele </w:t>
      </w:r>
      <w:r>
        <w:rPr>
          <w:szCs w:val="24"/>
        </w:rPr>
        <w:t>vyjadřuje</w:t>
      </w:r>
      <w:r w:rsidR="00730734">
        <w:rPr>
          <w:szCs w:val="24"/>
        </w:rPr>
        <w:t xml:space="preserve"> nadvýkon</w:t>
      </w:r>
      <w:r w:rsidRPr="004246B8">
        <w:rPr>
          <w:szCs w:val="24"/>
        </w:rPr>
        <w:t xml:space="preserve">nost fondu. Informační poměr lze definovat jako poměr výnosu portfolia (fondu) </w:t>
      </w:r>
      <w:proofErr w:type="gramStart"/>
      <w:r w:rsidRPr="004246B8">
        <w:rPr>
          <w:szCs w:val="24"/>
        </w:rPr>
        <w:t>ku</w:t>
      </w:r>
      <w:proofErr w:type="gramEnd"/>
      <w:r w:rsidRPr="004246B8">
        <w:rPr>
          <w:szCs w:val="24"/>
        </w:rPr>
        <w:t xml:space="preserve"> tzv. Tracking error.</w:t>
      </w:r>
    </w:p>
    <w:p w:rsidR="00AF399C" w:rsidRPr="004246B8" w:rsidRDefault="00AF399C" w:rsidP="00AF399C">
      <w:pPr>
        <w:spacing w:after="240" w:line="360" w:lineRule="auto"/>
        <w:rPr>
          <w:szCs w:val="24"/>
        </w:rPr>
      </w:pPr>
      <w:r w:rsidRPr="004246B8">
        <w:rPr>
          <w:szCs w:val="24"/>
        </w:rPr>
        <w:t>Hodnotu ukazatele Tracking error lze vypočítat dle následujícího vzorce:</w:t>
      </w:r>
    </w:p>
    <w:p w:rsidR="00AF399C" w:rsidRPr="001B7C40" w:rsidRDefault="00275BAD" w:rsidP="001B7C40">
      <w:pPr>
        <w:spacing w:after="240"/>
        <w:jc w:val="left"/>
        <w:rPr>
          <w:szCs w:val="24"/>
        </w:rPr>
      </w:pP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m:oMath>
        <m:sSub>
          <m:sSubPr>
            <m:ctrlPr>
              <w:rPr>
                <w:rFonts w:ascii="Cambria Math" w:hAnsi="Cambria Math"/>
                <w:i/>
                <w:szCs w:val="24"/>
              </w:rPr>
            </m:ctrlPr>
          </m:sSubPr>
          <m:e>
            <m:r>
              <w:rPr>
                <w:rFonts w:ascii="Cambria Math" w:hAnsi="Cambria Math"/>
                <w:szCs w:val="24"/>
              </w:rPr>
              <m:t>T</m:t>
            </m:r>
          </m:e>
          <m:sub>
            <m:r>
              <w:rPr>
                <w:rFonts w:ascii="Cambria Math" w:hAnsi="Cambria Math"/>
                <w:szCs w:val="24"/>
              </w:rPr>
              <m:t>r</m:t>
            </m:r>
          </m:sub>
        </m:sSub>
        <m:r>
          <w:rPr>
            <w:rFonts w:ascii="Cambria Math" w:hAnsi="Cambria Math"/>
            <w:szCs w:val="24"/>
          </w:rPr>
          <m:t xml:space="preserve">= </m:t>
        </m:r>
        <m:rad>
          <m:radPr>
            <m:degHide m:val="on"/>
            <m:ctrlPr>
              <w:rPr>
                <w:rFonts w:ascii="Cambria Math" w:hAnsi="Cambria Math"/>
                <w:i/>
                <w:szCs w:val="24"/>
              </w:rPr>
            </m:ctrlPr>
          </m:radPr>
          <m:deg/>
          <m:e>
            <m:f>
              <m:fPr>
                <m:ctrlPr>
                  <w:rPr>
                    <w:rFonts w:ascii="Cambria Math" w:hAnsi="Cambria Math"/>
                    <w:i/>
                    <w:szCs w:val="24"/>
                  </w:rPr>
                </m:ctrlPr>
              </m:fPr>
              <m:num>
                <m:nary>
                  <m:naryPr>
                    <m:chr m:val="∑"/>
                    <m:limLoc m:val="subSup"/>
                    <m:ctrlPr>
                      <w:rPr>
                        <w:rFonts w:ascii="Cambria Math" w:hAnsi="Cambria Math"/>
                        <w:i/>
                        <w:szCs w:val="24"/>
                      </w:rPr>
                    </m:ctrlPr>
                  </m:naryPr>
                  <m:sub>
                    <m:r>
                      <w:rPr>
                        <w:rFonts w:ascii="Cambria Math" w:hAnsi="Cambria Math"/>
                        <w:szCs w:val="24"/>
                      </w:rPr>
                      <m:t>i</m:t>
                    </m:r>
                    <m:r>
                      <w:rPr>
                        <w:rFonts w:ascii="Cambria Math"/>
                        <w:szCs w:val="24"/>
                      </w:rPr>
                      <m:t>=1</m:t>
                    </m:r>
                  </m:sub>
                  <m:sup>
                    <m:r>
                      <w:rPr>
                        <w:rFonts w:ascii="Cambria Math" w:hAnsi="Cambria Math"/>
                        <w:szCs w:val="24"/>
                      </w:rPr>
                      <m:t>n</m:t>
                    </m:r>
                  </m:sup>
                  <m:e>
                    <m:sSup>
                      <m:sSupPr>
                        <m:ctrlPr>
                          <w:rPr>
                            <w:rFonts w:ascii="Cambria Math" w:hAnsi="Cambria Math"/>
                            <w:i/>
                            <w:szCs w:val="24"/>
                          </w:rPr>
                        </m:ctrlPr>
                      </m:sSupPr>
                      <m:e>
                        <m:r>
                          <w:rPr>
                            <w:rFonts w:asci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p</m:t>
                            </m:r>
                          </m:sub>
                        </m:sSub>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r>
                          <w:rPr>
                            <w:rFonts w:ascii="Cambria Math"/>
                            <w:szCs w:val="24"/>
                          </w:rPr>
                          <m:t>)</m:t>
                        </m:r>
                      </m:e>
                      <m:sup>
                        <m:r>
                          <w:rPr>
                            <w:rFonts w:ascii="Cambria Math"/>
                            <w:szCs w:val="24"/>
                          </w:rPr>
                          <m:t>2</m:t>
                        </m:r>
                      </m:sup>
                    </m:sSup>
                  </m:e>
                </m:nary>
              </m:num>
              <m:den>
                <m:r>
                  <w:rPr>
                    <w:rFonts w:ascii="Cambria Math" w:hAnsi="Cambria Math"/>
                    <w:szCs w:val="24"/>
                  </w:rPr>
                  <m:t>n</m:t>
                </m:r>
                <m:r>
                  <w:rPr>
                    <w:rFonts w:ascii="Cambria Math"/>
                    <w:szCs w:val="24"/>
                  </w:rPr>
                  <m:t>-</m:t>
                </m:r>
                <m:r>
                  <w:rPr>
                    <w:rFonts w:ascii="Cambria Math"/>
                    <w:szCs w:val="24"/>
                  </w:rPr>
                  <m:t xml:space="preserve">1 </m:t>
                </m:r>
              </m:den>
            </m:f>
          </m:e>
        </m:rad>
      </m:oMath>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Fonts w:eastAsiaTheme="minorEastAsia"/>
          <w:szCs w:val="24"/>
        </w:rPr>
        <w:tab/>
      </w:r>
      <w:r w:rsidR="001B7C40">
        <w:rPr>
          <w:rStyle w:val="null"/>
        </w:rPr>
        <w:t>[13]</w:t>
      </w:r>
    </w:p>
    <w:p w:rsidR="00AF399C" w:rsidRPr="004246B8" w:rsidRDefault="00AF399C" w:rsidP="00322488">
      <w:pPr>
        <w:spacing w:before="0" w:after="0" w:line="240" w:lineRule="auto"/>
        <w:rPr>
          <w:i/>
          <w:szCs w:val="24"/>
        </w:rPr>
      </w:pPr>
      <w:r w:rsidRPr="004246B8">
        <w:rPr>
          <w:i/>
          <w:szCs w:val="24"/>
        </w:rPr>
        <w:t>T</w:t>
      </w:r>
      <w:r w:rsidRPr="004246B8">
        <w:rPr>
          <w:i/>
          <w:szCs w:val="24"/>
          <w:vertAlign w:val="subscript"/>
        </w:rPr>
        <w:t>r</w:t>
      </w:r>
      <w:proofErr w:type="gramStart"/>
      <w:r w:rsidRPr="004246B8">
        <w:rPr>
          <w:i/>
          <w:szCs w:val="24"/>
        </w:rPr>
        <w:t>…..</w:t>
      </w:r>
      <w:proofErr w:type="gramEnd"/>
      <w:r w:rsidRPr="004246B8">
        <w:rPr>
          <w:i/>
          <w:szCs w:val="24"/>
        </w:rPr>
        <w:t xml:space="preserve"> Tracking error</w:t>
      </w:r>
    </w:p>
    <w:p w:rsidR="00AF399C" w:rsidRPr="004246B8" w:rsidRDefault="00AF399C" w:rsidP="00322488">
      <w:pPr>
        <w:spacing w:before="0" w:after="0" w:line="240" w:lineRule="auto"/>
        <w:rPr>
          <w:i/>
          <w:szCs w:val="24"/>
        </w:rPr>
      </w:pPr>
      <w:r w:rsidRPr="004246B8">
        <w:rPr>
          <w:i/>
          <w:szCs w:val="24"/>
        </w:rPr>
        <w:t>R</w:t>
      </w:r>
      <w:r w:rsidRPr="004246B8">
        <w:rPr>
          <w:i/>
          <w:szCs w:val="24"/>
          <w:vertAlign w:val="subscript"/>
        </w:rPr>
        <w:t>p</w:t>
      </w:r>
      <w:proofErr w:type="gramStart"/>
      <w:r w:rsidRPr="004246B8">
        <w:rPr>
          <w:i/>
          <w:szCs w:val="24"/>
        </w:rPr>
        <w:t>…..výkonnost</w:t>
      </w:r>
      <w:proofErr w:type="gramEnd"/>
      <w:r w:rsidRPr="004246B8">
        <w:rPr>
          <w:i/>
          <w:szCs w:val="24"/>
        </w:rPr>
        <w:t xml:space="preserve"> portfolia</w:t>
      </w:r>
    </w:p>
    <w:p w:rsidR="00AF399C" w:rsidRPr="004246B8" w:rsidRDefault="00AF399C" w:rsidP="00322488">
      <w:pPr>
        <w:spacing w:before="0" w:after="0" w:line="240" w:lineRule="auto"/>
        <w:rPr>
          <w:i/>
          <w:szCs w:val="24"/>
        </w:rPr>
      </w:pPr>
      <w:r w:rsidRPr="004246B8">
        <w:rPr>
          <w:i/>
          <w:szCs w:val="24"/>
        </w:rPr>
        <w:t>R</w:t>
      </w:r>
      <w:r w:rsidRPr="004246B8">
        <w:rPr>
          <w:i/>
          <w:szCs w:val="24"/>
          <w:vertAlign w:val="subscript"/>
        </w:rPr>
        <w:t>i</w:t>
      </w:r>
      <w:proofErr w:type="gramStart"/>
      <w:r w:rsidRPr="004246B8">
        <w:rPr>
          <w:i/>
          <w:szCs w:val="24"/>
        </w:rPr>
        <w:t>…..výkonnost</w:t>
      </w:r>
      <w:proofErr w:type="gramEnd"/>
      <w:r w:rsidRPr="004246B8">
        <w:rPr>
          <w:i/>
          <w:szCs w:val="24"/>
        </w:rPr>
        <w:t xml:space="preserve"> benchmarku (indexu)</w:t>
      </w:r>
    </w:p>
    <w:p w:rsidR="00AF399C" w:rsidRPr="004246B8" w:rsidRDefault="00AF399C" w:rsidP="00322488">
      <w:pPr>
        <w:spacing w:before="0" w:after="0" w:line="240" w:lineRule="auto"/>
        <w:rPr>
          <w:i/>
          <w:szCs w:val="24"/>
        </w:rPr>
      </w:pPr>
      <w:r w:rsidRPr="004246B8">
        <w:rPr>
          <w:i/>
          <w:szCs w:val="24"/>
        </w:rPr>
        <w:t>n</w:t>
      </w:r>
      <w:proofErr w:type="gramStart"/>
      <w:r w:rsidRPr="004246B8">
        <w:rPr>
          <w:i/>
          <w:szCs w:val="24"/>
        </w:rPr>
        <w:t>….. počet</w:t>
      </w:r>
      <w:proofErr w:type="gramEnd"/>
      <w:r w:rsidRPr="004246B8">
        <w:rPr>
          <w:i/>
          <w:szCs w:val="24"/>
        </w:rPr>
        <w:t xml:space="preserve"> pozorování</w:t>
      </w:r>
    </w:p>
    <w:p w:rsidR="00AF399C" w:rsidRPr="004246B8" w:rsidRDefault="00AF399C" w:rsidP="001904E3">
      <w:pPr>
        <w:spacing w:before="0" w:after="0" w:line="360" w:lineRule="auto"/>
        <w:jc w:val="left"/>
        <w:rPr>
          <w:b/>
          <w:szCs w:val="24"/>
        </w:rPr>
      </w:pPr>
    </w:p>
    <w:p w:rsidR="00AF399C" w:rsidRPr="004246B8" w:rsidRDefault="000F6786" w:rsidP="00AF399C">
      <w:pPr>
        <w:spacing w:after="240" w:line="360" w:lineRule="auto"/>
        <w:rPr>
          <w:szCs w:val="24"/>
        </w:rPr>
      </w:pPr>
      <w:r>
        <w:rPr>
          <w:szCs w:val="24"/>
        </w:rPr>
        <w:t>Tracking error</w:t>
      </w:r>
      <w:r w:rsidR="00AF399C" w:rsidRPr="004246B8">
        <w:rPr>
          <w:szCs w:val="24"/>
        </w:rPr>
        <w:t xml:space="preserve"> vyjadřuje </w:t>
      </w:r>
      <w:r>
        <w:rPr>
          <w:szCs w:val="24"/>
        </w:rPr>
        <w:t>relativní míru rizika, tedy odchylku (rozdíl) výkonnosti sledovaného fondu oproti benchmarku</w:t>
      </w:r>
      <w:r w:rsidR="00AF399C" w:rsidRPr="004246B8">
        <w:rPr>
          <w:szCs w:val="24"/>
        </w:rPr>
        <w:t>. Jinými slovy čím vyšší hodnota Tracking error, tím odlišněji se pohybuje hodnota portfolia oproti benchmarku. V případě ETF lze říci, že tento ukazatel vyjadřuje jak konzistentní je výkonnost ETF vůči benchmarku v průběhu období.</w:t>
      </w:r>
      <w:r w:rsidR="00AF399C" w:rsidRPr="004246B8">
        <w:rPr>
          <w:rStyle w:val="Znakapoznpodarou"/>
          <w:szCs w:val="24"/>
        </w:rPr>
        <w:footnoteReference w:id="76"/>
      </w:r>
      <w:r w:rsidR="00322488">
        <w:rPr>
          <w:szCs w:val="24"/>
        </w:rPr>
        <w:t xml:space="preserve"> </w:t>
      </w:r>
      <w:r w:rsidR="00AF399C" w:rsidRPr="004246B8">
        <w:rPr>
          <w:szCs w:val="24"/>
        </w:rPr>
        <w:t>Information ratio poté lze vypočítat pomocí následujícího vzorce</w:t>
      </w:r>
      <w:r>
        <w:rPr>
          <w:szCs w:val="24"/>
        </w:rPr>
        <w:t xml:space="preserve"> č. 14</w:t>
      </w:r>
      <w:r w:rsidR="00AF399C" w:rsidRPr="004246B8">
        <w:rPr>
          <w:szCs w:val="24"/>
        </w:rPr>
        <w:t>:</w:t>
      </w:r>
    </w:p>
    <w:p w:rsidR="00AF399C" w:rsidRPr="001B7C40" w:rsidRDefault="00275BAD" w:rsidP="001B7C40">
      <w:pPr>
        <w:jc w:val="left"/>
        <w:rPr>
          <w:szCs w:val="24"/>
        </w:rPr>
      </w:pP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w:r w:rsidRPr="001B7C40">
        <w:rPr>
          <w:rFonts w:eastAsiaTheme="minorEastAsia"/>
          <w:szCs w:val="24"/>
        </w:rPr>
        <w:tab/>
      </w: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r</m:t>
            </m:r>
          </m:sub>
        </m:sSub>
        <m:r>
          <w:rPr>
            <w:rFonts w:ascii="Cambria Math"/>
            <w:szCs w:val="24"/>
          </w:rPr>
          <m:t xml:space="preserve">= </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p</m:t>
                </m:r>
              </m:sub>
            </m:sSub>
            <m:r>
              <w:rPr>
                <w:rFonts w:ascii="Cambria Math" w:hAnsi="Cambria Math"/>
                <w:szCs w:val="24"/>
              </w:rPr>
              <m:t>-</m:t>
            </m:r>
            <m:r>
              <w:rPr>
                <w:rFonts w:ascii="Cambria Math"/>
                <w:szCs w:val="24"/>
              </w:rPr>
              <m:t xml:space="preserve">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num>
          <m:den>
            <m:sSub>
              <m:sSubPr>
                <m:ctrlPr>
                  <w:rPr>
                    <w:rFonts w:ascii="Cambria Math" w:hAnsi="Cambria Math"/>
                    <w:i/>
                    <w:szCs w:val="24"/>
                  </w:rPr>
                </m:ctrlPr>
              </m:sSubPr>
              <m:e>
                <m:r>
                  <w:rPr>
                    <w:rFonts w:ascii="Cambria Math" w:hAnsi="Cambria Math"/>
                    <w:szCs w:val="24"/>
                  </w:rPr>
                  <m:t>T</m:t>
                </m:r>
              </m:e>
              <m:sub>
                <m:r>
                  <w:rPr>
                    <w:rFonts w:ascii="Cambria Math" w:hAnsi="Cambria Math"/>
                    <w:szCs w:val="24"/>
                  </w:rPr>
                  <m:t>r</m:t>
                </m:r>
              </m:sub>
            </m:sSub>
          </m:den>
        </m:f>
      </m:oMath>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sidRPr="001B7C40">
        <w:rPr>
          <w:rFonts w:eastAsiaTheme="minorEastAsia"/>
          <w:szCs w:val="24"/>
        </w:rPr>
        <w:tab/>
      </w:r>
      <w:r w:rsidR="001B7C40">
        <w:rPr>
          <w:rStyle w:val="null"/>
        </w:rPr>
        <w:t>[14]</w:t>
      </w:r>
    </w:p>
    <w:p w:rsidR="00AF399C" w:rsidRPr="004246B8" w:rsidRDefault="00AF399C" w:rsidP="00052148">
      <w:pPr>
        <w:spacing w:line="240" w:lineRule="auto"/>
        <w:rPr>
          <w:szCs w:val="24"/>
        </w:rPr>
      </w:pPr>
    </w:p>
    <w:p w:rsidR="00AF399C" w:rsidRPr="004246B8" w:rsidRDefault="00AF399C" w:rsidP="00322488">
      <w:pPr>
        <w:spacing w:before="0" w:after="0" w:line="240" w:lineRule="auto"/>
        <w:rPr>
          <w:i/>
          <w:szCs w:val="24"/>
        </w:rPr>
      </w:pPr>
      <w:r w:rsidRPr="004246B8">
        <w:rPr>
          <w:i/>
          <w:szCs w:val="24"/>
        </w:rPr>
        <w:t>I</w:t>
      </w:r>
      <w:r w:rsidRPr="004246B8">
        <w:rPr>
          <w:i/>
          <w:szCs w:val="24"/>
          <w:vertAlign w:val="subscript"/>
        </w:rPr>
        <w:t>r</w:t>
      </w:r>
      <w:proofErr w:type="gramStart"/>
      <w:r w:rsidRPr="004246B8">
        <w:rPr>
          <w:i/>
          <w:szCs w:val="24"/>
        </w:rPr>
        <w:t>…..Information</w:t>
      </w:r>
      <w:proofErr w:type="gramEnd"/>
      <w:r w:rsidRPr="004246B8">
        <w:rPr>
          <w:i/>
          <w:szCs w:val="24"/>
        </w:rPr>
        <w:t xml:space="preserve"> ratio</w:t>
      </w:r>
    </w:p>
    <w:p w:rsidR="00AF399C" w:rsidRPr="004246B8" w:rsidRDefault="00AF399C" w:rsidP="00322488">
      <w:pPr>
        <w:spacing w:before="0" w:after="0" w:line="240" w:lineRule="auto"/>
        <w:rPr>
          <w:i/>
          <w:szCs w:val="24"/>
        </w:rPr>
      </w:pPr>
      <w:r w:rsidRPr="004246B8">
        <w:rPr>
          <w:i/>
          <w:szCs w:val="24"/>
        </w:rPr>
        <w:t>R</w:t>
      </w:r>
      <w:r w:rsidRPr="004246B8">
        <w:rPr>
          <w:i/>
          <w:szCs w:val="24"/>
          <w:vertAlign w:val="subscript"/>
        </w:rPr>
        <w:t>p</w:t>
      </w:r>
      <w:proofErr w:type="gramStart"/>
      <w:r w:rsidRPr="004246B8">
        <w:rPr>
          <w:i/>
          <w:szCs w:val="24"/>
        </w:rPr>
        <w:t>…..výkonnost</w:t>
      </w:r>
      <w:proofErr w:type="gramEnd"/>
      <w:r w:rsidRPr="004246B8">
        <w:rPr>
          <w:i/>
          <w:szCs w:val="24"/>
        </w:rPr>
        <w:t xml:space="preserve"> portfolia</w:t>
      </w:r>
    </w:p>
    <w:p w:rsidR="00AF399C" w:rsidRPr="004246B8" w:rsidRDefault="00AF399C" w:rsidP="00322488">
      <w:pPr>
        <w:spacing w:before="0" w:after="0" w:line="240" w:lineRule="auto"/>
        <w:rPr>
          <w:i/>
          <w:szCs w:val="24"/>
        </w:rPr>
      </w:pPr>
      <w:r w:rsidRPr="004246B8">
        <w:rPr>
          <w:i/>
          <w:szCs w:val="24"/>
        </w:rPr>
        <w:t>R</w:t>
      </w:r>
      <w:r w:rsidRPr="004246B8">
        <w:rPr>
          <w:i/>
          <w:szCs w:val="24"/>
          <w:vertAlign w:val="subscript"/>
        </w:rPr>
        <w:t>i</w:t>
      </w:r>
      <w:proofErr w:type="gramStart"/>
      <w:r w:rsidRPr="004246B8">
        <w:rPr>
          <w:i/>
          <w:szCs w:val="24"/>
        </w:rPr>
        <w:t>…..výkonnost</w:t>
      </w:r>
      <w:proofErr w:type="gramEnd"/>
      <w:r w:rsidRPr="004246B8">
        <w:rPr>
          <w:i/>
          <w:szCs w:val="24"/>
        </w:rPr>
        <w:t xml:space="preserve"> benchmarku (indexu)</w:t>
      </w:r>
    </w:p>
    <w:p w:rsidR="00AF399C" w:rsidRPr="004246B8" w:rsidRDefault="00AF399C" w:rsidP="00322488">
      <w:pPr>
        <w:spacing w:before="0" w:after="0" w:line="240" w:lineRule="auto"/>
        <w:rPr>
          <w:i/>
          <w:szCs w:val="24"/>
        </w:rPr>
      </w:pPr>
      <w:r w:rsidRPr="004246B8">
        <w:rPr>
          <w:i/>
          <w:szCs w:val="24"/>
        </w:rPr>
        <w:t>T</w:t>
      </w:r>
      <w:r w:rsidRPr="004246B8">
        <w:rPr>
          <w:i/>
          <w:szCs w:val="24"/>
          <w:vertAlign w:val="subscript"/>
        </w:rPr>
        <w:t>r</w:t>
      </w:r>
      <w:proofErr w:type="gramStart"/>
      <w:r w:rsidRPr="004246B8">
        <w:rPr>
          <w:i/>
          <w:szCs w:val="24"/>
        </w:rPr>
        <w:t>…..</w:t>
      </w:r>
      <w:proofErr w:type="gramEnd"/>
      <w:r w:rsidRPr="004246B8">
        <w:rPr>
          <w:i/>
          <w:szCs w:val="24"/>
        </w:rPr>
        <w:t xml:space="preserve"> Tracking error</w:t>
      </w:r>
    </w:p>
    <w:p w:rsidR="00AF399C" w:rsidRPr="004246B8" w:rsidRDefault="00AF399C" w:rsidP="001904E3">
      <w:pPr>
        <w:spacing w:before="0" w:after="0" w:line="360" w:lineRule="auto"/>
        <w:rPr>
          <w:szCs w:val="24"/>
        </w:rPr>
      </w:pPr>
      <w:r w:rsidRPr="004246B8">
        <w:rPr>
          <w:szCs w:val="24"/>
        </w:rPr>
        <w:lastRenderedPageBreak/>
        <w:t xml:space="preserve">Při hodnocení Information ratio je jednak zapotřebí brát v úvahu kladné či záporné hodnoty, přičemž kladné hodnoty ukazují nadvýkonnost portfolia či fondu a záporné hodnoty naopak podvýkonnost, a jednak také absolutní hodnoty tohoto ukazatele. Vyšší absolutní hodnota tohoto ukazatele značí aktivní správu fondu či portfolia, zatímco nízké absolutní hodnoty vykazují spíše pasivní správu. </w:t>
      </w:r>
    </w:p>
    <w:p w:rsidR="00AF399C" w:rsidRPr="00BE4631" w:rsidRDefault="00AF399C" w:rsidP="00371136">
      <w:pPr>
        <w:pStyle w:val="Nadpis2"/>
        <w:rPr>
          <w:sz w:val="24"/>
        </w:rPr>
      </w:pPr>
      <w:bookmarkStart w:id="77" w:name="_Toc386146020"/>
      <w:r w:rsidRPr="00BE4631">
        <w:rPr>
          <w:sz w:val="24"/>
        </w:rPr>
        <w:t>Charakteristika jednotlivých investic</w:t>
      </w:r>
      <w:bookmarkEnd w:id="77"/>
    </w:p>
    <w:p w:rsidR="00AF399C" w:rsidRDefault="00AF399C" w:rsidP="00AF399C">
      <w:pPr>
        <w:spacing w:before="240" w:line="360" w:lineRule="auto"/>
        <w:ind w:left="-6"/>
        <w:rPr>
          <w:szCs w:val="24"/>
        </w:rPr>
      </w:pPr>
      <w:r w:rsidRPr="004246B8">
        <w:rPr>
          <w:szCs w:val="24"/>
        </w:rPr>
        <w:t xml:space="preserve">V této části práce budu porovnávat na základě výše zmíněných faktorů zvolené konkrétní investice. Aby bylo možné tyto investice </w:t>
      </w:r>
      <w:r>
        <w:rPr>
          <w:szCs w:val="24"/>
        </w:rPr>
        <w:t>komparovat</w:t>
      </w:r>
      <w:r w:rsidRPr="004246B8">
        <w:rPr>
          <w:szCs w:val="24"/>
        </w:rPr>
        <w:t>, zvolila jsem takové produkty, které lze porovnávat dle stejného srovnávacího indexu. Pro lepší názornost možností investic do fondů ETF jsem zvolila jednak jednoho zástupce klasického ETF, jednoho zástupce inverzního typu burzovně obchodovatelných fondů a v neposlední řadě jednoho zá</w:t>
      </w:r>
      <w:r>
        <w:rPr>
          <w:szCs w:val="24"/>
        </w:rPr>
        <w:t>stupce ETF s pákovým produktem.</w:t>
      </w:r>
    </w:p>
    <w:p w:rsidR="00AF399C" w:rsidRPr="00CC6A6C" w:rsidRDefault="00AF399C" w:rsidP="00322488">
      <w:pPr>
        <w:pStyle w:val="Nadpis3"/>
      </w:pPr>
      <w:r>
        <w:t xml:space="preserve"> </w:t>
      </w:r>
      <w:bookmarkStart w:id="78" w:name="_Toc386146021"/>
      <w:r w:rsidRPr="00CC6A6C">
        <w:t>Srovnávací index S&amp;P 500</w:t>
      </w:r>
      <w:bookmarkEnd w:id="78"/>
    </w:p>
    <w:p w:rsidR="00AF399C" w:rsidRPr="004246B8" w:rsidRDefault="00AF399C" w:rsidP="00AF399C">
      <w:pPr>
        <w:spacing w:before="240" w:line="360" w:lineRule="auto"/>
        <w:ind w:left="-6"/>
        <w:rPr>
          <w:szCs w:val="24"/>
        </w:rPr>
      </w:pPr>
      <w:r w:rsidRPr="004246B8">
        <w:rPr>
          <w:szCs w:val="24"/>
        </w:rPr>
        <w:t xml:space="preserve">Srovnávacím indexem pro mnou vybrané investice bude americký akciový index Standard and Poor‘s 500. Tento index v sobě zahrnuje vývoj 500 amerických akcií, které byly zvoleny týmem expertů agentury Standard and Poor’s. Váhy v tomto indexu získaly akcie dle své tržní hodnoty, jedná se tedy o kapitálově vážený index. </w:t>
      </w:r>
      <w:r>
        <w:rPr>
          <w:szCs w:val="24"/>
        </w:rPr>
        <w:t>Akcie byly</w:t>
      </w:r>
      <w:r w:rsidRPr="004246B8">
        <w:rPr>
          <w:szCs w:val="24"/>
        </w:rPr>
        <w:t xml:space="preserve"> vybírány mimo jiné dle tržního podílu, likvidity, odvětví a dalších faktorů. Díky široké základně akcií vyjadřuje tento index vývoj amerického kapitálového trhu. </w:t>
      </w:r>
      <w:r>
        <w:rPr>
          <w:szCs w:val="24"/>
        </w:rPr>
        <w:t>V indexu jsou zahrnutya</w:t>
      </w:r>
      <w:r w:rsidRPr="004246B8">
        <w:rPr>
          <w:szCs w:val="24"/>
        </w:rPr>
        <w:t>kcie z oblasti energetiky (10,3 %), software (10,3 %), oblasti farmaceutického a biotechnologického výzkumu (8,8 %) nebo například finančních služeb</w:t>
      </w:r>
      <w:r w:rsidR="001904E3">
        <w:rPr>
          <w:szCs w:val="24"/>
        </w:rPr>
        <w:t xml:space="preserve"> </w:t>
      </w:r>
      <w:r w:rsidRPr="004246B8">
        <w:rPr>
          <w:szCs w:val="24"/>
        </w:rPr>
        <w:t>(8,4%).</w:t>
      </w:r>
    </w:p>
    <w:p w:rsidR="00AF399C" w:rsidRDefault="00AF399C" w:rsidP="00AF399C">
      <w:pPr>
        <w:spacing w:before="240" w:line="360" w:lineRule="auto"/>
        <w:ind w:left="-6"/>
        <w:rPr>
          <w:szCs w:val="24"/>
        </w:rPr>
      </w:pPr>
      <w:r w:rsidRPr="004246B8">
        <w:rPr>
          <w:szCs w:val="24"/>
        </w:rPr>
        <w:t xml:space="preserve">S&amp;P 500 je často využíván jako srovnávací index (benchmark) výkonnosti investic do amerických cenných papírů. </w:t>
      </w:r>
    </w:p>
    <w:p w:rsidR="001904E3" w:rsidRDefault="001904E3" w:rsidP="00AF399C">
      <w:pPr>
        <w:spacing w:before="240" w:line="360" w:lineRule="auto"/>
        <w:ind w:left="-6"/>
        <w:rPr>
          <w:szCs w:val="24"/>
        </w:rPr>
      </w:pPr>
    </w:p>
    <w:p w:rsidR="002D72A7" w:rsidRDefault="002D72A7" w:rsidP="00AF399C">
      <w:pPr>
        <w:spacing w:before="240" w:line="360" w:lineRule="auto"/>
        <w:ind w:left="-6"/>
        <w:rPr>
          <w:szCs w:val="24"/>
        </w:rPr>
      </w:pPr>
    </w:p>
    <w:p w:rsidR="002D72A7" w:rsidRDefault="002D72A7" w:rsidP="00AF399C">
      <w:pPr>
        <w:spacing w:before="240" w:line="360" w:lineRule="auto"/>
        <w:ind w:left="-6"/>
        <w:rPr>
          <w:szCs w:val="24"/>
        </w:rPr>
      </w:pPr>
    </w:p>
    <w:p w:rsidR="002D72A7" w:rsidRDefault="002D72A7" w:rsidP="00AF399C">
      <w:pPr>
        <w:spacing w:before="240" w:line="360" w:lineRule="auto"/>
        <w:ind w:left="-6"/>
        <w:rPr>
          <w:szCs w:val="24"/>
        </w:rPr>
      </w:pPr>
    </w:p>
    <w:p w:rsidR="002D72A7" w:rsidRDefault="002D72A7" w:rsidP="00AF399C">
      <w:pPr>
        <w:spacing w:before="240" w:line="360" w:lineRule="auto"/>
        <w:ind w:left="-6"/>
        <w:rPr>
          <w:szCs w:val="24"/>
        </w:rPr>
      </w:pPr>
    </w:p>
    <w:p w:rsidR="000B447C" w:rsidRDefault="000B447C" w:rsidP="001904E3">
      <w:pPr>
        <w:pStyle w:val="Titulek"/>
        <w:jc w:val="center"/>
        <w:rPr>
          <w:color w:val="auto"/>
        </w:rPr>
      </w:pPr>
      <w:bookmarkStart w:id="79" w:name="_Toc385970611"/>
    </w:p>
    <w:p w:rsidR="001904E3" w:rsidRPr="001904E3" w:rsidRDefault="001904E3" w:rsidP="001904E3">
      <w:pPr>
        <w:pStyle w:val="Titulek"/>
        <w:jc w:val="center"/>
        <w:rPr>
          <w:color w:val="auto"/>
          <w:sz w:val="22"/>
          <w:szCs w:val="22"/>
        </w:rPr>
      </w:pPr>
      <w:r w:rsidRPr="001904E3">
        <w:rPr>
          <w:color w:val="auto"/>
        </w:rPr>
        <w:lastRenderedPageBreak/>
        <w:t xml:space="preserve">Graf č. </w:t>
      </w:r>
      <w:r w:rsidR="008B79C7" w:rsidRPr="001904E3">
        <w:rPr>
          <w:color w:val="auto"/>
        </w:rPr>
        <w:fldChar w:fldCharType="begin"/>
      </w:r>
      <w:r w:rsidRPr="001904E3">
        <w:rPr>
          <w:color w:val="auto"/>
        </w:rPr>
        <w:instrText xml:space="preserve"> SEQ Graf_č. \* ARABIC </w:instrText>
      </w:r>
      <w:r w:rsidR="008B79C7" w:rsidRPr="001904E3">
        <w:rPr>
          <w:color w:val="auto"/>
        </w:rPr>
        <w:fldChar w:fldCharType="separate"/>
      </w:r>
      <w:r w:rsidR="002E0A33">
        <w:rPr>
          <w:noProof/>
          <w:color w:val="auto"/>
        </w:rPr>
        <w:t>10</w:t>
      </w:r>
      <w:r w:rsidR="008B79C7" w:rsidRPr="001904E3">
        <w:rPr>
          <w:noProof/>
          <w:color w:val="auto"/>
        </w:rPr>
        <w:fldChar w:fldCharType="end"/>
      </w:r>
      <w:r w:rsidRPr="001904E3">
        <w:rPr>
          <w:color w:val="auto"/>
          <w:sz w:val="22"/>
          <w:szCs w:val="22"/>
        </w:rPr>
        <w:t>: Graf vývoje hodnoty indexu S</w:t>
      </w:r>
      <w:r w:rsidRPr="001904E3">
        <w:rPr>
          <w:color w:val="auto"/>
          <w:sz w:val="22"/>
          <w:szCs w:val="22"/>
          <w:lang w:val="en-US"/>
        </w:rPr>
        <w:t>&amp;</w:t>
      </w:r>
      <w:r w:rsidRPr="001904E3">
        <w:rPr>
          <w:color w:val="auto"/>
          <w:sz w:val="22"/>
          <w:szCs w:val="22"/>
        </w:rPr>
        <w:t>P500</w:t>
      </w:r>
      <w:bookmarkEnd w:id="79"/>
    </w:p>
    <w:p w:rsidR="00AF399C" w:rsidRPr="004246B8" w:rsidRDefault="00AF399C" w:rsidP="00AF399C">
      <w:pPr>
        <w:spacing w:before="240" w:line="360" w:lineRule="auto"/>
        <w:ind w:left="-6"/>
        <w:rPr>
          <w:szCs w:val="24"/>
        </w:rPr>
      </w:pPr>
      <w:r w:rsidRPr="004246B8">
        <w:rPr>
          <w:noProof/>
          <w:szCs w:val="24"/>
          <w:lang w:eastAsia="cs-CZ"/>
        </w:rPr>
        <w:drawing>
          <wp:inline distT="0" distB="0" distL="0" distR="0">
            <wp:extent cx="5735782" cy="2149433"/>
            <wp:effectExtent l="0" t="0" r="0" b="0"/>
            <wp:docPr id="6"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4246B8">
        <w:rPr>
          <w:szCs w:val="24"/>
        </w:rPr>
        <w:t xml:space="preserve"> </w:t>
      </w:r>
    </w:p>
    <w:p w:rsidR="00AF399C" w:rsidRPr="00052148" w:rsidRDefault="00AF399C" w:rsidP="00052148">
      <w:pPr>
        <w:spacing w:line="240" w:lineRule="auto"/>
        <w:jc w:val="center"/>
        <w:rPr>
          <w:sz w:val="22"/>
        </w:rPr>
      </w:pPr>
      <w:r w:rsidRPr="00052148">
        <w:rPr>
          <w:sz w:val="22"/>
        </w:rPr>
        <w:t xml:space="preserve">Zdroj: Akcie online: informace pro Vaše úspěšné investice. </w:t>
      </w:r>
      <w:r w:rsidRPr="00052148">
        <w:rPr>
          <w:i/>
          <w:iCs/>
          <w:sz w:val="22"/>
        </w:rPr>
        <w:t>Vývoj indexu Standard and Poor’s 500</w:t>
      </w:r>
      <w:r w:rsidRPr="00052148">
        <w:rPr>
          <w:sz w:val="22"/>
        </w:rPr>
        <w:t xml:space="preserve"> [</w:t>
      </w:r>
      <w:proofErr w:type="gramStart"/>
      <w:r w:rsidRPr="00052148">
        <w:rPr>
          <w:sz w:val="22"/>
        </w:rPr>
        <w:t>online].© 2013</w:t>
      </w:r>
      <w:proofErr w:type="gramEnd"/>
      <w:r w:rsidRPr="00052148">
        <w:rPr>
          <w:sz w:val="22"/>
        </w:rPr>
        <w:t xml:space="preserve"> [cit. 2014-02-20]. Dostupné z:</w:t>
      </w:r>
      <w:r w:rsidRPr="00B51940">
        <w:rPr>
          <w:sz w:val="22"/>
        </w:rPr>
        <w:t xml:space="preserve"> </w:t>
      </w:r>
      <w:hyperlink r:id="rId35" w:history="1">
        <w:r w:rsidRPr="00B51940">
          <w:rPr>
            <w:rStyle w:val="Hypertextovodkaz"/>
            <w:color w:val="auto"/>
            <w:sz w:val="22"/>
          </w:rPr>
          <w:t>http://www.akcie.cz/kurzy-svet/indexy-svet/sp500?gclid=CK7QgOaw27wCFUjpwgodTQwAIg</w:t>
        </w:r>
      </w:hyperlink>
    </w:p>
    <w:p w:rsidR="00AF399C" w:rsidRDefault="00AF399C" w:rsidP="00AF399C">
      <w:pPr>
        <w:spacing w:before="240" w:line="360" w:lineRule="auto"/>
        <w:rPr>
          <w:szCs w:val="24"/>
        </w:rPr>
      </w:pPr>
      <w:r w:rsidRPr="004246B8">
        <w:rPr>
          <w:szCs w:val="24"/>
        </w:rPr>
        <w:t>Graf č. 1</w:t>
      </w:r>
      <w:r w:rsidR="001904E3">
        <w:rPr>
          <w:szCs w:val="24"/>
        </w:rPr>
        <w:t>0</w:t>
      </w:r>
      <w:r w:rsidRPr="004246B8">
        <w:rPr>
          <w:szCs w:val="24"/>
        </w:rPr>
        <w:t xml:space="preserve"> zobrazuje vývoj kurzu indexu S&amp;P 500 ve sledovaném období</w:t>
      </w:r>
      <w:r>
        <w:rPr>
          <w:szCs w:val="24"/>
        </w:rPr>
        <w:t xml:space="preserve"> 2009-2013</w:t>
      </w:r>
      <w:r w:rsidRPr="004246B8">
        <w:rPr>
          <w:szCs w:val="24"/>
        </w:rPr>
        <w:t xml:space="preserve">. Jsou zde jasně patrné propady </w:t>
      </w:r>
      <w:r>
        <w:rPr>
          <w:szCs w:val="24"/>
        </w:rPr>
        <w:t>na počátku roku 2009 a 2011</w:t>
      </w:r>
      <w:r w:rsidRPr="004246B8">
        <w:rPr>
          <w:szCs w:val="24"/>
        </w:rPr>
        <w:t xml:space="preserve"> související s finanční krizí v těchto letech. </w:t>
      </w:r>
    </w:p>
    <w:p w:rsidR="00AF399C" w:rsidRDefault="00AF399C" w:rsidP="00AF399C">
      <w:pPr>
        <w:spacing w:before="240" w:after="240" w:line="360" w:lineRule="auto"/>
        <w:rPr>
          <w:szCs w:val="24"/>
        </w:rPr>
      </w:pPr>
      <w:r w:rsidRPr="004246B8">
        <w:rPr>
          <w:szCs w:val="24"/>
        </w:rPr>
        <w:t>Následující tabulka</w:t>
      </w:r>
      <w:r w:rsidR="001904E3">
        <w:rPr>
          <w:szCs w:val="24"/>
        </w:rPr>
        <w:t xml:space="preserve"> č. 13</w:t>
      </w:r>
      <w:r w:rsidRPr="004246B8">
        <w:rPr>
          <w:szCs w:val="24"/>
        </w:rPr>
        <w:t xml:space="preserve"> uvádí roční výkonnosti indexu S&amp;P 500 za posledních 5 let:</w:t>
      </w:r>
    </w:p>
    <w:p w:rsidR="001904E3" w:rsidRPr="00F444BB" w:rsidRDefault="001904E3" w:rsidP="001904E3">
      <w:pPr>
        <w:pStyle w:val="Titulek"/>
        <w:spacing w:before="240" w:after="0" w:line="360" w:lineRule="auto"/>
        <w:jc w:val="center"/>
        <w:rPr>
          <w:color w:val="auto"/>
          <w:sz w:val="22"/>
          <w:szCs w:val="22"/>
        </w:rPr>
      </w:pPr>
      <w:bookmarkStart w:id="80" w:name="_Toc385970326"/>
      <w:r w:rsidRPr="00F444BB">
        <w:rPr>
          <w:color w:val="auto"/>
          <w:sz w:val="22"/>
          <w:szCs w:val="22"/>
        </w:rPr>
        <w:t xml:space="preserve">Tabulka č. </w:t>
      </w:r>
      <w:r w:rsidR="008B79C7" w:rsidRPr="00F444BB">
        <w:rPr>
          <w:color w:val="auto"/>
          <w:sz w:val="22"/>
          <w:szCs w:val="22"/>
        </w:rPr>
        <w:fldChar w:fldCharType="begin"/>
      </w:r>
      <w:r w:rsidRPr="00F444BB">
        <w:rPr>
          <w:color w:val="auto"/>
          <w:sz w:val="22"/>
          <w:szCs w:val="22"/>
        </w:rPr>
        <w:instrText xml:space="preserve"> SEQ Tabulka_č. \* ARABIC </w:instrText>
      </w:r>
      <w:r w:rsidR="008B79C7" w:rsidRPr="00F444BB">
        <w:rPr>
          <w:color w:val="auto"/>
          <w:sz w:val="22"/>
          <w:szCs w:val="22"/>
        </w:rPr>
        <w:fldChar w:fldCharType="separate"/>
      </w:r>
      <w:r w:rsidR="00730734">
        <w:rPr>
          <w:noProof/>
          <w:color w:val="auto"/>
          <w:sz w:val="22"/>
          <w:szCs w:val="22"/>
        </w:rPr>
        <w:t>13</w:t>
      </w:r>
      <w:r w:rsidR="008B79C7" w:rsidRPr="00F444BB">
        <w:rPr>
          <w:color w:val="auto"/>
          <w:sz w:val="22"/>
          <w:szCs w:val="22"/>
        </w:rPr>
        <w:fldChar w:fldCharType="end"/>
      </w:r>
      <w:r w:rsidRPr="00F444BB">
        <w:rPr>
          <w:color w:val="auto"/>
          <w:sz w:val="22"/>
          <w:szCs w:val="22"/>
        </w:rPr>
        <w:t xml:space="preserve">: Roční výkonnost indexu S&amp;P 500 v % </w:t>
      </w:r>
      <w:proofErr w:type="gramStart"/>
      <w:r w:rsidRPr="00F444BB">
        <w:rPr>
          <w:color w:val="auto"/>
          <w:sz w:val="22"/>
          <w:szCs w:val="22"/>
        </w:rPr>
        <w:t>p.a.</w:t>
      </w:r>
      <w:bookmarkEnd w:id="80"/>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after="24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color w:val="000000"/>
                <w:szCs w:val="24"/>
              </w:rPr>
            </w:pPr>
            <w:r w:rsidRPr="004246B8">
              <w:rPr>
                <w:color w:val="000000"/>
                <w:szCs w:val="24"/>
              </w:rPr>
              <w:t>23,45 %</w:t>
            </w:r>
          </w:p>
        </w:tc>
        <w:tc>
          <w:tcPr>
            <w:tcW w:w="1599" w:type="dxa"/>
          </w:tcPr>
          <w:p w:rsidR="00AF399C" w:rsidRPr="004246B8" w:rsidRDefault="00AF399C" w:rsidP="002D72A7">
            <w:pPr>
              <w:spacing w:before="0"/>
              <w:jc w:val="center"/>
              <w:cnfStyle w:val="000000100000"/>
              <w:rPr>
                <w:szCs w:val="24"/>
              </w:rPr>
            </w:pPr>
            <w:r w:rsidRPr="004246B8">
              <w:rPr>
                <w:color w:val="000000"/>
                <w:szCs w:val="24"/>
              </w:rPr>
              <w:t>12,78 %</w:t>
            </w:r>
          </w:p>
        </w:tc>
        <w:tc>
          <w:tcPr>
            <w:tcW w:w="1599" w:type="dxa"/>
          </w:tcPr>
          <w:p w:rsidR="00AF399C" w:rsidRPr="004246B8" w:rsidRDefault="00AF399C" w:rsidP="002D72A7">
            <w:pPr>
              <w:spacing w:before="0"/>
              <w:jc w:val="center"/>
              <w:cnfStyle w:val="000000100000"/>
              <w:rPr>
                <w:szCs w:val="24"/>
              </w:rPr>
            </w:pPr>
            <w:r w:rsidRPr="004246B8">
              <w:rPr>
                <w:color w:val="000000"/>
                <w:szCs w:val="24"/>
              </w:rPr>
              <w:t>-0,0032 %</w:t>
            </w:r>
          </w:p>
        </w:tc>
        <w:tc>
          <w:tcPr>
            <w:tcW w:w="1600" w:type="dxa"/>
          </w:tcPr>
          <w:p w:rsidR="00AF399C" w:rsidRPr="004246B8" w:rsidRDefault="00AF399C" w:rsidP="002D72A7">
            <w:pPr>
              <w:spacing w:before="0"/>
              <w:jc w:val="center"/>
              <w:cnfStyle w:val="000000100000"/>
              <w:rPr>
                <w:szCs w:val="24"/>
              </w:rPr>
            </w:pPr>
            <w:r w:rsidRPr="004246B8">
              <w:rPr>
                <w:color w:val="000000"/>
                <w:szCs w:val="24"/>
              </w:rPr>
              <w:t>13,41 %</w:t>
            </w:r>
          </w:p>
        </w:tc>
        <w:tc>
          <w:tcPr>
            <w:tcW w:w="1600" w:type="dxa"/>
          </w:tcPr>
          <w:p w:rsidR="00AF399C" w:rsidRPr="004246B8" w:rsidRDefault="00AF399C" w:rsidP="002D72A7">
            <w:pPr>
              <w:spacing w:before="0"/>
              <w:jc w:val="center"/>
              <w:cnfStyle w:val="000000100000"/>
              <w:rPr>
                <w:color w:val="000000"/>
                <w:szCs w:val="24"/>
              </w:rPr>
            </w:pPr>
            <w:r w:rsidRPr="004246B8">
              <w:rPr>
                <w:color w:val="000000"/>
                <w:szCs w:val="24"/>
              </w:rPr>
              <w:t>29,60 %</w:t>
            </w:r>
          </w:p>
        </w:tc>
      </w:tr>
    </w:tbl>
    <w:p w:rsidR="00AF399C" w:rsidRDefault="00AF399C" w:rsidP="002D72A7">
      <w:pPr>
        <w:spacing w:before="0" w:after="240" w:line="360" w:lineRule="auto"/>
        <w:jc w:val="center"/>
      </w:pPr>
      <w:r w:rsidRPr="00F444BB">
        <w:t xml:space="preserve">Zdroj: vlastní zpracování dle údajů dostupných na S&amp;P 500 Stock Price Index (SP500). </w:t>
      </w:r>
      <w:r w:rsidRPr="00F444BB">
        <w:rPr>
          <w:i/>
          <w:iCs/>
        </w:rPr>
        <w:t>FRED</w:t>
      </w:r>
      <w:r w:rsidRPr="00F444BB">
        <w:t xml:space="preserve"> [online]. 2014 [cit. 2014-02-11]. Dostupné z: http://research.stlouisfed.org/fred2/series/SP500/downloaddata </w:t>
      </w:r>
    </w:p>
    <w:p w:rsidR="00AF399C" w:rsidRDefault="00AF399C" w:rsidP="00AF399C">
      <w:pPr>
        <w:spacing w:after="240" w:line="360" w:lineRule="auto"/>
        <w:rPr>
          <w:szCs w:val="24"/>
        </w:rPr>
      </w:pPr>
      <w:r w:rsidRPr="00F444BB">
        <w:rPr>
          <w:szCs w:val="24"/>
        </w:rPr>
        <w:t>Pro úplnost ještě uvedu, že index S&amp;P 500 je tzv. price index, neuvažuje tedy případnou reinvestici inkasovaných dividend. Toto je zapotřebí mít na paměti při srovnávání výkonnosti tohoto indexu a následujících produktů.</w:t>
      </w:r>
    </w:p>
    <w:p w:rsidR="00AF399C" w:rsidRDefault="00AF399C" w:rsidP="00371136">
      <w:pPr>
        <w:pStyle w:val="Nadpis3"/>
      </w:pPr>
      <w:r>
        <w:t xml:space="preserve"> </w:t>
      </w:r>
      <w:bookmarkStart w:id="81" w:name="_Toc386146022"/>
      <w:r>
        <w:t>Určení produktů pro analýzu a komparaci</w:t>
      </w:r>
      <w:bookmarkEnd w:id="81"/>
    </w:p>
    <w:p w:rsidR="00AF399C" w:rsidRDefault="00AF399C" w:rsidP="00AF399C">
      <w:pPr>
        <w:spacing w:before="240" w:line="360" w:lineRule="auto"/>
      </w:pPr>
      <w:r>
        <w:t>V následující části budou analyzovány produkty vybrané na základě následujících kritérií:</w:t>
      </w:r>
    </w:p>
    <w:p w:rsidR="00AF399C" w:rsidRDefault="00AF399C" w:rsidP="00AF399C">
      <w:pPr>
        <w:pStyle w:val="Odstavecseseznamem"/>
        <w:numPr>
          <w:ilvl w:val="0"/>
          <w:numId w:val="19"/>
        </w:numPr>
        <w:spacing w:before="240"/>
      </w:pPr>
      <w:r>
        <w:t>Měna, ve které jsou vedeny - USD</w:t>
      </w:r>
    </w:p>
    <w:p w:rsidR="00AF399C" w:rsidRDefault="00AF399C" w:rsidP="00AF399C">
      <w:pPr>
        <w:pStyle w:val="Odstavecseseznamem"/>
        <w:numPr>
          <w:ilvl w:val="0"/>
          <w:numId w:val="19"/>
        </w:numPr>
        <w:spacing w:before="240"/>
      </w:pPr>
      <w:r>
        <w:t xml:space="preserve">Podkladové aktivum případně srovnávací benchmark – index </w:t>
      </w:r>
      <w:r w:rsidRPr="004246B8">
        <w:rPr>
          <w:szCs w:val="24"/>
        </w:rPr>
        <w:t>S&amp;P 500</w:t>
      </w:r>
    </w:p>
    <w:p w:rsidR="00AF399C" w:rsidRDefault="00AF399C" w:rsidP="00AF399C">
      <w:pPr>
        <w:pStyle w:val="Odstavecseseznamem"/>
        <w:numPr>
          <w:ilvl w:val="0"/>
          <w:numId w:val="19"/>
        </w:numPr>
        <w:spacing w:before="240"/>
      </w:pPr>
      <w:r>
        <w:t>Dostatečná historie – minimálně 5 let</w:t>
      </w:r>
    </w:p>
    <w:p w:rsidR="00AF399C" w:rsidRDefault="00AF399C" w:rsidP="00AF399C">
      <w:pPr>
        <w:spacing w:before="240" w:after="240" w:line="360" w:lineRule="auto"/>
      </w:pPr>
      <w:r>
        <w:lastRenderedPageBreak/>
        <w:t xml:space="preserve">V níže uvedené tabulce jsou uvedeny fondy, které budou srovnávány. Všechny tyto produkty splňují výše uvedená kritéria a jsou stále aktivní, existuje tedy možnost do nich investovat. </w:t>
      </w:r>
    </w:p>
    <w:p w:rsidR="001904E3" w:rsidRPr="001904E3" w:rsidRDefault="001904E3" w:rsidP="001904E3">
      <w:pPr>
        <w:pStyle w:val="Titulek"/>
        <w:spacing w:after="0" w:line="360" w:lineRule="auto"/>
        <w:jc w:val="center"/>
        <w:rPr>
          <w:color w:val="auto"/>
          <w:sz w:val="22"/>
          <w:szCs w:val="22"/>
        </w:rPr>
      </w:pPr>
      <w:bookmarkStart w:id="82" w:name="_Toc385970327"/>
      <w:r w:rsidRPr="00F444BB">
        <w:rPr>
          <w:color w:val="auto"/>
          <w:sz w:val="22"/>
          <w:szCs w:val="22"/>
        </w:rPr>
        <w:t xml:space="preserve">Tabulka č. </w:t>
      </w:r>
      <w:r w:rsidR="008B79C7" w:rsidRPr="00F444BB">
        <w:rPr>
          <w:color w:val="auto"/>
          <w:sz w:val="22"/>
          <w:szCs w:val="22"/>
        </w:rPr>
        <w:fldChar w:fldCharType="begin"/>
      </w:r>
      <w:r w:rsidRPr="00F444BB">
        <w:rPr>
          <w:color w:val="auto"/>
          <w:sz w:val="22"/>
          <w:szCs w:val="22"/>
        </w:rPr>
        <w:instrText xml:space="preserve"> SEQ Tabulka_č. \* ARABIC </w:instrText>
      </w:r>
      <w:r w:rsidR="008B79C7" w:rsidRPr="00F444BB">
        <w:rPr>
          <w:color w:val="auto"/>
          <w:sz w:val="22"/>
          <w:szCs w:val="22"/>
        </w:rPr>
        <w:fldChar w:fldCharType="separate"/>
      </w:r>
      <w:r w:rsidR="00730734">
        <w:rPr>
          <w:noProof/>
          <w:color w:val="auto"/>
          <w:sz w:val="22"/>
          <w:szCs w:val="22"/>
        </w:rPr>
        <w:t>14</w:t>
      </w:r>
      <w:r w:rsidR="008B79C7" w:rsidRPr="00F444BB">
        <w:rPr>
          <w:color w:val="auto"/>
          <w:sz w:val="22"/>
          <w:szCs w:val="22"/>
        </w:rPr>
        <w:fldChar w:fldCharType="end"/>
      </w:r>
      <w:r w:rsidRPr="00F444BB">
        <w:rPr>
          <w:color w:val="auto"/>
          <w:sz w:val="22"/>
          <w:szCs w:val="22"/>
        </w:rPr>
        <w:t>:</w:t>
      </w:r>
      <w:r>
        <w:rPr>
          <w:color w:val="auto"/>
          <w:sz w:val="22"/>
          <w:szCs w:val="22"/>
        </w:rPr>
        <w:t xml:space="preserve"> </w:t>
      </w:r>
      <w:r w:rsidRPr="00F444BB">
        <w:rPr>
          <w:color w:val="auto"/>
          <w:sz w:val="22"/>
          <w:szCs w:val="22"/>
        </w:rPr>
        <w:t>Produkty vybrané pro analýzu a komparaci</w:t>
      </w:r>
      <w:bookmarkEnd w:id="82"/>
    </w:p>
    <w:tbl>
      <w:tblPr>
        <w:tblStyle w:val="Svtlseznam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3"/>
        <w:gridCol w:w="2303"/>
        <w:gridCol w:w="2303"/>
        <w:gridCol w:w="2303"/>
      </w:tblGrid>
      <w:tr w:rsidR="00AF399C" w:rsidTr="002D72A7">
        <w:trPr>
          <w:cnfStyle w:val="100000000000"/>
        </w:trPr>
        <w:tc>
          <w:tcPr>
            <w:cnfStyle w:val="001000000000"/>
            <w:tcW w:w="2303" w:type="dxa"/>
          </w:tcPr>
          <w:p w:rsidR="00AF399C" w:rsidRDefault="00AF399C" w:rsidP="00AF399C">
            <w:pPr>
              <w:spacing w:before="0" w:line="360" w:lineRule="auto"/>
              <w:jc w:val="center"/>
            </w:pPr>
            <w:r>
              <w:t>Podílový fond</w:t>
            </w:r>
          </w:p>
        </w:tc>
        <w:tc>
          <w:tcPr>
            <w:tcW w:w="2303" w:type="dxa"/>
          </w:tcPr>
          <w:p w:rsidR="00AF399C" w:rsidRDefault="00AF399C" w:rsidP="00AF399C">
            <w:pPr>
              <w:spacing w:before="0" w:line="360" w:lineRule="auto"/>
              <w:jc w:val="center"/>
              <w:cnfStyle w:val="100000000000"/>
            </w:pPr>
            <w:r>
              <w:t>ETF na index</w:t>
            </w:r>
          </w:p>
        </w:tc>
        <w:tc>
          <w:tcPr>
            <w:tcW w:w="2303" w:type="dxa"/>
          </w:tcPr>
          <w:p w:rsidR="00AF399C" w:rsidRDefault="00AF399C" w:rsidP="00AF399C">
            <w:pPr>
              <w:spacing w:before="0" w:line="360" w:lineRule="auto"/>
              <w:jc w:val="center"/>
              <w:cnfStyle w:val="100000000000"/>
            </w:pPr>
            <w:r>
              <w:t>Pákový ETF</w:t>
            </w:r>
          </w:p>
        </w:tc>
        <w:tc>
          <w:tcPr>
            <w:tcW w:w="2303" w:type="dxa"/>
          </w:tcPr>
          <w:p w:rsidR="00AF399C" w:rsidRDefault="00AF399C" w:rsidP="00AF399C">
            <w:pPr>
              <w:spacing w:before="0" w:line="360" w:lineRule="auto"/>
              <w:jc w:val="center"/>
              <w:cnfStyle w:val="100000000000"/>
            </w:pPr>
            <w:r>
              <w:t>Inverzní ETF</w:t>
            </w:r>
          </w:p>
        </w:tc>
      </w:tr>
      <w:tr w:rsidR="00AF399C" w:rsidTr="002D72A7">
        <w:trPr>
          <w:cnfStyle w:val="000000100000"/>
        </w:trPr>
        <w:tc>
          <w:tcPr>
            <w:cnfStyle w:val="001000000000"/>
            <w:tcW w:w="2303" w:type="dxa"/>
            <w:tcBorders>
              <w:top w:val="none" w:sz="0" w:space="0" w:color="auto"/>
              <w:left w:val="none" w:sz="0" w:space="0" w:color="auto"/>
              <w:bottom w:val="none" w:sz="0" w:space="0" w:color="auto"/>
            </w:tcBorders>
          </w:tcPr>
          <w:p w:rsidR="00AF399C" w:rsidRPr="00363AA0" w:rsidRDefault="00AF399C" w:rsidP="00AF399C">
            <w:pPr>
              <w:spacing w:before="0" w:line="360" w:lineRule="auto"/>
              <w:jc w:val="center"/>
              <w:rPr>
                <w:b w:val="0"/>
              </w:rPr>
            </w:pPr>
            <w:r w:rsidRPr="00363AA0">
              <w:rPr>
                <w:b w:val="0"/>
                <w:szCs w:val="24"/>
              </w:rPr>
              <w:t>KBC Index Fund United States</w:t>
            </w:r>
          </w:p>
        </w:tc>
        <w:tc>
          <w:tcPr>
            <w:tcW w:w="2303" w:type="dxa"/>
            <w:tcBorders>
              <w:top w:val="none" w:sz="0" w:space="0" w:color="auto"/>
              <w:bottom w:val="none" w:sz="0" w:space="0" w:color="auto"/>
            </w:tcBorders>
          </w:tcPr>
          <w:p w:rsidR="00AF399C" w:rsidRPr="00363AA0" w:rsidRDefault="00AF399C" w:rsidP="00AF399C">
            <w:pPr>
              <w:spacing w:before="0" w:line="360" w:lineRule="auto"/>
              <w:jc w:val="center"/>
              <w:cnfStyle w:val="000000100000"/>
            </w:pPr>
            <w:r w:rsidRPr="00363AA0">
              <w:rPr>
                <w:szCs w:val="24"/>
              </w:rPr>
              <w:t>SPDR S&amp;P 500</w:t>
            </w:r>
            <w:r w:rsidRPr="00363AA0">
              <w:rPr>
                <w:szCs w:val="24"/>
                <w:vertAlign w:val="superscript"/>
              </w:rPr>
              <w:t xml:space="preserve"> </w:t>
            </w:r>
            <w:r w:rsidRPr="00363AA0">
              <w:rPr>
                <w:szCs w:val="24"/>
              </w:rPr>
              <w:t>ETF,</w:t>
            </w:r>
          </w:p>
        </w:tc>
        <w:tc>
          <w:tcPr>
            <w:tcW w:w="2303" w:type="dxa"/>
            <w:tcBorders>
              <w:top w:val="none" w:sz="0" w:space="0" w:color="auto"/>
              <w:bottom w:val="none" w:sz="0" w:space="0" w:color="auto"/>
            </w:tcBorders>
          </w:tcPr>
          <w:p w:rsidR="00AF399C" w:rsidRPr="00363AA0" w:rsidRDefault="00AF399C" w:rsidP="00AF399C">
            <w:pPr>
              <w:spacing w:before="0" w:line="360" w:lineRule="auto"/>
              <w:jc w:val="center"/>
              <w:cnfStyle w:val="000000100000"/>
            </w:pPr>
            <w:r w:rsidRPr="00363AA0">
              <w:rPr>
                <w:szCs w:val="24"/>
              </w:rPr>
              <w:t>ProShares Ultra S&amp;P500</w:t>
            </w:r>
          </w:p>
        </w:tc>
        <w:tc>
          <w:tcPr>
            <w:tcW w:w="2303" w:type="dxa"/>
            <w:tcBorders>
              <w:top w:val="none" w:sz="0" w:space="0" w:color="auto"/>
              <w:bottom w:val="none" w:sz="0" w:space="0" w:color="auto"/>
              <w:right w:val="none" w:sz="0" w:space="0" w:color="auto"/>
            </w:tcBorders>
          </w:tcPr>
          <w:p w:rsidR="00AF399C" w:rsidRPr="00363AA0" w:rsidRDefault="00AF399C" w:rsidP="00AF399C">
            <w:pPr>
              <w:spacing w:before="0" w:line="360" w:lineRule="auto"/>
              <w:jc w:val="center"/>
              <w:cnfStyle w:val="000000100000"/>
            </w:pPr>
            <w:r w:rsidRPr="00363AA0">
              <w:rPr>
                <w:szCs w:val="24"/>
              </w:rPr>
              <w:t>ProShares UltraShort S&amp;P500</w:t>
            </w:r>
          </w:p>
        </w:tc>
      </w:tr>
    </w:tbl>
    <w:p w:rsidR="00AF399C" w:rsidRDefault="00AF399C" w:rsidP="001904E3">
      <w:pPr>
        <w:spacing w:line="360" w:lineRule="auto"/>
        <w:jc w:val="center"/>
      </w:pPr>
      <w:r w:rsidRPr="00CA6BC5">
        <w:t xml:space="preserve">Zdroj: </w:t>
      </w:r>
      <w:r>
        <w:t>V</w:t>
      </w:r>
      <w:r w:rsidRPr="00CA6BC5">
        <w:t>lastní zpracování</w:t>
      </w:r>
    </w:p>
    <w:p w:rsidR="00AF399C" w:rsidRDefault="00AF399C" w:rsidP="00371136">
      <w:pPr>
        <w:pStyle w:val="Nadpis3"/>
      </w:pPr>
      <w:bookmarkStart w:id="83" w:name="_Toc386146023"/>
      <w:r w:rsidRPr="00CC6A6C">
        <w:t>Investice do vybraného podílového fondu</w:t>
      </w:r>
      <w:bookmarkEnd w:id="83"/>
    </w:p>
    <w:p w:rsidR="002D72A7" w:rsidRPr="004246B8" w:rsidRDefault="00AF399C" w:rsidP="00AF399C">
      <w:pPr>
        <w:spacing w:before="240" w:line="360" w:lineRule="auto"/>
        <w:rPr>
          <w:szCs w:val="24"/>
        </w:rPr>
      </w:pPr>
      <w:r w:rsidRPr="004246B8">
        <w:rPr>
          <w:szCs w:val="24"/>
        </w:rPr>
        <w:t xml:space="preserve">Jako zástupce podílového fondu jsem zvolila fond KBC Index Fund United States, jehož ISIN je BE0166769266. Jedná se o fond skupiny KBC denominovaný v měně USD. Do portfolia tohoto produktu jsou zařazeny především americké akcie obsažené v indexu S&amp;P 500, který také zároveň slouží jako benchmark. Hlavním cílem tohoto cenného papíru je dosažení co možná nejvyšších výnosů. </w:t>
      </w:r>
    </w:p>
    <w:p w:rsidR="001904E3" w:rsidRPr="00F444BB" w:rsidRDefault="001904E3" w:rsidP="001904E3">
      <w:pPr>
        <w:pStyle w:val="Titulek"/>
        <w:spacing w:before="240" w:after="0" w:line="360" w:lineRule="auto"/>
        <w:jc w:val="center"/>
        <w:rPr>
          <w:color w:val="auto"/>
          <w:sz w:val="22"/>
          <w:szCs w:val="20"/>
        </w:rPr>
      </w:pPr>
      <w:bookmarkStart w:id="84" w:name="_Toc385970612"/>
      <w:r w:rsidRPr="00F444BB">
        <w:rPr>
          <w:color w:val="auto"/>
          <w:sz w:val="22"/>
          <w:szCs w:val="20"/>
        </w:rPr>
        <w:t xml:space="preserve">Graf č. </w:t>
      </w:r>
      <w:r w:rsidR="008B79C7" w:rsidRPr="00F444BB">
        <w:rPr>
          <w:color w:val="auto"/>
          <w:sz w:val="22"/>
          <w:szCs w:val="20"/>
        </w:rPr>
        <w:fldChar w:fldCharType="begin"/>
      </w:r>
      <w:r w:rsidRPr="00F444BB">
        <w:rPr>
          <w:color w:val="auto"/>
          <w:sz w:val="22"/>
          <w:szCs w:val="20"/>
        </w:rPr>
        <w:instrText xml:space="preserve"> SEQ Graf_č. \* ARABIC </w:instrText>
      </w:r>
      <w:r w:rsidR="008B79C7" w:rsidRPr="00F444BB">
        <w:rPr>
          <w:color w:val="auto"/>
          <w:sz w:val="22"/>
          <w:szCs w:val="20"/>
        </w:rPr>
        <w:fldChar w:fldCharType="separate"/>
      </w:r>
      <w:r w:rsidR="002E0A33">
        <w:rPr>
          <w:noProof/>
          <w:color w:val="auto"/>
          <w:sz w:val="22"/>
          <w:szCs w:val="20"/>
        </w:rPr>
        <w:t>11</w:t>
      </w:r>
      <w:r w:rsidR="008B79C7" w:rsidRPr="00F444BB">
        <w:rPr>
          <w:color w:val="auto"/>
          <w:sz w:val="22"/>
          <w:szCs w:val="20"/>
        </w:rPr>
        <w:fldChar w:fldCharType="end"/>
      </w:r>
      <w:r w:rsidRPr="00F444BB">
        <w:rPr>
          <w:color w:val="auto"/>
          <w:sz w:val="22"/>
          <w:szCs w:val="20"/>
        </w:rPr>
        <w:t>: Vývoj hodnoty kurzu podílového listu BE0166769266</w:t>
      </w:r>
      <w:bookmarkEnd w:id="84"/>
    </w:p>
    <w:p w:rsidR="00AF399C" w:rsidRPr="004246B8" w:rsidRDefault="00AF399C" w:rsidP="00AF399C">
      <w:pPr>
        <w:spacing w:before="240" w:line="360" w:lineRule="auto"/>
        <w:rPr>
          <w:szCs w:val="24"/>
        </w:rPr>
      </w:pPr>
      <w:r w:rsidRPr="004246B8">
        <w:rPr>
          <w:noProof/>
          <w:szCs w:val="24"/>
          <w:lang w:eastAsia="cs-CZ"/>
        </w:rPr>
        <w:drawing>
          <wp:inline distT="0" distB="0" distL="0" distR="0">
            <wp:extent cx="6092456" cy="2275368"/>
            <wp:effectExtent l="0" t="0" r="3544" b="0"/>
            <wp:docPr id="5"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F399C" w:rsidRPr="001904E3" w:rsidRDefault="00AF399C" w:rsidP="001904E3">
      <w:pPr>
        <w:spacing w:line="360" w:lineRule="auto"/>
        <w:jc w:val="center"/>
        <w:rPr>
          <w:sz w:val="22"/>
        </w:rPr>
      </w:pPr>
      <w:r w:rsidRPr="001904E3">
        <w:rPr>
          <w:sz w:val="22"/>
        </w:rPr>
        <w:t xml:space="preserve">Zdroj: Vlastní zobrazení dle údajů KBC Index Fund USA. </w:t>
      </w:r>
      <w:r w:rsidRPr="001904E3">
        <w:rPr>
          <w:i/>
          <w:iCs/>
          <w:sz w:val="22"/>
        </w:rPr>
        <w:t>ČSOB</w:t>
      </w:r>
      <w:r w:rsidRPr="001904E3">
        <w:rPr>
          <w:sz w:val="22"/>
        </w:rPr>
        <w:t xml:space="preserve"> [online]. 2014 [cit. 2014-02-12]. Dostupné z: </w:t>
      </w:r>
      <w:bookmarkStart w:id="85" w:name="OLE_LINK1"/>
      <w:bookmarkStart w:id="86" w:name="OLE_LINK2"/>
      <w:r w:rsidRPr="001904E3">
        <w:rPr>
          <w:sz w:val="22"/>
        </w:rPr>
        <w:t>http://www.csob.cz/cz/fondy/Akciove-fondy/Stranky/BE0166769266.aspx</w:t>
      </w:r>
      <w:bookmarkEnd w:id="85"/>
      <w:bookmarkEnd w:id="86"/>
    </w:p>
    <w:p w:rsidR="00AF399C" w:rsidRPr="004246B8" w:rsidRDefault="00AF399C" w:rsidP="00AF399C">
      <w:pPr>
        <w:spacing w:after="240" w:line="360" w:lineRule="auto"/>
        <w:rPr>
          <w:color w:val="000000"/>
          <w:szCs w:val="24"/>
        </w:rPr>
      </w:pPr>
      <w:r w:rsidRPr="004246B8">
        <w:rPr>
          <w:szCs w:val="24"/>
        </w:rPr>
        <w:t xml:space="preserve">Vývoj hodnoty kurzu tohoto produktu lze sledovat na grafu č. </w:t>
      </w:r>
      <w:r w:rsidR="001904E3">
        <w:rPr>
          <w:szCs w:val="24"/>
        </w:rPr>
        <w:t>11</w:t>
      </w:r>
      <w:r w:rsidRPr="004246B8">
        <w:rPr>
          <w:szCs w:val="24"/>
        </w:rPr>
        <w:t xml:space="preserve">. Sledované období je posledních 5 let, stejně jako i u ostatních produktů. Jak je patrné již z grafu, kurz tohoto produktu za posledních 5 let má rostoucí tendenci. Na počátku sledovaného období tzn. </w:t>
      </w:r>
      <w:r w:rsidRPr="004246B8">
        <w:rPr>
          <w:szCs w:val="24"/>
        </w:rPr>
        <w:lastRenderedPageBreak/>
        <w:t>k </w:t>
      </w:r>
      <w:proofErr w:type="gramStart"/>
      <w:r w:rsidRPr="004246B8">
        <w:rPr>
          <w:szCs w:val="24"/>
        </w:rPr>
        <w:t>5.1.2009</w:t>
      </w:r>
      <w:proofErr w:type="gramEnd"/>
      <w:r w:rsidRPr="004246B8">
        <w:rPr>
          <w:szCs w:val="24"/>
        </w:rPr>
        <w:t xml:space="preserve"> byl kurz stanoven na 94,4 USD, oproti tomu ke konci sledovaného období tzn. k 31.12.2013 dosáhl hodnoty </w:t>
      </w:r>
      <w:r w:rsidRPr="004246B8">
        <w:rPr>
          <w:color w:val="000000"/>
          <w:szCs w:val="24"/>
        </w:rPr>
        <w:t xml:space="preserve">200,49 </w:t>
      </w:r>
      <w:r w:rsidRPr="004246B8">
        <w:rPr>
          <w:szCs w:val="24"/>
        </w:rPr>
        <w:t>USD.</w:t>
      </w:r>
      <w:r w:rsidRPr="004246B8">
        <w:rPr>
          <w:rStyle w:val="Znakapoznpodarou"/>
          <w:szCs w:val="24"/>
        </w:rPr>
        <w:footnoteReference w:id="77"/>
      </w:r>
    </w:p>
    <w:p w:rsidR="00AF399C" w:rsidRPr="004246B8" w:rsidRDefault="00AF399C" w:rsidP="00AF399C">
      <w:pPr>
        <w:spacing w:after="240" w:line="360" w:lineRule="auto"/>
        <w:rPr>
          <w:szCs w:val="24"/>
        </w:rPr>
      </w:pPr>
      <w:r w:rsidRPr="004246B8">
        <w:rPr>
          <w:szCs w:val="24"/>
        </w:rPr>
        <w:t xml:space="preserve">Co se týče složení portfolia, pak aktuální kompletní skladbu lze dohledat ve výroční zprávě cenného papíru. Ačkoli se tento fond snaží kopírovat složení indexu S&amp;P 500, jsou zde ve velmi omezené míře zastoupeny i jiné instrumenty než akcie. 0,24% portfolia zabírají dle výroční zprávy z roku 2013 irské dluhopisy, zbytek portfolia je zastoupen v drtivé míře americkými akciemi. Své zastoupení zde však naleznou mimo jiné i akcie australské, kanadské či švýcarské. </w:t>
      </w:r>
      <w:r w:rsidRPr="004246B8">
        <w:rPr>
          <w:rStyle w:val="Znakapoznpodarou"/>
          <w:szCs w:val="24"/>
        </w:rPr>
        <w:footnoteReference w:id="78"/>
      </w:r>
      <w:r w:rsidRPr="004246B8">
        <w:rPr>
          <w:szCs w:val="24"/>
        </w:rPr>
        <w:t xml:space="preserve"> </w:t>
      </w:r>
    </w:p>
    <w:p w:rsidR="00AF399C" w:rsidRPr="004246B8" w:rsidRDefault="00AF399C" w:rsidP="00AF399C">
      <w:pPr>
        <w:spacing w:after="240" w:line="360" w:lineRule="auto"/>
        <w:rPr>
          <w:szCs w:val="24"/>
        </w:rPr>
      </w:pPr>
      <w:r w:rsidRPr="004246B8">
        <w:rPr>
          <w:szCs w:val="24"/>
        </w:rPr>
        <w:t>Dle prospektu cenného papíru může tento fond investovat kromě akcií také do instrumentů peněžního trhu,</w:t>
      </w:r>
      <w:r>
        <w:rPr>
          <w:szCs w:val="24"/>
        </w:rPr>
        <w:t xml:space="preserve"> fondů kolektivního investování</w:t>
      </w:r>
      <w:r w:rsidRPr="004246B8">
        <w:rPr>
          <w:szCs w:val="24"/>
        </w:rPr>
        <w:t xml:space="preserve">, depozit, finančních </w:t>
      </w:r>
      <w:proofErr w:type="gramStart"/>
      <w:r w:rsidRPr="004246B8">
        <w:rPr>
          <w:szCs w:val="24"/>
        </w:rPr>
        <w:t>derivátů  a dalších</w:t>
      </w:r>
      <w:proofErr w:type="gramEnd"/>
      <w:r w:rsidRPr="004246B8">
        <w:rPr>
          <w:szCs w:val="24"/>
        </w:rPr>
        <w:t xml:space="preserve"> instrumentů, pokud to povoluje zákon.</w:t>
      </w:r>
      <w:r w:rsidRPr="004246B8">
        <w:rPr>
          <w:rStyle w:val="Znakapoznpodarou"/>
          <w:szCs w:val="24"/>
        </w:rPr>
        <w:footnoteReference w:id="79"/>
      </w:r>
      <w:r w:rsidRPr="004246B8">
        <w:rPr>
          <w:szCs w:val="24"/>
        </w:rPr>
        <w:t xml:space="preserve"> Zmíněné derivátové instrumenty mohou být využity pro případ dosažení investičních cílů fondu, využívány mohou být forwardy, opce</w:t>
      </w:r>
      <w:r w:rsidR="00127C1E">
        <w:rPr>
          <w:szCs w:val="24"/>
        </w:rPr>
        <w:t>,</w:t>
      </w:r>
      <w:r w:rsidRPr="004246B8">
        <w:rPr>
          <w:szCs w:val="24"/>
        </w:rPr>
        <w:t xml:space="preserve"> případně swapové kontrakty ať už na indexy, měny nebo úrokové sazby. Hlavním cílem využití derivátových instrumentů je zabezpečení portofila například proti měnovému riziku</w:t>
      </w:r>
    </w:p>
    <w:p w:rsidR="00AF399C" w:rsidRPr="004246B8" w:rsidRDefault="00AF399C" w:rsidP="00AF399C">
      <w:pPr>
        <w:spacing w:after="240" w:line="360" w:lineRule="auto"/>
        <w:rPr>
          <w:szCs w:val="24"/>
        </w:rPr>
      </w:pPr>
      <w:r w:rsidRPr="004246B8">
        <w:rPr>
          <w:szCs w:val="24"/>
        </w:rPr>
        <w:t>Tento cenný papír lze ob</w:t>
      </w:r>
      <w:r>
        <w:rPr>
          <w:szCs w:val="24"/>
        </w:rPr>
        <w:t>chodovat prostřednictvím Českos</w:t>
      </w:r>
      <w:r w:rsidRPr="004246B8">
        <w:rPr>
          <w:szCs w:val="24"/>
        </w:rPr>
        <w:t>lovenské obchodní banky, informaci o vývoji kurzu lze dohledat na jejich stránkách</w:t>
      </w:r>
      <w:r w:rsidRPr="004246B8">
        <w:rPr>
          <w:rStyle w:val="Znakapoznpodarou"/>
          <w:szCs w:val="24"/>
        </w:rPr>
        <w:footnoteReference w:id="80"/>
      </w:r>
      <w:r w:rsidRPr="004246B8">
        <w:rPr>
          <w:szCs w:val="24"/>
        </w:rPr>
        <w:t>. Jedná se o kapitalizační fond, což znamená, že výnosy z inkasovaných dividend jsou reinvestovány dle pravidel uvedených v</w:t>
      </w:r>
      <w:r>
        <w:rPr>
          <w:szCs w:val="24"/>
        </w:rPr>
        <w:t> </w:t>
      </w:r>
      <w:r w:rsidRPr="004246B8">
        <w:rPr>
          <w:szCs w:val="24"/>
        </w:rPr>
        <w:t>prospektu</w:t>
      </w:r>
      <w:r>
        <w:rPr>
          <w:szCs w:val="24"/>
        </w:rPr>
        <w:t xml:space="preserve"> a investor tedy nemůže očekávat průběžné důchodové platby</w:t>
      </w:r>
      <w:r w:rsidRPr="004246B8">
        <w:rPr>
          <w:szCs w:val="24"/>
        </w:rPr>
        <w:t xml:space="preserve">. </w:t>
      </w:r>
    </w:p>
    <w:p w:rsidR="00AF399C" w:rsidRDefault="00AF399C" w:rsidP="00AF399C">
      <w:pPr>
        <w:spacing w:after="240" w:line="360" w:lineRule="auto"/>
        <w:rPr>
          <w:szCs w:val="24"/>
        </w:rPr>
      </w:pPr>
      <w:r w:rsidRPr="004246B8">
        <w:rPr>
          <w:szCs w:val="24"/>
        </w:rPr>
        <w:t xml:space="preserve">Pro výpočet výnosnosti tohoto fondu za sledované období </w:t>
      </w:r>
      <w:r w:rsidRPr="00127C1E">
        <w:rPr>
          <w:szCs w:val="24"/>
        </w:rPr>
        <w:t xml:space="preserve">využiji </w:t>
      </w:r>
      <w:proofErr w:type="gramStart"/>
      <w:r w:rsidRPr="00127C1E">
        <w:rPr>
          <w:szCs w:val="24"/>
        </w:rPr>
        <w:t xml:space="preserve">vzorec </w:t>
      </w:r>
      <w:r w:rsidR="00127C1E" w:rsidRPr="00127C1E">
        <w:rPr>
          <w:szCs w:val="24"/>
        </w:rPr>
        <w:t xml:space="preserve"> č.</w:t>
      </w:r>
      <w:proofErr w:type="gramEnd"/>
      <w:r w:rsidR="00127C1E" w:rsidRPr="00127C1E">
        <w:rPr>
          <w:szCs w:val="24"/>
        </w:rPr>
        <w:t xml:space="preserve"> 9</w:t>
      </w:r>
      <w:r w:rsidRPr="00127C1E">
        <w:rPr>
          <w:szCs w:val="24"/>
        </w:rPr>
        <w:t>, pro</w:t>
      </w:r>
      <w:r w:rsidRPr="004246B8">
        <w:rPr>
          <w:szCs w:val="24"/>
        </w:rPr>
        <w:t xml:space="preserve"> možnost lepšího srovnání budu volit roční výnosnost. Po dosažení příslušných hodnot do daného vzorce získáme následující tabulku výnosnosti:</w:t>
      </w:r>
    </w:p>
    <w:p w:rsidR="000B447C" w:rsidRDefault="000B447C" w:rsidP="00AF399C">
      <w:pPr>
        <w:spacing w:after="240" w:line="360" w:lineRule="auto"/>
        <w:rPr>
          <w:szCs w:val="24"/>
        </w:rPr>
      </w:pPr>
    </w:p>
    <w:p w:rsidR="000B447C" w:rsidRDefault="000B447C" w:rsidP="00AF399C">
      <w:pPr>
        <w:spacing w:after="240" w:line="360" w:lineRule="auto"/>
        <w:rPr>
          <w:szCs w:val="24"/>
        </w:rPr>
      </w:pPr>
    </w:p>
    <w:p w:rsidR="001904E3" w:rsidRPr="001904E3" w:rsidRDefault="001904E3" w:rsidP="001904E3">
      <w:pPr>
        <w:pStyle w:val="Titulek"/>
        <w:spacing w:after="0" w:line="360" w:lineRule="auto"/>
        <w:jc w:val="center"/>
        <w:rPr>
          <w:color w:val="auto"/>
          <w:sz w:val="22"/>
        </w:rPr>
      </w:pPr>
      <w:bookmarkStart w:id="87" w:name="_Toc385970328"/>
      <w:r w:rsidRPr="00F444BB">
        <w:rPr>
          <w:color w:val="auto"/>
          <w:sz w:val="22"/>
        </w:rPr>
        <w:lastRenderedPageBreak/>
        <w:t xml:space="preserve">Tabulka č. </w:t>
      </w:r>
      <w:r w:rsidR="008B79C7" w:rsidRPr="00F444BB">
        <w:rPr>
          <w:color w:val="auto"/>
          <w:sz w:val="22"/>
        </w:rPr>
        <w:fldChar w:fldCharType="begin"/>
      </w:r>
      <w:r w:rsidRPr="00F444BB">
        <w:rPr>
          <w:color w:val="auto"/>
          <w:sz w:val="22"/>
        </w:rPr>
        <w:instrText xml:space="preserve"> SEQ Tabulka_č. \* ARABIC </w:instrText>
      </w:r>
      <w:r w:rsidR="008B79C7" w:rsidRPr="00F444BB">
        <w:rPr>
          <w:color w:val="auto"/>
          <w:sz w:val="22"/>
        </w:rPr>
        <w:fldChar w:fldCharType="separate"/>
      </w:r>
      <w:r w:rsidR="00730734">
        <w:rPr>
          <w:noProof/>
          <w:color w:val="auto"/>
          <w:sz w:val="22"/>
        </w:rPr>
        <w:t>15</w:t>
      </w:r>
      <w:r w:rsidR="008B79C7" w:rsidRPr="00F444BB">
        <w:rPr>
          <w:color w:val="auto"/>
          <w:sz w:val="22"/>
        </w:rPr>
        <w:fldChar w:fldCharType="end"/>
      </w:r>
      <w:r w:rsidRPr="00F444BB">
        <w:rPr>
          <w:color w:val="auto"/>
          <w:sz w:val="22"/>
        </w:rPr>
        <w:t xml:space="preserve">: </w:t>
      </w:r>
      <w:r>
        <w:rPr>
          <w:color w:val="auto"/>
          <w:sz w:val="22"/>
        </w:rPr>
        <w:t xml:space="preserve">Hrubá </w:t>
      </w:r>
      <w:r w:rsidRPr="00F444BB">
        <w:rPr>
          <w:color w:val="auto"/>
          <w:sz w:val="22"/>
        </w:rPr>
        <w:t>výnosnost podílového fondu KBC Index Fund United States</w:t>
      </w:r>
      <w:r w:rsidRPr="00057225">
        <w:rPr>
          <w:color w:val="auto"/>
          <w:sz w:val="22"/>
        </w:rPr>
        <w:t xml:space="preserve"> </w:t>
      </w:r>
      <w:r w:rsidRPr="00F444BB">
        <w:rPr>
          <w:color w:val="auto"/>
          <w:sz w:val="22"/>
        </w:rPr>
        <w:t xml:space="preserve">v % </w:t>
      </w:r>
      <w:proofErr w:type="gramStart"/>
      <w:r w:rsidRPr="00F444BB">
        <w:rPr>
          <w:color w:val="auto"/>
          <w:sz w:val="22"/>
        </w:rPr>
        <w:t>p.a.</w:t>
      </w:r>
      <w:bookmarkEnd w:id="87"/>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szCs w:val="24"/>
              </w:rPr>
              <w:t>25,67</w:t>
            </w:r>
            <w:r>
              <w:rPr>
                <w:szCs w:val="24"/>
              </w:rPr>
              <w:t xml:space="preserve"> %</w:t>
            </w:r>
          </w:p>
        </w:tc>
        <w:tc>
          <w:tcPr>
            <w:tcW w:w="1599" w:type="dxa"/>
          </w:tcPr>
          <w:p w:rsidR="00AF399C" w:rsidRPr="004246B8" w:rsidRDefault="00AF399C" w:rsidP="002D72A7">
            <w:pPr>
              <w:spacing w:before="0"/>
              <w:jc w:val="center"/>
              <w:cnfStyle w:val="000000100000"/>
              <w:rPr>
                <w:szCs w:val="24"/>
              </w:rPr>
            </w:pPr>
            <w:r w:rsidRPr="004246B8">
              <w:rPr>
                <w:szCs w:val="24"/>
              </w:rPr>
              <w:t>14,23</w:t>
            </w:r>
            <w:r>
              <w:rPr>
                <w:szCs w:val="24"/>
              </w:rPr>
              <w:t xml:space="preserve"> </w:t>
            </w:r>
            <w:r w:rsidRPr="004246B8">
              <w:rPr>
                <w:szCs w:val="24"/>
              </w:rPr>
              <w:t>%</w:t>
            </w:r>
          </w:p>
        </w:tc>
        <w:tc>
          <w:tcPr>
            <w:tcW w:w="1599" w:type="dxa"/>
          </w:tcPr>
          <w:p w:rsidR="00AF399C" w:rsidRPr="004246B8" w:rsidRDefault="00AF399C" w:rsidP="002D72A7">
            <w:pPr>
              <w:spacing w:before="0"/>
              <w:jc w:val="center"/>
              <w:cnfStyle w:val="000000100000"/>
              <w:rPr>
                <w:szCs w:val="24"/>
              </w:rPr>
            </w:pPr>
            <w:r w:rsidRPr="004246B8">
              <w:rPr>
                <w:szCs w:val="24"/>
              </w:rPr>
              <w:t>1,08</w:t>
            </w:r>
            <w:r>
              <w:rPr>
                <w:szCs w:val="24"/>
              </w:rPr>
              <w:t xml:space="preserve"> </w:t>
            </w:r>
            <w:r w:rsidRPr="004246B8">
              <w:rPr>
                <w:szCs w:val="24"/>
              </w:rPr>
              <w:t>%</w:t>
            </w:r>
          </w:p>
        </w:tc>
        <w:tc>
          <w:tcPr>
            <w:tcW w:w="1600" w:type="dxa"/>
          </w:tcPr>
          <w:p w:rsidR="00AF399C" w:rsidRPr="004246B8" w:rsidRDefault="00AF399C" w:rsidP="002D72A7">
            <w:pPr>
              <w:spacing w:before="0"/>
              <w:jc w:val="center"/>
              <w:cnfStyle w:val="000000100000"/>
              <w:rPr>
                <w:szCs w:val="24"/>
              </w:rPr>
            </w:pPr>
            <w:r w:rsidRPr="004246B8">
              <w:rPr>
                <w:szCs w:val="24"/>
              </w:rPr>
              <w:t>14,70</w:t>
            </w:r>
            <w:r>
              <w:rPr>
                <w:szCs w:val="24"/>
              </w:rPr>
              <w:t xml:space="preserve"> </w:t>
            </w:r>
            <w:r w:rsidRPr="004246B8">
              <w:rPr>
                <w:szCs w:val="24"/>
              </w:rPr>
              <w:t>%</w:t>
            </w:r>
          </w:p>
        </w:tc>
        <w:tc>
          <w:tcPr>
            <w:tcW w:w="1600" w:type="dxa"/>
          </w:tcPr>
          <w:p w:rsidR="00AF399C" w:rsidRPr="004246B8" w:rsidRDefault="00AF399C" w:rsidP="002D72A7">
            <w:pPr>
              <w:spacing w:before="0"/>
              <w:jc w:val="center"/>
              <w:cnfStyle w:val="000000100000"/>
              <w:rPr>
                <w:szCs w:val="24"/>
              </w:rPr>
            </w:pPr>
            <w:r w:rsidRPr="004246B8">
              <w:rPr>
                <w:szCs w:val="24"/>
              </w:rPr>
              <w:t>31,07</w:t>
            </w:r>
            <w:r>
              <w:rPr>
                <w:szCs w:val="24"/>
              </w:rPr>
              <w:t xml:space="preserve"> </w:t>
            </w:r>
            <w:r w:rsidRPr="004246B8">
              <w:rPr>
                <w:szCs w:val="24"/>
              </w:rPr>
              <w:t>%</w:t>
            </w:r>
          </w:p>
        </w:tc>
      </w:tr>
    </w:tbl>
    <w:p w:rsidR="00AF399C" w:rsidRPr="001904E3" w:rsidRDefault="00AF399C" w:rsidP="002D72A7">
      <w:pPr>
        <w:spacing w:before="0" w:line="360" w:lineRule="auto"/>
        <w:jc w:val="center"/>
        <w:rPr>
          <w:sz w:val="22"/>
        </w:rPr>
      </w:pPr>
      <w:r w:rsidRPr="001904E3">
        <w:rPr>
          <w:sz w:val="22"/>
        </w:rPr>
        <w:t xml:space="preserve">Zdroj: Vlastní zpracování dle údajů KBC Index Fund USA. </w:t>
      </w:r>
      <w:r w:rsidRPr="001904E3">
        <w:rPr>
          <w:i/>
          <w:iCs/>
          <w:sz w:val="22"/>
        </w:rPr>
        <w:t>ČSOB</w:t>
      </w:r>
      <w:r w:rsidRPr="001904E3">
        <w:rPr>
          <w:sz w:val="22"/>
        </w:rPr>
        <w:t xml:space="preserve"> [online]. 2014 [cit. 2014-02-12]. Dostupné z: http://www.csob.cz/cz/fondy/Akciove-fondy/Stranky/BE0166769266.aspx</w:t>
      </w:r>
    </w:p>
    <w:p w:rsidR="00AF399C" w:rsidRPr="004246B8" w:rsidRDefault="00AF399C" w:rsidP="00AF399C">
      <w:pPr>
        <w:spacing w:after="240" w:line="360" w:lineRule="auto"/>
        <w:rPr>
          <w:szCs w:val="24"/>
        </w:rPr>
      </w:pPr>
      <w:r w:rsidRPr="004246B8">
        <w:rPr>
          <w:szCs w:val="24"/>
        </w:rPr>
        <w:t>V uvedené tabulce</w:t>
      </w:r>
      <w:r w:rsidR="001904E3">
        <w:rPr>
          <w:szCs w:val="24"/>
        </w:rPr>
        <w:t xml:space="preserve"> č. 15</w:t>
      </w:r>
      <w:r w:rsidRPr="004246B8">
        <w:rPr>
          <w:szCs w:val="24"/>
        </w:rPr>
        <w:t xml:space="preserve"> nejsou zohledněny poplatky spojené s investicemi do tohoto fondu, odráží tedy pouze zhodnocení kurzu podílového listu tohoto fondu. Jak lze z uvedených údajů </w:t>
      </w:r>
      <w:proofErr w:type="gramStart"/>
      <w:r w:rsidRPr="004246B8">
        <w:rPr>
          <w:szCs w:val="24"/>
        </w:rPr>
        <w:t xml:space="preserve">pozorovat, </w:t>
      </w:r>
      <w:r>
        <w:rPr>
          <w:szCs w:val="24"/>
        </w:rPr>
        <w:t xml:space="preserve"> </w:t>
      </w:r>
      <w:r w:rsidRPr="004246B8">
        <w:rPr>
          <w:szCs w:val="24"/>
        </w:rPr>
        <w:t>můžeme</w:t>
      </w:r>
      <w:proofErr w:type="gramEnd"/>
      <w:r w:rsidRPr="004246B8">
        <w:rPr>
          <w:szCs w:val="24"/>
        </w:rPr>
        <w:t xml:space="preserve"> tento cenný papír považovat za výnosový (s výjimkou roku 2011, kde se naplno projevily dopady finanční krize a výnos značně poklesl). V uvedeném je však potřeba mít na vědomí, že se jedná pouze o hodnoty za posledních 5 let, uvedený fond datuje svůj vznik k </w:t>
      </w:r>
      <w:proofErr w:type="gramStart"/>
      <w:r w:rsidRPr="004246B8">
        <w:rPr>
          <w:szCs w:val="24"/>
        </w:rPr>
        <w:t>6</w:t>
      </w:r>
      <w:r>
        <w:rPr>
          <w:szCs w:val="24"/>
        </w:rPr>
        <w:t>.3.</w:t>
      </w:r>
      <w:r w:rsidRPr="004246B8">
        <w:rPr>
          <w:szCs w:val="24"/>
        </w:rPr>
        <w:t>1998</w:t>
      </w:r>
      <w:proofErr w:type="gramEnd"/>
      <w:r w:rsidRPr="004246B8">
        <w:rPr>
          <w:szCs w:val="24"/>
        </w:rPr>
        <w:t xml:space="preserve">, zaznamenal tedy výrazné propady i při předešlých krizích v letech 2002 a 2008. Dle dostupných údajů je výnosnost desetiletého horizontu 6,08 % </w:t>
      </w:r>
      <w:proofErr w:type="gramStart"/>
      <w:r w:rsidRPr="004246B8">
        <w:rPr>
          <w:szCs w:val="24"/>
        </w:rPr>
        <w:t>p.a.</w:t>
      </w:r>
      <w:proofErr w:type="gramEnd"/>
      <w:r w:rsidRPr="004246B8">
        <w:rPr>
          <w:szCs w:val="24"/>
        </w:rPr>
        <w:t xml:space="preserve">, co se týče sedmiletého horizontu zpětně pouhých 4,75 % p.a. </w:t>
      </w:r>
      <w:r w:rsidRPr="004246B8">
        <w:rPr>
          <w:rStyle w:val="Znakapoznpodarou"/>
          <w:szCs w:val="24"/>
        </w:rPr>
        <w:footnoteReference w:id="81"/>
      </w:r>
      <w:r w:rsidRPr="004246B8">
        <w:rPr>
          <w:szCs w:val="24"/>
        </w:rPr>
        <w:t xml:space="preserve">. Průměrná hrubá výnosnost (tedy bez započtení nákladů na investici, daní a poplatků) za období posledních 5 let činí </w:t>
      </w:r>
      <w:r>
        <w:rPr>
          <w:szCs w:val="24"/>
        </w:rPr>
        <w:t>17,35</w:t>
      </w:r>
      <w:r w:rsidRPr="004246B8">
        <w:rPr>
          <w:szCs w:val="24"/>
        </w:rPr>
        <w:t xml:space="preserve"> % p.a. </w:t>
      </w:r>
    </w:p>
    <w:p w:rsidR="00AF399C" w:rsidRDefault="00AF399C" w:rsidP="00AF399C">
      <w:pPr>
        <w:spacing w:after="240" w:line="360" w:lineRule="auto"/>
        <w:rPr>
          <w:szCs w:val="24"/>
        </w:rPr>
      </w:pPr>
      <w:r w:rsidRPr="004246B8">
        <w:rPr>
          <w:szCs w:val="24"/>
        </w:rPr>
        <w:t>Na počátku této investice stojí vstupní poplatek ve výši 2 % z investované částky. Další poplatky souvisí s obhospodařováním portfolia a jsou stanoveny na 0,7 % z obhospodařované částky. Díky těmto poplatkům se změní reálná výkonnost tohoto produktu, pokud uvažujeme prvotní investici na počátku sledovaného období, bude reálná výnosnost vypadat následovně:</w:t>
      </w:r>
    </w:p>
    <w:p w:rsidR="001904E3" w:rsidRPr="001904E3" w:rsidRDefault="001904E3" w:rsidP="001904E3">
      <w:pPr>
        <w:pStyle w:val="Titulek"/>
        <w:spacing w:before="240" w:after="0" w:line="360" w:lineRule="auto"/>
        <w:jc w:val="center"/>
        <w:rPr>
          <w:color w:val="auto"/>
          <w:sz w:val="22"/>
        </w:rPr>
      </w:pPr>
      <w:bookmarkStart w:id="88" w:name="_Toc385970329"/>
      <w:r w:rsidRPr="006F6906">
        <w:rPr>
          <w:color w:val="auto"/>
          <w:sz w:val="22"/>
        </w:rPr>
        <w:t xml:space="preserve">Tabulka č. </w:t>
      </w:r>
      <w:r w:rsidR="008B79C7" w:rsidRPr="006F6906">
        <w:rPr>
          <w:color w:val="auto"/>
          <w:sz w:val="22"/>
        </w:rPr>
        <w:fldChar w:fldCharType="begin"/>
      </w:r>
      <w:r w:rsidRPr="006F6906">
        <w:rPr>
          <w:color w:val="auto"/>
          <w:sz w:val="22"/>
        </w:rPr>
        <w:instrText xml:space="preserve"> SEQ Tabulka_č. \* ARABIC </w:instrText>
      </w:r>
      <w:r w:rsidR="008B79C7" w:rsidRPr="006F6906">
        <w:rPr>
          <w:color w:val="auto"/>
          <w:sz w:val="22"/>
        </w:rPr>
        <w:fldChar w:fldCharType="separate"/>
      </w:r>
      <w:r w:rsidR="00730734">
        <w:rPr>
          <w:noProof/>
          <w:color w:val="auto"/>
          <w:sz w:val="22"/>
        </w:rPr>
        <w:t>16</w:t>
      </w:r>
      <w:r w:rsidR="008B79C7" w:rsidRPr="006F6906">
        <w:rPr>
          <w:color w:val="auto"/>
          <w:sz w:val="22"/>
        </w:rPr>
        <w:fldChar w:fldCharType="end"/>
      </w:r>
      <w:r w:rsidRPr="006F6906">
        <w:rPr>
          <w:color w:val="auto"/>
          <w:sz w:val="22"/>
        </w:rPr>
        <w:t xml:space="preserve">: </w:t>
      </w:r>
      <w:r>
        <w:rPr>
          <w:color w:val="auto"/>
          <w:sz w:val="22"/>
        </w:rPr>
        <w:t xml:space="preserve">Čistá </w:t>
      </w:r>
      <w:r w:rsidRPr="00F444BB">
        <w:rPr>
          <w:color w:val="auto"/>
          <w:sz w:val="22"/>
        </w:rPr>
        <w:t>výnosnost podílového fondu KBC Index Fund United States</w:t>
      </w:r>
      <w:r w:rsidRPr="00057225">
        <w:rPr>
          <w:color w:val="auto"/>
          <w:sz w:val="22"/>
        </w:rPr>
        <w:t xml:space="preserve"> </w:t>
      </w:r>
      <w:r w:rsidRPr="00F444BB">
        <w:rPr>
          <w:color w:val="auto"/>
          <w:sz w:val="22"/>
        </w:rPr>
        <w:t xml:space="preserve">v % </w:t>
      </w:r>
      <w:proofErr w:type="gramStart"/>
      <w:r w:rsidRPr="00F444BB">
        <w:rPr>
          <w:color w:val="auto"/>
          <w:sz w:val="22"/>
        </w:rPr>
        <w:t>p.a</w:t>
      </w:r>
      <w:bookmarkEnd w:id="88"/>
      <w:proofErr w:type="gramEnd"/>
      <w:r>
        <w:rPr>
          <w:color w:val="auto"/>
          <w:sz w:val="22"/>
        </w:rPr>
        <w:t xml:space="preserve"> </w:t>
      </w:r>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szCs w:val="24"/>
              </w:rPr>
              <w:t>22,97</w:t>
            </w:r>
            <w:r>
              <w:rPr>
                <w:szCs w:val="24"/>
              </w:rPr>
              <w:t xml:space="preserve"> %</w:t>
            </w:r>
          </w:p>
        </w:tc>
        <w:tc>
          <w:tcPr>
            <w:tcW w:w="1599" w:type="dxa"/>
          </w:tcPr>
          <w:p w:rsidR="00AF399C" w:rsidRPr="004246B8" w:rsidRDefault="00AF399C" w:rsidP="002D72A7">
            <w:pPr>
              <w:spacing w:before="0"/>
              <w:jc w:val="center"/>
              <w:cnfStyle w:val="000000100000"/>
              <w:rPr>
                <w:szCs w:val="24"/>
              </w:rPr>
            </w:pPr>
            <w:r w:rsidRPr="004246B8">
              <w:rPr>
                <w:szCs w:val="24"/>
              </w:rPr>
              <w:t>13,53</w:t>
            </w:r>
            <w:r>
              <w:rPr>
                <w:szCs w:val="24"/>
              </w:rPr>
              <w:t xml:space="preserve"> </w:t>
            </w:r>
            <w:r w:rsidRPr="004246B8">
              <w:rPr>
                <w:szCs w:val="24"/>
              </w:rPr>
              <w:t>%</w:t>
            </w:r>
          </w:p>
        </w:tc>
        <w:tc>
          <w:tcPr>
            <w:tcW w:w="1599" w:type="dxa"/>
          </w:tcPr>
          <w:p w:rsidR="00AF399C" w:rsidRPr="004246B8" w:rsidRDefault="00AF399C" w:rsidP="002D72A7">
            <w:pPr>
              <w:spacing w:before="0"/>
              <w:jc w:val="center"/>
              <w:cnfStyle w:val="000000100000"/>
              <w:rPr>
                <w:szCs w:val="24"/>
              </w:rPr>
            </w:pPr>
            <w:r w:rsidRPr="004246B8">
              <w:rPr>
                <w:szCs w:val="24"/>
              </w:rPr>
              <w:t>0,38%</w:t>
            </w:r>
          </w:p>
        </w:tc>
        <w:tc>
          <w:tcPr>
            <w:tcW w:w="1600" w:type="dxa"/>
          </w:tcPr>
          <w:p w:rsidR="00AF399C" w:rsidRPr="004246B8" w:rsidRDefault="00AF399C" w:rsidP="002D72A7">
            <w:pPr>
              <w:spacing w:before="0"/>
              <w:jc w:val="center"/>
              <w:cnfStyle w:val="000000100000"/>
              <w:rPr>
                <w:szCs w:val="24"/>
              </w:rPr>
            </w:pPr>
            <w:r w:rsidRPr="004246B8">
              <w:rPr>
                <w:szCs w:val="24"/>
              </w:rPr>
              <w:t>14,00%</w:t>
            </w:r>
          </w:p>
        </w:tc>
        <w:tc>
          <w:tcPr>
            <w:tcW w:w="1600" w:type="dxa"/>
          </w:tcPr>
          <w:p w:rsidR="00AF399C" w:rsidRPr="004246B8" w:rsidRDefault="00AF399C" w:rsidP="002D72A7">
            <w:pPr>
              <w:spacing w:before="0"/>
              <w:jc w:val="center"/>
              <w:cnfStyle w:val="000000100000"/>
              <w:rPr>
                <w:szCs w:val="24"/>
              </w:rPr>
            </w:pPr>
            <w:r w:rsidRPr="004246B8">
              <w:rPr>
                <w:szCs w:val="24"/>
              </w:rPr>
              <w:t>30,37%</w:t>
            </w:r>
          </w:p>
        </w:tc>
      </w:tr>
    </w:tbl>
    <w:p w:rsidR="00AF399C" w:rsidRPr="001904E3" w:rsidRDefault="00AF399C" w:rsidP="002D72A7">
      <w:pPr>
        <w:spacing w:before="0" w:after="240" w:line="360" w:lineRule="auto"/>
        <w:jc w:val="center"/>
        <w:rPr>
          <w:sz w:val="22"/>
        </w:rPr>
      </w:pPr>
      <w:r w:rsidRPr="001904E3">
        <w:rPr>
          <w:sz w:val="22"/>
        </w:rPr>
        <w:t xml:space="preserve">Zdroj: vlastní zpracování dle údajů KBC Index Fund USA. </w:t>
      </w:r>
      <w:r w:rsidRPr="001904E3">
        <w:rPr>
          <w:i/>
          <w:iCs/>
          <w:sz w:val="22"/>
        </w:rPr>
        <w:t>ČSOB</w:t>
      </w:r>
      <w:r w:rsidRPr="001904E3">
        <w:rPr>
          <w:sz w:val="22"/>
        </w:rPr>
        <w:t xml:space="preserve"> [online]. 2014 [cit. 2014-02-12]. Dostupné z: http://www.csob.cz/cz/fondy/Akciove-fondy/Stranky/BE0166769266.aspx</w:t>
      </w:r>
    </w:p>
    <w:p w:rsidR="00AF399C" w:rsidRPr="004246B8" w:rsidRDefault="00AF399C" w:rsidP="00AF399C">
      <w:pPr>
        <w:spacing w:after="240" w:line="360" w:lineRule="auto"/>
        <w:rPr>
          <w:szCs w:val="24"/>
        </w:rPr>
      </w:pPr>
      <w:r w:rsidRPr="004246B8">
        <w:rPr>
          <w:szCs w:val="24"/>
        </w:rPr>
        <w:t xml:space="preserve">V prvním roce je potřeba počítat tedy s poplatek 2% za vstup do tohoto fondu a 0,7 % </w:t>
      </w:r>
      <w:proofErr w:type="gramStart"/>
      <w:r w:rsidRPr="004246B8">
        <w:rPr>
          <w:szCs w:val="24"/>
        </w:rPr>
        <w:t>p.a.</w:t>
      </w:r>
      <w:proofErr w:type="gramEnd"/>
      <w:r w:rsidRPr="004246B8">
        <w:rPr>
          <w:szCs w:val="24"/>
        </w:rPr>
        <w:t xml:space="preserve"> za obhospodařování. V dalších letech je třeba ponížit hrubý výnos o poplatky spojené s obhospodařováním portfolia tohoto fondu a transakční náklady. </w:t>
      </w:r>
      <w:r>
        <w:rPr>
          <w:szCs w:val="24"/>
        </w:rPr>
        <w:t>Čistá průměrná výnosnost na základě získaných hodnot, vychází na 16,25 %.</w:t>
      </w:r>
    </w:p>
    <w:p w:rsidR="00AF399C" w:rsidRDefault="00AF399C" w:rsidP="00AF399C">
      <w:pPr>
        <w:spacing w:after="240" w:line="360" w:lineRule="auto"/>
        <w:rPr>
          <w:szCs w:val="24"/>
        </w:rPr>
      </w:pPr>
      <w:r w:rsidRPr="004246B8">
        <w:rPr>
          <w:szCs w:val="24"/>
        </w:rPr>
        <w:t>Pro srovnání výkonnosti tohoto fondu s benchmarkem poslouží n</w:t>
      </w:r>
      <w:r>
        <w:rPr>
          <w:szCs w:val="24"/>
        </w:rPr>
        <w:t>á</w:t>
      </w:r>
      <w:r w:rsidRPr="004246B8">
        <w:rPr>
          <w:szCs w:val="24"/>
        </w:rPr>
        <w:t>sledující graf, který ukazuje výnosnosti těchto dvou produktů v jednotlivých letech:</w:t>
      </w:r>
    </w:p>
    <w:p w:rsidR="001904E3" w:rsidRPr="004246B8" w:rsidRDefault="001904E3" w:rsidP="002D72A7">
      <w:pPr>
        <w:spacing w:after="0" w:line="360" w:lineRule="auto"/>
        <w:jc w:val="center"/>
        <w:rPr>
          <w:szCs w:val="24"/>
        </w:rPr>
      </w:pPr>
      <w:bookmarkStart w:id="89" w:name="_Toc385970613"/>
      <w:r w:rsidRPr="006F6906">
        <w:rPr>
          <w:b/>
          <w:szCs w:val="24"/>
        </w:rPr>
        <w:lastRenderedPageBreak/>
        <w:t xml:space="preserve">Graf č. </w:t>
      </w:r>
      <w:r w:rsidR="008B79C7" w:rsidRPr="006F6906">
        <w:rPr>
          <w:b/>
          <w:szCs w:val="24"/>
        </w:rPr>
        <w:fldChar w:fldCharType="begin"/>
      </w:r>
      <w:r w:rsidRPr="006F6906">
        <w:rPr>
          <w:b/>
          <w:szCs w:val="24"/>
        </w:rPr>
        <w:instrText xml:space="preserve"> SEQ Graf_č. \* ARABIC </w:instrText>
      </w:r>
      <w:r w:rsidR="008B79C7" w:rsidRPr="006F6906">
        <w:rPr>
          <w:b/>
          <w:szCs w:val="24"/>
        </w:rPr>
        <w:fldChar w:fldCharType="separate"/>
      </w:r>
      <w:r w:rsidR="002E0A33">
        <w:rPr>
          <w:b/>
          <w:noProof/>
          <w:szCs w:val="24"/>
        </w:rPr>
        <w:t>12</w:t>
      </w:r>
      <w:r w:rsidR="008B79C7" w:rsidRPr="006F6906">
        <w:rPr>
          <w:b/>
          <w:szCs w:val="24"/>
        </w:rPr>
        <w:fldChar w:fldCharType="end"/>
      </w:r>
      <w:r w:rsidRPr="006F6906">
        <w:rPr>
          <w:b/>
          <w:szCs w:val="24"/>
        </w:rPr>
        <w:t xml:space="preserve">: Srovnání výkonnosti podílového listu BE0166769266 a indexu </w:t>
      </w:r>
      <w:r w:rsidRPr="006F6906">
        <w:rPr>
          <w:b/>
          <w:color w:val="000000"/>
          <w:szCs w:val="24"/>
        </w:rPr>
        <w:t>S&amp;P 500</w:t>
      </w:r>
      <w:bookmarkEnd w:id="89"/>
    </w:p>
    <w:p w:rsidR="00AF399C" w:rsidRPr="006F6906" w:rsidRDefault="00AF399C" w:rsidP="002D72A7">
      <w:pPr>
        <w:spacing w:after="0" w:line="360" w:lineRule="auto"/>
        <w:jc w:val="center"/>
        <w:rPr>
          <w:b/>
          <w:color w:val="000000"/>
          <w:szCs w:val="24"/>
        </w:rPr>
      </w:pPr>
      <w:r>
        <w:rPr>
          <w:b/>
          <w:noProof/>
          <w:szCs w:val="24"/>
          <w:lang w:eastAsia="cs-CZ"/>
        </w:rPr>
        <w:drawing>
          <wp:inline distT="0" distB="0" distL="0" distR="0">
            <wp:extent cx="5937250" cy="2992120"/>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F399C" w:rsidRPr="001904E3" w:rsidRDefault="00AF399C" w:rsidP="001904E3">
      <w:pPr>
        <w:spacing w:line="360" w:lineRule="auto"/>
        <w:jc w:val="center"/>
        <w:rPr>
          <w:color w:val="000000"/>
          <w:szCs w:val="24"/>
        </w:rPr>
      </w:pPr>
      <w:r w:rsidRPr="004246B8">
        <w:rPr>
          <w:color w:val="000000"/>
          <w:szCs w:val="24"/>
        </w:rPr>
        <w:t>Zdroj: vlastní zpracování</w:t>
      </w:r>
    </w:p>
    <w:p w:rsidR="00AF399C" w:rsidRPr="004246B8" w:rsidRDefault="00AF399C" w:rsidP="00127C1E">
      <w:pPr>
        <w:spacing w:after="0" w:line="360" w:lineRule="auto"/>
        <w:rPr>
          <w:szCs w:val="24"/>
        </w:rPr>
      </w:pPr>
      <w:r w:rsidRPr="004246B8">
        <w:rPr>
          <w:szCs w:val="24"/>
        </w:rPr>
        <w:t>Ačkoli se obecně investice do podílových listů považují za bezpečnou investici, je třeba upozornit na to, že v tomto případě se jedná o akciový podílový fond, z toho také vyplývají dále uvedená rizika</w:t>
      </w:r>
      <w:r w:rsidRPr="004246B8">
        <w:rPr>
          <w:rStyle w:val="Znakapoznpodarou"/>
          <w:szCs w:val="24"/>
        </w:rPr>
        <w:footnoteReference w:id="82"/>
      </w:r>
      <w:r w:rsidRPr="004246B8">
        <w:rPr>
          <w:szCs w:val="24"/>
        </w:rPr>
        <w:t xml:space="preserve">. </w:t>
      </w:r>
      <w:r>
        <w:rPr>
          <w:szCs w:val="24"/>
        </w:rPr>
        <w:t xml:space="preserve"> Celkové riziko (neboli volatilita) vypočítaná dle vzorce</w:t>
      </w:r>
      <w:r w:rsidR="00127C1E">
        <w:rPr>
          <w:szCs w:val="24"/>
        </w:rPr>
        <w:t xml:space="preserve"> č. </w:t>
      </w:r>
      <w:proofErr w:type="gramStart"/>
      <w:r w:rsidR="00127C1E">
        <w:rPr>
          <w:szCs w:val="24"/>
        </w:rPr>
        <w:t xml:space="preserve">11           </w:t>
      </w:r>
      <w:r>
        <w:rPr>
          <w:szCs w:val="24"/>
        </w:rPr>
        <w:t>činí</w:t>
      </w:r>
      <w:proofErr w:type="gramEnd"/>
      <w:r>
        <w:rPr>
          <w:szCs w:val="24"/>
        </w:rPr>
        <w:t xml:space="preserve"> 9,89 %. </w:t>
      </w:r>
      <w:r w:rsidRPr="004246B8">
        <w:rPr>
          <w:szCs w:val="24"/>
        </w:rPr>
        <w:t>Rizika, která lze v souvislosti s touto konkrétní investicí považovat za vysoká, jsou následující:</w:t>
      </w:r>
    </w:p>
    <w:p w:rsidR="00AF399C" w:rsidRPr="007C741F" w:rsidRDefault="00AF399C" w:rsidP="00AF399C">
      <w:pPr>
        <w:pStyle w:val="Odstavecseseznamem"/>
        <w:numPr>
          <w:ilvl w:val="0"/>
          <w:numId w:val="17"/>
        </w:numPr>
        <w:spacing w:after="240"/>
        <w:rPr>
          <w:szCs w:val="24"/>
        </w:rPr>
      </w:pPr>
      <w:r w:rsidRPr="007C741F">
        <w:rPr>
          <w:szCs w:val="24"/>
        </w:rPr>
        <w:t>Tržní riziko</w:t>
      </w:r>
    </w:p>
    <w:p w:rsidR="00AF399C" w:rsidRPr="007C741F" w:rsidRDefault="00AF399C" w:rsidP="00AF399C">
      <w:pPr>
        <w:pStyle w:val="Odstavecseseznamem"/>
        <w:numPr>
          <w:ilvl w:val="0"/>
          <w:numId w:val="17"/>
        </w:numPr>
        <w:spacing w:after="240"/>
        <w:rPr>
          <w:szCs w:val="24"/>
        </w:rPr>
      </w:pPr>
      <w:r w:rsidRPr="007C741F">
        <w:rPr>
          <w:szCs w:val="24"/>
        </w:rPr>
        <w:t>Měnové riziko</w:t>
      </w:r>
    </w:p>
    <w:p w:rsidR="00AF399C" w:rsidRPr="00012141" w:rsidRDefault="00AF399C" w:rsidP="00AF399C">
      <w:pPr>
        <w:pStyle w:val="Odstavecseseznamem"/>
        <w:numPr>
          <w:ilvl w:val="0"/>
          <w:numId w:val="17"/>
        </w:numPr>
        <w:rPr>
          <w:szCs w:val="24"/>
        </w:rPr>
      </w:pPr>
      <w:r w:rsidRPr="007C741F">
        <w:rPr>
          <w:szCs w:val="24"/>
        </w:rPr>
        <w:t>Riziko výkonnosti</w:t>
      </w:r>
    </w:p>
    <w:p w:rsidR="00AF399C" w:rsidRPr="007C741F" w:rsidRDefault="00AF399C" w:rsidP="002D72A7">
      <w:pPr>
        <w:spacing w:after="0" w:line="360" w:lineRule="auto"/>
        <w:rPr>
          <w:szCs w:val="24"/>
        </w:rPr>
      </w:pPr>
      <w:r w:rsidRPr="007C741F">
        <w:rPr>
          <w:szCs w:val="24"/>
        </w:rPr>
        <w:t>Za střední až nízká rizika jsou v souvislosti s touto investicí uváděna následující:</w:t>
      </w:r>
    </w:p>
    <w:p w:rsidR="00AF399C" w:rsidRPr="007C741F" w:rsidRDefault="00AF399C" w:rsidP="00AF399C">
      <w:pPr>
        <w:pStyle w:val="Odstavecseseznamem"/>
        <w:numPr>
          <w:ilvl w:val="0"/>
          <w:numId w:val="17"/>
        </w:numPr>
        <w:rPr>
          <w:szCs w:val="24"/>
        </w:rPr>
      </w:pPr>
      <w:r w:rsidRPr="007C741F">
        <w:rPr>
          <w:szCs w:val="24"/>
        </w:rPr>
        <w:t>Riziko koncentrace</w:t>
      </w:r>
    </w:p>
    <w:p w:rsidR="00AF399C" w:rsidRPr="007C741F" w:rsidRDefault="00AF399C" w:rsidP="00AF399C">
      <w:pPr>
        <w:pStyle w:val="Odstavecseseznamem"/>
        <w:numPr>
          <w:ilvl w:val="0"/>
          <w:numId w:val="17"/>
        </w:numPr>
        <w:spacing w:after="240"/>
        <w:rPr>
          <w:szCs w:val="24"/>
        </w:rPr>
      </w:pPr>
      <w:r w:rsidRPr="007C741F">
        <w:rPr>
          <w:szCs w:val="24"/>
        </w:rPr>
        <w:t xml:space="preserve">Riziko vypořádání </w:t>
      </w:r>
    </w:p>
    <w:p w:rsidR="00AF399C" w:rsidRPr="007C741F" w:rsidRDefault="00AF399C" w:rsidP="00AF399C">
      <w:pPr>
        <w:pStyle w:val="Odstavecseseznamem"/>
        <w:numPr>
          <w:ilvl w:val="0"/>
          <w:numId w:val="17"/>
        </w:numPr>
        <w:spacing w:after="240"/>
        <w:rPr>
          <w:szCs w:val="24"/>
        </w:rPr>
      </w:pPr>
      <w:r w:rsidRPr="007C741F">
        <w:rPr>
          <w:szCs w:val="24"/>
        </w:rPr>
        <w:t>Riziko likvidity</w:t>
      </w:r>
    </w:p>
    <w:p w:rsidR="00AF399C" w:rsidRPr="007C741F" w:rsidRDefault="00AF399C" w:rsidP="00AF399C">
      <w:pPr>
        <w:pStyle w:val="Odstavecseseznamem"/>
        <w:numPr>
          <w:ilvl w:val="0"/>
          <w:numId w:val="17"/>
        </w:numPr>
        <w:spacing w:after="240"/>
        <w:rPr>
          <w:szCs w:val="24"/>
        </w:rPr>
      </w:pPr>
      <w:r w:rsidRPr="007C741F">
        <w:rPr>
          <w:szCs w:val="24"/>
        </w:rPr>
        <w:t>Riziko koncentrace</w:t>
      </w:r>
    </w:p>
    <w:p w:rsidR="00AF399C" w:rsidRPr="00275BAD" w:rsidRDefault="00AF399C" w:rsidP="00275BAD">
      <w:pPr>
        <w:pStyle w:val="Odstavecseseznamem"/>
        <w:numPr>
          <w:ilvl w:val="0"/>
          <w:numId w:val="17"/>
        </w:numPr>
        <w:spacing w:after="240"/>
        <w:rPr>
          <w:szCs w:val="24"/>
        </w:rPr>
      </w:pPr>
      <w:r w:rsidRPr="007C741F">
        <w:rPr>
          <w:szCs w:val="24"/>
        </w:rPr>
        <w:t xml:space="preserve">Kapitálové riziko </w:t>
      </w:r>
    </w:p>
    <w:p w:rsidR="00AF399C" w:rsidRDefault="00AF399C" w:rsidP="00371136">
      <w:pPr>
        <w:pStyle w:val="Nadpis3"/>
      </w:pPr>
      <w:r>
        <w:lastRenderedPageBreak/>
        <w:t xml:space="preserve"> </w:t>
      </w:r>
      <w:bookmarkStart w:id="90" w:name="_Toc386146024"/>
      <w:r>
        <w:t>I</w:t>
      </w:r>
      <w:r w:rsidRPr="00CC6A6C">
        <w:t>nvestice do vybraného ETF</w:t>
      </w:r>
      <w:bookmarkEnd w:id="90"/>
      <w:r w:rsidRPr="00CC6A6C">
        <w:t xml:space="preserve"> </w:t>
      </w:r>
    </w:p>
    <w:p w:rsidR="00AF399C" w:rsidRPr="004246B8" w:rsidRDefault="00AF399C" w:rsidP="00AF399C">
      <w:pPr>
        <w:spacing w:before="240" w:after="240" w:line="360" w:lineRule="auto"/>
        <w:rPr>
          <w:szCs w:val="24"/>
        </w:rPr>
      </w:pPr>
      <w:r w:rsidRPr="004246B8">
        <w:rPr>
          <w:szCs w:val="24"/>
        </w:rPr>
        <w:t>Za vzorový klasický burzovně obchodovaný fond jsem zvolila SPDR S&amp;P 500</w:t>
      </w:r>
      <w:r w:rsidRPr="004246B8">
        <w:rPr>
          <w:szCs w:val="24"/>
          <w:vertAlign w:val="superscript"/>
        </w:rPr>
        <w:t xml:space="preserve"> </w:t>
      </w:r>
      <w:r w:rsidR="00127C1E">
        <w:rPr>
          <w:szCs w:val="24"/>
        </w:rPr>
        <w:t xml:space="preserve">ETF, který lze </w:t>
      </w:r>
      <w:r w:rsidRPr="004246B8">
        <w:rPr>
          <w:szCs w:val="24"/>
        </w:rPr>
        <w:t xml:space="preserve">na světových burzách </w:t>
      </w:r>
      <w:proofErr w:type="gramStart"/>
      <w:r w:rsidR="00127C1E">
        <w:rPr>
          <w:szCs w:val="24"/>
        </w:rPr>
        <w:t xml:space="preserve">dohledat </w:t>
      </w:r>
      <w:r w:rsidRPr="004246B8">
        <w:rPr>
          <w:szCs w:val="24"/>
        </w:rPr>
        <w:t xml:space="preserve"> pod</w:t>
      </w:r>
      <w:proofErr w:type="gramEnd"/>
      <w:r w:rsidRPr="004246B8">
        <w:rPr>
          <w:szCs w:val="24"/>
        </w:rPr>
        <w:t xml:space="preserve"> tickerem SPY. Cílem tohoto fondu je poskytovat takové </w:t>
      </w:r>
      <w:r w:rsidR="00127C1E">
        <w:rPr>
          <w:szCs w:val="24"/>
        </w:rPr>
        <w:t>výnosy</w:t>
      </w:r>
      <w:r w:rsidRPr="004246B8">
        <w:rPr>
          <w:szCs w:val="24"/>
        </w:rPr>
        <w:t xml:space="preserve">, které před odečtením nákladů korespondují s vývojem indexu S&amp;P 500, který slouží zároveň i jako benchmark. </w:t>
      </w:r>
    </w:p>
    <w:p w:rsidR="00AF399C" w:rsidRDefault="00AF399C" w:rsidP="00127C1E">
      <w:pPr>
        <w:spacing w:after="0" w:line="360" w:lineRule="auto"/>
        <w:rPr>
          <w:szCs w:val="24"/>
        </w:rPr>
      </w:pPr>
      <w:r w:rsidRPr="004246B8">
        <w:rPr>
          <w:szCs w:val="24"/>
        </w:rPr>
        <w:t>Vývoj hodnoty ku</w:t>
      </w:r>
      <w:r w:rsidR="001904E3">
        <w:rPr>
          <w:szCs w:val="24"/>
        </w:rPr>
        <w:t>rzu tohoto ETF ukazuje graf č. 13</w:t>
      </w:r>
      <w:r w:rsidRPr="004246B8">
        <w:rPr>
          <w:szCs w:val="24"/>
        </w:rPr>
        <w:t>. Stejně tak jako v předešlém případě i zde vidíme rostoucí tendenci vývoje kurzu. Na počátku sledovaného období k 31. 1</w:t>
      </w:r>
      <w:r>
        <w:rPr>
          <w:szCs w:val="24"/>
        </w:rPr>
        <w:t>2</w:t>
      </w:r>
      <w:r w:rsidRPr="004246B8">
        <w:rPr>
          <w:szCs w:val="24"/>
        </w:rPr>
        <w:t xml:space="preserve">. 2008 se kurz pohyboval na úrovni </w:t>
      </w:r>
      <w:proofErr w:type="gramStart"/>
      <w:r w:rsidRPr="004246B8">
        <w:rPr>
          <w:szCs w:val="24"/>
        </w:rPr>
        <w:t>necelých</w:t>
      </w:r>
      <w:r>
        <w:rPr>
          <w:szCs w:val="24"/>
        </w:rPr>
        <w:t xml:space="preserve"> </w:t>
      </w:r>
      <w:r w:rsidRPr="004246B8">
        <w:rPr>
          <w:szCs w:val="24"/>
        </w:rPr>
        <w:t xml:space="preserve"> 93</w:t>
      </w:r>
      <w:proofErr w:type="gramEnd"/>
      <w:r w:rsidRPr="004246B8">
        <w:rPr>
          <w:szCs w:val="24"/>
        </w:rPr>
        <w:t xml:space="preserve"> USD. Ke konci sledovaného období se kurz vyšplhal až na úroveň 184,69 USD.</w:t>
      </w:r>
    </w:p>
    <w:p w:rsidR="001904E3" w:rsidRPr="001904E3" w:rsidRDefault="001904E3" w:rsidP="00127C1E">
      <w:pPr>
        <w:pStyle w:val="Titulek"/>
        <w:spacing w:after="0" w:line="360" w:lineRule="auto"/>
        <w:jc w:val="center"/>
        <w:rPr>
          <w:color w:val="auto"/>
          <w:sz w:val="22"/>
          <w:szCs w:val="22"/>
        </w:rPr>
      </w:pPr>
      <w:bookmarkStart w:id="91" w:name="_Toc385970614"/>
      <w:r w:rsidRPr="000F539E">
        <w:rPr>
          <w:color w:val="auto"/>
          <w:sz w:val="22"/>
          <w:szCs w:val="22"/>
        </w:rPr>
        <w:t xml:space="preserve">Graf č. </w:t>
      </w:r>
      <w:r w:rsidR="008B79C7" w:rsidRPr="000F539E">
        <w:rPr>
          <w:color w:val="auto"/>
          <w:sz w:val="22"/>
          <w:szCs w:val="22"/>
        </w:rPr>
        <w:fldChar w:fldCharType="begin"/>
      </w:r>
      <w:r w:rsidRPr="000F539E">
        <w:rPr>
          <w:color w:val="auto"/>
          <w:sz w:val="22"/>
          <w:szCs w:val="22"/>
        </w:rPr>
        <w:instrText xml:space="preserve"> SEQ Graf_č. \* ARABIC </w:instrText>
      </w:r>
      <w:r w:rsidR="008B79C7" w:rsidRPr="000F539E">
        <w:rPr>
          <w:color w:val="auto"/>
          <w:sz w:val="22"/>
          <w:szCs w:val="22"/>
        </w:rPr>
        <w:fldChar w:fldCharType="separate"/>
      </w:r>
      <w:r w:rsidR="002E0A33">
        <w:rPr>
          <w:noProof/>
          <w:color w:val="auto"/>
          <w:sz w:val="22"/>
          <w:szCs w:val="22"/>
        </w:rPr>
        <w:t>13</w:t>
      </w:r>
      <w:r w:rsidR="008B79C7" w:rsidRPr="000F539E">
        <w:rPr>
          <w:color w:val="auto"/>
          <w:sz w:val="22"/>
          <w:szCs w:val="22"/>
        </w:rPr>
        <w:fldChar w:fldCharType="end"/>
      </w:r>
      <w:r w:rsidRPr="000F539E">
        <w:rPr>
          <w:color w:val="auto"/>
          <w:sz w:val="22"/>
          <w:szCs w:val="22"/>
        </w:rPr>
        <w:t>: Vývoj hodnoty kurzu ETF</w:t>
      </w:r>
      <w:r w:rsidR="00C3723A">
        <w:rPr>
          <w:color w:val="auto"/>
          <w:sz w:val="22"/>
          <w:szCs w:val="22"/>
        </w:rPr>
        <w:t xml:space="preserve"> SPY</w:t>
      </w:r>
      <w:bookmarkEnd w:id="91"/>
    </w:p>
    <w:p w:rsidR="00AF399C" w:rsidRPr="004246B8" w:rsidRDefault="00AF399C" w:rsidP="002D72A7">
      <w:pPr>
        <w:spacing w:before="0" w:after="0" w:line="360" w:lineRule="auto"/>
        <w:rPr>
          <w:b/>
          <w:szCs w:val="24"/>
        </w:rPr>
      </w:pPr>
      <w:r w:rsidRPr="004246B8">
        <w:rPr>
          <w:b/>
          <w:noProof/>
          <w:szCs w:val="24"/>
          <w:lang w:eastAsia="cs-CZ"/>
        </w:rPr>
        <w:drawing>
          <wp:inline distT="0" distB="0" distL="0" distR="0">
            <wp:extent cx="5894861" cy="2386940"/>
            <wp:effectExtent l="0" t="0" r="0" b="0"/>
            <wp:docPr id="8"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F399C" w:rsidRPr="007C741F" w:rsidRDefault="00AF399C" w:rsidP="00AF399C">
      <w:pPr>
        <w:spacing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Pr="004246B8" w:rsidRDefault="00AF399C" w:rsidP="00AF399C">
      <w:pPr>
        <w:spacing w:after="240" w:line="360" w:lineRule="auto"/>
        <w:rPr>
          <w:szCs w:val="24"/>
        </w:rPr>
      </w:pPr>
      <w:r w:rsidRPr="004246B8">
        <w:rPr>
          <w:szCs w:val="24"/>
        </w:rPr>
        <w:t>Složení portfolia SPDR S&amp;P 500</w:t>
      </w:r>
      <w:r w:rsidRPr="004246B8">
        <w:rPr>
          <w:szCs w:val="24"/>
          <w:vertAlign w:val="superscript"/>
        </w:rPr>
        <w:t xml:space="preserve"> </w:t>
      </w:r>
      <w:r w:rsidRPr="004246B8">
        <w:rPr>
          <w:szCs w:val="24"/>
        </w:rPr>
        <w:t>ETF přesně kopíruje složení srovnávacího indexu, není zde tedy zastoupení žádných jiných typů cenných papírů, jako například obligací, nástrojů peněžního trhu nebo derivátových instrumentů, které by mohly napomoci ochraně před případnými riziky spojenými s investicí.</w:t>
      </w:r>
    </w:p>
    <w:p w:rsidR="00AF399C" w:rsidRPr="004246B8" w:rsidRDefault="00AF399C" w:rsidP="00AF399C">
      <w:pPr>
        <w:spacing w:after="240" w:line="360" w:lineRule="auto"/>
        <w:rPr>
          <w:szCs w:val="24"/>
        </w:rPr>
      </w:pPr>
      <w:r w:rsidRPr="004246B8">
        <w:rPr>
          <w:szCs w:val="24"/>
        </w:rPr>
        <w:t xml:space="preserve">Jelikož se jedná o burzovně obchodovatelný cenný papír, je pouze na investorovi, prostřednictvím kterého obchodníka s cennými papíry si zvolí. Dle toho se také budou odvíjet případné poplatky spojení s nákupem a prodejem této ceniny. </w:t>
      </w:r>
    </w:p>
    <w:p w:rsidR="00AF399C" w:rsidRDefault="00AF399C" w:rsidP="00AF399C">
      <w:pPr>
        <w:spacing w:after="240" w:line="360" w:lineRule="auto"/>
        <w:rPr>
          <w:szCs w:val="24"/>
        </w:rPr>
      </w:pPr>
      <w:r w:rsidRPr="004246B8">
        <w:rPr>
          <w:szCs w:val="24"/>
        </w:rPr>
        <w:t>Hrubou výnosnost, tedy bez započtení dividendových výnosů a hrazených nákladů, udává následující tabulka</w:t>
      </w:r>
      <w:r w:rsidR="001904E3">
        <w:rPr>
          <w:szCs w:val="24"/>
        </w:rPr>
        <w:t xml:space="preserve"> č. 17</w:t>
      </w:r>
      <w:r w:rsidRPr="004246B8">
        <w:rPr>
          <w:szCs w:val="24"/>
        </w:rPr>
        <w:t>, jsou zde zahrnuty údaje za posledních 5 let:</w:t>
      </w:r>
    </w:p>
    <w:p w:rsidR="000B447C" w:rsidRDefault="000B447C" w:rsidP="00AF399C">
      <w:pPr>
        <w:spacing w:after="240" w:line="360" w:lineRule="auto"/>
        <w:rPr>
          <w:szCs w:val="24"/>
        </w:rPr>
      </w:pPr>
    </w:p>
    <w:p w:rsidR="001904E3" w:rsidRPr="001904E3" w:rsidRDefault="001904E3" w:rsidP="001904E3">
      <w:pPr>
        <w:spacing w:before="240" w:line="360" w:lineRule="auto"/>
        <w:jc w:val="center"/>
        <w:rPr>
          <w:b/>
          <w:szCs w:val="24"/>
        </w:rPr>
      </w:pPr>
      <w:bookmarkStart w:id="92" w:name="_Toc385970330"/>
      <w:r w:rsidRPr="007C741F">
        <w:rPr>
          <w:b/>
          <w:szCs w:val="24"/>
        </w:rPr>
        <w:lastRenderedPageBreak/>
        <w:t xml:space="preserve">Tabulka č. </w:t>
      </w:r>
      <w:r w:rsidR="008B79C7" w:rsidRPr="007C741F">
        <w:rPr>
          <w:b/>
          <w:szCs w:val="24"/>
        </w:rPr>
        <w:fldChar w:fldCharType="begin"/>
      </w:r>
      <w:r w:rsidRPr="007C741F">
        <w:rPr>
          <w:b/>
          <w:szCs w:val="24"/>
        </w:rPr>
        <w:instrText xml:space="preserve"> SEQ Tabulka_č. \* ARABIC </w:instrText>
      </w:r>
      <w:r w:rsidR="008B79C7" w:rsidRPr="007C741F">
        <w:rPr>
          <w:b/>
          <w:szCs w:val="24"/>
        </w:rPr>
        <w:fldChar w:fldCharType="separate"/>
      </w:r>
      <w:r w:rsidR="00730734">
        <w:rPr>
          <w:b/>
          <w:noProof/>
          <w:szCs w:val="24"/>
        </w:rPr>
        <w:t>17</w:t>
      </w:r>
      <w:r w:rsidR="008B79C7" w:rsidRPr="007C741F">
        <w:rPr>
          <w:b/>
          <w:szCs w:val="24"/>
        </w:rPr>
        <w:fldChar w:fldCharType="end"/>
      </w:r>
      <w:r w:rsidRPr="007C741F">
        <w:rPr>
          <w:b/>
          <w:szCs w:val="24"/>
        </w:rPr>
        <w:t>: Hrubá výnosnost SPDR S&amp;P 500</w:t>
      </w:r>
      <w:r w:rsidRPr="007C741F">
        <w:rPr>
          <w:b/>
          <w:szCs w:val="24"/>
          <w:vertAlign w:val="superscript"/>
        </w:rPr>
        <w:t xml:space="preserve"> </w:t>
      </w:r>
      <w:r>
        <w:rPr>
          <w:b/>
          <w:szCs w:val="24"/>
        </w:rPr>
        <w:t xml:space="preserve">ETF v letech 2009-2013 v % </w:t>
      </w:r>
      <w:proofErr w:type="gramStart"/>
      <w:r>
        <w:rPr>
          <w:b/>
          <w:szCs w:val="24"/>
        </w:rPr>
        <w:t>p.a.</w:t>
      </w:r>
      <w:bookmarkEnd w:id="92"/>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szCs w:val="24"/>
              </w:rPr>
              <w:t>19,88 %</w:t>
            </w:r>
          </w:p>
        </w:tc>
        <w:tc>
          <w:tcPr>
            <w:tcW w:w="1599" w:type="dxa"/>
          </w:tcPr>
          <w:p w:rsidR="00AF399C" w:rsidRPr="004246B8" w:rsidRDefault="00AF399C" w:rsidP="002D72A7">
            <w:pPr>
              <w:spacing w:before="0"/>
              <w:jc w:val="center"/>
              <w:cnfStyle w:val="000000100000"/>
              <w:rPr>
                <w:szCs w:val="24"/>
              </w:rPr>
            </w:pPr>
            <w:r w:rsidRPr="004246B8">
              <w:rPr>
                <w:szCs w:val="24"/>
              </w:rPr>
              <w:t>12,84 %</w:t>
            </w:r>
          </w:p>
        </w:tc>
        <w:tc>
          <w:tcPr>
            <w:tcW w:w="1599" w:type="dxa"/>
          </w:tcPr>
          <w:p w:rsidR="00AF399C" w:rsidRPr="004246B8" w:rsidRDefault="00AF399C" w:rsidP="002D72A7">
            <w:pPr>
              <w:spacing w:before="0"/>
              <w:jc w:val="center"/>
              <w:cnfStyle w:val="000000100000"/>
              <w:rPr>
                <w:szCs w:val="24"/>
              </w:rPr>
            </w:pPr>
            <w:r w:rsidRPr="004246B8">
              <w:rPr>
                <w:szCs w:val="24"/>
              </w:rPr>
              <w:t>-0,20 %</w:t>
            </w:r>
          </w:p>
        </w:tc>
        <w:tc>
          <w:tcPr>
            <w:tcW w:w="1600" w:type="dxa"/>
          </w:tcPr>
          <w:p w:rsidR="00AF399C" w:rsidRPr="004246B8" w:rsidRDefault="00AF399C" w:rsidP="002D72A7">
            <w:pPr>
              <w:spacing w:before="0"/>
              <w:jc w:val="center"/>
              <w:cnfStyle w:val="000000100000"/>
              <w:rPr>
                <w:szCs w:val="24"/>
              </w:rPr>
            </w:pPr>
            <w:r w:rsidRPr="004246B8">
              <w:rPr>
                <w:szCs w:val="24"/>
              </w:rPr>
              <w:t>13,47 %</w:t>
            </w:r>
          </w:p>
        </w:tc>
        <w:tc>
          <w:tcPr>
            <w:tcW w:w="1600" w:type="dxa"/>
          </w:tcPr>
          <w:p w:rsidR="00AF399C" w:rsidRPr="004246B8" w:rsidRDefault="00AF399C" w:rsidP="002D72A7">
            <w:pPr>
              <w:spacing w:before="0"/>
              <w:jc w:val="center"/>
              <w:cnfStyle w:val="000000100000"/>
              <w:rPr>
                <w:szCs w:val="24"/>
              </w:rPr>
            </w:pPr>
            <w:r w:rsidRPr="004246B8">
              <w:rPr>
                <w:szCs w:val="24"/>
              </w:rPr>
              <w:t>29,69 %</w:t>
            </w:r>
          </w:p>
        </w:tc>
      </w:tr>
    </w:tbl>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Pr="004246B8" w:rsidRDefault="00AF399C" w:rsidP="00AF399C">
      <w:pPr>
        <w:spacing w:after="240" w:line="360" w:lineRule="auto"/>
        <w:rPr>
          <w:szCs w:val="24"/>
        </w:rPr>
      </w:pPr>
      <w:r w:rsidRPr="004246B8">
        <w:rPr>
          <w:szCs w:val="24"/>
        </w:rPr>
        <w:t>Očekávaná roční</w:t>
      </w:r>
      <w:r>
        <w:rPr>
          <w:szCs w:val="24"/>
        </w:rPr>
        <w:t xml:space="preserve"> hrubá</w:t>
      </w:r>
      <w:r w:rsidRPr="004246B8">
        <w:rPr>
          <w:szCs w:val="24"/>
        </w:rPr>
        <w:t xml:space="preserve"> výnosnost tedy činí 15,14 % </w:t>
      </w:r>
      <w:proofErr w:type="gramStart"/>
      <w:r w:rsidRPr="004246B8">
        <w:rPr>
          <w:szCs w:val="24"/>
        </w:rPr>
        <w:t>p.a.</w:t>
      </w:r>
      <w:proofErr w:type="gramEnd"/>
      <w:r w:rsidRPr="004246B8">
        <w:rPr>
          <w:szCs w:val="24"/>
        </w:rPr>
        <w:t xml:space="preserve"> Co se týče dodatečných výnosů a nákladů spojených s touto investicí, pak je zde několik odlišností od dříve zmíněného produktu. Prvním z nich je způsob výplaty a reinvestice dividend. V případě tohoto konkrétního produktu má investor nárok a výplatu dividend v poslední obchodní den dubna, července, října a ledna. Jedná se tedy o čtvrtletní výplatu dividend, očištěnou o náklady s tímto spojené (tzn. poplatky za správu portfolia a případně daně). Sám o sobě tento ETF nereinvestuje přijaté dividendy, není však vyloučeno, že danou službu bude poskytovat některý z obchodníků, prostřednictvím nichž lze tento cenný papír obchodovat. Co se týče dividendového výnosu, ten v roce 2013 činil 1,82% </w:t>
      </w:r>
      <w:proofErr w:type="gramStart"/>
      <w:r w:rsidRPr="004246B8">
        <w:rPr>
          <w:szCs w:val="24"/>
        </w:rPr>
        <w:t>p.a.</w:t>
      </w:r>
      <w:proofErr w:type="gramEnd"/>
    </w:p>
    <w:p w:rsidR="00AF399C" w:rsidRPr="004246B8" w:rsidRDefault="00AF399C" w:rsidP="00AF399C">
      <w:pPr>
        <w:spacing w:after="240" w:line="360" w:lineRule="auto"/>
        <w:rPr>
          <w:szCs w:val="24"/>
        </w:rPr>
      </w:pPr>
      <w:r>
        <w:rPr>
          <w:szCs w:val="24"/>
        </w:rPr>
        <w:t>Poplatky spojené se samotnou správou produktu byly stanoveny na 0,0945 % z investovaného objemu, do tohoto nejsou započteny náklady na nákup SPY, jelikož náklady spojené s investicí se odvíjí od konkrétního obchodníka s cennými papíry, prostřednictvím něhož se rozhodneme investovat. O uvedený</w:t>
      </w:r>
      <w:r w:rsidR="00127C1E">
        <w:rPr>
          <w:szCs w:val="24"/>
        </w:rPr>
        <w:t xml:space="preserve"> správcovský</w:t>
      </w:r>
      <w:r>
        <w:rPr>
          <w:szCs w:val="24"/>
        </w:rPr>
        <w:t xml:space="preserve"> poplatek fond poníží vyplácenou dividendu.</w:t>
      </w:r>
    </w:p>
    <w:p w:rsidR="00AF399C" w:rsidRDefault="00AF399C" w:rsidP="00AF399C">
      <w:pPr>
        <w:spacing w:after="240" w:line="360" w:lineRule="auto"/>
        <w:rPr>
          <w:szCs w:val="24"/>
        </w:rPr>
      </w:pPr>
      <w:r w:rsidRPr="004246B8">
        <w:rPr>
          <w:szCs w:val="24"/>
        </w:rPr>
        <w:t>Čistou výnosnost tohoto cenného papíru, tedy po zohlednění inkasovaných dividend a zaplacených poplatků za správu majetku ukazuje následující tabulka</w:t>
      </w:r>
      <w:r w:rsidR="00127C1E">
        <w:rPr>
          <w:szCs w:val="24"/>
        </w:rPr>
        <w:t xml:space="preserve"> č. 18</w:t>
      </w:r>
      <w:r w:rsidRPr="004246B8">
        <w:rPr>
          <w:szCs w:val="24"/>
        </w:rPr>
        <w:t>. Pokud počítáme, že investor započal investovat k prvnímu dni sledovaného období, musíme uvažovat také poplatky spojené s počáteční investicí, tedy na nákup této ceniny.</w:t>
      </w:r>
      <w:r>
        <w:rPr>
          <w:szCs w:val="24"/>
        </w:rPr>
        <w:t xml:space="preserve"> </w:t>
      </w:r>
    </w:p>
    <w:p w:rsidR="001904E3" w:rsidRPr="001904E3" w:rsidRDefault="001904E3" w:rsidP="002D72A7">
      <w:pPr>
        <w:tabs>
          <w:tab w:val="left" w:pos="3073"/>
        </w:tabs>
        <w:spacing w:after="240" w:line="360" w:lineRule="auto"/>
        <w:jc w:val="center"/>
        <w:rPr>
          <w:b/>
          <w:szCs w:val="24"/>
        </w:rPr>
      </w:pPr>
      <w:bookmarkStart w:id="93" w:name="_Toc385970331"/>
      <w:r w:rsidRPr="007C741F">
        <w:rPr>
          <w:b/>
          <w:szCs w:val="24"/>
        </w:rPr>
        <w:t xml:space="preserve">Tabulka č. </w:t>
      </w:r>
      <w:r w:rsidR="008B79C7" w:rsidRPr="007C741F">
        <w:rPr>
          <w:b/>
          <w:szCs w:val="24"/>
        </w:rPr>
        <w:fldChar w:fldCharType="begin"/>
      </w:r>
      <w:r w:rsidRPr="007C741F">
        <w:rPr>
          <w:b/>
          <w:szCs w:val="24"/>
        </w:rPr>
        <w:instrText xml:space="preserve"> SEQ Tabulka_č. \* ARABIC </w:instrText>
      </w:r>
      <w:r w:rsidR="008B79C7" w:rsidRPr="007C741F">
        <w:rPr>
          <w:b/>
          <w:szCs w:val="24"/>
        </w:rPr>
        <w:fldChar w:fldCharType="separate"/>
      </w:r>
      <w:r w:rsidR="00730734">
        <w:rPr>
          <w:b/>
          <w:noProof/>
          <w:szCs w:val="24"/>
        </w:rPr>
        <w:t>18</w:t>
      </w:r>
      <w:r w:rsidR="008B79C7" w:rsidRPr="007C741F">
        <w:rPr>
          <w:b/>
          <w:szCs w:val="24"/>
        </w:rPr>
        <w:fldChar w:fldCharType="end"/>
      </w:r>
      <w:r w:rsidRPr="007C741F">
        <w:rPr>
          <w:b/>
          <w:szCs w:val="24"/>
        </w:rPr>
        <w:t>: Čistá výnosnost SPDR S&amp;P 500</w:t>
      </w:r>
      <w:r w:rsidRPr="007C741F">
        <w:rPr>
          <w:b/>
          <w:szCs w:val="24"/>
          <w:vertAlign w:val="superscript"/>
        </w:rPr>
        <w:t xml:space="preserve"> </w:t>
      </w:r>
      <w:r>
        <w:rPr>
          <w:b/>
          <w:szCs w:val="24"/>
        </w:rPr>
        <w:t>ETF v letech 2009-2013</w:t>
      </w:r>
      <w:bookmarkEnd w:id="93"/>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0"/>
        <w:gridCol w:w="1581"/>
        <w:gridCol w:w="1580"/>
        <w:gridCol w:w="1681"/>
        <w:gridCol w:w="1582"/>
        <w:gridCol w:w="1582"/>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012141" w:rsidRDefault="00AF399C" w:rsidP="002D72A7">
            <w:pPr>
              <w:spacing w:before="0"/>
              <w:jc w:val="center"/>
              <w:cnfStyle w:val="000000100000"/>
              <w:rPr>
                <w:szCs w:val="24"/>
              </w:rPr>
            </w:pPr>
            <w:r w:rsidRPr="00012141">
              <w:rPr>
                <w:szCs w:val="24"/>
              </w:rPr>
              <w:t>21,24 %</w:t>
            </w:r>
          </w:p>
        </w:tc>
        <w:tc>
          <w:tcPr>
            <w:tcW w:w="1599" w:type="dxa"/>
          </w:tcPr>
          <w:p w:rsidR="00AF399C" w:rsidRPr="00012141" w:rsidRDefault="00AF399C" w:rsidP="002D72A7">
            <w:pPr>
              <w:spacing w:before="0"/>
              <w:jc w:val="center"/>
              <w:cnfStyle w:val="000000100000"/>
              <w:rPr>
                <w:szCs w:val="24"/>
              </w:rPr>
            </w:pPr>
            <w:r w:rsidRPr="00012141">
              <w:rPr>
                <w:szCs w:val="24"/>
              </w:rPr>
              <w:t>11, 80 %</w:t>
            </w:r>
          </w:p>
        </w:tc>
        <w:tc>
          <w:tcPr>
            <w:tcW w:w="1599" w:type="dxa"/>
          </w:tcPr>
          <w:p w:rsidR="00AF399C" w:rsidRPr="00012141" w:rsidRDefault="00AF399C" w:rsidP="002D72A7">
            <w:pPr>
              <w:pStyle w:val="Odstavecseseznamem"/>
              <w:numPr>
                <w:ilvl w:val="0"/>
                <w:numId w:val="17"/>
              </w:numPr>
              <w:spacing w:line="240" w:lineRule="auto"/>
              <w:cnfStyle w:val="000000100000"/>
              <w:rPr>
                <w:szCs w:val="24"/>
              </w:rPr>
            </w:pPr>
            <w:r w:rsidRPr="00012141">
              <w:rPr>
                <w:szCs w:val="24"/>
              </w:rPr>
              <w:t>1,35 %</w:t>
            </w:r>
          </w:p>
        </w:tc>
        <w:tc>
          <w:tcPr>
            <w:tcW w:w="1600" w:type="dxa"/>
          </w:tcPr>
          <w:p w:rsidR="00AF399C" w:rsidRPr="00012141" w:rsidRDefault="00AF399C" w:rsidP="002D72A7">
            <w:pPr>
              <w:spacing w:before="0"/>
              <w:jc w:val="center"/>
              <w:cnfStyle w:val="000000100000"/>
              <w:rPr>
                <w:szCs w:val="24"/>
              </w:rPr>
            </w:pPr>
            <w:r w:rsidRPr="00012141">
              <w:rPr>
                <w:szCs w:val="24"/>
              </w:rPr>
              <w:t>15,72 %</w:t>
            </w:r>
          </w:p>
        </w:tc>
        <w:tc>
          <w:tcPr>
            <w:tcW w:w="1600" w:type="dxa"/>
          </w:tcPr>
          <w:p w:rsidR="00AF399C" w:rsidRPr="00012141" w:rsidRDefault="00AF399C" w:rsidP="002D72A7">
            <w:pPr>
              <w:spacing w:before="0"/>
              <w:jc w:val="center"/>
              <w:cnfStyle w:val="000000100000"/>
              <w:rPr>
                <w:szCs w:val="24"/>
              </w:rPr>
            </w:pPr>
            <w:r w:rsidRPr="00012141">
              <w:rPr>
                <w:szCs w:val="24"/>
              </w:rPr>
              <w:t>28,64 %</w:t>
            </w:r>
          </w:p>
        </w:tc>
      </w:tr>
    </w:tbl>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rPr>
          <w:szCs w:val="24"/>
        </w:rPr>
      </w:pPr>
      <w:r>
        <w:rPr>
          <w:szCs w:val="24"/>
        </w:rPr>
        <w:t>Pro srovnání výkonnosti tohoto ETF s podkladovým indexem poslouží následující graf</w:t>
      </w:r>
      <w:r w:rsidR="001904E3">
        <w:rPr>
          <w:szCs w:val="24"/>
        </w:rPr>
        <w:t xml:space="preserve"> č. 14</w:t>
      </w:r>
      <w:r>
        <w:rPr>
          <w:szCs w:val="24"/>
        </w:rPr>
        <w:t xml:space="preserve">. Zde můžeme vidět, že se tvůrcům tohoto ETF podařilo v posledních letech v podstatě dosáhnout stanovených cílů a tedy výkonnost fondu odpovídala výkonnosti podkladového indexu. Zhodnocení resp. znehodnocení obou produktů má stejné tendence. O něco nižší </w:t>
      </w:r>
      <w:r>
        <w:rPr>
          <w:szCs w:val="24"/>
        </w:rPr>
        <w:lastRenderedPageBreak/>
        <w:t>výkonnost SPY je zapříčiněna riziky spojenými s investicí, které budou rozebírány dále v textu.</w:t>
      </w:r>
    </w:p>
    <w:p w:rsidR="001904E3" w:rsidRPr="001904E3" w:rsidRDefault="001904E3" w:rsidP="001904E3">
      <w:pPr>
        <w:spacing w:line="360" w:lineRule="auto"/>
        <w:jc w:val="center"/>
        <w:rPr>
          <w:b/>
          <w:color w:val="000000"/>
          <w:szCs w:val="24"/>
        </w:rPr>
      </w:pPr>
      <w:bookmarkStart w:id="94" w:name="_Toc385970615"/>
      <w:r w:rsidRPr="007C741F">
        <w:rPr>
          <w:b/>
        </w:rPr>
        <w:t xml:space="preserve">Graf č. </w:t>
      </w:r>
      <w:r w:rsidR="008B79C7" w:rsidRPr="007C741F">
        <w:rPr>
          <w:b/>
        </w:rPr>
        <w:fldChar w:fldCharType="begin"/>
      </w:r>
      <w:r w:rsidRPr="007C741F">
        <w:rPr>
          <w:b/>
        </w:rPr>
        <w:instrText xml:space="preserve"> SEQ Graf_č. \* ARABIC </w:instrText>
      </w:r>
      <w:r w:rsidR="008B79C7" w:rsidRPr="007C741F">
        <w:rPr>
          <w:b/>
        </w:rPr>
        <w:fldChar w:fldCharType="separate"/>
      </w:r>
      <w:r w:rsidR="002E0A33">
        <w:rPr>
          <w:b/>
          <w:noProof/>
        </w:rPr>
        <w:t>14</w:t>
      </w:r>
      <w:r w:rsidR="008B79C7" w:rsidRPr="007C741F">
        <w:rPr>
          <w:b/>
        </w:rPr>
        <w:fldChar w:fldCharType="end"/>
      </w:r>
      <w:r w:rsidRPr="007C741F">
        <w:rPr>
          <w:b/>
        </w:rPr>
        <w:t xml:space="preserve">: Srovnání Výkonnosti SPY  a </w:t>
      </w:r>
      <w:r w:rsidRPr="007C741F">
        <w:rPr>
          <w:b/>
          <w:szCs w:val="24"/>
        </w:rPr>
        <w:t xml:space="preserve">indexu </w:t>
      </w:r>
      <w:r w:rsidRPr="007C741F">
        <w:rPr>
          <w:b/>
          <w:color w:val="000000"/>
          <w:szCs w:val="24"/>
        </w:rPr>
        <w:t>S&amp;P 500</w:t>
      </w:r>
      <w:bookmarkEnd w:id="94"/>
    </w:p>
    <w:p w:rsidR="00AF399C" w:rsidRDefault="00AF399C" w:rsidP="00AF399C">
      <w:pPr>
        <w:spacing w:after="240" w:line="360" w:lineRule="auto"/>
        <w:rPr>
          <w:szCs w:val="24"/>
        </w:rPr>
      </w:pPr>
      <w:r>
        <w:rPr>
          <w:noProof/>
          <w:szCs w:val="24"/>
          <w:lang w:eastAsia="cs-CZ"/>
        </w:rPr>
        <w:drawing>
          <wp:inline distT="0" distB="0" distL="0" distR="0">
            <wp:extent cx="5783283" cy="2660073"/>
            <wp:effectExtent l="0" t="0" r="0" b="0"/>
            <wp:docPr id="16"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F399C" w:rsidRPr="00C75C82" w:rsidRDefault="00AF399C" w:rsidP="00AF399C">
      <w:pPr>
        <w:pStyle w:val="Titulek"/>
        <w:spacing w:line="360" w:lineRule="auto"/>
        <w:jc w:val="center"/>
        <w:rPr>
          <w:b w:val="0"/>
          <w:color w:val="auto"/>
          <w:sz w:val="24"/>
          <w:szCs w:val="24"/>
          <w:lang w:eastAsia="en-US"/>
        </w:rPr>
      </w:pPr>
      <w:r w:rsidRPr="00C75C82">
        <w:rPr>
          <w:b w:val="0"/>
          <w:color w:val="auto"/>
          <w:sz w:val="24"/>
          <w:szCs w:val="24"/>
          <w:lang w:eastAsia="en-US"/>
        </w:rPr>
        <w:t>Zdroj: Vlastní zpracování</w:t>
      </w:r>
    </w:p>
    <w:p w:rsidR="00AF399C" w:rsidRPr="004246B8" w:rsidRDefault="00AF399C" w:rsidP="00AF399C">
      <w:pPr>
        <w:spacing w:after="240" w:line="360" w:lineRule="auto"/>
        <w:rPr>
          <w:szCs w:val="24"/>
        </w:rPr>
      </w:pPr>
      <w:r w:rsidRPr="004246B8">
        <w:rPr>
          <w:szCs w:val="24"/>
        </w:rPr>
        <w:t xml:space="preserve">Tak jako s každou investicí, i s investováním do tohoto burzovně obchodovaného fondu souvisí celá řada rizik. Volatilita tohoto produktu vypočtená na základě vzorce </w:t>
      </w:r>
      <w:r w:rsidR="00127C1E">
        <w:rPr>
          <w:szCs w:val="24"/>
        </w:rPr>
        <w:t>č. 11</w:t>
      </w:r>
      <w:r w:rsidRPr="004246B8">
        <w:rPr>
          <w:szCs w:val="24"/>
        </w:rPr>
        <w:t xml:space="preserve"> činí 1</w:t>
      </w:r>
      <w:r>
        <w:rPr>
          <w:szCs w:val="24"/>
        </w:rPr>
        <w:t>0,</w:t>
      </w:r>
      <w:r w:rsidRPr="004246B8">
        <w:rPr>
          <w:szCs w:val="24"/>
        </w:rPr>
        <w:t>9</w:t>
      </w:r>
      <w:r>
        <w:rPr>
          <w:szCs w:val="24"/>
        </w:rPr>
        <w:t>3</w:t>
      </w:r>
      <w:r w:rsidRPr="004246B8">
        <w:rPr>
          <w:szCs w:val="24"/>
        </w:rPr>
        <w:t xml:space="preserve"> %. Mezi rizika spojená s touto investicí spadá například riziko sledování indexu. Investor, který očekává stejnou výkonnost fondu jako srovnávacího indexu, musí být srozuměn s rizikem, že těchto výnosů ETF nedosáhne. Rozdíl mezi výkonností indexu a fondu může být zapříčiněn například transakčními náklady, případně při změně složení indexu nemusí být dané cenné papíry dostupné. </w:t>
      </w:r>
    </w:p>
    <w:p w:rsidR="00AF399C" w:rsidRPr="004246B8" w:rsidRDefault="00AF399C" w:rsidP="00AF399C">
      <w:pPr>
        <w:spacing w:after="240" w:line="360" w:lineRule="auto"/>
        <w:rPr>
          <w:szCs w:val="24"/>
        </w:rPr>
      </w:pPr>
      <w:r w:rsidRPr="004246B8">
        <w:rPr>
          <w:szCs w:val="24"/>
        </w:rPr>
        <w:t>Dalším specifickým rizikem, které je spojeno s touto investicí, je riziko pasivního řízení. Ačkoli je obecně považováno pasivní řízení investic za bezpečnější (například z toho důvodu, že při aktivní správě hrozí riziko špatného načasování, lidské chyby apod.), tak v případě že výkonnost trhu jako celku klesá, klesá i hodnota tohoto ETF. V případě aktivně řízené správy investic by investor pravděpodobně odprodal danou investici a zvolil ty s lepší výkonností, v případě pasivně řízené správy se této reakce nedočkáme. ETF na index však nebude měnit své složení a bude tak ovlivněno negativním vývojem indexu.</w:t>
      </w:r>
    </w:p>
    <w:p w:rsidR="00AF399C" w:rsidRPr="004246B8" w:rsidRDefault="00AF399C" w:rsidP="00AF399C">
      <w:pPr>
        <w:spacing w:after="240" w:line="360" w:lineRule="auto"/>
        <w:rPr>
          <w:szCs w:val="24"/>
        </w:rPr>
      </w:pPr>
      <w:r w:rsidRPr="004246B8">
        <w:rPr>
          <w:szCs w:val="24"/>
        </w:rPr>
        <w:t xml:space="preserve">Samozřejmě musí investor počítat s „klasickými“ riziky, jako je tržní riziko, riziko politického systému, riziko ekonomického vývoje, změny úrokových sazeb apod. Jelikož ETF </w:t>
      </w:r>
      <w:r w:rsidRPr="004246B8">
        <w:rPr>
          <w:szCs w:val="24"/>
        </w:rPr>
        <w:lastRenderedPageBreak/>
        <w:t>investuje do konkrétních akcií dle složení indexu, jsou s investicí spojena veškerá rizika, kterým čelí jednotlivé akcie.</w:t>
      </w:r>
    </w:p>
    <w:p w:rsidR="00AF399C" w:rsidRDefault="00AF399C" w:rsidP="00371136">
      <w:pPr>
        <w:pStyle w:val="Nadpis3"/>
      </w:pPr>
      <w:r>
        <w:t xml:space="preserve"> </w:t>
      </w:r>
      <w:bookmarkStart w:id="95" w:name="_Toc386146025"/>
      <w:r w:rsidRPr="00CC6A6C">
        <w:t>Investice do vybraného ETF</w:t>
      </w:r>
      <w:r>
        <w:t xml:space="preserve"> využívajícího páky</w:t>
      </w:r>
      <w:bookmarkEnd w:id="95"/>
    </w:p>
    <w:p w:rsidR="00AF399C" w:rsidRPr="004246B8" w:rsidRDefault="00AF399C" w:rsidP="00AF399C">
      <w:pPr>
        <w:spacing w:after="240" w:line="360" w:lineRule="auto"/>
        <w:rPr>
          <w:szCs w:val="24"/>
        </w:rPr>
      </w:pPr>
      <w:r w:rsidRPr="004246B8">
        <w:rPr>
          <w:szCs w:val="24"/>
        </w:rPr>
        <w:t xml:space="preserve">Zástupce pákového burzovně obchodovaného fondu byl zvolen ProShares Ultra S&amp;P500 dohledatelný pod tickerem SSO.  Na rozdíl od výše zmíněných typů fondů, tento je určen zejména pro aktivní obchodníky. Není cílen na strategii „buy and hold“. Tento pákový instrument cílí na dosažení dvojnásobného zhodnocení oproti indexu na denní bázi, je tedy doporučeno sledovat denně vývoj tohoto ETF a dle toho řídit a upravovat svou strategii. Fond usiluje o investiční výsledky, které (před poplatky a </w:t>
      </w:r>
      <w:r>
        <w:rPr>
          <w:szCs w:val="24"/>
        </w:rPr>
        <w:t>ostatními náklady</w:t>
      </w:r>
      <w:r w:rsidRPr="004246B8">
        <w:rPr>
          <w:szCs w:val="24"/>
        </w:rPr>
        <w:t xml:space="preserve">) korespondují s dvojnásobným vývojem hodnoty indexu. </w:t>
      </w:r>
    </w:p>
    <w:p w:rsidR="00AF399C" w:rsidRDefault="00AF399C" w:rsidP="00AF399C">
      <w:pPr>
        <w:spacing w:after="240" w:line="360" w:lineRule="auto"/>
        <w:rPr>
          <w:szCs w:val="24"/>
        </w:rPr>
      </w:pPr>
      <w:r w:rsidRPr="004246B8">
        <w:rPr>
          <w:szCs w:val="24"/>
        </w:rPr>
        <w:t xml:space="preserve">Držení tohoto produktu po delší </w:t>
      </w:r>
      <w:proofErr w:type="gramStart"/>
      <w:r w:rsidRPr="004246B8">
        <w:rPr>
          <w:szCs w:val="24"/>
        </w:rPr>
        <w:t xml:space="preserve">dobu </w:t>
      </w:r>
      <w:r>
        <w:rPr>
          <w:szCs w:val="24"/>
        </w:rPr>
        <w:t xml:space="preserve"> </w:t>
      </w:r>
      <w:r w:rsidRPr="004246B8">
        <w:rPr>
          <w:szCs w:val="24"/>
        </w:rPr>
        <w:t>může</w:t>
      </w:r>
      <w:proofErr w:type="gramEnd"/>
      <w:r w:rsidRPr="004246B8">
        <w:rPr>
          <w:szCs w:val="24"/>
        </w:rPr>
        <w:t xml:space="preserve"> vést ke ztrátám, ať už index stagnuje nebo roste. Delší časové období vede oproti </w:t>
      </w:r>
      <w:proofErr w:type="gramStart"/>
      <w:r w:rsidRPr="004246B8">
        <w:rPr>
          <w:szCs w:val="24"/>
        </w:rPr>
        <w:t>klasickému</w:t>
      </w:r>
      <w:proofErr w:type="gramEnd"/>
      <w:r w:rsidRPr="004246B8">
        <w:rPr>
          <w:szCs w:val="24"/>
        </w:rPr>
        <w:t xml:space="preserve"> ETF k vyšší volatilitě. Tento typ fondu tedy nemusí být vhodný pro každého investora, jelikož se jedná o pákový produkt, je vhodnější pro zkušenější investory, kteří budou aktivně řídit své portfolio a aktivně sledovat vývoj hodnoty produktu.</w:t>
      </w:r>
    </w:p>
    <w:p w:rsidR="001904E3" w:rsidRPr="001904E3" w:rsidRDefault="001904E3" w:rsidP="001904E3">
      <w:pPr>
        <w:pStyle w:val="Titulek"/>
        <w:spacing w:after="0" w:line="360" w:lineRule="auto"/>
        <w:jc w:val="center"/>
        <w:rPr>
          <w:color w:val="auto"/>
          <w:sz w:val="22"/>
        </w:rPr>
      </w:pPr>
      <w:bookmarkStart w:id="96" w:name="_Toc385970616"/>
      <w:r w:rsidRPr="007C741F">
        <w:rPr>
          <w:color w:val="auto"/>
          <w:sz w:val="22"/>
        </w:rPr>
        <w:t xml:space="preserve">Graf č. </w:t>
      </w:r>
      <w:r w:rsidR="008B79C7" w:rsidRPr="007C741F">
        <w:rPr>
          <w:color w:val="auto"/>
          <w:sz w:val="22"/>
        </w:rPr>
        <w:fldChar w:fldCharType="begin"/>
      </w:r>
      <w:r w:rsidRPr="007C741F">
        <w:rPr>
          <w:color w:val="auto"/>
          <w:sz w:val="22"/>
        </w:rPr>
        <w:instrText xml:space="preserve"> SEQ Graf_č. \* ARABIC </w:instrText>
      </w:r>
      <w:r w:rsidR="008B79C7" w:rsidRPr="007C741F">
        <w:rPr>
          <w:color w:val="auto"/>
          <w:sz w:val="22"/>
        </w:rPr>
        <w:fldChar w:fldCharType="separate"/>
      </w:r>
      <w:r w:rsidR="002E0A33">
        <w:rPr>
          <w:noProof/>
          <w:color w:val="auto"/>
          <w:sz w:val="22"/>
        </w:rPr>
        <w:t>15</w:t>
      </w:r>
      <w:r w:rsidR="008B79C7" w:rsidRPr="007C741F">
        <w:rPr>
          <w:color w:val="auto"/>
          <w:sz w:val="22"/>
        </w:rPr>
        <w:fldChar w:fldCharType="end"/>
      </w:r>
      <w:r w:rsidRPr="007C741F">
        <w:rPr>
          <w:color w:val="auto"/>
          <w:sz w:val="22"/>
        </w:rPr>
        <w:t>: Vývoj hodnoty kurzu pákového ETF SSO</w:t>
      </w:r>
      <w:bookmarkEnd w:id="96"/>
    </w:p>
    <w:p w:rsidR="00AF399C" w:rsidRPr="004246B8" w:rsidRDefault="00AF399C" w:rsidP="00AF399C">
      <w:pPr>
        <w:spacing w:line="360" w:lineRule="auto"/>
      </w:pPr>
      <w:r w:rsidRPr="004246B8">
        <w:rPr>
          <w:noProof/>
          <w:lang w:eastAsia="cs-CZ"/>
        </w:rPr>
        <w:drawing>
          <wp:inline distT="0" distB="0" distL="0" distR="0">
            <wp:extent cx="5960778" cy="2600696"/>
            <wp:effectExtent l="0" t="0" r="1872"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F399C" w:rsidRPr="007C741F" w:rsidRDefault="00AF399C" w:rsidP="00AF399C">
      <w:pPr>
        <w:spacing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rPr>
          <w:szCs w:val="24"/>
        </w:rPr>
      </w:pPr>
      <w:r w:rsidRPr="004246B8">
        <w:rPr>
          <w:szCs w:val="24"/>
        </w:rPr>
        <w:lastRenderedPageBreak/>
        <w:t>Vývoj hodnoty kurz</w:t>
      </w:r>
      <w:r>
        <w:rPr>
          <w:szCs w:val="24"/>
        </w:rPr>
        <w:t xml:space="preserve">u daného ETF zobrazuje graf č. </w:t>
      </w:r>
      <w:r w:rsidR="001904E3">
        <w:rPr>
          <w:szCs w:val="24"/>
        </w:rPr>
        <w:t>15</w:t>
      </w:r>
      <w:r w:rsidRPr="004246B8">
        <w:rPr>
          <w:szCs w:val="24"/>
        </w:rPr>
        <w:t>. Jak je patrné, i zde můžeme vidět rostoucí tendenci. Tedy i přes upozornění, že daný produkt nemusí být vhodný pro investiční strategii buy and hold, v tomto konkrétním případě investor držbou produktu získal.</w:t>
      </w:r>
      <w:r w:rsidRPr="004246B8">
        <w:rPr>
          <w:rStyle w:val="Znakapoznpodarou"/>
          <w:szCs w:val="24"/>
        </w:rPr>
        <w:footnoteReference w:id="83"/>
      </w:r>
    </w:p>
    <w:p w:rsidR="00AF399C" w:rsidRPr="004246B8" w:rsidRDefault="00AF399C" w:rsidP="00AF399C">
      <w:pPr>
        <w:spacing w:after="240" w:line="360" w:lineRule="auto"/>
        <w:rPr>
          <w:szCs w:val="24"/>
        </w:rPr>
      </w:pPr>
      <w:r w:rsidRPr="004246B8">
        <w:rPr>
          <w:szCs w:val="24"/>
        </w:rPr>
        <w:t>Složení portfolia je odlišné od SPDR S&amp;P 500</w:t>
      </w:r>
      <w:r w:rsidRPr="004246B8">
        <w:rPr>
          <w:szCs w:val="24"/>
          <w:vertAlign w:val="superscript"/>
        </w:rPr>
        <w:t xml:space="preserve"> </w:t>
      </w:r>
      <w:r w:rsidRPr="004246B8">
        <w:rPr>
          <w:szCs w:val="24"/>
        </w:rPr>
        <w:t xml:space="preserve">ETF. Tato odlišnost je logická, pokud investor nechce pouze kopírovat vývoj indexu, ale dosáhnout dvojnásobného zhodnocení. Do ProShares Ultra S&amp;P500 jsou zahrnuty cenné papíry a deriváty, o nichž tvůrci tohoto produktu věří, že dosáhnout </w:t>
      </w:r>
      <w:r>
        <w:rPr>
          <w:szCs w:val="24"/>
        </w:rPr>
        <w:t xml:space="preserve">stanovených </w:t>
      </w:r>
      <w:r w:rsidRPr="004246B8">
        <w:rPr>
          <w:szCs w:val="24"/>
        </w:rPr>
        <w:t>cílů produktu.</w:t>
      </w:r>
    </w:p>
    <w:p w:rsidR="00AF399C" w:rsidRDefault="00AF399C" w:rsidP="00AF399C">
      <w:pPr>
        <w:spacing w:after="240" w:line="360" w:lineRule="auto"/>
        <w:rPr>
          <w:szCs w:val="24"/>
        </w:rPr>
      </w:pPr>
      <w:r w:rsidRPr="004246B8">
        <w:rPr>
          <w:szCs w:val="24"/>
        </w:rPr>
        <w:t xml:space="preserve">Oproti </w:t>
      </w:r>
      <w:proofErr w:type="gramStart"/>
      <w:r w:rsidRPr="004246B8">
        <w:rPr>
          <w:szCs w:val="24"/>
        </w:rPr>
        <w:t>klasickému</w:t>
      </w:r>
      <w:proofErr w:type="gramEnd"/>
      <w:r w:rsidRPr="004246B8">
        <w:rPr>
          <w:szCs w:val="24"/>
        </w:rPr>
        <w:t xml:space="preserve"> ETF investuje tento fond například do derivátů jako substituci investování přímo do konkrétních akcií za účelem dosažení pákového efektu</w:t>
      </w:r>
      <w:r>
        <w:rPr>
          <w:szCs w:val="24"/>
        </w:rPr>
        <w:t>.</w:t>
      </w:r>
    </w:p>
    <w:p w:rsidR="00AF399C" w:rsidRPr="004246B8" w:rsidRDefault="00AF399C" w:rsidP="00AF399C">
      <w:pPr>
        <w:spacing w:after="240" w:line="360" w:lineRule="auto"/>
        <w:rPr>
          <w:szCs w:val="24"/>
        </w:rPr>
      </w:pPr>
      <w:r>
        <w:rPr>
          <w:szCs w:val="24"/>
        </w:rPr>
        <w:t xml:space="preserve">Jedním z typů </w:t>
      </w:r>
      <w:r w:rsidRPr="004246B8">
        <w:rPr>
          <w:szCs w:val="24"/>
        </w:rPr>
        <w:t>derivátových instrumentů, které tento fond využívá, jsou futures kontrakty, což jsou standardizované kontrakty obchodované veřejně, které zavazují k dodání určitého množství daného instrumentu v předem stanovený čas na předem stanovené místo. Alternativně je možné pouze finanční vypořádání bez fyzického dodání aktiva.</w:t>
      </w:r>
      <w:r>
        <w:rPr>
          <w:szCs w:val="24"/>
        </w:rPr>
        <w:t xml:space="preserve"> Mimoto využívá také swapové kontrakty.</w:t>
      </w:r>
    </w:p>
    <w:p w:rsidR="00AF399C" w:rsidRPr="004246B8" w:rsidRDefault="00AF399C" w:rsidP="00AF399C">
      <w:pPr>
        <w:spacing w:after="240" w:line="360" w:lineRule="auto"/>
        <w:rPr>
          <w:szCs w:val="24"/>
        </w:rPr>
      </w:pPr>
      <w:r>
        <w:rPr>
          <w:szCs w:val="24"/>
        </w:rPr>
        <w:t>Dále</w:t>
      </w:r>
      <w:r w:rsidRPr="004246B8">
        <w:rPr>
          <w:szCs w:val="24"/>
        </w:rPr>
        <w:t xml:space="preserve"> obsahuje tento fond také nástroje peněžního trhu, jako jsou státní pokladniční </w:t>
      </w:r>
      <w:proofErr w:type="gramStart"/>
      <w:r w:rsidRPr="004246B8">
        <w:rPr>
          <w:szCs w:val="24"/>
        </w:rPr>
        <w:t>poukázky  se</w:t>
      </w:r>
      <w:proofErr w:type="gramEnd"/>
      <w:r w:rsidRPr="004246B8">
        <w:rPr>
          <w:szCs w:val="24"/>
        </w:rPr>
        <w:t xml:space="preserve"> splatností ne delší než 1 rok. Pro zajištění spíše krátkodobých peněžních pozic fond využívá také dohody o zpětném odkupu, což jsou kontrakty, při nichž se prodávající cenných papírů, většinou tedy vláda USA zavazuje odkoupit v předem určený čas cenné papíry zpět za určenou cenu. </w:t>
      </w:r>
      <w:r w:rsidRPr="004246B8">
        <w:rPr>
          <w:szCs w:val="24"/>
        </w:rPr>
        <w:tab/>
      </w:r>
    </w:p>
    <w:p w:rsidR="00AF399C" w:rsidRDefault="00AF399C" w:rsidP="00AF399C">
      <w:pPr>
        <w:spacing w:after="240" w:line="360" w:lineRule="auto"/>
        <w:rPr>
          <w:szCs w:val="24"/>
        </w:rPr>
      </w:pPr>
      <w:r w:rsidRPr="004246B8">
        <w:rPr>
          <w:szCs w:val="24"/>
        </w:rPr>
        <w:t>Hrubou výkonnost za je</w:t>
      </w:r>
      <w:r>
        <w:rPr>
          <w:szCs w:val="24"/>
        </w:rPr>
        <w:t>dnotlivé roky udává tabulka č. 7</w:t>
      </w:r>
      <w:r w:rsidRPr="004246B8">
        <w:rPr>
          <w:szCs w:val="24"/>
        </w:rPr>
        <w:t xml:space="preserve">. Jsou zde zachyceny hrubé výnosy fondu za posledních 5 let. Průměrná </w:t>
      </w:r>
      <w:r>
        <w:rPr>
          <w:szCs w:val="24"/>
        </w:rPr>
        <w:t xml:space="preserve">hrubá </w:t>
      </w:r>
      <w:r w:rsidRPr="004246B8">
        <w:rPr>
          <w:szCs w:val="24"/>
        </w:rPr>
        <w:t>roční výnosnost pak vychází na 31,87 %</w:t>
      </w:r>
      <w:r>
        <w:rPr>
          <w:szCs w:val="24"/>
        </w:rPr>
        <w:t xml:space="preserve"> </w:t>
      </w:r>
      <w:proofErr w:type="gramStart"/>
      <w:r>
        <w:rPr>
          <w:szCs w:val="24"/>
        </w:rPr>
        <w:t>p.a.</w:t>
      </w:r>
      <w:proofErr w:type="gramEnd"/>
    </w:p>
    <w:p w:rsidR="001904E3" w:rsidRPr="001904E3" w:rsidRDefault="001904E3" w:rsidP="001904E3">
      <w:pPr>
        <w:pStyle w:val="Titulek"/>
        <w:spacing w:before="240" w:after="0" w:line="360" w:lineRule="auto"/>
        <w:jc w:val="center"/>
        <w:rPr>
          <w:color w:val="auto"/>
          <w:sz w:val="22"/>
          <w:szCs w:val="20"/>
        </w:rPr>
      </w:pPr>
      <w:bookmarkStart w:id="97" w:name="_Toc385970332"/>
      <w:r w:rsidRPr="007C741F">
        <w:rPr>
          <w:color w:val="auto"/>
          <w:sz w:val="22"/>
          <w:szCs w:val="20"/>
        </w:rPr>
        <w:t xml:space="preserve">Tabulka č. </w:t>
      </w:r>
      <w:r w:rsidR="008B79C7" w:rsidRPr="007C741F">
        <w:rPr>
          <w:color w:val="auto"/>
          <w:sz w:val="22"/>
          <w:szCs w:val="20"/>
        </w:rPr>
        <w:fldChar w:fldCharType="begin"/>
      </w:r>
      <w:r w:rsidRPr="007C741F">
        <w:rPr>
          <w:color w:val="auto"/>
          <w:sz w:val="22"/>
          <w:szCs w:val="20"/>
        </w:rPr>
        <w:instrText xml:space="preserve"> SEQ Tabulka_č. \* ARABIC </w:instrText>
      </w:r>
      <w:r w:rsidR="008B79C7" w:rsidRPr="007C741F">
        <w:rPr>
          <w:color w:val="auto"/>
          <w:sz w:val="22"/>
          <w:szCs w:val="20"/>
        </w:rPr>
        <w:fldChar w:fldCharType="separate"/>
      </w:r>
      <w:r w:rsidR="00730734">
        <w:rPr>
          <w:noProof/>
          <w:color w:val="auto"/>
          <w:sz w:val="22"/>
          <w:szCs w:val="20"/>
        </w:rPr>
        <w:t>19</w:t>
      </w:r>
      <w:r w:rsidR="008B79C7" w:rsidRPr="007C741F">
        <w:rPr>
          <w:color w:val="auto"/>
          <w:sz w:val="22"/>
          <w:szCs w:val="20"/>
        </w:rPr>
        <w:fldChar w:fldCharType="end"/>
      </w:r>
      <w:r w:rsidRPr="007C741F">
        <w:rPr>
          <w:color w:val="auto"/>
          <w:sz w:val="22"/>
          <w:szCs w:val="20"/>
        </w:rPr>
        <w:t xml:space="preserve">: Hrubá výnosnost </w:t>
      </w:r>
      <w:r>
        <w:rPr>
          <w:color w:val="auto"/>
          <w:sz w:val="22"/>
          <w:szCs w:val="20"/>
        </w:rPr>
        <w:t xml:space="preserve">ProShares Ultra S&amp;P500 v % </w:t>
      </w:r>
      <w:proofErr w:type="gramStart"/>
      <w:r>
        <w:rPr>
          <w:color w:val="auto"/>
          <w:sz w:val="22"/>
          <w:szCs w:val="20"/>
        </w:rPr>
        <w:t>p.a.</w:t>
      </w:r>
      <w:bookmarkEnd w:id="97"/>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szCs w:val="24"/>
              </w:rPr>
              <w:t>37,11</w:t>
            </w:r>
            <w:r>
              <w:rPr>
                <w:szCs w:val="24"/>
              </w:rPr>
              <w:t xml:space="preserve"> </w:t>
            </w:r>
            <w:r w:rsidRPr="004246B8">
              <w:rPr>
                <w:szCs w:val="24"/>
              </w:rPr>
              <w:t>%</w:t>
            </w:r>
          </w:p>
        </w:tc>
        <w:tc>
          <w:tcPr>
            <w:tcW w:w="1599" w:type="dxa"/>
          </w:tcPr>
          <w:p w:rsidR="00AF399C" w:rsidRPr="004246B8" w:rsidRDefault="00AF399C" w:rsidP="002D72A7">
            <w:pPr>
              <w:spacing w:before="0"/>
              <w:jc w:val="center"/>
              <w:cnfStyle w:val="000000100000"/>
              <w:rPr>
                <w:szCs w:val="24"/>
              </w:rPr>
            </w:pPr>
            <w:r w:rsidRPr="004246B8">
              <w:rPr>
                <w:szCs w:val="24"/>
              </w:rPr>
              <w:t>25,66</w:t>
            </w:r>
            <w:r>
              <w:rPr>
                <w:szCs w:val="24"/>
              </w:rPr>
              <w:t xml:space="preserve"> </w:t>
            </w:r>
            <w:r w:rsidRPr="004246B8">
              <w:rPr>
                <w:szCs w:val="24"/>
              </w:rPr>
              <w:t>%</w:t>
            </w:r>
          </w:p>
        </w:tc>
        <w:tc>
          <w:tcPr>
            <w:tcW w:w="1599" w:type="dxa"/>
          </w:tcPr>
          <w:p w:rsidR="00AF399C" w:rsidRPr="004246B8" w:rsidRDefault="00AF399C" w:rsidP="002D72A7">
            <w:pPr>
              <w:spacing w:before="0"/>
              <w:jc w:val="center"/>
              <w:cnfStyle w:val="000000100000"/>
              <w:rPr>
                <w:szCs w:val="24"/>
              </w:rPr>
            </w:pPr>
            <w:r w:rsidRPr="004246B8">
              <w:rPr>
                <w:szCs w:val="24"/>
              </w:rPr>
              <w:t>-3,45</w:t>
            </w:r>
            <w:r>
              <w:rPr>
                <w:szCs w:val="24"/>
              </w:rPr>
              <w:t xml:space="preserve"> </w:t>
            </w:r>
            <w:r w:rsidRPr="004246B8">
              <w:rPr>
                <w:szCs w:val="24"/>
              </w:rPr>
              <w:t>%</w:t>
            </w:r>
          </w:p>
        </w:tc>
        <w:tc>
          <w:tcPr>
            <w:tcW w:w="1600" w:type="dxa"/>
          </w:tcPr>
          <w:p w:rsidR="00AF399C" w:rsidRPr="004246B8" w:rsidRDefault="00AF399C" w:rsidP="002D72A7">
            <w:pPr>
              <w:spacing w:before="0" w:after="240"/>
              <w:jc w:val="center"/>
              <w:cnfStyle w:val="000000100000"/>
              <w:rPr>
                <w:szCs w:val="24"/>
              </w:rPr>
            </w:pPr>
            <w:r w:rsidRPr="004246B8">
              <w:rPr>
                <w:szCs w:val="24"/>
              </w:rPr>
              <w:t>30,09</w:t>
            </w:r>
            <w:r>
              <w:rPr>
                <w:szCs w:val="24"/>
              </w:rPr>
              <w:t xml:space="preserve"> </w:t>
            </w:r>
            <w:r w:rsidRPr="004246B8">
              <w:rPr>
                <w:szCs w:val="24"/>
              </w:rPr>
              <w:t>%</w:t>
            </w:r>
          </w:p>
        </w:tc>
        <w:tc>
          <w:tcPr>
            <w:tcW w:w="1600" w:type="dxa"/>
          </w:tcPr>
          <w:p w:rsidR="00AF399C" w:rsidRPr="004246B8" w:rsidRDefault="00AF399C" w:rsidP="002D72A7">
            <w:pPr>
              <w:spacing w:before="0"/>
              <w:jc w:val="center"/>
              <w:cnfStyle w:val="000000100000"/>
              <w:rPr>
                <w:szCs w:val="24"/>
              </w:rPr>
            </w:pPr>
            <w:r w:rsidRPr="004246B8">
              <w:rPr>
                <w:szCs w:val="24"/>
              </w:rPr>
              <w:t>69,94</w:t>
            </w:r>
            <w:r>
              <w:rPr>
                <w:szCs w:val="24"/>
              </w:rPr>
              <w:t xml:space="preserve"> </w:t>
            </w:r>
            <w:r w:rsidRPr="004246B8">
              <w:rPr>
                <w:szCs w:val="24"/>
              </w:rPr>
              <w:t>%</w:t>
            </w:r>
          </w:p>
        </w:tc>
      </w:tr>
    </w:tbl>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Pr="004246B8" w:rsidRDefault="00AF399C" w:rsidP="00AF399C">
      <w:pPr>
        <w:spacing w:after="240" w:line="360" w:lineRule="auto"/>
        <w:rPr>
          <w:szCs w:val="24"/>
        </w:rPr>
      </w:pPr>
      <w:r w:rsidRPr="004246B8">
        <w:rPr>
          <w:szCs w:val="24"/>
        </w:rPr>
        <w:t xml:space="preserve">S touto investicí jsou spojené i náklady za správu produktu, které jsou rozděleny na dvě části. První z nich ve výši 0,75 % je určena jako „poradenský poplatek“ + 0,15 % jako ostatní </w:t>
      </w:r>
      <w:r w:rsidRPr="004246B8">
        <w:rPr>
          <w:szCs w:val="24"/>
        </w:rPr>
        <w:lastRenderedPageBreak/>
        <w:t xml:space="preserve">poplatky spojené s obchodováním. Celkové poplatky jsou tedy ve výši 0,90 % </w:t>
      </w:r>
      <w:proofErr w:type="gramStart"/>
      <w:r w:rsidRPr="004246B8">
        <w:rPr>
          <w:szCs w:val="24"/>
        </w:rPr>
        <w:t>p.a.</w:t>
      </w:r>
      <w:proofErr w:type="gramEnd"/>
      <w:r w:rsidRPr="004246B8">
        <w:rPr>
          <w:szCs w:val="24"/>
        </w:rPr>
        <w:t>, které investor zaplatí jako určené procento z hodnoty jeho investice. Jako drobná kompenzace mohou sloužit dividendové výnosy, které nejsou reinvestovány, ale jsou vypláceny. Tyto dividendové výnosy jsou ve výši 0,26 %.</w:t>
      </w:r>
      <w:r>
        <w:rPr>
          <w:rStyle w:val="Znakapoznpodarou"/>
          <w:szCs w:val="24"/>
        </w:rPr>
        <w:footnoteReference w:id="84"/>
      </w:r>
    </w:p>
    <w:p w:rsidR="00AF399C" w:rsidRDefault="00AF399C" w:rsidP="00AF399C">
      <w:pPr>
        <w:spacing w:after="240" w:line="360" w:lineRule="auto"/>
        <w:rPr>
          <w:szCs w:val="24"/>
        </w:rPr>
      </w:pPr>
      <w:r w:rsidRPr="004246B8">
        <w:rPr>
          <w:szCs w:val="24"/>
        </w:rPr>
        <w:t>Čisté výnosy spojené s investicí do ProShares Ultra S&amp;P500 ukazuje následující tabulka, zohledněny jsou tedy dividendové výnosy a poplatky spojené s investicí. Opět musí být brán v úvahu poplatek spojený s</w:t>
      </w:r>
      <w:r>
        <w:rPr>
          <w:szCs w:val="24"/>
        </w:rPr>
        <w:t> </w:t>
      </w:r>
      <w:r w:rsidRPr="004246B8">
        <w:rPr>
          <w:szCs w:val="24"/>
        </w:rPr>
        <w:t xml:space="preserve">počáteční investicí, tedy s nákupem tohoto fondu. Tento typ poplatku může být různý u každého obchodníka. </w:t>
      </w:r>
    </w:p>
    <w:p w:rsidR="001904E3" w:rsidRPr="001904E3" w:rsidRDefault="001904E3" w:rsidP="001904E3">
      <w:pPr>
        <w:pStyle w:val="Titulek"/>
        <w:spacing w:before="240" w:after="0" w:line="360" w:lineRule="auto"/>
        <w:jc w:val="center"/>
        <w:rPr>
          <w:color w:val="auto"/>
          <w:sz w:val="22"/>
          <w:szCs w:val="22"/>
        </w:rPr>
      </w:pPr>
      <w:bookmarkStart w:id="98" w:name="_Toc385970333"/>
      <w:r w:rsidRPr="007C741F">
        <w:rPr>
          <w:color w:val="auto"/>
          <w:sz w:val="22"/>
          <w:szCs w:val="22"/>
        </w:rPr>
        <w:t xml:space="preserve">Tabulka č. </w:t>
      </w:r>
      <w:r w:rsidR="008B79C7" w:rsidRPr="007C741F">
        <w:rPr>
          <w:color w:val="auto"/>
          <w:sz w:val="22"/>
          <w:szCs w:val="22"/>
        </w:rPr>
        <w:fldChar w:fldCharType="begin"/>
      </w:r>
      <w:r w:rsidRPr="007C741F">
        <w:rPr>
          <w:color w:val="auto"/>
          <w:sz w:val="22"/>
          <w:szCs w:val="22"/>
        </w:rPr>
        <w:instrText xml:space="preserve"> SEQ Tabulka_č. \* ARABIC </w:instrText>
      </w:r>
      <w:r w:rsidR="008B79C7" w:rsidRPr="007C741F">
        <w:rPr>
          <w:color w:val="auto"/>
          <w:sz w:val="22"/>
          <w:szCs w:val="22"/>
        </w:rPr>
        <w:fldChar w:fldCharType="separate"/>
      </w:r>
      <w:r w:rsidR="00730734">
        <w:rPr>
          <w:noProof/>
          <w:color w:val="auto"/>
          <w:sz w:val="22"/>
          <w:szCs w:val="22"/>
        </w:rPr>
        <w:t>20</w:t>
      </w:r>
      <w:r w:rsidR="008B79C7" w:rsidRPr="007C741F">
        <w:rPr>
          <w:color w:val="auto"/>
          <w:sz w:val="22"/>
          <w:szCs w:val="22"/>
        </w:rPr>
        <w:fldChar w:fldCharType="end"/>
      </w:r>
      <w:r w:rsidRPr="007C741F">
        <w:rPr>
          <w:color w:val="auto"/>
          <w:sz w:val="22"/>
          <w:szCs w:val="22"/>
        </w:rPr>
        <w:t xml:space="preserve"> Čistá výnosnost ETF ProShares Ultra S&amp;P500</w:t>
      </w:r>
      <w:r>
        <w:rPr>
          <w:color w:val="auto"/>
          <w:sz w:val="22"/>
          <w:szCs w:val="22"/>
        </w:rPr>
        <w:t xml:space="preserve"> v % </w:t>
      </w:r>
      <w:proofErr w:type="gramStart"/>
      <w:r>
        <w:rPr>
          <w:color w:val="auto"/>
          <w:sz w:val="22"/>
          <w:szCs w:val="22"/>
        </w:rPr>
        <w:t>p.a.</w:t>
      </w:r>
      <w:bookmarkEnd w:id="98"/>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Pr>
                <w:szCs w:val="24"/>
              </w:rPr>
              <w:t xml:space="preserve">36,47 </w:t>
            </w:r>
            <w:r w:rsidRPr="004246B8">
              <w:rPr>
                <w:szCs w:val="24"/>
              </w:rPr>
              <w:t>%</w:t>
            </w:r>
          </w:p>
        </w:tc>
        <w:tc>
          <w:tcPr>
            <w:tcW w:w="1599" w:type="dxa"/>
          </w:tcPr>
          <w:p w:rsidR="00AF399C" w:rsidRPr="004246B8" w:rsidRDefault="00AF399C" w:rsidP="002D72A7">
            <w:pPr>
              <w:spacing w:before="0"/>
              <w:jc w:val="center"/>
              <w:cnfStyle w:val="000000100000"/>
              <w:rPr>
                <w:szCs w:val="24"/>
              </w:rPr>
            </w:pPr>
            <w:r>
              <w:rPr>
                <w:szCs w:val="24"/>
              </w:rPr>
              <w:t xml:space="preserve">25,02 </w:t>
            </w:r>
            <w:r w:rsidRPr="004246B8">
              <w:rPr>
                <w:szCs w:val="24"/>
              </w:rPr>
              <w:t>%</w:t>
            </w:r>
          </w:p>
        </w:tc>
        <w:tc>
          <w:tcPr>
            <w:tcW w:w="1599" w:type="dxa"/>
          </w:tcPr>
          <w:p w:rsidR="00AF399C" w:rsidRPr="00920008" w:rsidRDefault="00AF399C" w:rsidP="002D72A7">
            <w:pPr>
              <w:spacing w:before="0"/>
              <w:jc w:val="center"/>
              <w:cnfStyle w:val="000000100000"/>
              <w:rPr>
                <w:szCs w:val="24"/>
              </w:rPr>
            </w:pPr>
            <w:r w:rsidRPr="00920008">
              <w:rPr>
                <w:szCs w:val="24"/>
              </w:rPr>
              <w:t>-</w:t>
            </w:r>
            <w:r>
              <w:rPr>
                <w:szCs w:val="24"/>
              </w:rPr>
              <w:t xml:space="preserve"> </w:t>
            </w:r>
            <w:r w:rsidRPr="00920008">
              <w:rPr>
                <w:szCs w:val="24"/>
              </w:rPr>
              <w:t>4,09 %</w:t>
            </w:r>
          </w:p>
        </w:tc>
        <w:tc>
          <w:tcPr>
            <w:tcW w:w="1600" w:type="dxa"/>
          </w:tcPr>
          <w:p w:rsidR="00AF399C" w:rsidRPr="004246B8" w:rsidRDefault="00AF399C" w:rsidP="002D72A7">
            <w:pPr>
              <w:spacing w:before="0" w:after="240"/>
              <w:jc w:val="center"/>
              <w:cnfStyle w:val="000000100000"/>
              <w:rPr>
                <w:szCs w:val="24"/>
              </w:rPr>
            </w:pPr>
            <w:r>
              <w:rPr>
                <w:szCs w:val="24"/>
              </w:rPr>
              <w:t xml:space="preserve">29,45 </w:t>
            </w:r>
            <w:r w:rsidRPr="004246B8">
              <w:rPr>
                <w:szCs w:val="24"/>
              </w:rPr>
              <w:t>%</w:t>
            </w:r>
          </w:p>
        </w:tc>
        <w:tc>
          <w:tcPr>
            <w:tcW w:w="1600" w:type="dxa"/>
          </w:tcPr>
          <w:p w:rsidR="00AF399C" w:rsidRPr="004246B8" w:rsidRDefault="00AF399C" w:rsidP="002D72A7">
            <w:pPr>
              <w:spacing w:before="0"/>
              <w:jc w:val="center"/>
              <w:cnfStyle w:val="000000100000"/>
              <w:rPr>
                <w:szCs w:val="24"/>
              </w:rPr>
            </w:pPr>
            <w:r>
              <w:rPr>
                <w:szCs w:val="24"/>
              </w:rPr>
              <w:t xml:space="preserve">69,30 </w:t>
            </w:r>
            <w:r w:rsidRPr="004246B8">
              <w:rPr>
                <w:szCs w:val="24"/>
              </w:rPr>
              <w:t>%</w:t>
            </w:r>
          </w:p>
        </w:tc>
      </w:tr>
    </w:tbl>
    <w:p w:rsidR="00AF399C" w:rsidRPr="001904E3" w:rsidRDefault="00AF399C" w:rsidP="002D72A7">
      <w:pPr>
        <w:spacing w:before="0" w:after="240" w:line="360" w:lineRule="auto"/>
        <w:jc w:val="center"/>
        <w:rPr>
          <w:sz w:val="22"/>
        </w:rPr>
      </w:pPr>
      <w:proofErr w:type="gramStart"/>
      <w:r w:rsidRPr="001904E3">
        <w:rPr>
          <w:sz w:val="22"/>
        </w:rPr>
        <w:t xml:space="preserve">Zdroj : </w:t>
      </w:r>
      <w:r w:rsidRPr="001904E3">
        <w:rPr>
          <w:rStyle w:val="null"/>
          <w:rFonts w:eastAsiaTheme="majorEastAsia"/>
          <w:sz w:val="22"/>
        </w:rPr>
        <w:t>Zpracováno</w:t>
      </w:r>
      <w:proofErr w:type="gramEnd"/>
      <w:r w:rsidRPr="001904E3">
        <w:rPr>
          <w:rStyle w:val="null"/>
          <w:rFonts w:eastAsiaTheme="majorEastAsia"/>
          <w:sz w:val="22"/>
        </w:rPr>
        <w:t xml:space="preserve"> podle dat přístupných v elektronické databázi Bloomberg</w:t>
      </w:r>
      <w:r w:rsidRPr="001904E3">
        <w:rPr>
          <w:sz w:val="22"/>
        </w:rPr>
        <w:t xml:space="preserve"> a</w:t>
      </w:r>
      <w:r w:rsidRPr="001904E3">
        <w:rPr>
          <w:b/>
          <w:color w:val="FF0000"/>
          <w:sz w:val="22"/>
        </w:rPr>
        <w:t xml:space="preserve"> </w:t>
      </w:r>
      <w:r w:rsidRPr="001904E3">
        <w:rPr>
          <w:sz w:val="22"/>
        </w:rPr>
        <w:t xml:space="preserve">Ultra S&amp;P500 Prospectus. </w:t>
      </w:r>
      <w:r w:rsidRPr="001904E3">
        <w:rPr>
          <w:i/>
          <w:iCs/>
          <w:sz w:val="22"/>
        </w:rPr>
        <w:t>ProShares</w:t>
      </w:r>
      <w:r w:rsidRPr="001904E3">
        <w:rPr>
          <w:sz w:val="22"/>
        </w:rPr>
        <w:t xml:space="preserve"> [online]. 2014 [cit. 2014-02-20]. Dostupné z: http://www.proshares.com/funds/prospectus.html?ticker=SSO</w:t>
      </w:r>
    </w:p>
    <w:p w:rsidR="00AF399C" w:rsidRDefault="00AF399C" w:rsidP="00AF399C">
      <w:pPr>
        <w:spacing w:after="240" w:line="360" w:lineRule="auto"/>
        <w:rPr>
          <w:szCs w:val="24"/>
        </w:rPr>
      </w:pPr>
      <w:r w:rsidRPr="004246B8">
        <w:rPr>
          <w:szCs w:val="24"/>
        </w:rPr>
        <w:t>Srovnání roční výkonnosti fondu s benchmarkem, tedy indexem S&amp;P500 ukazuje následující graf</w:t>
      </w:r>
      <w:r w:rsidR="003B6E6C">
        <w:rPr>
          <w:szCs w:val="24"/>
        </w:rPr>
        <w:t xml:space="preserve"> č. 16</w:t>
      </w:r>
      <w:r w:rsidRPr="004246B8">
        <w:rPr>
          <w:szCs w:val="24"/>
        </w:rPr>
        <w:t>.</w:t>
      </w:r>
      <w:r>
        <w:rPr>
          <w:szCs w:val="24"/>
        </w:rPr>
        <w:t xml:space="preserve"> </w:t>
      </w:r>
      <w:r w:rsidRPr="004246B8">
        <w:rPr>
          <w:szCs w:val="24"/>
        </w:rPr>
        <w:t xml:space="preserve">Ačkoli je toto ETF </w:t>
      </w:r>
      <w:r w:rsidR="003B6E6C">
        <w:rPr>
          <w:szCs w:val="24"/>
        </w:rPr>
        <w:t>kalkulováno</w:t>
      </w:r>
      <w:r w:rsidRPr="004246B8">
        <w:rPr>
          <w:szCs w:val="24"/>
        </w:rPr>
        <w:t xml:space="preserve"> na jednodenní bázi, i v delším období je z grafu patrné, že</w:t>
      </w:r>
      <w:r>
        <w:rPr>
          <w:szCs w:val="24"/>
        </w:rPr>
        <w:t xml:space="preserve"> pákový </w:t>
      </w:r>
      <w:proofErr w:type="gramStart"/>
      <w:r>
        <w:rPr>
          <w:szCs w:val="24"/>
        </w:rPr>
        <w:t xml:space="preserve">efekt </w:t>
      </w:r>
      <w:r w:rsidRPr="004246B8">
        <w:rPr>
          <w:szCs w:val="24"/>
        </w:rPr>
        <w:t xml:space="preserve"> 200</w:t>
      </w:r>
      <w:proofErr w:type="gramEnd"/>
      <w:r>
        <w:rPr>
          <w:szCs w:val="24"/>
        </w:rPr>
        <w:t xml:space="preserve"> </w:t>
      </w:r>
      <w:r w:rsidRPr="004246B8">
        <w:rPr>
          <w:szCs w:val="24"/>
        </w:rPr>
        <w:t xml:space="preserve">% </w:t>
      </w:r>
      <w:r>
        <w:rPr>
          <w:szCs w:val="24"/>
        </w:rPr>
        <w:t>se částečně podařilo dosáhnout i v delším horizontu</w:t>
      </w:r>
      <w:r w:rsidRPr="004246B8">
        <w:rPr>
          <w:szCs w:val="24"/>
        </w:rPr>
        <w:t>. Ačkoli zde nenalezneme přesnou korelaci (</w:t>
      </w:r>
      <w:proofErr w:type="gramStart"/>
      <w:r w:rsidRPr="004246B8">
        <w:rPr>
          <w:szCs w:val="24"/>
        </w:rPr>
        <w:t>tzn.</w:t>
      </w:r>
      <w:proofErr w:type="gramEnd"/>
      <w:r w:rsidRPr="004246B8">
        <w:rPr>
          <w:szCs w:val="24"/>
        </w:rPr>
        <w:t xml:space="preserve"> hodnoty výkonnosti pákového ETF </w:t>
      </w:r>
      <w:proofErr w:type="gramStart"/>
      <w:r w:rsidRPr="004246B8">
        <w:rPr>
          <w:szCs w:val="24"/>
        </w:rPr>
        <w:t>nejsou</w:t>
      </w:r>
      <w:proofErr w:type="gramEnd"/>
      <w:r w:rsidRPr="004246B8">
        <w:rPr>
          <w:szCs w:val="24"/>
        </w:rPr>
        <w:t xml:space="preserve"> přesně dvojnásobné od hodnot benchmarku), lze vypozorovat minimálně hrubé tendence tento cíl naplnit. </w:t>
      </w:r>
    </w:p>
    <w:p w:rsidR="000B447C" w:rsidRDefault="000B447C" w:rsidP="00AF399C">
      <w:pPr>
        <w:spacing w:after="240" w:line="360" w:lineRule="auto"/>
        <w:rPr>
          <w:szCs w:val="24"/>
        </w:rPr>
      </w:pPr>
    </w:p>
    <w:p w:rsidR="000B447C" w:rsidRDefault="000B447C" w:rsidP="00AF399C">
      <w:pPr>
        <w:spacing w:after="240" w:line="360" w:lineRule="auto"/>
        <w:rPr>
          <w:szCs w:val="24"/>
        </w:rPr>
      </w:pPr>
    </w:p>
    <w:p w:rsidR="000B447C" w:rsidRDefault="000B447C" w:rsidP="00AF399C">
      <w:pPr>
        <w:spacing w:after="240" w:line="360" w:lineRule="auto"/>
        <w:rPr>
          <w:szCs w:val="24"/>
        </w:rPr>
      </w:pPr>
    </w:p>
    <w:p w:rsidR="000B447C" w:rsidRDefault="000B447C" w:rsidP="00AF399C">
      <w:pPr>
        <w:spacing w:after="240" w:line="360" w:lineRule="auto"/>
        <w:rPr>
          <w:szCs w:val="24"/>
        </w:rPr>
      </w:pPr>
    </w:p>
    <w:p w:rsidR="000B447C" w:rsidRDefault="000B447C" w:rsidP="00AF399C">
      <w:pPr>
        <w:spacing w:after="240" w:line="360" w:lineRule="auto"/>
        <w:rPr>
          <w:szCs w:val="24"/>
        </w:rPr>
      </w:pPr>
    </w:p>
    <w:p w:rsidR="000B447C" w:rsidRPr="004246B8" w:rsidRDefault="000B447C" w:rsidP="00AF399C">
      <w:pPr>
        <w:spacing w:after="240" w:line="360" w:lineRule="auto"/>
        <w:rPr>
          <w:szCs w:val="24"/>
        </w:rPr>
      </w:pPr>
    </w:p>
    <w:p w:rsidR="001904E3" w:rsidRPr="001904E3" w:rsidRDefault="001904E3" w:rsidP="001904E3">
      <w:pPr>
        <w:pStyle w:val="Titulek"/>
        <w:spacing w:after="0" w:line="360" w:lineRule="auto"/>
        <w:jc w:val="center"/>
        <w:rPr>
          <w:color w:val="auto"/>
          <w:sz w:val="22"/>
          <w:szCs w:val="22"/>
        </w:rPr>
      </w:pPr>
      <w:bookmarkStart w:id="99" w:name="_Toc385970617"/>
      <w:r w:rsidRPr="007C741F">
        <w:rPr>
          <w:color w:val="auto"/>
          <w:sz w:val="22"/>
          <w:szCs w:val="22"/>
        </w:rPr>
        <w:lastRenderedPageBreak/>
        <w:t xml:space="preserve">Graf č. </w:t>
      </w:r>
      <w:proofErr w:type="gramStart"/>
      <w:r w:rsidR="008B79C7" w:rsidRPr="007C741F">
        <w:rPr>
          <w:color w:val="auto"/>
          <w:sz w:val="22"/>
          <w:szCs w:val="22"/>
        </w:rPr>
        <w:fldChar w:fldCharType="begin"/>
      </w:r>
      <w:r w:rsidRPr="007C741F">
        <w:rPr>
          <w:color w:val="auto"/>
          <w:sz w:val="22"/>
          <w:szCs w:val="22"/>
        </w:rPr>
        <w:instrText xml:space="preserve"> SEQ Graf_č. \* ARABIC </w:instrText>
      </w:r>
      <w:r w:rsidR="008B79C7" w:rsidRPr="007C741F">
        <w:rPr>
          <w:color w:val="auto"/>
          <w:sz w:val="22"/>
          <w:szCs w:val="22"/>
        </w:rPr>
        <w:fldChar w:fldCharType="separate"/>
      </w:r>
      <w:r w:rsidR="002E0A33">
        <w:rPr>
          <w:noProof/>
          <w:color w:val="auto"/>
          <w:sz w:val="22"/>
          <w:szCs w:val="22"/>
        </w:rPr>
        <w:t>16</w:t>
      </w:r>
      <w:r w:rsidR="008B79C7" w:rsidRPr="007C741F">
        <w:rPr>
          <w:color w:val="auto"/>
          <w:sz w:val="22"/>
          <w:szCs w:val="22"/>
        </w:rPr>
        <w:fldChar w:fldCharType="end"/>
      </w:r>
      <w:r w:rsidRPr="007C741F">
        <w:rPr>
          <w:color w:val="auto"/>
          <w:sz w:val="22"/>
          <w:szCs w:val="22"/>
        </w:rPr>
        <w:t xml:space="preserve"> : Srovnání</w:t>
      </w:r>
      <w:proofErr w:type="gramEnd"/>
      <w:r w:rsidRPr="007C741F">
        <w:rPr>
          <w:color w:val="auto"/>
          <w:sz w:val="22"/>
          <w:szCs w:val="22"/>
        </w:rPr>
        <w:t xml:space="preserve"> výkonnosti ProShares Ultra S&amp;P500 a Indexu S&amp;P500</w:t>
      </w:r>
      <w:bookmarkEnd w:id="99"/>
    </w:p>
    <w:p w:rsidR="001904E3" w:rsidRDefault="00AF399C" w:rsidP="003B6E6C">
      <w:pPr>
        <w:pStyle w:val="Titulek"/>
        <w:spacing w:after="0" w:line="360" w:lineRule="auto"/>
        <w:jc w:val="left"/>
        <w:rPr>
          <w:color w:val="auto"/>
          <w:sz w:val="22"/>
          <w:szCs w:val="22"/>
        </w:rPr>
      </w:pPr>
      <w:r w:rsidRPr="007C741F">
        <w:rPr>
          <w:noProof/>
          <w:color w:val="auto"/>
          <w:sz w:val="22"/>
          <w:szCs w:val="22"/>
        </w:rPr>
        <w:drawing>
          <wp:inline distT="0" distB="0" distL="0" distR="0">
            <wp:extent cx="6151245" cy="298069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F399C" w:rsidRPr="007C741F" w:rsidRDefault="00AF399C" w:rsidP="00AF399C">
      <w:pPr>
        <w:spacing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rPr>
          <w:szCs w:val="24"/>
        </w:rPr>
      </w:pPr>
      <w:r>
        <w:rPr>
          <w:szCs w:val="24"/>
        </w:rPr>
        <w:t xml:space="preserve">Jak již bylo řečeno, nejedná se o investici vhodnou pro nezkušené začínající investory. Riziko (volatilita) tohoto cenného papíru vypočtena dle vzorce </w:t>
      </w:r>
      <w:r w:rsidR="000F52DE">
        <w:rPr>
          <w:szCs w:val="24"/>
        </w:rPr>
        <w:t>č. 11</w:t>
      </w:r>
      <w:r>
        <w:rPr>
          <w:szCs w:val="24"/>
        </w:rPr>
        <w:t xml:space="preserve"> vychází na 26,30 %. Emitent cenného papíru má v rámci prospektu povinnost zveřejnit rizika, se kterými by měl být investor obeznámen před samotnou investicí, v následujícím textu proto budu vycházet z tohoto prospektu.</w:t>
      </w:r>
      <w:r>
        <w:rPr>
          <w:rStyle w:val="Znakapoznpodarou"/>
          <w:szCs w:val="24"/>
        </w:rPr>
        <w:footnoteReference w:id="85"/>
      </w:r>
      <w:r>
        <w:rPr>
          <w:szCs w:val="24"/>
        </w:rPr>
        <w:t xml:space="preserve">Jelikož se jedná o pákový instrument, nalezneme zde některá další specifická rizika oproti investici do </w:t>
      </w:r>
      <w:proofErr w:type="gramStart"/>
      <w:r>
        <w:rPr>
          <w:szCs w:val="24"/>
        </w:rPr>
        <w:t>klasického</w:t>
      </w:r>
      <w:proofErr w:type="gramEnd"/>
      <w:r>
        <w:rPr>
          <w:szCs w:val="24"/>
        </w:rPr>
        <w:t xml:space="preserve"> ETF. Jako příklady rizik spojených konkrétně s touto investicí můžeme uvést následující:</w:t>
      </w:r>
    </w:p>
    <w:p w:rsidR="00AF399C" w:rsidRDefault="00AF399C" w:rsidP="00AF399C">
      <w:pPr>
        <w:pStyle w:val="Odstavecseseznamem"/>
        <w:numPr>
          <w:ilvl w:val="0"/>
          <w:numId w:val="17"/>
        </w:numPr>
        <w:spacing w:after="240"/>
        <w:rPr>
          <w:szCs w:val="24"/>
        </w:rPr>
      </w:pPr>
      <w:r w:rsidRPr="00A8659C">
        <w:rPr>
          <w:szCs w:val="24"/>
        </w:rPr>
        <w:t xml:space="preserve">Riziko související s užitím derivátových instrumentů </w:t>
      </w:r>
      <w:r>
        <w:rPr>
          <w:szCs w:val="24"/>
        </w:rPr>
        <w:t>– využití těchto produktů se obecně považuje za riskantnější než přímé investice do podkladových aktiv, korelace mezi deriváty a podkladovými aktivy nemusí být dokonalá. Dalším rizikem spojeným s využitím těchto produktů může být, že v případě silného poklesu hodnoty podkladového aktiva může například swapový partner uzavřít svou pozici, nicméně fond nemusí být schopen najít okamžitě protistranu, se kterou by ve „spolupráci“ pokračoval.</w:t>
      </w:r>
    </w:p>
    <w:p w:rsidR="00AF399C" w:rsidRDefault="00AF399C" w:rsidP="00AF399C">
      <w:pPr>
        <w:pStyle w:val="Odstavecseseznamem"/>
        <w:numPr>
          <w:ilvl w:val="0"/>
          <w:numId w:val="17"/>
        </w:numPr>
        <w:spacing w:after="240"/>
        <w:rPr>
          <w:szCs w:val="24"/>
        </w:rPr>
      </w:pPr>
      <w:r w:rsidRPr="00A8659C">
        <w:rPr>
          <w:szCs w:val="24"/>
        </w:rPr>
        <w:t>Riziko související s využitím pákového efektu</w:t>
      </w:r>
      <w:r>
        <w:rPr>
          <w:szCs w:val="24"/>
        </w:rPr>
        <w:t xml:space="preserve"> – využití pákového efektu může investorům napomoci dosáhnout nadproporcionálních výnosů oproti přímé investici </w:t>
      </w:r>
      <w:r>
        <w:rPr>
          <w:szCs w:val="24"/>
        </w:rPr>
        <w:lastRenderedPageBreak/>
        <w:t>do podkladového aktiva, nicméně v případě poklesu hodnoty podkladového aktiva zaznamenávají investoři také nadproporcionální ztrátu (tzn. ztrátu vyšší než v případě přímé investice do podkladového aktiva)</w:t>
      </w:r>
    </w:p>
    <w:p w:rsidR="00AF399C" w:rsidRDefault="00AF399C" w:rsidP="00AF399C">
      <w:pPr>
        <w:pStyle w:val="Odstavecseseznamem"/>
        <w:numPr>
          <w:ilvl w:val="0"/>
          <w:numId w:val="17"/>
        </w:numPr>
        <w:spacing w:after="240"/>
        <w:rPr>
          <w:szCs w:val="24"/>
        </w:rPr>
      </w:pPr>
      <w:r w:rsidRPr="00A8659C">
        <w:rPr>
          <w:szCs w:val="24"/>
        </w:rPr>
        <w:t>Riziko diverzifikace - tento fond může dle zákona o investičních společnostech z roku 1940 investovat vysoké procento jmění v cenné papíry vydané jedním emitentem, v rámci jednoho ekonomického či politického systému</w:t>
      </w:r>
    </w:p>
    <w:p w:rsidR="00AF399C" w:rsidRDefault="00AF399C" w:rsidP="00AF399C">
      <w:pPr>
        <w:pStyle w:val="Odstavecseseznamem"/>
        <w:numPr>
          <w:ilvl w:val="0"/>
          <w:numId w:val="17"/>
        </w:numPr>
        <w:spacing w:after="240"/>
        <w:rPr>
          <w:szCs w:val="24"/>
        </w:rPr>
      </w:pPr>
      <w:r w:rsidRPr="00A8659C">
        <w:rPr>
          <w:szCs w:val="24"/>
        </w:rPr>
        <w:t xml:space="preserve">Riziko </w:t>
      </w:r>
      <w:r>
        <w:rPr>
          <w:szCs w:val="24"/>
        </w:rPr>
        <w:t>korelace – existuje celá řada faktorů, které mohou způsobit, že fond nebude schopný dodržet vysoký stupeň korelace mezi ním a podkladovým aktivem. Mezi tyto faktory můžeme zařadit extrémní volatilitu trhu, narušení trhu či uzavření trhu, regulatorní omezení, poplatky, daňové náklady, financování nákladů spojených s užitím derivátových instrumentů, dočasná nelikvidita na finančním či kapitálovém trhu apod. Z těchto důvodů je obtížné i v rámci jednoho dne dosahovat přesné korelace produktu s podkladovým aktivem.</w:t>
      </w:r>
    </w:p>
    <w:p w:rsidR="00AF399C" w:rsidRPr="001904E3" w:rsidRDefault="00AF399C" w:rsidP="001904E3">
      <w:pPr>
        <w:pStyle w:val="Odstavecseseznamem"/>
        <w:numPr>
          <w:ilvl w:val="0"/>
          <w:numId w:val="17"/>
        </w:numPr>
        <w:spacing w:after="240"/>
        <w:rPr>
          <w:szCs w:val="24"/>
        </w:rPr>
      </w:pPr>
      <w:r>
        <w:rPr>
          <w:szCs w:val="24"/>
        </w:rPr>
        <w:t xml:space="preserve">Riziko protistrany – při využívání swapových kontraktů je zapotřebí nalézt protistranu, v takovém případě bude fond vždy čelit riziku, že tato protistrana nebude schopna nebo ochotna plnit své závazky. </w:t>
      </w:r>
    </w:p>
    <w:p w:rsidR="00AF399C" w:rsidRDefault="00AF399C" w:rsidP="00371136">
      <w:pPr>
        <w:pStyle w:val="Nadpis3"/>
      </w:pPr>
      <w:r>
        <w:t xml:space="preserve"> </w:t>
      </w:r>
      <w:bookmarkStart w:id="100" w:name="_Toc386146026"/>
      <w:r w:rsidRPr="00CC6A6C">
        <w:t>Investice do vybraného</w:t>
      </w:r>
      <w:r>
        <w:t xml:space="preserve"> inverzního</w:t>
      </w:r>
      <w:r w:rsidRPr="00CC6A6C">
        <w:t xml:space="preserve"> ETF využívajícího páky</w:t>
      </w:r>
      <w:bookmarkEnd w:id="100"/>
    </w:p>
    <w:p w:rsidR="00AF399C" w:rsidRDefault="00AF399C" w:rsidP="00AF399C">
      <w:pPr>
        <w:spacing w:before="240" w:after="240" w:line="360" w:lineRule="auto"/>
        <w:rPr>
          <w:szCs w:val="24"/>
        </w:rPr>
      </w:pPr>
      <w:r w:rsidRPr="00B1692D">
        <w:rPr>
          <w:szCs w:val="24"/>
        </w:rPr>
        <w:t>Jedním z typů ETF zmíněných v první kapitole byl také inverzní ETF. Jako zástupce tohoto produktu jsem zvolila ProShares UltraShort S&amp;P500</w:t>
      </w:r>
      <w:r>
        <w:rPr>
          <w:szCs w:val="24"/>
        </w:rPr>
        <w:t xml:space="preserve">, který je nejen inverzní (tzn. v případě růstu hodnoty indexu, hodnota ETF klesá), ale využívá také pákový efekt. Na burze je dohledatelný pod tickerem SDS. </w:t>
      </w:r>
    </w:p>
    <w:p w:rsidR="001904E3" w:rsidRDefault="00AF399C" w:rsidP="00AF399C">
      <w:pPr>
        <w:spacing w:before="240" w:after="240" w:line="360" w:lineRule="auto"/>
        <w:rPr>
          <w:szCs w:val="24"/>
        </w:rPr>
      </w:pPr>
      <w:r>
        <w:rPr>
          <w:szCs w:val="24"/>
        </w:rPr>
        <w:t xml:space="preserve">Cílem tohoto produktu je tedy (před započtením nákladů a poplatků) zajistit takový vývoj hodnoty produktu, který koresponduje s vývojem hodnoty podkladového indexu </w:t>
      </w:r>
      <w:r w:rsidRPr="00B1692D">
        <w:rPr>
          <w:szCs w:val="24"/>
        </w:rPr>
        <w:t>S&amp;P500</w:t>
      </w:r>
      <w:r>
        <w:rPr>
          <w:szCs w:val="24"/>
        </w:rPr>
        <w:t xml:space="preserve"> v poměru -200 %. Tento ukazatel znamená, že při růstu hodnoty podkladového </w:t>
      </w:r>
      <w:proofErr w:type="gramStart"/>
      <w:r>
        <w:rPr>
          <w:szCs w:val="24"/>
        </w:rPr>
        <w:t>indexu</w:t>
      </w:r>
      <w:r w:rsidR="00A35ADB">
        <w:rPr>
          <w:szCs w:val="24"/>
        </w:rPr>
        <w:t xml:space="preserve">          </w:t>
      </w:r>
      <w:r>
        <w:rPr>
          <w:szCs w:val="24"/>
        </w:rPr>
        <w:t xml:space="preserve"> o 50</w:t>
      </w:r>
      <w:proofErr w:type="gramEnd"/>
      <w:r>
        <w:rPr>
          <w:szCs w:val="24"/>
        </w:rPr>
        <w:t xml:space="preserve"> %, ztratí držitel SDS celou svou investici. Naopak při poklesu hodnoty indexu o 50 %, vzroste hodnota pákového inverzního ETF o 100 %.</w:t>
      </w:r>
    </w:p>
    <w:p w:rsidR="000F52DE" w:rsidRDefault="000F52DE" w:rsidP="00AF399C">
      <w:pPr>
        <w:spacing w:before="240" w:after="240" w:line="360" w:lineRule="auto"/>
        <w:rPr>
          <w:szCs w:val="24"/>
        </w:rPr>
      </w:pPr>
    </w:p>
    <w:p w:rsidR="000F52DE" w:rsidRDefault="000F52DE" w:rsidP="00AF399C">
      <w:pPr>
        <w:spacing w:before="240" w:after="240" w:line="360" w:lineRule="auto"/>
        <w:rPr>
          <w:szCs w:val="24"/>
        </w:rPr>
      </w:pPr>
    </w:p>
    <w:p w:rsidR="000F52DE" w:rsidRDefault="000F52DE" w:rsidP="00AF399C">
      <w:pPr>
        <w:spacing w:before="240" w:after="240" w:line="360" w:lineRule="auto"/>
        <w:rPr>
          <w:szCs w:val="24"/>
        </w:rPr>
      </w:pPr>
    </w:p>
    <w:p w:rsidR="000B447C" w:rsidRDefault="000B447C" w:rsidP="00AF399C">
      <w:pPr>
        <w:spacing w:before="240" w:after="240" w:line="360" w:lineRule="auto"/>
        <w:rPr>
          <w:szCs w:val="24"/>
        </w:rPr>
      </w:pPr>
    </w:p>
    <w:p w:rsidR="001904E3" w:rsidRPr="001904E3" w:rsidRDefault="001904E3" w:rsidP="001904E3">
      <w:pPr>
        <w:pStyle w:val="Titulek"/>
        <w:spacing w:after="0" w:line="360" w:lineRule="auto"/>
        <w:jc w:val="center"/>
        <w:rPr>
          <w:color w:val="auto"/>
          <w:sz w:val="22"/>
          <w:szCs w:val="22"/>
        </w:rPr>
      </w:pPr>
      <w:bookmarkStart w:id="101" w:name="_Toc385970618"/>
      <w:r w:rsidRPr="007C741F">
        <w:rPr>
          <w:color w:val="auto"/>
          <w:sz w:val="22"/>
          <w:szCs w:val="22"/>
        </w:rPr>
        <w:lastRenderedPageBreak/>
        <w:t xml:space="preserve">Graf č. </w:t>
      </w:r>
      <w:r w:rsidR="008B79C7" w:rsidRPr="007C741F">
        <w:rPr>
          <w:color w:val="auto"/>
          <w:sz w:val="22"/>
          <w:szCs w:val="22"/>
        </w:rPr>
        <w:fldChar w:fldCharType="begin"/>
      </w:r>
      <w:r w:rsidRPr="007C741F">
        <w:rPr>
          <w:color w:val="auto"/>
          <w:sz w:val="22"/>
          <w:szCs w:val="22"/>
        </w:rPr>
        <w:instrText xml:space="preserve"> SEQ Graf_č. \* ARABIC </w:instrText>
      </w:r>
      <w:r w:rsidR="008B79C7" w:rsidRPr="007C741F">
        <w:rPr>
          <w:color w:val="auto"/>
          <w:sz w:val="22"/>
          <w:szCs w:val="22"/>
        </w:rPr>
        <w:fldChar w:fldCharType="separate"/>
      </w:r>
      <w:r w:rsidR="002E0A33">
        <w:rPr>
          <w:noProof/>
          <w:color w:val="auto"/>
          <w:sz w:val="22"/>
          <w:szCs w:val="22"/>
        </w:rPr>
        <w:t>17</w:t>
      </w:r>
      <w:r w:rsidR="008B79C7" w:rsidRPr="007C741F">
        <w:rPr>
          <w:color w:val="auto"/>
          <w:sz w:val="22"/>
          <w:szCs w:val="22"/>
        </w:rPr>
        <w:fldChar w:fldCharType="end"/>
      </w:r>
      <w:r w:rsidRPr="007C741F">
        <w:rPr>
          <w:color w:val="auto"/>
          <w:sz w:val="22"/>
          <w:szCs w:val="22"/>
        </w:rPr>
        <w:t>: Vývoj hodnoty kurzu SDS v letech 2009-2013</w:t>
      </w:r>
      <w:bookmarkEnd w:id="101"/>
    </w:p>
    <w:p w:rsidR="00AF399C" w:rsidRDefault="00AF399C" w:rsidP="002D72A7">
      <w:pPr>
        <w:spacing w:after="0" w:line="360" w:lineRule="auto"/>
        <w:rPr>
          <w:szCs w:val="24"/>
        </w:rPr>
      </w:pPr>
      <w:r w:rsidRPr="004246B8">
        <w:rPr>
          <w:noProof/>
          <w:szCs w:val="24"/>
          <w:lang w:eastAsia="cs-CZ"/>
        </w:rPr>
        <w:drawing>
          <wp:inline distT="0" distB="0" distL="0" distR="0">
            <wp:extent cx="5989864" cy="3336967"/>
            <wp:effectExtent l="0" t="0" r="0" b="0"/>
            <wp:docPr id="9"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2D72A7">
      <w:pPr>
        <w:spacing w:before="0" w:after="240" w:line="360" w:lineRule="auto"/>
        <w:rPr>
          <w:szCs w:val="24"/>
        </w:rPr>
      </w:pPr>
      <w:r w:rsidRPr="00B1692D">
        <w:t xml:space="preserve">Vývoj hodnoty SDS zachycuje graf č. </w:t>
      </w:r>
      <w:r w:rsidR="00A35ADB">
        <w:t>17</w:t>
      </w:r>
      <w:r w:rsidRPr="00B1692D">
        <w:t xml:space="preserve">. Stejně tak jako v případě obyčejného pákového ETF, i toto je určeno zejména pro </w:t>
      </w:r>
      <w:r>
        <w:t>zkušenější</w:t>
      </w:r>
      <w:r w:rsidRPr="00B1692D">
        <w:t xml:space="preserve"> investory</w:t>
      </w:r>
      <w:r>
        <w:t xml:space="preserve">. Ani tento produkt není vhodný pro delší časový horizont a strategii buy and hold, cílem je dosažení dvojnásobné úrovně zhodnocení resp. znehodnocení oproti podkladovému indexu na denní bázi. </w:t>
      </w:r>
      <w:r>
        <w:rPr>
          <w:szCs w:val="24"/>
        </w:rPr>
        <w:t xml:space="preserve">Z tohoto důvodu je opět zapotřebí sledovat vývoj hodnoty jak podkladového indexu tak SDS pokud možno denně a dle toho řídit svou investiční strategii. </w:t>
      </w:r>
    </w:p>
    <w:p w:rsidR="00AF399C" w:rsidRDefault="00AF399C" w:rsidP="00AF399C">
      <w:pPr>
        <w:spacing w:after="240" w:line="360" w:lineRule="auto"/>
        <w:rPr>
          <w:szCs w:val="24"/>
        </w:rPr>
      </w:pPr>
      <w:r>
        <w:rPr>
          <w:szCs w:val="24"/>
        </w:rPr>
        <w:t xml:space="preserve">Tento produkt bych osobně volila spíše v období počínající krize, inverzní efekt způsobí, že na klesajícím trhu mohu dosáhnout kladného zhodnocení své investice. Dle grafu č. </w:t>
      </w:r>
      <w:r w:rsidR="00A35ADB">
        <w:rPr>
          <w:szCs w:val="24"/>
        </w:rPr>
        <w:t>17</w:t>
      </w:r>
      <w:r>
        <w:rPr>
          <w:szCs w:val="24"/>
        </w:rPr>
        <w:t xml:space="preserve"> je patrné, že pokud by investor investoval do SDS a realizoval investiční strategii buy and hold, pocítil by značné ztráty. </w:t>
      </w:r>
    </w:p>
    <w:p w:rsidR="00AF399C" w:rsidRDefault="00AF399C" w:rsidP="00AF399C">
      <w:pPr>
        <w:spacing w:after="240" w:line="360" w:lineRule="auto"/>
        <w:rPr>
          <w:sz w:val="28"/>
        </w:rPr>
      </w:pPr>
      <w:r>
        <w:rPr>
          <w:szCs w:val="24"/>
        </w:rPr>
        <w:t>Očekávaná roční výkonnost byla dle výpočtu, založeném na vzorc</w:t>
      </w:r>
      <w:r w:rsidR="00A35ADB">
        <w:rPr>
          <w:szCs w:val="24"/>
        </w:rPr>
        <w:t>i č. 9</w:t>
      </w:r>
      <w:r>
        <w:rPr>
          <w:szCs w:val="24"/>
        </w:rPr>
        <w:t>, vypočtena na hodnotu -34,69 %. Konkrétní hodnoty hrubé výnosnosti, resp. ztrátovosti produktu za jednotlivé roky vyjadřuje následující tabulka.</w:t>
      </w:r>
    </w:p>
    <w:p w:rsidR="001904E3" w:rsidRPr="001904E3" w:rsidRDefault="001904E3" w:rsidP="001904E3">
      <w:pPr>
        <w:pStyle w:val="Titulek"/>
        <w:spacing w:before="240" w:after="0" w:line="360" w:lineRule="auto"/>
        <w:jc w:val="center"/>
        <w:rPr>
          <w:color w:val="auto"/>
          <w:sz w:val="22"/>
          <w:szCs w:val="22"/>
        </w:rPr>
      </w:pPr>
      <w:bookmarkStart w:id="102" w:name="_Toc385970334"/>
      <w:r w:rsidRPr="007C741F">
        <w:rPr>
          <w:color w:val="auto"/>
          <w:sz w:val="22"/>
          <w:szCs w:val="22"/>
        </w:rPr>
        <w:t xml:space="preserve">Tabulka č. </w:t>
      </w:r>
      <w:r w:rsidR="008B79C7" w:rsidRPr="007C741F">
        <w:rPr>
          <w:color w:val="auto"/>
          <w:sz w:val="22"/>
          <w:szCs w:val="22"/>
        </w:rPr>
        <w:fldChar w:fldCharType="begin"/>
      </w:r>
      <w:r w:rsidRPr="007C741F">
        <w:rPr>
          <w:color w:val="auto"/>
          <w:sz w:val="22"/>
          <w:szCs w:val="22"/>
        </w:rPr>
        <w:instrText xml:space="preserve"> SEQ Tabulka_č. \* ARABIC </w:instrText>
      </w:r>
      <w:r w:rsidR="008B79C7" w:rsidRPr="007C741F">
        <w:rPr>
          <w:color w:val="auto"/>
          <w:sz w:val="22"/>
          <w:szCs w:val="22"/>
        </w:rPr>
        <w:fldChar w:fldCharType="separate"/>
      </w:r>
      <w:r w:rsidR="00730734">
        <w:rPr>
          <w:noProof/>
          <w:color w:val="auto"/>
          <w:sz w:val="22"/>
          <w:szCs w:val="22"/>
        </w:rPr>
        <w:t>21</w:t>
      </w:r>
      <w:r w:rsidR="008B79C7" w:rsidRPr="007C741F">
        <w:rPr>
          <w:color w:val="auto"/>
          <w:sz w:val="22"/>
          <w:szCs w:val="22"/>
        </w:rPr>
        <w:fldChar w:fldCharType="end"/>
      </w:r>
      <w:r w:rsidRPr="007C741F">
        <w:rPr>
          <w:color w:val="auto"/>
          <w:sz w:val="22"/>
          <w:szCs w:val="22"/>
        </w:rPr>
        <w:t xml:space="preserve"> Hrubá výkonnost ProShares UltraShort S&amp;P500 v letech 2009 – 2013 </w:t>
      </w:r>
      <w:r>
        <w:rPr>
          <w:color w:val="auto"/>
          <w:sz w:val="22"/>
          <w:szCs w:val="22"/>
        </w:rPr>
        <w:t xml:space="preserve">v % </w:t>
      </w:r>
      <w:proofErr w:type="gramStart"/>
      <w:r>
        <w:rPr>
          <w:color w:val="auto"/>
          <w:sz w:val="22"/>
          <w:szCs w:val="22"/>
        </w:rPr>
        <w:t>p.a.</w:t>
      </w:r>
      <w:bookmarkEnd w:id="102"/>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RPr="004246B8"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RPr="004246B8"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color w:val="000000"/>
                <w:szCs w:val="24"/>
              </w:rPr>
              <w:t>-47,35 %</w:t>
            </w:r>
          </w:p>
        </w:tc>
        <w:tc>
          <w:tcPr>
            <w:tcW w:w="1599" w:type="dxa"/>
          </w:tcPr>
          <w:p w:rsidR="00AF399C" w:rsidRPr="004246B8" w:rsidRDefault="00AF399C" w:rsidP="002D72A7">
            <w:pPr>
              <w:spacing w:before="0"/>
              <w:jc w:val="center"/>
              <w:cnfStyle w:val="000000100000"/>
              <w:rPr>
                <w:szCs w:val="24"/>
              </w:rPr>
            </w:pPr>
            <w:r w:rsidRPr="004246B8">
              <w:rPr>
                <w:color w:val="000000"/>
                <w:szCs w:val="24"/>
              </w:rPr>
              <w:t>-32,21 %</w:t>
            </w:r>
          </w:p>
        </w:tc>
        <w:tc>
          <w:tcPr>
            <w:tcW w:w="1599" w:type="dxa"/>
          </w:tcPr>
          <w:p w:rsidR="00AF399C" w:rsidRPr="004246B8" w:rsidRDefault="00AF399C" w:rsidP="002D72A7">
            <w:pPr>
              <w:spacing w:before="0"/>
              <w:jc w:val="center"/>
              <w:cnfStyle w:val="000000100000"/>
              <w:rPr>
                <w:szCs w:val="24"/>
              </w:rPr>
            </w:pPr>
            <w:r w:rsidRPr="004246B8">
              <w:rPr>
                <w:color w:val="000000"/>
                <w:szCs w:val="24"/>
              </w:rPr>
              <w:t>-18,82 %</w:t>
            </w:r>
          </w:p>
        </w:tc>
        <w:tc>
          <w:tcPr>
            <w:tcW w:w="1600" w:type="dxa"/>
          </w:tcPr>
          <w:p w:rsidR="00AF399C" w:rsidRPr="004246B8" w:rsidRDefault="00AF399C" w:rsidP="002D72A7">
            <w:pPr>
              <w:spacing w:before="0"/>
              <w:jc w:val="center"/>
              <w:cnfStyle w:val="000000100000"/>
              <w:rPr>
                <w:szCs w:val="24"/>
              </w:rPr>
            </w:pPr>
            <w:r w:rsidRPr="004246B8">
              <w:rPr>
                <w:color w:val="000000"/>
                <w:szCs w:val="24"/>
              </w:rPr>
              <w:t>-29,87 %</w:t>
            </w:r>
          </w:p>
        </w:tc>
        <w:tc>
          <w:tcPr>
            <w:tcW w:w="1600" w:type="dxa"/>
          </w:tcPr>
          <w:p w:rsidR="00AF399C" w:rsidRPr="004246B8" w:rsidRDefault="00AF399C" w:rsidP="002D72A7">
            <w:pPr>
              <w:spacing w:before="0"/>
              <w:jc w:val="center"/>
              <w:cnfStyle w:val="000000100000"/>
              <w:rPr>
                <w:color w:val="000000"/>
                <w:szCs w:val="24"/>
              </w:rPr>
            </w:pPr>
            <w:r w:rsidRPr="004246B8">
              <w:rPr>
                <w:color w:val="000000"/>
                <w:szCs w:val="24"/>
              </w:rPr>
              <w:t>-45,19 %</w:t>
            </w:r>
          </w:p>
        </w:tc>
      </w:tr>
    </w:tbl>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pPr>
      <w:r w:rsidRPr="00846ACA">
        <w:lastRenderedPageBreak/>
        <w:t>Jelikož je cílem tohoto ETF dosáhnout zhodnoceni – 200 % oproti podkladovému indexu, jsou i v tomto případě využívány nikoli přímé investice do akcií, nýbrž především derivátové instrumenty</w:t>
      </w:r>
      <w:r>
        <w:t xml:space="preserve"> na úrokové míry, akcie, indexy nebo například dluhopisy a fondy</w:t>
      </w:r>
      <w:r w:rsidRPr="00846ACA">
        <w:t>, které</w:t>
      </w:r>
      <w:r>
        <w:t xml:space="preserve"> jsou</w:t>
      </w:r>
      <w:r w:rsidRPr="00846ACA">
        <w:t xml:space="preserve"> dle správců fondů schopny zajistit výše zmíněné cíle.</w:t>
      </w:r>
    </w:p>
    <w:p w:rsidR="00AF399C" w:rsidRDefault="00AF399C" w:rsidP="00AF399C">
      <w:pPr>
        <w:spacing w:after="240" w:line="360" w:lineRule="auto"/>
      </w:pPr>
      <w:r>
        <w:t>Stejně jako v případě pákového ETF jsou i zde využívány především swapové kontrakty, kdy si opět smluvní strany sjednají směnu výnosů případně diferencí v úrokových mírách realizovaných na předem stanovených investicích nebo instrumentech. Opět i ve složení tohoto ETF jsou využívány futures kontrakty.</w:t>
      </w:r>
    </w:p>
    <w:p w:rsidR="00AF399C" w:rsidRDefault="00AF399C" w:rsidP="00AF399C">
      <w:pPr>
        <w:spacing w:after="240" w:line="360" w:lineRule="auto"/>
      </w:pPr>
      <w:r>
        <w:t xml:space="preserve">Dalšími instrumenty zahrnutými v portfoliu SDS jsou nástroje peněžního trhu, které již byly zmíněny v předešlé kapitole. Jedná se tedy zejména o státní pokladniční poukázky a dohody o zpětném odkupu. </w:t>
      </w:r>
    </w:p>
    <w:p w:rsidR="001904E3" w:rsidRDefault="00AF399C" w:rsidP="00AF399C">
      <w:pPr>
        <w:spacing w:after="240" w:line="360" w:lineRule="auto"/>
      </w:pPr>
      <w:r>
        <w:t>Pro získání čisté výkonnosti je opět zapotřebí brát v úvahu i náklady a poplatky spojené s investicí do tohoto produktu. Tyto byly dle prospektu</w:t>
      </w:r>
      <w:r>
        <w:rPr>
          <w:rStyle w:val="Znakapoznpodarou"/>
        </w:rPr>
        <w:footnoteReference w:id="86"/>
      </w:r>
      <w:r>
        <w:t xml:space="preserve"> stanoveny na 0,90 % z objemu, přičemž jsou opět rozděleny na 0,75 % poplatky za poradenství a správu a 0,15 % jako ostatní náklady. Stejně tak je zapotřebí počítat s počátečním poplatkem za nákup cenného papíru, který se řídí ceníkem obchodníka. Jelikož tento produkt zaznamenává ve sledovaném období značné ztráty, můžeme při výpočtech zanedbat dividendový výnos. Hodnoty výkonnosti SDS po započte</w:t>
      </w:r>
      <w:r w:rsidR="001904E3">
        <w:t>ní nákladů ukazuje tabulka č. 22</w:t>
      </w:r>
      <w:r>
        <w:t xml:space="preserve">: </w:t>
      </w:r>
    </w:p>
    <w:p w:rsidR="001904E3" w:rsidRPr="001904E3" w:rsidRDefault="001904E3" w:rsidP="001904E3">
      <w:pPr>
        <w:pStyle w:val="Titulek"/>
        <w:spacing w:before="240" w:after="0" w:line="360" w:lineRule="auto"/>
        <w:jc w:val="center"/>
        <w:rPr>
          <w:color w:val="auto"/>
          <w:sz w:val="22"/>
          <w:szCs w:val="22"/>
        </w:rPr>
      </w:pPr>
      <w:bookmarkStart w:id="103" w:name="_Toc385970335"/>
      <w:r w:rsidRPr="007C741F">
        <w:rPr>
          <w:color w:val="auto"/>
          <w:sz w:val="22"/>
          <w:szCs w:val="22"/>
        </w:rPr>
        <w:t xml:space="preserve">Tabulka č. </w:t>
      </w:r>
      <w:r w:rsidR="008B79C7" w:rsidRPr="007C741F">
        <w:rPr>
          <w:color w:val="auto"/>
          <w:sz w:val="22"/>
          <w:szCs w:val="22"/>
        </w:rPr>
        <w:fldChar w:fldCharType="begin"/>
      </w:r>
      <w:r w:rsidRPr="007C741F">
        <w:rPr>
          <w:color w:val="auto"/>
          <w:sz w:val="22"/>
          <w:szCs w:val="22"/>
        </w:rPr>
        <w:instrText xml:space="preserve"> SEQ Tabulka_č. \* ARABIC </w:instrText>
      </w:r>
      <w:r w:rsidR="008B79C7" w:rsidRPr="007C741F">
        <w:rPr>
          <w:color w:val="auto"/>
          <w:sz w:val="22"/>
          <w:szCs w:val="22"/>
        </w:rPr>
        <w:fldChar w:fldCharType="separate"/>
      </w:r>
      <w:r w:rsidR="00730734">
        <w:rPr>
          <w:noProof/>
          <w:color w:val="auto"/>
          <w:sz w:val="22"/>
          <w:szCs w:val="22"/>
        </w:rPr>
        <w:t>22</w:t>
      </w:r>
      <w:r w:rsidR="008B79C7" w:rsidRPr="007C741F">
        <w:rPr>
          <w:color w:val="auto"/>
          <w:sz w:val="22"/>
          <w:szCs w:val="22"/>
        </w:rPr>
        <w:fldChar w:fldCharType="end"/>
      </w:r>
      <w:r>
        <w:rPr>
          <w:color w:val="auto"/>
          <w:sz w:val="22"/>
          <w:szCs w:val="22"/>
        </w:rPr>
        <w:t xml:space="preserve"> Čistá</w:t>
      </w:r>
      <w:r w:rsidRPr="007C741F">
        <w:rPr>
          <w:color w:val="auto"/>
          <w:sz w:val="22"/>
          <w:szCs w:val="22"/>
        </w:rPr>
        <w:t xml:space="preserve"> výkonnost ProShares UltraShort S&amp;P500 v letech 2009 – 2013 v % </w:t>
      </w:r>
      <w:proofErr w:type="gramStart"/>
      <w:r w:rsidRPr="007C741F">
        <w:rPr>
          <w:color w:val="auto"/>
          <w:sz w:val="22"/>
          <w:szCs w:val="22"/>
        </w:rPr>
        <w:t>p.a.</w:t>
      </w:r>
      <w:bookmarkEnd w:id="103"/>
      <w:proofErr w:type="gramEnd"/>
    </w:p>
    <w:tbl>
      <w:tblPr>
        <w:tblStyle w:val="Stednstnovn2zvraznn11"/>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1599"/>
        <w:gridCol w:w="1599"/>
        <w:gridCol w:w="1599"/>
        <w:gridCol w:w="1600"/>
        <w:gridCol w:w="1600"/>
      </w:tblGrid>
      <w:tr w:rsidR="00AF399C" w:rsidRPr="004246B8" w:rsidTr="002D72A7">
        <w:trPr>
          <w:cnfStyle w:val="100000000000"/>
          <w:trHeight w:val="256"/>
        </w:trPr>
        <w:tc>
          <w:tcPr>
            <w:cnfStyle w:val="001000000100"/>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Rok</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2009</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2010</w:t>
            </w:r>
          </w:p>
        </w:tc>
        <w:tc>
          <w:tcPr>
            <w:tcW w:w="1599"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2011</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2012</w:t>
            </w:r>
          </w:p>
        </w:tc>
        <w:tc>
          <w:tcPr>
            <w:tcW w:w="1600" w:type="dxa"/>
            <w:tcBorders>
              <w:top w:val="none" w:sz="0" w:space="0" w:color="auto"/>
              <w:left w:val="none" w:sz="0" w:space="0" w:color="auto"/>
              <w:bottom w:val="none" w:sz="0" w:space="0" w:color="auto"/>
              <w:right w:val="none" w:sz="0" w:space="0" w:color="auto"/>
            </w:tcBorders>
          </w:tcPr>
          <w:p w:rsidR="00AF399C" w:rsidRPr="004246B8" w:rsidRDefault="00AF399C" w:rsidP="002D72A7">
            <w:pPr>
              <w:spacing w:before="0"/>
              <w:jc w:val="center"/>
              <w:cnfStyle w:val="100000000000"/>
              <w:rPr>
                <w:szCs w:val="24"/>
              </w:rPr>
            </w:pPr>
            <w:r w:rsidRPr="004246B8">
              <w:rPr>
                <w:szCs w:val="24"/>
              </w:rPr>
              <w:t>2013</w:t>
            </w:r>
          </w:p>
        </w:tc>
      </w:tr>
      <w:tr w:rsidR="00AF399C" w:rsidRPr="004246B8" w:rsidTr="002D72A7">
        <w:trPr>
          <w:cnfStyle w:val="000000100000"/>
          <w:trHeight w:val="405"/>
        </w:trPr>
        <w:tc>
          <w:tcPr>
            <w:cnfStyle w:val="001000000000"/>
            <w:tcW w:w="1599" w:type="dxa"/>
            <w:tcBorders>
              <w:left w:val="none" w:sz="0" w:space="0" w:color="auto"/>
              <w:bottom w:val="none" w:sz="0" w:space="0" w:color="auto"/>
              <w:right w:val="none" w:sz="0" w:space="0" w:color="auto"/>
            </w:tcBorders>
          </w:tcPr>
          <w:p w:rsidR="00AF399C" w:rsidRPr="004246B8" w:rsidRDefault="00AF399C" w:rsidP="002D72A7">
            <w:pPr>
              <w:spacing w:before="0"/>
              <w:rPr>
                <w:szCs w:val="24"/>
              </w:rPr>
            </w:pPr>
            <w:r w:rsidRPr="004246B8">
              <w:rPr>
                <w:szCs w:val="24"/>
              </w:rPr>
              <w:t>Roční výkonnost</w:t>
            </w:r>
          </w:p>
        </w:tc>
        <w:tc>
          <w:tcPr>
            <w:tcW w:w="1599" w:type="dxa"/>
          </w:tcPr>
          <w:p w:rsidR="00AF399C" w:rsidRPr="004246B8" w:rsidRDefault="00AF399C" w:rsidP="002D72A7">
            <w:pPr>
              <w:spacing w:before="0"/>
              <w:jc w:val="center"/>
              <w:cnfStyle w:val="000000100000"/>
              <w:rPr>
                <w:szCs w:val="24"/>
              </w:rPr>
            </w:pPr>
            <w:r w:rsidRPr="004246B8">
              <w:rPr>
                <w:color w:val="000000"/>
                <w:szCs w:val="24"/>
              </w:rPr>
              <w:t>-</w:t>
            </w:r>
            <w:proofErr w:type="gramStart"/>
            <w:r>
              <w:rPr>
                <w:color w:val="000000"/>
                <w:szCs w:val="24"/>
              </w:rPr>
              <w:t xml:space="preserve">48,25 </w:t>
            </w:r>
            <w:r w:rsidRPr="004246B8">
              <w:rPr>
                <w:color w:val="000000"/>
                <w:szCs w:val="24"/>
              </w:rPr>
              <w:t xml:space="preserve"> %</w:t>
            </w:r>
            <w:proofErr w:type="gramEnd"/>
          </w:p>
        </w:tc>
        <w:tc>
          <w:tcPr>
            <w:tcW w:w="1599" w:type="dxa"/>
          </w:tcPr>
          <w:p w:rsidR="00AF399C" w:rsidRPr="004246B8" w:rsidRDefault="00AF399C" w:rsidP="002D72A7">
            <w:pPr>
              <w:spacing w:before="0"/>
              <w:jc w:val="center"/>
              <w:cnfStyle w:val="000000100000"/>
              <w:rPr>
                <w:szCs w:val="24"/>
              </w:rPr>
            </w:pPr>
            <w:r w:rsidRPr="004246B8">
              <w:rPr>
                <w:color w:val="000000"/>
                <w:szCs w:val="24"/>
              </w:rPr>
              <w:t>-</w:t>
            </w:r>
            <w:r>
              <w:rPr>
                <w:color w:val="000000"/>
                <w:szCs w:val="24"/>
              </w:rPr>
              <w:t xml:space="preserve">33,11 </w:t>
            </w:r>
            <w:r w:rsidRPr="004246B8">
              <w:rPr>
                <w:color w:val="000000"/>
                <w:szCs w:val="24"/>
              </w:rPr>
              <w:t>%</w:t>
            </w:r>
          </w:p>
        </w:tc>
        <w:tc>
          <w:tcPr>
            <w:tcW w:w="1599" w:type="dxa"/>
          </w:tcPr>
          <w:p w:rsidR="00AF399C" w:rsidRPr="004246B8" w:rsidRDefault="00AF399C" w:rsidP="002D72A7">
            <w:pPr>
              <w:spacing w:before="0"/>
              <w:jc w:val="center"/>
              <w:cnfStyle w:val="000000100000"/>
              <w:rPr>
                <w:szCs w:val="24"/>
              </w:rPr>
            </w:pPr>
            <w:r w:rsidRPr="004246B8">
              <w:rPr>
                <w:color w:val="000000"/>
                <w:szCs w:val="24"/>
              </w:rPr>
              <w:t>-</w:t>
            </w:r>
            <w:r>
              <w:rPr>
                <w:color w:val="000000"/>
                <w:szCs w:val="24"/>
              </w:rPr>
              <w:t>19,72</w:t>
            </w:r>
            <w:r w:rsidRPr="004246B8">
              <w:rPr>
                <w:color w:val="000000"/>
                <w:szCs w:val="24"/>
              </w:rPr>
              <w:t xml:space="preserve"> %</w:t>
            </w:r>
          </w:p>
        </w:tc>
        <w:tc>
          <w:tcPr>
            <w:tcW w:w="1600" w:type="dxa"/>
          </w:tcPr>
          <w:p w:rsidR="00AF399C" w:rsidRPr="004246B8" w:rsidRDefault="00AF399C" w:rsidP="002D72A7">
            <w:pPr>
              <w:spacing w:before="0"/>
              <w:jc w:val="center"/>
              <w:cnfStyle w:val="000000100000"/>
              <w:rPr>
                <w:szCs w:val="24"/>
              </w:rPr>
            </w:pPr>
            <w:r w:rsidRPr="004246B8">
              <w:rPr>
                <w:color w:val="000000"/>
                <w:szCs w:val="24"/>
              </w:rPr>
              <w:t>-</w:t>
            </w:r>
            <w:r>
              <w:rPr>
                <w:color w:val="000000"/>
                <w:szCs w:val="24"/>
              </w:rPr>
              <w:t>30,77</w:t>
            </w:r>
            <w:r w:rsidRPr="004246B8">
              <w:rPr>
                <w:color w:val="000000"/>
                <w:szCs w:val="24"/>
              </w:rPr>
              <w:t xml:space="preserve"> %</w:t>
            </w:r>
          </w:p>
        </w:tc>
        <w:tc>
          <w:tcPr>
            <w:tcW w:w="1600" w:type="dxa"/>
          </w:tcPr>
          <w:p w:rsidR="00AF399C" w:rsidRPr="004246B8" w:rsidRDefault="00AF399C" w:rsidP="002D72A7">
            <w:pPr>
              <w:spacing w:before="0"/>
              <w:jc w:val="center"/>
              <w:cnfStyle w:val="000000100000"/>
              <w:rPr>
                <w:color w:val="000000"/>
                <w:szCs w:val="24"/>
              </w:rPr>
            </w:pPr>
            <w:r w:rsidRPr="004246B8">
              <w:rPr>
                <w:color w:val="000000"/>
                <w:szCs w:val="24"/>
              </w:rPr>
              <w:t>-</w:t>
            </w:r>
            <w:r>
              <w:rPr>
                <w:color w:val="000000"/>
                <w:szCs w:val="24"/>
              </w:rPr>
              <w:t>46,09</w:t>
            </w:r>
            <w:r w:rsidRPr="004246B8">
              <w:rPr>
                <w:color w:val="000000"/>
                <w:szCs w:val="24"/>
              </w:rPr>
              <w:t xml:space="preserve"> %</w:t>
            </w:r>
          </w:p>
        </w:tc>
      </w:tr>
    </w:tbl>
    <w:p w:rsidR="00AF399C" w:rsidRPr="007C741F" w:rsidRDefault="00AF399C" w:rsidP="002D72A7">
      <w:pPr>
        <w:spacing w:before="0" w:after="240" w:line="360" w:lineRule="auto"/>
        <w:jc w:val="cente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rPr>
          <w:szCs w:val="24"/>
        </w:rPr>
      </w:pPr>
      <w:r>
        <w:rPr>
          <w:szCs w:val="24"/>
        </w:rPr>
        <w:t xml:space="preserve">Graf. </w:t>
      </w:r>
      <w:proofErr w:type="gramStart"/>
      <w:r>
        <w:rPr>
          <w:szCs w:val="24"/>
        </w:rPr>
        <w:t>č.</w:t>
      </w:r>
      <w:proofErr w:type="gramEnd"/>
      <w:r>
        <w:rPr>
          <w:szCs w:val="24"/>
        </w:rPr>
        <w:t xml:space="preserve"> </w:t>
      </w:r>
      <w:r w:rsidR="00DB5AB5">
        <w:rPr>
          <w:szCs w:val="24"/>
        </w:rPr>
        <w:t>18</w:t>
      </w:r>
      <w:r>
        <w:rPr>
          <w:szCs w:val="24"/>
        </w:rPr>
        <w:t xml:space="preserve"> znázorňuje vývoj hodnot výkonnosti za posledních 5 let a srovnává tyto údaje mezi  </w:t>
      </w:r>
      <w:r w:rsidRPr="00B1692D">
        <w:rPr>
          <w:szCs w:val="24"/>
        </w:rPr>
        <w:t>ProShares UltraShort S&amp;P500</w:t>
      </w:r>
      <w:r>
        <w:rPr>
          <w:szCs w:val="24"/>
        </w:rPr>
        <w:t xml:space="preserve"> a podkladovým indexem </w:t>
      </w:r>
      <w:r w:rsidRPr="00B1692D">
        <w:rPr>
          <w:szCs w:val="24"/>
        </w:rPr>
        <w:t>S&amp;P500</w:t>
      </w:r>
      <w:r>
        <w:rPr>
          <w:szCs w:val="24"/>
        </w:rPr>
        <w:t xml:space="preserve">. Základní myšlenka inverze je zde nezpochybnitelně splněna. V letech, kdy je zaznamenáváno kladné výkonnosti indexu, dochází ke znehodnocování SDS. </w:t>
      </w:r>
    </w:p>
    <w:p w:rsidR="00AF399C" w:rsidRDefault="00AF399C" w:rsidP="00AF399C">
      <w:pPr>
        <w:spacing w:line="360" w:lineRule="auto"/>
        <w:rPr>
          <w:szCs w:val="24"/>
        </w:rPr>
      </w:pPr>
      <w:r>
        <w:rPr>
          <w:szCs w:val="24"/>
        </w:rPr>
        <w:t xml:space="preserve">Pákového efektu je dosaženo částečně, v některých letech (např. 2009, 2012 a 2013) se dá vysledovat i korelace blížící se k </w:t>
      </w:r>
      <w:proofErr w:type="gramStart"/>
      <w:r>
        <w:rPr>
          <w:szCs w:val="24"/>
        </w:rPr>
        <w:t>cíleným  -200</w:t>
      </w:r>
      <w:proofErr w:type="gramEnd"/>
      <w:r>
        <w:rPr>
          <w:szCs w:val="24"/>
        </w:rPr>
        <w:t xml:space="preserve"> %. </w:t>
      </w:r>
    </w:p>
    <w:p w:rsidR="001904E3" w:rsidRPr="001904E3" w:rsidRDefault="001904E3" w:rsidP="001904E3">
      <w:pPr>
        <w:spacing w:line="360" w:lineRule="auto"/>
        <w:jc w:val="center"/>
        <w:rPr>
          <w:b/>
          <w:szCs w:val="24"/>
        </w:rPr>
      </w:pPr>
      <w:bookmarkStart w:id="104" w:name="_Toc385970619"/>
      <w:r w:rsidRPr="001904E3">
        <w:rPr>
          <w:b/>
          <w:sz w:val="22"/>
        </w:rPr>
        <w:lastRenderedPageBreak/>
        <w:t xml:space="preserve">Graf č. </w:t>
      </w:r>
      <w:r w:rsidR="008B79C7" w:rsidRPr="001904E3">
        <w:rPr>
          <w:b/>
          <w:sz w:val="22"/>
        </w:rPr>
        <w:fldChar w:fldCharType="begin"/>
      </w:r>
      <w:r w:rsidRPr="001904E3">
        <w:rPr>
          <w:b/>
          <w:sz w:val="22"/>
        </w:rPr>
        <w:instrText xml:space="preserve"> SEQ Graf_č. \* ARABIC </w:instrText>
      </w:r>
      <w:r w:rsidR="008B79C7" w:rsidRPr="001904E3">
        <w:rPr>
          <w:b/>
          <w:sz w:val="22"/>
        </w:rPr>
        <w:fldChar w:fldCharType="separate"/>
      </w:r>
      <w:r w:rsidR="002E0A33">
        <w:rPr>
          <w:b/>
          <w:noProof/>
          <w:sz w:val="22"/>
        </w:rPr>
        <w:t>18</w:t>
      </w:r>
      <w:r w:rsidR="008B79C7" w:rsidRPr="001904E3">
        <w:rPr>
          <w:b/>
          <w:sz w:val="22"/>
        </w:rPr>
        <w:fldChar w:fldCharType="end"/>
      </w:r>
      <w:r w:rsidRPr="001904E3">
        <w:rPr>
          <w:b/>
          <w:sz w:val="22"/>
        </w:rPr>
        <w:t xml:space="preserve"> Srovnání výkonnosti ProShares UltraShort S&amp;P500 a Indexu S&amp;P500</w:t>
      </w:r>
      <w:bookmarkEnd w:id="104"/>
    </w:p>
    <w:p w:rsidR="00AF399C" w:rsidRPr="00987CCF" w:rsidRDefault="00AF399C" w:rsidP="00AF399C">
      <w:pPr>
        <w:pStyle w:val="Titulek"/>
        <w:spacing w:after="0" w:line="360" w:lineRule="auto"/>
        <w:jc w:val="center"/>
        <w:rPr>
          <w:b w:val="0"/>
          <w:color w:val="auto"/>
          <w:sz w:val="22"/>
          <w:szCs w:val="22"/>
        </w:rPr>
      </w:pPr>
      <w:r>
        <w:rPr>
          <w:noProof/>
        </w:rPr>
        <w:drawing>
          <wp:inline distT="0" distB="0" distL="0" distR="0">
            <wp:extent cx="5760720" cy="2734724"/>
            <wp:effectExtent l="0" t="0" r="0" b="0"/>
            <wp:docPr id="19"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F399C" w:rsidRDefault="00AF399C" w:rsidP="00AF399C">
      <w:pPr>
        <w:spacing w:after="240" w:line="360" w:lineRule="auto"/>
        <w:jc w:val="center"/>
        <w:rPr>
          <w:rStyle w:val="null"/>
          <w:rFonts w:eastAsiaTheme="majorEastAsia"/>
        </w:rP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AF399C" w:rsidRDefault="00AF399C" w:rsidP="00AF399C">
      <w:pPr>
        <w:spacing w:after="240" w:line="360" w:lineRule="auto"/>
        <w:rPr>
          <w:rStyle w:val="null"/>
          <w:rFonts w:eastAsiaTheme="majorEastAsia"/>
        </w:rPr>
      </w:pPr>
      <w:r w:rsidRPr="00BA0E5C">
        <w:rPr>
          <w:rStyle w:val="null"/>
          <w:rFonts w:eastAsiaTheme="majorEastAsia"/>
        </w:rPr>
        <w:t xml:space="preserve">Ani v tomto případě se nejedná o investici, do které by se měl pouštět nezkušený či neznalý investor, riziko (volatilita) spojena s tímto produktem, vychází dle vzorce </w:t>
      </w:r>
      <w:r w:rsidR="00DB5AB5">
        <w:rPr>
          <w:rStyle w:val="null"/>
          <w:rFonts w:eastAsiaTheme="majorEastAsia"/>
        </w:rPr>
        <w:t>č. 11</w:t>
      </w:r>
      <w:r w:rsidRPr="00BA0E5C">
        <w:rPr>
          <w:rStyle w:val="null"/>
          <w:rFonts w:eastAsiaTheme="majorEastAsia"/>
        </w:rPr>
        <w:t xml:space="preserve"> na 11,74 %. </w:t>
      </w:r>
      <w:r>
        <w:rPr>
          <w:rStyle w:val="null"/>
          <w:rFonts w:eastAsiaTheme="majorEastAsia"/>
        </w:rPr>
        <w:t>Rizika spojená s touto investicí jsou taktéž uvedena v prospektu cenného papíru</w:t>
      </w:r>
      <w:r>
        <w:rPr>
          <w:rStyle w:val="Znakapoznpodarou"/>
          <w:rFonts w:eastAsiaTheme="majorEastAsia"/>
        </w:rPr>
        <w:footnoteReference w:id="87"/>
      </w:r>
      <w:r>
        <w:rPr>
          <w:rStyle w:val="null"/>
          <w:rFonts w:eastAsiaTheme="majorEastAsia"/>
        </w:rPr>
        <w:t>. Jelikož se jedná o pákový produkt, jsou rizika velmi podobná předchozímu případu. Vzhledem k tomu, že tato rizika byla blíže specifikována v předešlé podkapitole, uvedu na tomto místě pouze přehled rizik, se kterými je tato investice spjata</w:t>
      </w:r>
      <w:r>
        <w:rPr>
          <w:rStyle w:val="Znakapoznpodarou"/>
          <w:rFonts w:eastAsiaTheme="majorEastAsia"/>
        </w:rPr>
        <w:footnoteReference w:id="88"/>
      </w:r>
      <w:r>
        <w:rPr>
          <w:rStyle w:val="null"/>
          <w:rFonts w:eastAsiaTheme="majorEastAsia"/>
        </w:rPr>
        <w:t>:</w:t>
      </w:r>
    </w:p>
    <w:p w:rsidR="00AF399C" w:rsidRDefault="00AF399C" w:rsidP="00AF399C">
      <w:pPr>
        <w:pStyle w:val="Odstavecseseznamem"/>
        <w:numPr>
          <w:ilvl w:val="0"/>
          <w:numId w:val="17"/>
        </w:numPr>
        <w:spacing w:after="240"/>
        <w:rPr>
          <w:rFonts w:eastAsiaTheme="majorEastAsia"/>
          <w:szCs w:val="22"/>
        </w:rPr>
      </w:pPr>
      <w:r>
        <w:rPr>
          <w:rFonts w:eastAsiaTheme="majorEastAsia"/>
          <w:szCs w:val="22"/>
        </w:rPr>
        <w:t>Riziko spojené s derivátovými instrumenty</w:t>
      </w:r>
    </w:p>
    <w:p w:rsidR="00AF399C" w:rsidRDefault="00AF399C" w:rsidP="00AF399C">
      <w:pPr>
        <w:pStyle w:val="Odstavecseseznamem"/>
        <w:numPr>
          <w:ilvl w:val="0"/>
          <w:numId w:val="17"/>
        </w:numPr>
        <w:spacing w:after="240"/>
        <w:rPr>
          <w:rFonts w:eastAsiaTheme="majorEastAsia"/>
          <w:szCs w:val="22"/>
        </w:rPr>
      </w:pPr>
      <w:r>
        <w:rPr>
          <w:rFonts w:eastAsiaTheme="majorEastAsia"/>
          <w:szCs w:val="22"/>
        </w:rPr>
        <w:t>Riziko využití pákového efektu</w:t>
      </w:r>
    </w:p>
    <w:p w:rsidR="00AF399C" w:rsidRDefault="00AF399C" w:rsidP="00AF399C">
      <w:pPr>
        <w:pStyle w:val="Odstavecseseznamem"/>
        <w:numPr>
          <w:ilvl w:val="0"/>
          <w:numId w:val="17"/>
        </w:numPr>
        <w:spacing w:after="240"/>
        <w:rPr>
          <w:rFonts w:eastAsiaTheme="majorEastAsia"/>
          <w:szCs w:val="22"/>
        </w:rPr>
      </w:pPr>
      <w:r>
        <w:rPr>
          <w:rFonts w:eastAsiaTheme="majorEastAsia"/>
          <w:szCs w:val="22"/>
        </w:rPr>
        <w:t>Riziko diverzifikace</w:t>
      </w:r>
    </w:p>
    <w:p w:rsidR="00AF399C" w:rsidRDefault="00AF399C" w:rsidP="00AF399C">
      <w:pPr>
        <w:pStyle w:val="Odstavecseseznamem"/>
        <w:numPr>
          <w:ilvl w:val="0"/>
          <w:numId w:val="17"/>
        </w:numPr>
        <w:spacing w:after="240"/>
        <w:rPr>
          <w:rFonts w:eastAsiaTheme="majorEastAsia"/>
          <w:szCs w:val="22"/>
        </w:rPr>
      </w:pPr>
      <w:r>
        <w:rPr>
          <w:rFonts w:eastAsiaTheme="majorEastAsia"/>
          <w:szCs w:val="22"/>
        </w:rPr>
        <w:t>Riziko likvidity</w:t>
      </w:r>
    </w:p>
    <w:p w:rsidR="00AF399C" w:rsidRDefault="00AF399C" w:rsidP="002D72A7">
      <w:pPr>
        <w:spacing w:after="0" w:line="360" w:lineRule="auto"/>
        <w:rPr>
          <w:rFonts w:eastAsiaTheme="majorEastAsia"/>
        </w:rPr>
      </w:pPr>
      <w:r>
        <w:rPr>
          <w:rFonts w:eastAsiaTheme="majorEastAsia"/>
        </w:rPr>
        <w:t>Oproti předešlému zde ale také lze najít ještě následující:</w:t>
      </w:r>
    </w:p>
    <w:p w:rsidR="00AF399C" w:rsidRPr="00637840" w:rsidRDefault="00AF399C" w:rsidP="00AF399C">
      <w:pPr>
        <w:pStyle w:val="Odstavecseseznamem"/>
        <w:numPr>
          <w:ilvl w:val="0"/>
          <w:numId w:val="17"/>
        </w:numPr>
        <w:rPr>
          <w:rFonts w:eastAsiaTheme="majorEastAsia"/>
          <w:szCs w:val="22"/>
        </w:rPr>
      </w:pPr>
      <w:r>
        <w:rPr>
          <w:rFonts w:eastAsiaTheme="majorEastAsia"/>
          <w:szCs w:val="22"/>
        </w:rPr>
        <w:t>Riziko inverzní korelace – souvisí se samotnou konstrukcí tohoto ETF, v případě růstu hodnoty podkladového aktiva investor ztrácí</w:t>
      </w:r>
    </w:p>
    <w:p w:rsidR="00AF399C" w:rsidRDefault="00AF399C" w:rsidP="00AF399C">
      <w:pPr>
        <w:pStyle w:val="Odstavecseseznamem"/>
        <w:numPr>
          <w:ilvl w:val="0"/>
          <w:numId w:val="17"/>
        </w:numPr>
        <w:spacing w:after="240"/>
        <w:rPr>
          <w:rFonts w:eastAsiaTheme="majorEastAsia"/>
          <w:szCs w:val="22"/>
        </w:rPr>
      </w:pPr>
      <w:r>
        <w:rPr>
          <w:rFonts w:eastAsiaTheme="majorEastAsia"/>
          <w:szCs w:val="22"/>
        </w:rPr>
        <w:t xml:space="preserve">Riziko využití short sale – Short sale neboli prodej nakrátko znamená, že investor (manažer fondu) prodá vypůjčené cenné papíry v důsledku očekávání poklesu jejich </w:t>
      </w:r>
      <w:r>
        <w:rPr>
          <w:rFonts w:eastAsiaTheme="majorEastAsia"/>
          <w:szCs w:val="22"/>
        </w:rPr>
        <w:lastRenderedPageBreak/>
        <w:t xml:space="preserve">hodnoty. V brzké době však musí tyto cenné papíry navrátit, tedy koupit nazpět. Pokud mezi prodejem a nákupem hodnota cenného papíru poklesne, zaznamenává investor zisk. Pokud však jsou očekávání chybná a v průběhu této doby hodnota cenných papírů poroste, musí investor nakoupit tyto cenné papíry zpět za cenu vyšší, než za ně předtím inkasoval. </w:t>
      </w:r>
    </w:p>
    <w:p w:rsidR="00AF399C" w:rsidRPr="00BE4631" w:rsidRDefault="00AF399C" w:rsidP="00371136">
      <w:pPr>
        <w:pStyle w:val="Nadpis2"/>
        <w:rPr>
          <w:sz w:val="24"/>
        </w:rPr>
      </w:pPr>
      <w:bookmarkStart w:id="105" w:name="_Toc386146027"/>
      <w:r w:rsidRPr="00BE4631">
        <w:rPr>
          <w:sz w:val="24"/>
        </w:rPr>
        <w:t>Zhodnocení výkonnosti a nákladovosti jednotlivých investic</w:t>
      </w:r>
      <w:bookmarkEnd w:id="105"/>
    </w:p>
    <w:p w:rsidR="00AF399C" w:rsidRPr="00150697" w:rsidRDefault="00AF399C" w:rsidP="00AF399C">
      <w:pPr>
        <w:spacing w:before="240" w:line="360" w:lineRule="auto"/>
      </w:pPr>
      <w:r>
        <w:t>Srovnání hodnocení produktů bude provedeno na základě historických výnosů dosažených za sledované období. Komparace bude provedena z několika úhlů, a sice nejen z porovnání pouhé průměrné roční výnosnosti a rizikovosti, ale i na základě Sharpeho a Informačního poměru, které zohledňují také podstupované riziko spojené s investicí.</w:t>
      </w:r>
    </w:p>
    <w:p w:rsidR="00AF399C" w:rsidRPr="00D048EC" w:rsidRDefault="00AF399C" w:rsidP="00371136">
      <w:pPr>
        <w:pStyle w:val="Nadpis3"/>
      </w:pPr>
      <w:r>
        <w:t xml:space="preserve"> </w:t>
      </w:r>
      <w:bookmarkStart w:id="106" w:name="_Toc386146028"/>
      <w:r>
        <w:t>Komparace výnosnosti a volatility</w:t>
      </w:r>
      <w:bookmarkEnd w:id="106"/>
    </w:p>
    <w:p w:rsidR="00AF399C" w:rsidRPr="00D048EC" w:rsidRDefault="00AF399C" w:rsidP="00AF399C">
      <w:pPr>
        <w:spacing w:after="240" w:line="360" w:lineRule="auto"/>
        <w:rPr>
          <w:szCs w:val="24"/>
        </w:rPr>
      </w:pPr>
      <w:r w:rsidRPr="00D048EC">
        <w:t xml:space="preserve">Všechny uvedené fondy jsou denominovány v USD, při výpočtech můžeme zanedbat měnové riziko. Pokud by tyto investice byly porovnávány se zhodnocením produktu kterékoli další měny, muselo by </w:t>
      </w:r>
      <w:r w:rsidRPr="00D048EC">
        <w:rPr>
          <w:szCs w:val="24"/>
        </w:rPr>
        <w:t xml:space="preserve">být bráno v úvahu i toto. </w:t>
      </w:r>
    </w:p>
    <w:p w:rsidR="00AF399C" w:rsidRPr="00D048EC" w:rsidRDefault="00AF399C" w:rsidP="00AF399C">
      <w:pPr>
        <w:spacing w:after="240" w:line="360" w:lineRule="auto"/>
        <w:rPr>
          <w:szCs w:val="24"/>
        </w:rPr>
      </w:pPr>
      <w:r w:rsidRPr="00D048EC">
        <w:rPr>
          <w:szCs w:val="24"/>
        </w:rPr>
        <w:t>Z údajů získaných z kurzů hodnot produktů, výročních zpráv a prospektů bylo zjištěno, že za sledované období se nejvíce ziskovým produktem jeví pákové ETF ProShares Ultra S&amp;P500. Zároveň je s touto investicí ale také spojené nejvyšší rizik</w:t>
      </w:r>
      <w:r w:rsidR="00DB5AB5">
        <w:rPr>
          <w:szCs w:val="24"/>
        </w:rPr>
        <w:t>o měřené směrodatnou odchylkou.</w:t>
      </w:r>
      <w:r w:rsidRPr="00D048EC">
        <w:rPr>
          <w:szCs w:val="24"/>
        </w:rPr>
        <w:t xml:space="preserve"> </w:t>
      </w:r>
    </w:p>
    <w:p w:rsidR="00AF399C" w:rsidRDefault="00AF399C" w:rsidP="00AF399C">
      <w:pPr>
        <w:spacing w:before="240" w:line="360" w:lineRule="auto"/>
      </w:pPr>
      <w:r w:rsidRPr="00112498">
        <w:t xml:space="preserve">Pro lepší orientaci v doposud získaných hodnotách poslouží následující tabulka: </w:t>
      </w:r>
    </w:p>
    <w:p w:rsidR="00AF399C" w:rsidRPr="001904E3" w:rsidRDefault="001904E3" w:rsidP="001904E3">
      <w:pPr>
        <w:pStyle w:val="Titulek"/>
        <w:spacing w:after="0" w:line="360" w:lineRule="auto"/>
        <w:jc w:val="center"/>
        <w:rPr>
          <w:color w:val="auto"/>
          <w:sz w:val="22"/>
        </w:rPr>
      </w:pPr>
      <w:bookmarkStart w:id="107" w:name="_Toc385970336"/>
      <w:r w:rsidRPr="00A54852">
        <w:rPr>
          <w:color w:val="auto"/>
          <w:sz w:val="22"/>
        </w:rPr>
        <w:t xml:space="preserve">Tabulka č. </w:t>
      </w:r>
      <w:r w:rsidR="008B79C7" w:rsidRPr="00A54852">
        <w:rPr>
          <w:color w:val="auto"/>
          <w:sz w:val="22"/>
        </w:rPr>
        <w:fldChar w:fldCharType="begin"/>
      </w:r>
      <w:r w:rsidRPr="00A54852">
        <w:rPr>
          <w:color w:val="auto"/>
          <w:sz w:val="22"/>
        </w:rPr>
        <w:instrText xml:space="preserve"> SEQ Tabulka_č. \* ARABIC </w:instrText>
      </w:r>
      <w:r w:rsidR="008B79C7" w:rsidRPr="00A54852">
        <w:rPr>
          <w:color w:val="auto"/>
          <w:sz w:val="22"/>
        </w:rPr>
        <w:fldChar w:fldCharType="separate"/>
      </w:r>
      <w:r w:rsidR="00730734">
        <w:rPr>
          <w:noProof/>
          <w:color w:val="auto"/>
          <w:sz w:val="22"/>
        </w:rPr>
        <w:t>24</w:t>
      </w:r>
      <w:r w:rsidR="008B79C7" w:rsidRPr="00A54852">
        <w:rPr>
          <w:color w:val="auto"/>
          <w:sz w:val="22"/>
        </w:rPr>
        <w:fldChar w:fldCharType="end"/>
      </w:r>
      <w:r w:rsidRPr="00A54852">
        <w:rPr>
          <w:color w:val="auto"/>
          <w:sz w:val="22"/>
        </w:rPr>
        <w:t>: Srovnání výnosnosti a volatility fondů</w:t>
      </w:r>
      <w:bookmarkEnd w:id="107"/>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9"/>
        <w:gridCol w:w="1557"/>
        <w:gridCol w:w="1803"/>
        <w:gridCol w:w="1804"/>
        <w:gridCol w:w="1804"/>
      </w:tblGrid>
      <w:tr w:rsidR="00AF399C" w:rsidRPr="00FE0B71" w:rsidTr="002D72A7">
        <w:trPr>
          <w:cnfStyle w:val="100000000000"/>
          <w:trHeight w:val="740"/>
        </w:trPr>
        <w:tc>
          <w:tcPr>
            <w:cnfStyle w:val="001000000100"/>
            <w:tcW w:w="2049" w:type="dxa"/>
            <w:tcBorders>
              <w:top w:val="none" w:sz="0" w:space="0" w:color="auto"/>
              <w:left w:val="none" w:sz="0" w:space="0" w:color="auto"/>
              <w:bottom w:val="none" w:sz="0" w:space="0" w:color="auto"/>
              <w:right w:val="none" w:sz="0" w:space="0" w:color="auto"/>
            </w:tcBorders>
          </w:tcPr>
          <w:p w:rsidR="00AF399C" w:rsidRPr="00FE0B71" w:rsidRDefault="00AF399C" w:rsidP="002E0A33">
            <w:pPr>
              <w:spacing w:before="0"/>
              <w:jc w:val="center"/>
            </w:pPr>
            <w:r w:rsidRPr="00FE0B71">
              <w:t>Vybraný fond</w:t>
            </w:r>
          </w:p>
        </w:tc>
        <w:tc>
          <w:tcPr>
            <w:tcW w:w="1557" w:type="dxa"/>
            <w:tcBorders>
              <w:top w:val="none" w:sz="0" w:space="0" w:color="auto"/>
              <w:left w:val="none" w:sz="0" w:space="0" w:color="auto"/>
              <w:bottom w:val="none" w:sz="0" w:space="0" w:color="auto"/>
              <w:right w:val="none" w:sz="0" w:space="0" w:color="auto"/>
            </w:tcBorders>
          </w:tcPr>
          <w:p w:rsidR="00AF399C" w:rsidRPr="00FE0B71" w:rsidRDefault="00AF399C" w:rsidP="002E0A33">
            <w:pPr>
              <w:spacing w:before="0"/>
              <w:jc w:val="center"/>
              <w:cnfStyle w:val="100000000000"/>
            </w:pPr>
            <w:r w:rsidRPr="00FE0B71">
              <w:t>KBC Index Fund United States</w:t>
            </w:r>
          </w:p>
        </w:tc>
        <w:tc>
          <w:tcPr>
            <w:tcW w:w="1803" w:type="dxa"/>
            <w:tcBorders>
              <w:top w:val="none" w:sz="0" w:space="0" w:color="auto"/>
              <w:left w:val="none" w:sz="0" w:space="0" w:color="auto"/>
              <w:bottom w:val="none" w:sz="0" w:space="0" w:color="auto"/>
              <w:right w:val="none" w:sz="0" w:space="0" w:color="auto"/>
            </w:tcBorders>
          </w:tcPr>
          <w:p w:rsidR="00AF399C" w:rsidRPr="00FE0B71" w:rsidRDefault="00AF399C" w:rsidP="002E0A33">
            <w:pPr>
              <w:spacing w:before="0"/>
              <w:jc w:val="center"/>
              <w:cnfStyle w:val="100000000000"/>
            </w:pPr>
            <w:r w:rsidRPr="00FE0B71">
              <w:t>SPDR S&amp;P 500</w:t>
            </w:r>
            <w:r w:rsidRPr="00FE0B71">
              <w:rPr>
                <w:vertAlign w:val="superscript"/>
              </w:rPr>
              <w:t xml:space="preserve"> </w:t>
            </w:r>
            <w:r w:rsidRPr="00FE0B71">
              <w:t>ETF</w:t>
            </w:r>
          </w:p>
        </w:tc>
        <w:tc>
          <w:tcPr>
            <w:tcW w:w="1804" w:type="dxa"/>
            <w:tcBorders>
              <w:top w:val="none" w:sz="0" w:space="0" w:color="auto"/>
              <w:left w:val="none" w:sz="0" w:space="0" w:color="auto"/>
              <w:bottom w:val="none" w:sz="0" w:space="0" w:color="auto"/>
              <w:right w:val="none" w:sz="0" w:space="0" w:color="auto"/>
            </w:tcBorders>
          </w:tcPr>
          <w:p w:rsidR="00AF399C" w:rsidRPr="00FE0B71" w:rsidRDefault="00AF399C" w:rsidP="002E0A33">
            <w:pPr>
              <w:spacing w:before="0"/>
              <w:jc w:val="center"/>
              <w:cnfStyle w:val="100000000000"/>
            </w:pPr>
            <w:r w:rsidRPr="00FE0B71">
              <w:t>ProShares Ultra S&amp;P500</w:t>
            </w:r>
          </w:p>
        </w:tc>
        <w:tc>
          <w:tcPr>
            <w:tcW w:w="1804" w:type="dxa"/>
            <w:tcBorders>
              <w:top w:val="none" w:sz="0" w:space="0" w:color="auto"/>
              <w:left w:val="none" w:sz="0" w:space="0" w:color="auto"/>
              <w:bottom w:val="none" w:sz="0" w:space="0" w:color="auto"/>
              <w:right w:val="none" w:sz="0" w:space="0" w:color="auto"/>
            </w:tcBorders>
          </w:tcPr>
          <w:p w:rsidR="00AF399C" w:rsidRPr="00FE0B71" w:rsidRDefault="00AF399C" w:rsidP="002E0A33">
            <w:pPr>
              <w:spacing w:before="0"/>
              <w:jc w:val="center"/>
              <w:cnfStyle w:val="100000000000"/>
            </w:pPr>
            <w:r w:rsidRPr="00FE0B71">
              <w:t>ProShares UltraShort S&amp;P500</w:t>
            </w:r>
          </w:p>
        </w:tc>
      </w:tr>
      <w:tr w:rsidR="00AF399C" w:rsidRPr="00FE0B71" w:rsidTr="00E42F6B">
        <w:trPr>
          <w:cnfStyle w:val="000000100000"/>
          <w:trHeight w:val="757"/>
        </w:trPr>
        <w:tc>
          <w:tcPr>
            <w:cnfStyle w:val="001000000000"/>
            <w:tcW w:w="2049" w:type="dxa"/>
            <w:tcBorders>
              <w:left w:val="none" w:sz="0" w:space="0" w:color="auto"/>
              <w:bottom w:val="none" w:sz="0" w:space="0" w:color="auto"/>
              <w:right w:val="none" w:sz="0" w:space="0" w:color="auto"/>
            </w:tcBorders>
          </w:tcPr>
          <w:p w:rsidR="00AF399C" w:rsidRPr="00FE0B71" w:rsidRDefault="00AF399C" w:rsidP="002E0A33">
            <w:pPr>
              <w:spacing w:before="0"/>
              <w:jc w:val="center"/>
            </w:pPr>
            <w:r w:rsidRPr="00FE0B71">
              <w:t xml:space="preserve">Průměrná hrubá výnosnost v % </w:t>
            </w:r>
            <w:proofErr w:type="gramStart"/>
            <w:r w:rsidRPr="00FE0B71">
              <w:t>p.a.</w:t>
            </w:r>
            <w:proofErr w:type="gramEnd"/>
          </w:p>
        </w:tc>
        <w:tc>
          <w:tcPr>
            <w:tcW w:w="1557" w:type="dxa"/>
            <w:vAlign w:val="center"/>
          </w:tcPr>
          <w:p w:rsidR="00AF399C" w:rsidRPr="00FE0B71" w:rsidRDefault="00AF399C" w:rsidP="00E42F6B">
            <w:pPr>
              <w:spacing w:before="0"/>
              <w:jc w:val="center"/>
              <w:cnfStyle w:val="000000100000"/>
              <w:rPr>
                <w:color w:val="000000"/>
              </w:rPr>
            </w:pPr>
            <w:r w:rsidRPr="00FE0B71">
              <w:rPr>
                <w:color w:val="000000"/>
              </w:rPr>
              <w:t>17,35 %</w:t>
            </w:r>
          </w:p>
        </w:tc>
        <w:tc>
          <w:tcPr>
            <w:tcW w:w="1803" w:type="dxa"/>
            <w:vAlign w:val="center"/>
          </w:tcPr>
          <w:p w:rsidR="00AF399C" w:rsidRPr="00FE0B71" w:rsidRDefault="00AF399C" w:rsidP="00E42F6B">
            <w:pPr>
              <w:spacing w:before="0"/>
              <w:jc w:val="center"/>
              <w:cnfStyle w:val="000000100000"/>
            </w:pPr>
            <w:r w:rsidRPr="00FE0B71">
              <w:t>15,14 %</w:t>
            </w:r>
          </w:p>
        </w:tc>
        <w:tc>
          <w:tcPr>
            <w:tcW w:w="1804" w:type="dxa"/>
            <w:vAlign w:val="center"/>
          </w:tcPr>
          <w:p w:rsidR="00AF399C" w:rsidRPr="00FE0B71" w:rsidRDefault="00AF399C" w:rsidP="00E42F6B">
            <w:pPr>
              <w:spacing w:before="0"/>
              <w:jc w:val="center"/>
              <w:cnfStyle w:val="000000100000"/>
            </w:pPr>
            <w:r w:rsidRPr="00FE0B71">
              <w:t>31,87 %</w:t>
            </w:r>
          </w:p>
        </w:tc>
        <w:tc>
          <w:tcPr>
            <w:tcW w:w="1804" w:type="dxa"/>
            <w:vAlign w:val="center"/>
          </w:tcPr>
          <w:p w:rsidR="00AF399C" w:rsidRPr="00FE0B71" w:rsidRDefault="00AF399C" w:rsidP="00E42F6B">
            <w:pPr>
              <w:spacing w:before="0"/>
              <w:jc w:val="center"/>
              <w:cnfStyle w:val="000000100000"/>
            </w:pPr>
            <w:r w:rsidRPr="00FE0B71">
              <w:t>-34,69 %</w:t>
            </w:r>
          </w:p>
        </w:tc>
      </w:tr>
      <w:tr w:rsidR="00AF399C" w:rsidRPr="00FE0B71" w:rsidTr="002D72A7">
        <w:trPr>
          <w:trHeight w:val="511"/>
        </w:trPr>
        <w:tc>
          <w:tcPr>
            <w:cnfStyle w:val="001000000000"/>
            <w:tcW w:w="2049" w:type="dxa"/>
            <w:tcBorders>
              <w:left w:val="none" w:sz="0" w:space="0" w:color="auto"/>
              <w:bottom w:val="none" w:sz="0" w:space="0" w:color="auto"/>
              <w:right w:val="none" w:sz="0" w:space="0" w:color="auto"/>
            </w:tcBorders>
          </w:tcPr>
          <w:p w:rsidR="00AF399C" w:rsidRPr="00FE0B71" w:rsidRDefault="00AF399C" w:rsidP="002E0A33">
            <w:pPr>
              <w:spacing w:before="0"/>
              <w:jc w:val="center"/>
            </w:pPr>
            <w:r w:rsidRPr="00FE0B71">
              <w:t>Poplatky</w:t>
            </w:r>
          </w:p>
        </w:tc>
        <w:tc>
          <w:tcPr>
            <w:tcW w:w="1557" w:type="dxa"/>
          </w:tcPr>
          <w:p w:rsidR="00AF399C" w:rsidRPr="00FE0B71" w:rsidRDefault="00AF399C" w:rsidP="002E0A33">
            <w:pPr>
              <w:spacing w:before="0"/>
              <w:jc w:val="center"/>
              <w:cnfStyle w:val="000000000000"/>
            </w:pPr>
            <w:r w:rsidRPr="00FE0B71">
              <w:t>2 %</w:t>
            </w:r>
            <w:r w:rsidRPr="00FE0B71">
              <w:rPr>
                <w:rStyle w:val="Znakapoznpodarou"/>
              </w:rPr>
              <w:footnoteReference w:id="89"/>
            </w:r>
            <w:r w:rsidRPr="00FE0B71">
              <w:t xml:space="preserve"> + 0,7 %</w:t>
            </w:r>
          </w:p>
        </w:tc>
        <w:tc>
          <w:tcPr>
            <w:tcW w:w="1803" w:type="dxa"/>
          </w:tcPr>
          <w:p w:rsidR="00AF399C" w:rsidRPr="00FE0B71" w:rsidRDefault="00AF399C" w:rsidP="002E0A33">
            <w:pPr>
              <w:spacing w:before="0"/>
              <w:jc w:val="center"/>
              <w:cnfStyle w:val="000000000000"/>
            </w:pPr>
            <w:r w:rsidRPr="00FE0B71">
              <w:t>0,0945 %</w:t>
            </w:r>
          </w:p>
        </w:tc>
        <w:tc>
          <w:tcPr>
            <w:tcW w:w="1804" w:type="dxa"/>
          </w:tcPr>
          <w:p w:rsidR="00AF399C" w:rsidRPr="00FE0B71" w:rsidRDefault="00AF399C" w:rsidP="002E0A33">
            <w:pPr>
              <w:spacing w:before="0"/>
              <w:jc w:val="center"/>
              <w:cnfStyle w:val="000000000000"/>
            </w:pPr>
            <w:r w:rsidRPr="00FE0B71">
              <w:t>0,90 %</w:t>
            </w:r>
          </w:p>
        </w:tc>
        <w:tc>
          <w:tcPr>
            <w:tcW w:w="1804" w:type="dxa"/>
          </w:tcPr>
          <w:p w:rsidR="00AF399C" w:rsidRPr="00FE0B71" w:rsidRDefault="00AF399C" w:rsidP="002E0A33">
            <w:pPr>
              <w:spacing w:before="0"/>
              <w:jc w:val="center"/>
              <w:cnfStyle w:val="000000000000"/>
            </w:pPr>
            <w:r w:rsidRPr="00FE0B71">
              <w:t>0,90 %</w:t>
            </w:r>
          </w:p>
        </w:tc>
      </w:tr>
      <w:tr w:rsidR="00AF399C" w:rsidRPr="00FE0B71" w:rsidTr="002D72A7">
        <w:trPr>
          <w:cnfStyle w:val="000000100000"/>
          <w:trHeight w:val="491"/>
        </w:trPr>
        <w:tc>
          <w:tcPr>
            <w:cnfStyle w:val="001000000000"/>
            <w:tcW w:w="2049" w:type="dxa"/>
            <w:tcBorders>
              <w:left w:val="none" w:sz="0" w:space="0" w:color="auto"/>
              <w:bottom w:val="none" w:sz="0" w:space="0" w:color="auto"/>
              <w:right w:val="none" w:sz="0" w:space="0" w:color="auto"/>
            </w:tcBorders>
          </w:tcPr>
          <w:p w:rsidR="00AF399C" w:rsidRPr="00FE0B71" w:rsidRDefault="00AF399C" w:rsidP="002E0A33">
            <w:pPr>
              <w:spacing w:before="0"/>
              <w:jc w:val="center"/>
            </w:pPr>
            <w:r w:rsidRPr="00FE0B71">
              <w:t>Průběžné výnosy</w:t>
            </w:r>
          </w:p>
        </w:tc>
        <w:tc>
          <w:tcPr>
            <w:tcW w:w="1557" w:type="dxa"/>
          </w:tcPr>
          <w:p w:rsidR="00AF399C" w:rsidRPr="00FE0B71" w:rsidRDefault="00AF399C" w:rsidP="00C3723A">
            <w:pPr>
              <w:pStyle w:val="Odstavecseseznamem"/>
              <w:numPr>
                <w:ilvl w:val="0"/>
                <w:numId w:val="17"/>
              </w:numPr>
              <w:spacing w:line="240" w:lineRule="auto"/>
              <w:jc w:val="center"/>
              <w:cnfStyle w:val="000000100000"/>
              <w:rPr>
                <w:szCs w:val="22"/>
              </w:rPr>
            </w:pPr>
          </w:p>
        </w:tc>
        <w:tc>
          <w:tcPr>
            <w:tcW w:w="1803" w:type="dxa"/>
          </w:tcPr>
          <w:p w:rsidR="00AF399C" w:rsidRPr="00FE0B71" w:rsidRDefault="00AF399C" w:rsidP="002E0A33">
            <w:pPr>
              <w:spacing w:before="0"/>
              <w:jc w:val="center"/>
              <w:cnfStyle w:val="000000100000"/>
            </w:pPr>
            <w:r w:rsidRPr="00FE0B71">
              <w:t>1,82 %</w:t>
            </w:r>
          </w:p>
        </w:tc>
        <w:tc>
          <w:tcPr>
            <w:tcW w:w="1804" w:type="dxa"/>
          </w:tcPr>
          <w:p w:rsidR="00AF399C" w:rsidRPr="00FE0B71" w:rsidRDefault="00AF399C" w:rsidP="002E0A33">
            <w:pPr>
              <w:spacing w:before="0"/>
              <w:jc w:val="center"/>
              <w:cnfStyle w:val="000000100000"/>
            </w:pPr>
            <w:r w:rsidRPr="00FE0B71">
              <w:t>0,26 %</w:t>
            </w:r>
          </w:p>
        </w:tc>
        <w:tc>
          <w:tcPr>
            <w:tcW w:w="1804" w:type="dxa"/>
          </w:tcPr>
          <w:p w:rsidR="00AF399C" w:rsidRPr="00FE0B71" w:rsidRDefault="00AF399C" w:rsidP="002E0A33">
            <w:pPr>
              <w:spacing w:before="0"/>
              <w:jc w:val="center"/>
              <w:cnfStyle w:val="000000100000"/>
            </w:pPr>
            <w:r w:rsidRPr="00FE0B71">
              <w:t>-</w:t>
            </w:r>
          </w:p>
        </w:tc>
      </w:tr>
      <w:tr w:rsidR="00AF399C" w:rsidRPr="00FE0B71" w:rsidTr="002D72A7">
        <w:trPr>
          <w:trHeight w:val="757"/>
        </w:trPr>
        <w:tc>
          <w:tcPr>
            <w:cnfStyle w:val="001000000000"/>
            <w:tcW w:w="2049" w:type="dxa"/>
            <w:tcBorders>
              <w:left w:val="none" w:sz="0" w:space="0" w:color="auto"/>
              <w:bottom w:val="none" w:sz="0" w:space="0" w:color="auto"/>
              <w:right w:val="none" w:sz="0" w:space="0" w:color="auto"/>
            </w:tcBorders>
          </w:tcPr>
          <w:p w:rsidR="00AF399C" w:rsidRPr="00FE0B71" w:rsidRDefault="00AF399C" w:rsidP="002E0A33">
            <w:pPr>
              <w:spacing w:before="0"/>
              <w:jc w:val="center"/>
            </w:pPr>
            <w:r w:rsidRPr="00FE0B71">
              <w:t xml:space="preserve">Průměrná čistá výnosnost v % </w:t>
            </w:r>
            <w:proofErr w:type="gramStart"/>
            <w:r w:rsidRPr="00FE0B71">
              <w:t>p.a.</w:t>
            </w:r>
            <w:proofErr w:type="gramEnd"/>
          </w:p>
        </w:tc>
        <w:tc>
          <w:tcPr>
            <w:tcW w:w="1557" w:type="dxa"/>
          </w:tcPr>
          <w:p w:rsidR="00AF399C" w:rsidRPr="00FE0B71" w:rsidRDefault="00AF399C" w:rsidP="002E0A33">
            <w:pPr>
              <w:spacing w:before="0"/>
              <w:jc w:val="center"/>
              <w:cnfStyle w:val="000000000000"/>
            </w:pPr>
            <w:r w:rsidRPr="00FE0B71">
              <w:t>16,25 %</w:t>
            </w:r>
          </w:p>
        </w:tc>
        <w:tc>
          <w:tcPr>
            <w:tcW w:w="1803" w:type="dxa"/>
          </w:tcPr>
          <w:p w:rsidR="00AF399C" w:rsidRPr="00FE0B71" w:rsidRDefault="00AF399C" w:rsidP="002E0A33">
            <w:pPr>
              <w:spacing w:before="0"/>
              <w:jc w:val="center"/>
              <w:cnfStyle w:val="000000000000"/>
            </w:pPr>
            <w:r w:rsidRPr="00FE0B71">
              <w:t>15,21 %</w:t>
            </w:r>
          </w:p>
        </w:tc>
        <w:tc>
          <w:tcPr>
            <w:tcW w:w="1804" w:type="dxa"/>
          </w:tcPr>
          <w:p w:rsidR="00AF399C" w:rsidRPr="00FE0B71" w:rsidRDefault="00AF399C" w:rsidP="002E0A33">
            <w:pPr>
              <w:spacing w:before="0"/>
              <w:jc w:val="center"/>
              <w:cnfStyle w:val="000000000000"/>
            </w:pPr>
            <w:r w:rsidRPr="00FE0B71">
              <w:t>31,23 %</w:t>
            </w:r>
          </w:p>
        </w:tc>
        <w:tc>
          <w:tcPr>
            <w:tcW w:w="1804" w:type="dxa"/>
          </w:tcPr>
          <w:p w:rsidR="00AF399C" w:rsidRPr="00FE0B71" w:rsidRDefault="00AF399C" w:rsidP="002E0A33">
            <w:pPr>
              <w:spacing w:before="0"/>
              <w:jc w:val="center"/>
              <w:cnfStyle w:val="000000000000"/>
            </w:pPr>
            <w:r w:rsidRPr="00FE0B71">
              <w:t>-35,59 %</w:t>
            </w:r>
          </w:p>
        </w:tc>
      </w:tr>
      <w:tr w:rsidR="00AF399C" w:rsidRPr="00FE0B71" w:rsidTr="002D72A7">
        <w:trPr>
          <w:cnfStyle w:val="000000100000"/>
          <w:trHeight w:val="511"/>
        </w:trPr>
        <w:tc>
          <w:tcPr>
            <w:cnfStyle w:val="001000000000"/>
            <w:tcW w:w="2049" w:type="dxa"/>
            <w:tcBorders>
              <w:left w:val="none" w:sz="0" w:space="0" w:color="auto"/>
              <w:bottom w:val="none" w:sz="0" w:space="0" w:color="auto"/>
              <w:right w:val="none" w:sz="0" w:space="0" w:color="auto"/>
            </w:tcBorders>
          </w:tcPr>
          <w:p w:rsidR="00AF399C" w:rsidRPr="00FE0B71" w:rsidRDefault="00AF399C" w:rsidP="002E0A33">
            <w:pPr>
              <w:spacing w:before="0"/>
              <w:jc w:val="center"/>
            </w:pPr>
            <w:r w:rsidRPr="00FE0B71">
              <w:t>Volatilita</w:t>
            </w:r>
          </w:p>
        </w:tc>
        <w:tc>
          <w:tcPr>
            <w:tcW w:w="1557" w:type="dxa"/>
          </w:tcPr>
          <w:p w:rsidR="00AF399C" w:rsidRPr="00FE0B71" w:rsidRDefault="00AF399C" w:rsidP="002E0A33">
            <w:pPr>
              <w:spacing w:before="0"/>
              <w:jc w:val="center"/>
              <w:cnfStyle w:val="000000100000"/>
            </w:pPr>
            <w:r w:rsidRPr="00FE0B71">
              <w:t>9,89 %</w:t>
            </w:r>
          </w:p>
        </w:tc>
        <w:tc>
          <w:tcPr>
            <w:tcW w:w="1803" w:type="dxa"/>
          </w:tcPr>
          <w:p w:rsidR="00AF399C" w:rsidRPr="00FE0B71" w:rsidRDefault="00AF399C" w:rsidP="002E0A33">
            <w:pPr>
              <w:spacing w:before="0"/>
              <w:jc w:val="center"/>
              <w:cnfStyle w:val="000000100000"/>
            </w:pPr>
            <w:r w:rsidRPr="00FE0B71">
              <w:t>10,93 %</w:t>
            </w:r>
          </w:p>
        </w:tc>
        <w:tc>
          <w:tcPr>
            <w:tcW w:w="1804" w:type="dxa"/>
          </w:tcPr>
          <w:p w:rsidR="00AF399C" w:rsidRPr="00FE0B71" w:rsidRDefault="00AF399C" w:rsidP="002E0A33">
            <w:pPr>
              <w:spacing w:before="0"/>
              <w:jc w:val="center"/>
              <w:cnfStyle w:val="000000100000"/>
            </w:pPr>
            <w:r w:rsidRPr="00FE0B71">
              <w:t>26,30 %</w:t>
            </w:r>
          </w:p>
        </w:tc>
        <w:tc>
          <w:tcPr>
            <w:tcW w:w="1804" w:type="dxa"/>
          </w:tcPr>
          <w:p w:rsidR="00AF399C" w:rsidRPr="00FE0B71" w:rsidRDefault="00AF399C" w:rsidP="002E0A33">
            <w:pPr>
              <w:spacing w:before="0"/>
              <w:jc w:val="center"/>
              <w:cnfStyle w:val="000000100000"/>
            </w:pPr>
            <w:r w:rsidRPr="00FE0B71">
              <w:t>11,74 %</w:t>
            </w:r>
          </w:p>
        </w:tc>
      </w:tr>
    </w:tbl>
    <w:p w:rsidR="00AF399C" w:rsidRDefault="00AF399C" w:rsidP="002E0A33">
      <w:pPr>
        <w:spacing w:before="0" w:after="240" w:line="360" w:lineRule="auto"/>
        <w:jc w:val="center"/>
      </w:pPr>
      <w:r>
        <w:t>Zdroj: Vlastní zpracování</w:t>
      </w:r>
    </w:p>
    <w:p w:rsidR="00AF399C" w:rsidRDefault="00AF399C" w:rsidP="00AF399C">
      <w:pPr>
        <w:spacing w:after="240" w:line="360" w:lineRule="auto"/>
        <w:rPr>
          <w:szCs w:val="24"/>
        </w:rPr>
      </w:pPr>
      <w:r w:rsidRPr="00FE0B71">
        <w:rPr>
          <w:szCs w:val="24"/>
        </w:rPr>
        <w:lastRenderedPageBreak/>
        <w:t>Naopak za velice ztrátovou by se ve sledovaném období jevila investice do inverzního pákového ETF  ProShares UltraShort S&amp;P500, které dosáhlo průměrné roční ztráty – 35,59</w:t>
      </w:r>
      <w:r>
        <w:rPr>
          <w:szCs w:val="24"/>
        </w:rPr>
        <w:t>%</w:t>
      </w:r>
      <w:r w:rsidRPr="00FE0B71">
        <w:rPr>
          <w:szCs w:val="24"/>
        </w:rPr>
        <w:t xml:space="preserve">. Nicméně v případě, že bychom správně investici do tohoto produktu načasovali (tzn. například v období počínající krize), </w:t>
      </w:r>
      <w:r>
        <w:rPr>
          <w:szCs w:val="24"/>
        </w:rPr>
        <w:t xml:space="preserve">investor by touto investicí mohl získat relativně vysoké výnosy. </w:t>
      </w:r>
    </w:p>
    <w:p w:rsidR="00AF399C" w:rsidRPr="00112498" w:rsidRDefault="00AF399C" w:rsidP="00371136">
      <w:pPr>
        <w:pStyle w:val="Nadpis3"/>
      </w:pPr>
      <w:r>
        <w:t xml:space="preserve"> </w:t>
      </w:r>
      <w:bookmarkStart w:id="108" w:name="_Toc386146029"/>
      <w:r>
        <w:t>Komparace Sharpe ratio</w:t>
      </w:r>
      <w:bookmarkEnd w:id="108"/>
    </w:p>
    <w:p w:rsidR="00AF399C" w:rsidRDefault="00AF399C" w:rsidP="00AF399C">
      <w:pPr>
        <w:spacing w:before="240" w:after="240" w:line="360" w:lineRule="auto"/>
      </w:pPr>
      <w:r w:rsidRPr="00033EE1">
        <w:t xml:space="preserve">Na základě vzorce </w:t>
      </w:r>
      <w:r w:rsidR="00DB5AB5">
        <w:t>č. 12</w:t>
      </w:r>
      <w:r w:rsidRPr="00033EE1">
        <w:t xml:space="preserve"> byly </w:t>
      </w:r>
      <w:proofErr w:type="gramStart"/>
      <w:r w:rsidRPr="00033EE1">
        <w:t>získány</w:t>
      </w:r>
      <w:proofErr w:type="gramEnd"/>
      <w:r w:rsidRPr="00033EE1">
        <w:t xml:space="preserve"> hodnoty </w:t>
      </w:r>
      <w:proofErr w:type="gramStart"/>
      <w:r w:rsidRPr="00033EE1">
        <w:t>Sharpe</w:t>
      </w:r>
      <w:proofErr w:type="gramEnd"/>
      <w:r w:rsidRPr="00033EE1">
        <w:t xml:space="preserve"> ratio, který zohledňuje výnosnost a riziko produktu. Jako bezriziková </w:t>
      </w:r>
      <w:r>
        <w:t xml:space="preserve">výnosová </w:t>
      </w:r>
      <w:r w:rsidRPr="00033EE1">
        <w:t>míra byl</w:t>
      </w:r>
      <w:r>
        <w:t xml:space="preserve">a </w:t>
      </w:r>
      <w:r w:rsidRPr="00033EE1">
        <w:t xml:space="preserve">vzhledem k zaměření fondů na US trhy zvolena úroková míra pětiletých US státních dluhopisů, který činí 1,73 % </w:t>
      </w:r>
      <w:proofErr w:type="gramStart"/>
      <w:r w:rsidRPr="00033EE1">
        <w:t>p.a</w:t>
      </w:r>
      <w:r>
        <w:rPr>
          <w:rStyle w:val="Znakapoznpodarou"/>
        </w:rPr>
        <w:footnoteReference w:id="90"/>
      </w:r>
      <w:r>
        <w:t>.</w:t>
      </w:r>
      <w:proofErr w:type="gramEnd"/>
    </w:p>
    <w:p w:rsidR="001904E3" w:rsidRPr="001904E3" w:rsidRDefault="001904E3" w:rsidP="001904E3">
      <w:pPr>
        <w:pStyle w:val="Titulek"/>
        <w:spacing w:before="240" w:after="0" w:line="360" w:lineRule="auto"/>
        <w:jc w:val="center"/>
        <w:rPr>
          <w:color w:val="auto"/>
          <w:sz w:val="22"/>
        </w:rPr>
      </w:pPr>
      <w:bookmarkStart w:id="109" w:name="_Toc385970337"/>
      <w:r w:rsidRPr="004F51EB">
        <w:rPr>
          <w:color w:val="auto"/>
          <w:sz w:val="22"/>
        </w:rPr>
        <w:t xml:space="preserve">Tabulka č. </w:t>
      </w:r>
      <w:r w:rsidR="008B79C7" w:rsidRPr="004F51EB">
        <w:rPr>
          <w:color w:val="auto"/>
          <w:sz w:val="22"/>
        </w:rPr>
        <w:fldChar w:fldCharType="begin"/>
      </w:r>
      <w:r w:rsidRPr="004F51EB">
        <w:rPr>
          <w:color w:val="auto"/>
          <w:sz w:val="22"/>
        </w:rPr>
        <w:instrText xml:space="preserve"> SEQ Tabulka_č. \* ARABIC </w:instrText>
      </w:r>
      <w:r w:rsidR="008B79C7" w:rsidRPr="004F51EB">
        <w:rPr>
          <w:color w:val="auto"/>
          <w:sz w:val="22"/>
        </w:rPr>
        <w:fldChar w:fldCharType="separate"/>
      </w:r>
      <w:r w:rsidR="00730734">
        <w:rPr>
          <w:noProof/>
          <w:color w:val="auto"/>
          <w:sz w:val="22"/>
        </w:rPr>
        <w:t>25</w:t>
      </w:r>
      <w:r w:rsidR="008B79C7" w:rsidRPr="004F51EB">
        <w:rPr>
          <w:color w:val="auto"/>
          <w:sz w:val="22"/>
        </w:rPr>
        <w:fldChar w:fldCharType="end"/>
      </w:r>
      <w:r w:rsidRPr="004F51EB">
        <w:rPr>
          <w:color w:val="auto"/>
          <w:sz w:val="22"/>
        </w:rPr>
        <w:t xml:space="preserve">: </w:t>
      </w:r>
      <w:r>
        <w:rPr>
          <w:color w:val="auto"/>
          <w:sz w:val="22"/>
        </w:rPr>
        <w:t>Srovnání</w:t>
      </w:r>
      <w:r w:rsidRPr="004F51EB">
        <w:rPr>
          <w:color w:val="auto"/>
          <w:sz w:val="22"/>
        </w:rPr>
        <w:t xml:space="preserve"> Sharpe ratio</w:t>
      </w:r>
      <w:bookmarkEnd w:id="109"/>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1842"/>
        <w:gridCol w:w="1842"/>
        <w:gridCol w:w="1843"/>
        <w:gridCol w:w="1843"/>
      </w:tblGrid>
      <w:tr w:rsidR="00AF399C" w:rsidTr="002D72A7">
        <w:trPr>
          <w:cnfStyle w:val="100000000000"/>
        </w:trPr>
        <w:tc>
          <w:tcPr>
            <w:cnfStyle w:val="001000000100"/>
            <w:tcW w:w="1842" w:type="dxa"/>
            <w:tcBorders>
              <w:top w:val="none" w:sz="0" w:space="0" w:color="auto"/>
              <w:left w:val="none" w:sz="0" w:space="0" w:color="auto"/>
              <w:bottom w:val="none" w:sz="0" w:space="0" w:color="auto"/>
              <w:right w:val="none" w:sz="0" w:space="0" w:color="auto"/>
            </w:tcBorders>
          </w:tcPr>
          <w:p w:rsidR="00AF399C" w:rsidRDefault="00AF399C" w:rsidP="00C3723A">
            <w:pPr>
              <w:spacing w:before="0"/>
              <w:jc w:val="center"/>
            </w:pPr>
          </w:p>
        </w:tc>
        <w:tc>
          <w:tcPr>
            <w:tcW w:w="1842" w:type="dxa"/>
            <w:tcBorders>
              <w:top w:val="none" w:sz="0" w:space="0" w:color="auto"/>
              <w:left w:val="none" w:sz="0" w:space="0" w:color="auto"/>
              <w:bottom w:val="none" w:sz="0" w:space="0" w:color="auto"/>
              <w:right w:val="none" w:sz="0" w:space="0" w:color="auto"/>
            </w:tcBorders>
          </w:tcPr>
          <w:p w:rsidR="00AF399C" w:rsidRDefault="00AF399C" w:rsidP="00C3723A">
            <w:pPr>
              <w:spacing w:before="0"/>
              <w:jc w:val="center"/>
              <w:cnfStyle w:val="100000000000"/>
            </w:pPr>
            <w:r>
              <w:t xml:space="preserve">Výnos v % </w:t>
            </w:r>
            <w:proofErr w:type="gramStart"/>
            <w:r>
              <w:t>p.a.</w:t>
            </w:r>
            <w:proofErr w:type="gramEnd"/>
          </w:p>
        </w:tc>
        <w:tc>
          <w:tcPr>
            <w:tcW w:w="1842" w:type="dxa"/>
            <w:tcBorders>
              <w:top w:val="none" w:sz="0" w:space="0" w:color="auto"/>
              <w:left w:val="none" w:sz="0" w:space="0" w:color="auto"/>
              <w:bottom w:val="none" w:sz="0" w:space="0" w:color="auto"/>
              <w:right w:val="none" w:sz="0" w:space="0" w:color="auto"/>
            </w:tcBorders>
          </w:tcPr>
          <w:p w:rsidR="00AF399C" w:rsidRDefault="00AF399C" w:rsidP="00C3723A">
            <w:pPr>
              <w:spacing w:before="0"/>
              <w:jc w:val="center"/>
              <w:cnfStyle w:val="100000000000"/>
            </w:pPr>
            <w:r>
              <w:t xml:space="preserve">Bezriziková výnosová míra v % </w:t>
            </w:r>
            <w:proofErr w:type="gramStart"/>
            <w:r>
              <w:t>p.a.</w:t>
            </w:r>
            <w:proofErr w:type="gramEnd"/>
          </w:p>
        </w:tc>
        <w:tc>
          <w:tcPr>
            <w:tcW w:w="1843" w:type="dxa"/>
            <w:tcBorders>
              <w:top w:val="none" w:sz="0" w:space="0" w:color="auto"/>
              <w:left w:val="none" w:sz="0" w:space="0" w:color="auto"/>
              <w:bottom w:val="none" w:sz="0" w:space="0" w:color="auto"/>
              <w:right w:val="none" w:sz="0" w:space="0" w:color="auto"/>
            </w:tcBorders>
          </w:tcPr>
          <w:p w:rsidR="00AF399C" w:rsidRDefault="00AF399C" w:rsidP="00C3723A">
            <w:pPr>
              <w:spacing w:before="0"/>
              <w:jc w:val="center"/>
              <w:cnfStyle w:val="100000000000"/>
            </w:pPr>
            <w:r>
              <w:t xml:space="preserve">Riziko v % </w:t>
            </w:r>
            <w:proofErr w:type="gramStart"/>
            <w:r>
              <w:t>p.a.</w:t>
            </w:r>
            <w:proofErr w:type="gramEnd"/>
          </w:p>
        </w:tc>
        <w:tc>
          <w:tcPr>
            <w:tcW w:w="1843" w:type="dxa"/>
            <w:tcBorders>
              <w:top w:val="none" w:sz="0" w:space="0" w:color="auto"/>
              <w:left w:val="none" w:sz="0" w:space="0" w:color="auto"/>
              <w:bottom w:val="none" w:sz="0" w:space="0" w:color="auto"/>
              <w:right w:val="none" w:sz="0" w:space="0" w:color="auto"/>
            </w:tcBorders>
          </w:tcPr>
          <w:p w:rsidR="00AF399C" w:rsidRDefault="00AF399C" w:rsidP="00C3723A">
            <w:pPr>
              <w:spacing w:before="0"/>
              <w:jc w:val="center"/>
              <w:cnfStyle w:val="100000000000"/>
            </w:pPr>
            <w:r>
              <w:t>Sharpe ratio</w:t>
            </w:r>
          </w:p>
        </w:tc>
      </w:tr>
      <w:tr w:rsidR="00AF399C" w:rsidTr="002D72A7">
        <w:trPr>
          <w:cnfStyle w:val="000000100000"/>
        </w:trPr>
        <w:tc>
          <w:tcPr>
            <w:cnfStyle w:val="001000000000"/>
            <w:tcW w:w="1842" w:type="dxa"/>
            <w:tcBorders>
              <w:left w:val="none" w:sz="0" w:space="0" w:color="auto"/>
              <w:bottom w:val="none" w:sz="0" w:space="0" w:color="auto"/>
              <w:right w:val="none" w:sz="0" w:space="0" w:color="auto"/>
            </w:tcBorders>
            <w:vAlign w:val="center"/>
          </w:tcPr>
          <w:p w:rsidR="00AF399C" w:rsidRPr="00E5799A" w:rsidRDefault="00AF399C" w:rsidP="00C3723A">
            <w:pPr>
              <w:spacing w:before="0"/>
              <w:jc w:val="center"/>
            </w:pPr>
            <w:r w:rsidRPr="00E5799A">
              <w:t>KBC Index Fund United States</w:t>
            </w:r>
          </w:p>
        </w:tc>
        <w:tc>
          <w:tcPr>
            <w:tcW w:w="1842" w:type="dxa"/>
            <w:vAlign w:val="center"/>
          </w:tcPr>
          <w:p w:rsidR="00AF399C" w:rsidRPr="00033EE1" w:rsidRDefault="00AF399C" w:rsidP="00C3723A">
            <w:pPr>
              <w:spacing w:before="0"/>
              <w:jc w:val="center"/>
              <w:cnfStyle w:val="000000100000"/>
              <w:rPr>
                <w:color w:val="000000"/>
              </w:rPr>
            </w:pPr>
            <w:r w:rsidRPr="00033EE1">
              <w:rPr>
                <w:color w:val="000000"/>
              </w:rPr>
              <w:t>16,25 %</w:t>
            </w:r>
          </w:p>
          <w:p w:rsidR="00AF399C" w:rsidRPr="00033EE1" w:rsidRDefault="00AF399C" w:rsidP="00C3723A">
            <w:pPr>
              <w:spacing w:before="0"/>
              <w:jc w:val="center"/>
              <w:cnfStyle w:val="000000100000"/>
            </w:pPr>
          </w:p>
        </w:tc>
        <w:tc>
          <w:tcPr>
            <w:tcW w:w="1842" w:type="dxa"/>
            <w:vAlign w:val="center"/>
          </w:tcPr>
          <w:p w:rsidR="00AF399C" w:rsidRPr="00033EE1" w:rsidRDefault="00AF399C" w:rsidP="00C3723A">
            <w:pPr>
              <w:spacing w:before="0"/>
              <w:jc w:val="center"/>
              <w:cnfStyle w:val="000000100000"/>
              <w:rPr>
                <w:color w:val="000000"/>
              </w:rPr>
            </w:pPr>
            <w:r w:rsidRPr="00033EE1">
              <w:rPr>
                <w:color w:val="000000"/>
              </w:rPr>
              <w:t>1,73 %</w:t>
            </w:r>
          </w:p>
          <w:p w:rsidR="00AF399C" w:rsidRPr="00033EE1" w:rsidRDefault="00AF399C" w:rsidP="00C3723A">
            <w:pPr>
              <w:spacing w:before="0"/>
              <w:jc w:val="center"/>
              <w:cnfStyle w:val="000000100000"/>
            </w:pPr>
          </w:p>
        </w:tc>
        <w:tc>
          <w:tcPr>
            <w:tcW w:w="1843" w:type="dxa"/>
            <w:vAlign w:val="center"/>
          </w:tcPr>
          <w:p w:rsidR="00AF399C" w:rsidRPr="00033EE1" w:rsidRDefault="00AF399C" w:rsidP="00C3723A">
            <w:pPr>
              <w:spacing w:before="0"/>
              <w:jc w:val="center"/>
              <w:cnfStyle w:val="000000100000"/>
              <w:rPr>
                <w:color w:val="000000"/>
              </w:rPr>
            </w:pPr>
            <w:r w:rsidRPr="00033EE1">
              <w:rPr>
                <w:color w:val="000000"/>
              </w:rPr>
              <w:t>9,89 %</w:t>
            </w:r>
          </w:p>
          <w:p w:rsidR="00AF399C" w:rsidRPr="00033EE1" w:rsidRDefault="00AF399C" w:rsidP="00C3723A">
            <w:pPr>
              <w:spacing w:before="0"/>
              <w:jc w:val="center"/>
              <w:cnfStyle w:val="000000100000"/>
            </w:pPr>
          </w:p>
        </w:tc>
        <w:tc>
          <w:tcPr>
            <w:tcW w:w="1843" w:type="dxa"/>
            <w:vAlign w:val="center"/>
          </w:tcPr>
          <w:p w:rsidR="00AF399C" w:rsidRPr="00033EE1" w:rsidRDefault="00AF399C" w:rsidP="00C3723A">
            <w:pPr>
              <w:spacing w:before="0"/>
              <w:jc w:val="center"/>
              <w:cnfStyle w:val="000000100000"/>
              <w:rPr>
                <w:bCs/>
                <w:color w:val="000000"/>
              </w:rPr>
            </w:pPr>
            <w:r w:rsidRPr="00033EE1">
              <w:rPr>
                <w:bCs/>
                <w:color w:val="000000"/>
              </w:rPr>
              <w:t>1,466667</w:t>
            </w:r>
          </w:p>
          <w:p w:rsidR="00AF399C" w:rsidRPr="00033EE1" w:rsidRDefault="00AF399C" w:rsidP="00C3723A">
            <w:pPr>
              <w:spacing w:before="0"/>
              <w:jc w:val="center"/>
              <w:cnfStyle w:val="000000100000"/>
            </w:pPr>
          </w:p>
        </w:tc>
      </w:tr>
      <w:tr w:rsidR="00AF399C" w:rsidTr="002D72A7">
        <w:tc>
          <w:tcPr>
            <w:cnfStyle w:val="001000000000"/>
            <w:tcW w:w="1842" w:type="dxa"/>
            <w:tcBorders>
              <w:left w:val="none" w:sz="0" w:space="0" w:color="auto"/>
              <w:bottom w:val="none" w:sz="0" w:space="0" w:color="auto"/>
              <w:right w:val="none" w:sz="0" w:space="0" w:color="auto"/>
            </w:tcBorders>
            <w:vAlign w:val="center"/>
          </w:tcPr>
          <w:p w:rsidR="00AF399C" w:rsidRPr="00E5799A" w:rsidRDefault="00AF399C" w:rsidP="00C3723A">
            <w:pPr>
              <w:spacing w:before="0"/>
              <w:jc w:val="center"/>
            </w:pPr>
            <w:r w:rsidRPr="00E5799A">
              <w:t>SPDR S&amp;P 500</w:t>
            </w:r>
            <w:r w:rsidRPr="00E5799A">
              <w:rPr>
                <w:vertAlign w:val="superscript"/>
              </w:rPr>
              <w:t xml:space="preserve"> </w:t>
            </w:r>
            <w:r w:rsidRPr="00E5799A">
              <w:t>ETF</w:t>
            </w:r>
          </w:p>
        </w:tc>
        <w:tc>
          <w:tcPr>
            <w:tcW w:w="1842" w:type="dxa"/>
            <w:vAlign w:val="center"/>
          </w:tcPr>
          <w:p w:rsidR="00AF399C" w:rsidRPr="00033EE1" w:rsidRDefault="00AF399C" w:rsidP="00C3723A">
            <w:pPr>
              <w:spacing w:before="0"/>
              <w:jc w:val="center"/>
              <w:cnfStyle w:val="000000000000"/>
              <w:rPr>
                <w:color w:val="000000"/>
              </w:rPr>
            </w:pPr>
            <w:r w:rsidRPr="00033EE1">
              <w:rPr>
                <w:color w:val="000000"/>
              </w:rPr>
              <w:t>15,21 %</w:t>
            </w:r>
          </w:p>
          <w:p w:rsidR="00AF399C" w:rsidRPr="00033EE1" w:rsidRDefault="00AF399C" w:rsidP="00C3723A">
            <w:pPr>
              <w:spacing w:before="0"/>
              <w:jc w:val="center"/>
              <w:cnfStyle w:val="000000000000"/>
            </w:pPr>
          </w:p>
        </w:tc>
        <w:tc>
          <w:tcPr>
            <w:tcW w:w="1842" w:type="dxa"/>
            <w:vAlign w:val="center"/>
          </w:tcPr>
          <w:p w:rsidR="00AF399C" w:rsidRPr="00033EE1" w:rsidRDefault="00AF399C" w:rsidP="00C3723A">
            <w:pPr>
              <w:spacing w:before="0"/>
              <w:jc w:val="center"/>
              <w:cnfStyle w:val="000000000000"/>
              <w:rPr>
                <w:color w:val="000000"/>
              </w:rPr>
            </w:pPr>
            <w:r w:rsidRPr="00033EE1">
              <w:rPr>
                <w:color w:val="000000"/>
              </w:rPr>
              <w:t>1,73 %</w:t>
            </w:r>
          </w:p>
          <w:p w:rsidR="00AF399C" w:rsidRPr="00033EE1" w:rsidRDefault="00AF399C" w:rsidP="00C3723A">
            <w:pPr>
              <w:spacing w:before="0"/>
              <w:jc w:val="center"/>
              <w:cnfStyle w:val="000000000000"/>
            </w:pPr>
          </w:p>
        </w:tc>
        <w:tc>
          <w:tcPr>
            <w:tcW w:w="1843" w:type="dxa"/>
            <w:vAlign w:val="center"/>
          </w:tcPr>
          <w:p w:rsidR="00AF399C" w:rsidRPr="00033EE1" w:rsidRDefault="00AF399C" w:rsidP="00C3723A">
            <w:pPr>
              <w:spacing w:before="0"/>
              <w:jc w:val="center"/>
              <w:cnfStyle w:val="000000000000"/>
              <w:rPr>
                <w:color w:val="000000"/>
              </w:rPr>
            </w:pPr>
            <w:r w:rsidRPr="00033EE1">
              <w:rPr>
                <w:color w:val="000000"/>
              </w:rPr>
              <w:t>10,93 %</w:t>
            </w:r>
          </w:p>
          <w:p w:rsidR="00AF399C" w:rsidRPr="00033EE1" w:rsidRDefault="00AF399C" w:rsidP="00C3723A">
            <w:pPr>
              <w:spacing w:before="0"/>
              <w:jc w:val="center"/>
              <w:cnfStyle w:val="000000000000"/>
            </w:pPr>
          </w:p>
        </w:tc>
        <w:tc>
          <w:tcPr>
            <w:tcW w:w="1843" w:type="dxa"/>
            <w:vAlign w:val="center"/>
          </w:tcPr>
          <w:p w:rsidR="00AF399C" w:rsidRPr="00033EE1" w:rsidRDefault="00AF399C" w:rsidP="00C3723A">
            <w:pPr>
              <w:spacing w:before="0"/>
              <w:jc w:val="center"/>
              <w:cnfStyle w:val="000000000000"/>
              <w:rPr>
                <w:bCs/>
                <w:color w:val="000000"/>
              </w:rPr>
            </w:pPr>
            <w:r w:rsidRPr="00033EE1">
              <w:rPr>
                <w:bCs/>
                <w:color w:val="000000"/>
              </w:rPr>
              <w:t>1,233303</w:t>
            </w:r>
          </w:p>
          <w:p w:rsidR="00AF399C" w:rsidRPr="00033EE1" w:rsidRDefault="00AF399C" w:rsidP="00C3723A">
            <w:pPr>
              <w:spacing w:before="0"/>
              <w:jc w:val="center"/>
              <w:cnfStyle w:val="000000000000"/>
            </w:pPr>
          </w:p>
        </w:tc>
      </w:tr>
      <w:tr w:rsidR="00AF399C" w:rsidTr="002D72A7">
        <w:trPr>
          <w:cnfStyle w:val="000000100000"/>
        </w:trPr>
        <w:tc>
          <w:tcPr>
            <w:cnfStyle w:val="001000000000"/>
            <w:tcW w:w="1842" w:type="dxa"/>
            <w:tcBorders>
              <w:left w:val="none" w:sz="0" w:space="0" w:color="auto"/>
              <w:bottom w:val="none" w:sz="0" w:space="0" w:color="auto"/>
              <w:right w:val="none" w:sz="0" w:space="0" w:color="auto"/>
            </w:tcBorders>
            <w:vAlign w:val="center"/>
          </w:tcPr>
          <w:p w:rsidR="00AF399C" w:rsidRPr="00E5799A" w:rsidRDefault="00AF399C" w:rsidP="00C3723A">
            <w:pPr>
              <w:spacing w:before="0"/>
              <w:jc w:val="center"/>
            </w:pPr>
            <w:r w:rsidRPr="00E5799A">
              <w:t>ProShares Ultra S&amp;P500</w:t>
            </w:r>
          </w:p>
        </w:tc>
        <w:tc>
          <w:tcPr>
            <w:tcW w:w="1842" w:type="dxa"/>
            <w:vAlign w:val="center"/>
          </w:tcPr>
          <w:p w:rsidR="00AF399C" w:rsidRPr="00033EE1" w:rsidRDefault="00AF399C" w:rsidP="00C3723A">
            <w:pPr>
              <w:spacing w:before="0"/>
              <w:jc w:val="center"/>
              <w:cnfStyle w:val="000000100000"/>
              <w:rPr>
                <w:color w:val="000000"/>
              </w:rPr>
            </w:pPr>
            <w:r w:rsidRPr="00033EE1">
              <w:rPr>
                <w:color w:val="000000"/>
              </w:rPr>
              <w:t>31,23 %</w:t>
            </w:r>
          </w:p>
          <w:p w:rsidR="00AF399C" w:rsidRPr="00033EE1" w:rsidRDefault="00AF399C" w:rsidP="00C3723A">
            <w:pPr>
              <w:spacing w:before="0"/>
              <w:jc w:val="center"/>
              <w:cnfStyle w:val="000000100000"/>
            </w:pPr>
          </w:p>
        </w:tc>
        <w:tc>
          <w:tcPr>
            <w:tcW w:w="1842" w:type="dxa"/>
            <w:vAlign w:val="center"/>
          </w:tcPr>
          <w:p w:rsidR="00AF399C" w:rsidRPr="00033EE1" w:rsidRDefault="00AF399C" w:rsidP="00C3723A">
            <w:pPr>
              <w:spacing w:before="0"/>
              <w:jc w:val="center"/>
              <w:cnfStyle w:val="000000100000"/>
              <w:rPr>
                <w:color w:val="000000"/>
              </w:rPr>
            </w:pPr>
            <w:r w:rsidRPr="00033EE1">
              <w:rPr>
                <w:color w:val="000000"/>
              </w:rPr>
              <w:t>1,73 %</w:t>
            </w:r>
          </w:p>
          <w:p w:rsidR="00AF399C" w:rsidRPr="00033EE1" w:rsidRDefault="00AF399C" w:rsidP="00C3723A">
            <w:pPr>
              <w:spacing w:before="0"/>
              <w:jc w:val="center"/>
              <w:cnfStyle w:val="000000100000"/>
            </w:pPr>
          </w:p>
        </w:tc>
        <w:tc>
          <w:tcPr>
            <w:tcW w:w="1843" w:type="dxa"/>
            <w:vAlign w:val="center"/>
          </w:tcPr>
          <w:p w:rsidR="00AF399C" w:rsidRPr="00033EE1" w:rsidRDefault="00AF399C" w:rsidP="00C3723A">
            <w:pPr>
              <w:spacing w:before="0"/>
              <w:jc w:val="center"/>
              <w:cnfStyle w:val="000000100000"/>
              <w:rPr>
                <w:color w:val="000000"/>
              </w:rPr>
            </w:pPr>
            <w:r w:rsidRPr="00033EE1">
              <w:rPr>
                <w:color w:val="000000"/>
              </w:rPr>
              <w:t>26,3 %</w:t>
            </w:r>
          </w:p>
          <w:p w:rsidR="00AF399C" w:rsidRPr="00033EE1" w:rsidRDefault="00AF399C" w:rsidP="00C3723A">
            <w:pPr>
              <w:spacing w:before="0"/>
              <w:jc w:val="center"/>
              <w:cnfStyle w:val="000000100000"/>
            </w:pPr>
          </w:p>
        </w:tc>
        <w:tc>
          <w:tcPr>
            <w:tcW w:w="1843" w:type="dxa"/>
            <w:vAlign w:val="center"/>
          </w:tcPr>
          <w:p w:rsidR="00AF399C" w:rsidRPr="00033EE1" w:rsidRDefault="00AF399C" w:rsidP="00C3723A">
            <w:pPr>
              <w:spacing w:before="0"/>
              <w:jc w:val="center"/>
              <w:cnfStyle w:val="000000100000"/>
              <w:rPr>
                <w:bCs/>
                <w:color w:val="000000"/>
              </w:rPr>
            </w:pPr>
            <w:r w:rsidRPr="00033EE1">
              <w:rPr>
                <w:bCs/>
                <w:color w:val="000000"/>
              </w:rPr>
              <w:t>1,121673</w:t>
            </w:r>
          </w:p>
          <w:p w:rsidR="00AF399C" w:rsidRPr="00033EE1" w:rsidRDefault="00AF399C" w:rsidP="00C3723A">
            <w:pPr>
              <w:spacing w:before="0"/>
              <w:jc w:val="center"/>
              <w:cnfStyle w:val="000000100000"/>
            </w:pPr>
          </w:p>
        </w:tc>
      </w:tr>
      <w:tr w:rsidR="00AF399C" w:rsidTr="002D72A7">
        <w:tc>
          <w:tcPr>
            <w:cnfStyle w:val="001000000000"/>
            <w:tcW w:w="1842" w:type="dxa"/>
            <w:tcBorders>
              <w:left w:val="none" w:sz="0" w:space="0" w:color="auto"/>
              <w:bottom w:val="none" w:sz="0" w:space="0" w:color="auto"/>
              <w:right w:val="none" w:sz="0" w:space="0" w:color="auto"/>
            </w:tcBorders>
            <w:vAlign w:val="center"/>
          </w:tcPr>
          <w:p w:rsidR="00AF399C" w:rsidRPr="00E5799A" w:rsidRDefault="00AF399C" w:rsidP="00C3723A">
            <w:pPr>
              <w:spacing w:before="0"/>
              <w:jc w:val="center"/>
            </w:pPr>
            <w:r w:rsidRPr="00E5799A">
              <w:t>ProShares UltraShort S&amp;P500</w:t>
            </w:r>
          </w:p>
        </w:tc>
        <w:tc>
          <w:tcPr>
            <w:tcW w:w="1842" w:type="dxa"/>
            <w:vAlign w:val="center"/>
          </w:tcPr>
          <w:p w:rsidR="00AF399C" w:rsidRPr="00033EE1" w:rsidRDefault="00AF399C" w:rsidP="00C3723A">
            <w:pPr>
              <w:spacing w:before="0"/>
              <w:jc w:val="center"/>
              <w:cnfStyle w:val="000000000000"/>
              <w:rPr>
                <w:color w:val="000000"/>
              </w:rPr>
            </w:pPr>
            <w:r w:rsidRPr="00033EE1">
              <w:rPr>
                <w:color w:val="000000"/>
              </w:rPr>
              <w:t>-35,59 %</w:t>
            </w:r>
          </w:p>
          <w:p w:rsidR="00AF399C" w:rsidRPr="00033EE1" w:rsidRDefault="00AF399C" w:rsidP="00C3723A">
            <w:pPr>
              <w:spacing w:before="0"/>
              <w:jc w:val="center"/>
              <w:cnfStyle w:val="000000000000"/>
            </w:pPr>
          </w:p>
        </w:tc>
        <w:tc>
          <w:tcPr>
            <w:tcW w:w="1842" w:type="dxa"/>
            <w:vAlign w:val="center"/>
          </w:tcPr>
          <w:p w:rsidR="00AF399C" w:rsidRPr="00033EE1" w:rsidRDefault="00AF399C" w:rsidP="00C3723A">
            <w:pPr>
              <w:spacing w:before="0"/>
              <w:jc w:val="center"/>
              <w:cnfStyle w:val="000000000000"/>
              <w:rPr>
                <w:color w:val="000000"/>
              </w:rPr>
            </w:pPr>
            <w:r w:rsidRPr="00033EE1">
              <w:rPr>
                <w:color w:val="000000"/>
              </w:rPr>
              <w:t>1,73 %</w:t>
            </w:r>
          </w:p>
          <w:p w:rsidR="00AF399C" w:rsidRPr="00033EE1" w:rsidRDefault="00AF399C" w:rsidP="00C3723A">
            <w:pPr>
              <w:spacing w:before="0"/>
              <w:jc w:val="center"/>
              <w:cnfStyle w:val="000000000000"/>
            </w:pPr>
          </w:p>
        </w:tc>
        <w:tc>
          <w:tcPr>
            <w:tcW w:w="1843" w:type="dxa"/>
            <w:vAlign w:val="center"/>
          </w:tcPr>
          <w:p w:rsidR="00AF399C" w:rsidRPr="00033EE1" w:rsidRDefault="00AF399C" w:rsidP="00C3723A">
            <w:pPr>
              <w:spacing w:before="0"/>
              <w:jc w:val="center"/>
              <w:cnfStyle w:val="000000000000"/>
              <w:rPr>
                <w:color w:val="000000"/>
              </w:rPr>
            </w:pPr>
            <w:r w:rsidRPr="00033EE1">
              <w:rPr>
                <w:color w:val="000000"/>
              </w:rPr>
              <w:t>11,74 %</w:t>
            </w:r>
          </w:p>
          <w:p w:rsidR="00AF399C" w:rsidRPr="00033EE1" w:rsidRDefault="00AF399C" w:rsidP="00C3723A">
            <w:pPr>
              <w:spacing w:before="0"/>
              <w:jc w:val="center"/>
              <w:cnfStyle w:val="000000000000"/>
            </w:pPr>
          </w:p>
        </w:tc>
        <w:tc>
          <w:tcPr>
            <w:tcW w:w="1843" w:type="dxa"/>
            <w:vAlign w:val="center"/>
          </w:tcPr>
          <w:p w:rsidR="00AF399C" w:rsidRPr="00033EE1" w:rsidRDefault="00AF399C" w:rsidP="00C3723A">
            <w:pPr>
              <w:spacing w:before="0"/>
              <w:jc w:val="center"/>
              <w:cnfStyle w:val="000000000000"/>
              <w:rPr>
                <w:bCs/>
                <w:color w:val="000000"/>
              </w:rPr>
            </w:pPr>
            <w:r w:rsidRPr="00033EE1">
              <w:rPr>
                <w:bCs/>
                <w:color w:val="000000"/>
              </w:rPr>
              <w:t>-3,17888</w:t>
            </w:r>
          </w:p>
          <w:p w:rsidR="00AF399C" w:rsidRPr="00033EE1" w:rsidRDefault="00AF399C" w:rsidP="00C3723A">
            <w:pPr>
              <w:spacing w:before="0"/>
              <w:jc w:val="center"/>
              <w:cnfStyle w:val="000000000000"/>
            </w:pPr>
          </w:p>
        </w:tc>
      </w:tr>
    </w:tbl>
    <w:p w:rsidR="00AF399C" w:rsidRDefault="00AF399C" w:rsidP="00C3723A">
      <w:pPr>
        <w:spacing w:before="0" w:line="360" w:lineRule="auto"/>
        <w:jc w:val="center"/>
      </w:pPr>
      <w:r>
        <w:t>Zdroj: Vlastní zpracování</w:t>
      </w:r>
    </w:p>
    <w:p w:rsidR="00AF399C" w:rsidRDefault="00AF399C" w:rsidP="00AF399C">
      <w:pPr>
        <w:spacing w:line="360" w:lineRule="auto"/>
      </w:pPr>
      <w:r w:rsidRPr="000419A1">
        <w:t>Pro lepší názornost a přehlednost uvá</w:t>
      </w:r>
      <w:r>
        <w:t xml:space="preserve">dím i následující graf, který </w:t>
      </w:r>
      <w:proofErr w:type="gramStart"/>
      <w:r>
        <w:t>s</w:t>
      </w:r>
      <w:r w:rsidRPr="000419A1">
        <w:t>rovnává</w:t>
      </w:r>
      <w:proofErr w:type="gramEnd"/>
      <w:r w:rsidRPr="000419A1">
        <w:t xml:space="preserve"> dosažené hodnoty </w:t>
      </w:r>
      <w:proofErr w:type="gramStart"/>
      <w:r w:rsidRPr="000419A1">
        <w:t>Sharpe</w:t>
      </w:r>
      <w:proofErr w:type="gramEnd"/>
      <w:r w:rsidRPr="000419A1">
        <w:t xml:space="preserve"> ratio jednotlivých produktů.</w:t>
      </w:r>
    </w:p>
    <w:p w:rsidR="00730734" w:rsidRDefault="00730734" w:rsidP="00AF399C">
      <w:pPr>
        <w:spacing w:line="360" w:lineRule="auto"/>
      </w:pPr>
    </w:p>
    <w:p w:rsidR="00730734" w:rsidRDefault="00730734" w:rsidP="00AF399C">
      <w:pPr>
        <w:spacing w:line="360" w:lineRule="auto"/>
      </w:pPr>
    </w:p>
    <w:p w:rsidR="00DB5AB5" w:rsidRDefault="00DB5AB5" w:rsidP="00AF399C">
      <w:pPr>
        <w:spacing w:line="360" w:lineRule="auto"/>
      </w:pPr>
    </w:p>
    <w:p w:rsidR="00DB5AB5" w:rsidRDefault="00DB5AB5" w:rsidP="00AF399C">
      <w:pPr>
        <w:spacing w:line="360" w:lineRule="auto"/>
      </w:pPr>
    </w:p>
    <w:p w:rsidR="00DB5AB5" w:rsidRDefault="00DB5AB5" w:rsidP="00AF399C">
      <w:pPr>
        <w:spacing w:line="360" w:lineRule="auto"/>
      </w:pPr>
    </w:p>
    <w:p w:rsidR="00B637D4" w:rsidRDefault="00B637D4" w:rsidP="001904E3">
      <w:pPr>
        <w:spacing w:line="360" w:lineRule="auto"/>
        <w:jc w:val="center"/>
        <w:rPr>
          <w:b/>
          <w:sz w:val="22"/>
        </w:rPr>
      </w:pPr>
      <w:bookmarkStart w:id="110" w:name="_Toc385970620"/>
    </w:p>
    <w:p w:rsidR="001904E3" w:rsidRPr="001904E3" w:rsidRDefault="001904E3" w:rsidP="001904E3">
      <w:pPr>
        <w:spacing w:line="360" w:lineRule="auto"/>
        <w:jc w:val="center"/>
        <w:rPr>
          <w:b/>
        </w:rPr>
      </w:pPr>
      <w:r w:rsidRPr="001904E3">
        <w:rPr>
          <w:b/>
          <w:sz w:val="22"/>
        </w:rPr>
        <w:lastRenderedPageBreak/>
        <w:t xml:space="preserve">Graf č. </w:t>
      </w:r>
      <w:r w:rsidR="008B79C7" w:rsidRPr="001904E3">
        <w:rPr>
          <w:b/>
          <w:sz w:val="22"/>
        </w:rPr>
        <w:fldChar w:fldCharType="begin"/>
      </w:r>
      <w:r w:rsidRPr="001904E3">
        <w:rPr>
          <w:b/>
          <w:sz w:val="22"/>
        </w:rPr>
        <w:instrText xml:space="preserve"> SEQ Graf_č. \* ARABIC </w:instrText>
      </w:r>
      <w:r w:rsidR="008B79C7" w:rsidRPr="001904E3">
        <w:rPr>
          <w:b/>
          <w:sz w:val="22"/>
        </w:rPr>
        <w:fldChar w:fldCharType="separate"/>
      </w:r>
      <w:r w:rsidR="00236134">
        <w:rPr>
          <w:b/>
          <w:noProof/>
          <w:sz w:val="22"/>
        </w:rPr>
        <w:t>19</w:t>
      </w:r>
      <w:r w:rsidR="008B79C7" w:rsidRPr="001904E3">
        <w:rPr>
          <w:b/>
          <w:sz w:val="22"/>
        </w:rPr>
        <w:fldChar w:fldCharType="end"/>
      </w:r>
      <w:r w:rsidRPr="001904E3">
        <w:rPr>
          <w:b/>
          <w:sz w:val="22"/>
        </w:rPr>
        <w:t>: Srovnání hodnot Sharpe ratio</w:t>
      </w:r>
      <w:bookmarkEnd w:id="110"/>
    </w:p>
    <w:p w:rsidR="00AF399C" w:rsidRDefault="00AF399C" w:rsidP="00AF399C">
      <w:pPr>
        <w:pStyle w:val="Titulek"/>
        <w:spacing w:after="0" w:line="360" w:lineRule="auto"/>
        <w:jc w:val="center"/>
        <w:rPr>
          <w:color w:val="auto"/>
          <w:sz w:val="22"/>
        </w:rPr>
      </w:pPr>
      <w:r>
        <w:rPr>
          <w:noProof/>
          <w:color w:val="auto"/>
          <w:sz w:val="22"/>
        </w:rPr>
        <w:drawing>
          <wp:inline distT="0" distB="0" distL="0" distR="0">
            <wp:extent cx="5652135" cy="2279650"/>
            <wp:effectExtent l="0" t="0" r="0" b="0"/>
            <wp:docPr id="10"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F399C" w:rsidRDefault="00AF399C" w:rsidP="00AF399C">
      <w:pPr>
        <w:spacing w:after="240" w:line="360" w:lineRule="auto"/>
        <w:jc w:val="center"/>
      </w:pPr>
      <w:r>
        <w:t>Zdroj: vlastní zpracování</w:t>
      </w:r>
    </w:p>
    <w:p w:rsidR="00AF399C" w:rsidRDefault="00AF399C" w:rsidP="00AF399C">
      <w:pPr>
        <w:spacing w:after="240" w:line="360" w:lineRule="auto"/>
      </w:pPr>
      <w:r>
        <w:t>Nad výkonnost bezrizikové investice se dostaly 3 ze 4 zkoumaných produktů. Jak již bylo uvedeno v úvodu kapitoly, za lepší fond je považován ten, jenž v </w:t>
      </w:r>
      <w:r w:rsidR="00DB5AB5">
        <w:t xml:space="preserve">porovnání s ostatními dosáhne </w:t>
      </w:r>
      <w:r>
        <w:t xml:space="preserve">vyšší hodnoty Sharpeho poměru. </w:t>
      </w:r>
      <w:r w:rsidRPr="00565F16">
        <w:t xml:space="preserve">Při porovnání </w:t>
      </w:r>
      <w:proofErr w:type="gramStart"/>
      <w:r w:rsidRPr="00565F16">
        <w:t>Sharpe</w:t>
      </w:r>
      <w:proofErr w:type="gramEnd"/>
      <w:r w:rsidRPr="00565F16">
        <w:t xml:space="preserve"> ratio</w:t>
      </w:r>
      <w:r>
        <w:t xml:space="preserve"> například</w:t>
      </w:r>
      <w:r w:rsidRPr="00565F16">
        <w:t xml:space="preserve"> </w:t>
      </w:r>
      <w:proofErr w:type="gramStart"/>
      <w:r w:rsidRPr="00565F16">
        <w:t>získáme</w:t>
      </w:r>
      <w:proofErr w:type="gramEnd"/>
      <w:r w:rsidRPr="00565F16">
        <w:t xml:space="preserve"> </w:t>
      </w:r>
      <w:r>
        <w:t>výsledky</w:t>
      </w:r>
      <w:r w:rsidRPr="00565F16">
        <w:t>, které nasvědčují tomu, že ačkoli pákové</w:t>
      </w:r>
      <w:r>
        <w:t xml:space="preserve"> </w:t>
      </w:r>
      <w:r w:rsidRPr="00565F16">
        <w:t>ETF by</w:t>
      </w:r>
      <w:r>
        <w:t>lo</w:t>
      </w:r>
      <w:r w:rsidRPr="00565F16">
        <w:t xml:space="preserve"> z hlediska pouhé výnosnosti nejlepší, při zohlednění investorem podstupovaného rizika již neobhájila své prvenství. </w:t>
      </w:r>
      <w:r>
        <w:t xml:space="preserve">Na základě vypočítané hodnoty </w:t>
      </w:r>
      <w:proofErr w:type="gramStart"/>
      <w:r>
        <w:t>Sharpe</w:t>
      </w:r>
      <w:proofErr w:type="gramEnd"/>
      <w:r>
        <w:t xml:space="preserve"> ratio se </w:t>
      </w:r>
      <w:proofErr w:type="gramStart"/>
      <w:r>
        <w:t>jeví</w:t>
      </w:r>
      <w:proofErr w:type="gramEnd"/>
      <w:r>
        <w:t xml:space="preserve"> jako nejlepší investice do podílového fondu zaměřeného na US trhy. </w:t>
      </w:r>
    </w:p>
    <w:p w:rsidR="00AF399C" w:rsidRPr="00565F16" w:rsidRDefault="00AF399C" w:rsidP="00AF399C">
      <w:pPr>
        <w:spacing w:after="240" w:line="360" w:lineRule="auto"/>
      </w:pPr>
      <w:r>
        <w:t xml:space="preserve">Hodnoty </w:t>
      </w:r>
      <w:proofErr w:type="gramStart"/>
      <w:r>
        <w:t>Sharpe</w:t>
      </w:r>
      <w:proofErr w:type="gramEnd"/>
      <w:r>
        <w:t xml:space="preserve"> ratio inverzního pákového ETF </w:t>
      </w:r>
      <w:proofErr w:type="gramStart"/>
      <w:r>
        <w:t>dosáhly</w:t>
      </w:r>
      <w:proofErr w:type="gramEnd"/>
      <w:r>
        <w:t xml:space="preserve"> výrazných záporných hodnot, což je logické vzhledem k tomu, že Sharpe ratio zjednodušené vyjadřuje výnos na jednotku podstupovaného rizika. Jelikož výkonnost inverzního pákového ETF byla dokonce záporná, nedaly se v tomto případě kladné hodnoty Sharpeho poměru ani očekávat. </w:t>
      </w:r>
    </w:p>
    <w:p w:rsidR="00AF399C" w:rsidRPr="005C53E9" w:rsidRDefault="00AF399C" w:rsidP="00371136">
      <w:pPr>
        <w:pStyle w:val="Nadpis3"/>
      </w:pPr>
      <w:r>
        <w:t xml:space="preserve"> </w:t>
      </w:r>
      <w:bookmarkStart w:id="111" w:name="_Toc386146030"/>
      <w:r>
        <w:t>Komparace Information ratio</w:t>
      </w:r>
      <w:bookmarkEnd w:id="111"/>
    </w:p>
    <w:p w:rsidR="00AF399C" w:rsidRDefault="00AF399C" w:rsidP="00AF399C">
      <w:pPr>
        <w:spacing w:before="240" w:after="240" w:line="360" w:lineRule="auto"/>
      </w:pPr>
      <w:r w:rsidRPr="00523734">
        <w:t>Hodnoty ukazatele Information ratio byly vypočítány dle vzor</w:t>
      </w:r>
      <w:r w:rsidR="00680DC8">
        <w:t>ce č. 14</w:t>
      </w:r>
      <w:r w:rsidRPr="00523734">
        <w:t>. Vybrané produkty byly vybírány</w:t>
      </w:r>
      <w:r>
        <w:t xml:space="preserve"> </w:t>
      </w:r>
      <w:r w:rsidRPr="00523734">
        <w:t>záměrně tak, aby jejich srovnávacím indexem byl S&amp;P 500. Jak již bylo uvedeno, hodnoty tohoto indexu také vstupují do výpočtu Information ratio.</w:t>
      </w:r>
    </w:p>
    <w:p w:rsidR="00AF399C" w:rsidRDefault="00AF399C" w:rsidP="00AF399C">
      <w:pPr>
        <w:spacing w:before="240" w:after="240" w:line="360" w:lineRule="auto"/>
      </w:pPr>
      <w:r>
        <w:t xml:space="preserve">Tento ukazatel stejně jako </w:t>
      </w:r>
      <w:proofErr w:type="gramStart"/>
      <w:r>
        <w:t>Sharpe</w:t>
      </w:r>
      <w:proofErr w:type="gramEnd"/>
      <w:r>
        <w:t xml:space="preserve"> ratio </w:t>
      </w:r>
      <w:proofErr w:type="gramStart"/>
      <w:r>
        <w:t>bere</w:t>
      </w:r>
      <w:proofErr w:type="gramEnd"/>
      <w:r>
        <w:t xml:space="preserve"> v úvahu výnosnost produktu, nicméně vypovídací hodnota je odlišná. Získané hodnoty vypovídají o tom, zda byla překonána výnosnost srovnávacího indexu. Pokud výsledky nabývají kladných hodnot, pak manažer fondu dosáhl překonání benchmarku, pokud záporných, pak manažer fondu nedokázal překonat výnosnost srovnávacího indexu. Information ratio vybraných fondů zobrazuje následující tabulka:</w:t>
      </w:r>
    </w:p>
    <w:p w:rsidR="001904E3" w:rsidRDefault="001904E3" w:rsidP="001904E3">
      <w:pPr>
        <w:pStyle w:val="Titulek"/>
        <w:spacing w:before="240" w:after="0" w:line="360" w:lineRule="auto"/>
        <w:jc w:val="center"/>
      </w:pPr>
      <w:bookmarkStart w:id="112" w:name="_Toc385970338"/>
      <w:r w:rsidRPr="00E5799A">
        <w:rPr>
          <w:color w:val="auto"/>
          <w:sz w:val="22"/>
        </w:rPr>
        <w:lastRenderedPageBreak/>
        <w:t xml:space="preserve">Tabulka č. </w:t>
      </w:r>
      <w:r w:rsidR="008B79C7" w:rsidRPr="00E5799A">
        <w:rPr>
          <w:color w:val="auto"/>
          <w:sz w:val="22"/>
        </w:rPr>
        <w:fldChar w:fldCharType="begin"/>
      </w:r>
      <w:r w:rsidRPr="00E5799A">
        <w:rPr>
          <w:color w:val="auto"/>
          <w:sz w:val="22"/>
        </w:rPr>
        <w:instrText xml:space="preserve"> SEQ Tabulka_č. \* ARABIC </w:instrText>
      </w:r>
      <w:r w:rsidR="008B79C7" w:rsidRPr="00E5799A">
        <w:rPr>
          <w:color w:val="auto"/>
          <w:sz w:val="22"/>
        </w:rPr>
        <w:fldChar w:fldCharType="separate"/>
      </w:r>
      <w:r w:rsidR="00730734">
        <w:rPr>
          <w:noProof/>
          <w:color w:val="auto"/>
          <w:sz w:val="22"/>
        </w:rPr>
        <w:t>26</w:t>
      </w:r>
      <w:r w:rsidR="008B79C7" w:rsidRPr="00E5799A">
        <w:rPr>
          <w:color w:val="auto"/>
          <w:sz w:val="22"/>
        </w:rPr>
        <w:fldChar w:fldCharType="end"/>
      </w:r>
      <w:r>
        <w:rPr>
          <w:color w:val="auto"/>
          <w:sz w:val="22"/>
        </w:rPr>
        <w:t>: Srovnání Informatio Ratio</w:t>
      </w:r>
      <w:bookmarkEnd w:id="112"/>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1"/>
        <w:gridCol w:w="1831"/>
        <w:gridCol w:w="1831"/>
        <w:gridCol w:w="1832"/>
        <w:gridCol w:w="1832"/>
      </w:tblGrid>
      <w:tr w:rsidR="00AF399C" w:rsidTr="002D72A7">
        <w:trPr>
          <w:cnfStyle w:val="100000000000"/>
          <w:trHeight w:val="912"/>
        </w:trPr>
        <w:tc>
          <w:tcPr>
            <w:cnfStyle w:val="001000000100"/>
            <w:tcW w:w="1831" w:type="dxa"/>
            <w:tcBorders>
              <w:top w:val="none" w:sz="0" w:space="0" w:color="auto"/>
              <w:left w:val="none" w:sz="0" w:space="0" w:color="auto"/>
              <w:bottom w:val="none" w:sz="0" w:space="0" w:color="auto"/>
              <w:right w:val="none" w:sz="0" w:space="0" w:color="auto"/>
            </w:tcBorders>
          </w:tcPr>
          <w:p w:rsidR="00AF399C" w:rsidRDefault="00AF399C" w:rsidP="002D72A7">
            <w:pPr>
              <w:spacing w:before="0"/>
              <w:jc w:val="center"/>
            </w:pPr>
          </w:p>
        </w:tc>
        <w:tc>
          <w:tcPr>
            <w:tcW w:w="1831" w:type="dxa"/>
            <w:tcBorders>
              <w:top w:val="none" w:sz="0" w:space="0" w:color="auto"/>
              <w:left w:val="none" w:sz="0" w:space="0" w:color="auto"/>
              <w:bottom w:val="none" w:sz="0" w:space="0" w:color="auto"/>
              <w:right w:val="none" w:sz="0" w:space="0" w:color="auto"/>
            </w:tcBorders>
          </w:tcPr>
          <w:p w:rsidR="00AF399C" w:rsidRDefault="00AF399C" w:rsidP="002D72A7">
            <w:pPr>
              <w:spacing w:before="0"/>
              <w:jc w:val="center"/>
              <w:cnfStyle w:val="100000000000"/>
            </w:pPr>
            <w:r>
              <w:t xml:space="preserve">Výnos v % </w:t>
            </w:r>
            <w:proofErr w:type="gramStart"/>
            <w:r>
              <w:t>p.a.</w:t>
            </w:r>
            <w:proofErr w:type="gramEnd"/>
          </w:p>
        </w:tc>
        <w:tc>
          <w:tcPr>
            <w:tcW w:w="1831" w:type="dxa"/>
            <w:tcBorders>
              <w:top w:val="none" w:sz="0" w:space="0" w:color="auto"/>
              <w:left w:val="none" w:sz="0" w:space="0" w:color="auto"/>
              <w:bottom w:val="none" w:sz="0" w:space="0" w:color="auto"/>
              <w:right w:val="none" w:sz="0" w:space="0" w:color="auto"/>
            </w:tcBorders>
          </w:tcPr>
          <w:p w:rsidR="00AF399C" w:rsidRDefault="00AF399C" w:rsidP="002D72A7">
            <w:pPr>
              <w:spacing w:before="0"/>
              <w:jc w:val="center"/>
              <w:cnfStyle w:val="100000000000"/>
            </w:pPr>
            <w:r>
              <w:t xml:space="preserve">Výnosová míra   indexu v % </w:t>
            </w:r>
            <w:proofErr w:type="gramStart"/>
            <w:r>
              <w:t>p.a.</w:t>
            </w:r>
            <w:proofErr w:type="gramEnd"/>
          </w:p>
        </w:tc>
        <w:tc>
          <w:tcPr>
            <w:tcW w:w="1832" w:type="dxa"/>
            <w:tcBorders>
              <w:top w:val="none" w:sz="0" w:space="0" w:color="auto"/>
              <w:left w:val="none" w:sz="0" w:space="0" w:color="auto"/>
              <w:bottom w:val="none" w:sz="0" w:space="0" w:color="auto"/>
              <w:right w:val="none" w:sz="0" w:space="0" w:color="auto"/>
            </w:tcBorders>
          </w:tcPr>
          <w:p w:rsidR="00AF399C" w:rsidRDefault="00AF399C" w:rsidP="002D72A7">
            <w:pPr>
              <w:spacing w:before="0"/>
              <w:jc w:val="center"/>
              <w:cnfStyle w:val="100000000000"/>
            </w:pPr>
            <w:proofErr w:type="gramStart"/>
            <w:r>
              <w:t>Tracking  error</w:t>
            </w:r>
            <w:proofErr w:type="gramEnd"/>
          </w:p>
        </w:tc>
        <w:tc>
          <w:tcPr>
            <w:tcW w:w="1832" w:type="dxa"/>
            <w:tcBorders>
              <w:top w:val="none" w:sz="0" w:space="0" w:color="auto"/>
              <w:left w:val="none" w:sz="0" w:space="0" w:color="auto"/>
              <w:bottom w:val="none" w:sz="0" w:space="0" w:color="auto"/>
              <w:right w:val="none" w:sz="0" w:space="0" w:color="auto"/>
            </w:tcBorders>
          </w:tcPr>
          <w:p w:rsidR="00AF399C" w:rsidRDefault="00AF399C" w:rsidP="002D72A7">
            <w:pPr>
              <w:spacing w:before="0"/>
              <w:jc w:val="center"/>
              <w:cnfStyle w:val="100000000000"/>
            </w:pPr>
            <w:r>
              <w:t>Information ratio</w:t>
            </w:r>
          </w:p>
        </w:tc>
      </w:tr>
      <w:tr w:rsidR="00AF399C" w:rsidTr="002D72A7">
        <w:trPr>
          <w:cnfStyle w:val="000000100000"/>
          <w:trHeight w:val="711"/>
        </w:trPr>
        <w:tc>
          <w:tcPr>
            <w:cnfStyle w:val="001000000000"/>
            <w:tcW w:w="1831" w:type="dxa"/>
            <w:tcBorders>
              <w:left w:val="none" w:sz="0" w:space="0" w:color="auto"/>
              <w:bottom w:val="none" w:sz="0" w:space="0" w:color="auto"/>
              <w:right w:val="none" w:sz="0" w:space="0" w:color="auto"/>
            </w:tcBorders>
            <w:vAlign w:val="center"/>
          </w:tcPr>
          <w:p w:rsidR="00AF399C" w:rsidRPr="00E5799A" w:rsidRDefault="00AF399C" w:rsidP="002D72A7">
            <w:pPr>
              <w:spacing w:before="0"/>
              <w:jc w:val="center"/>
            </w:pPr>
            <w:r w:rsidRPr="00E5799A">
              <w:t>KBC Index Fund United States</w:t>
            </w:r>
          </w:p>
        </w:tc>
        <w:tc>
          <w:tcPr>
            <w:tcW w:w="1831" w:type="dxa"/>
            <w:vAlign w:val="center"/>
          </w:tcPr>
          <w:p w:rsidR="00AF399C" w:rsidRPr="00EA72DE" w:rsidRDefault="00AF399C" w:rsidP="002D72A7">
            <w:pPr>
              <w:spacing w:before="0"/>
              <w:jc w:val="center"/>
              <w:cnfStyle w:val="000000100000"/>
              <w:rPr>
                <w:szCs w:val="24"/>
              </w:rPr>
            </w:pPr>
            <w:r w:rsidRPr="00EA72DE">
              <w:rPr>
                <w:szCs w:val="24"/>
              </w:rPr>
              <w:t>16,25 %</w:t>
            </w:r>
          </w:p>
          <w:p w:rsidR="00AF399C" w:rsidRPr="00EA72DE" w:rsidRDefault="00AF399C" w:rsidP="002D72A7">
            <w:pPr>
              <w:spacing w:before="0"/>
              <w:jc w:val="center"/>
              <w:cnfStyle w:val="000000100000"/>
              <w:rPr>
                <w:szCs w:val="24"/>
              </w:rPr>
            </w:pPr>
          </w:p>
        </w:tc>
        <w:tc>
          <w:tcPr>
            <w:tcW w:w="1831" w:type="dxa"/>
            <w:vAlign w:val="center"/>
          </w:tcPr>
          <w:p w:rsidR="00AF399C" w:rsidRPr="00EA72DE" w:rsidRDefault="00AF399C" w:rsidP="002D72A7">
            <w:pPr>
              <w:spacing w:before="0"/>
              <w:jc w:val="center"/>
              <w:cnfStyle w:val="000000100000"/>
              <w:rPr>
                <w:szCs w:val="24"/>
              </w:rPr>
            </w:pPr>
            <w:r w:rsidRPr="00EA72DE">
              <w:rPr>
                <w:szCs w:val="24"/>
              </w:rPr>
              <w:t>15,85 %</w:t>
            </w:r>
          </w:p>
          <w:p w:rsidR="00AF399C" w:rsidRPr="00EA72DE" w:rsidRDefault="00AF399C" w:rsidP="002D72A7">
            <w:pPr>
              <w:spacing w:before="0"/>
              <w:jc w:val="center"/>
              <w:cnfStyle w:val="000000100000"/>
              <w:rPr>
                <w:szCs w:val="24"/>
              </w:rPr>
            </w:pPr>
          </w:p>
        </w:tc>
        <w:tc>
          <w:tcPr>
            <w:tcW w:w="1832" w:type="dxa"/>
            <w:vAlign w:val="center"/>
          </w:tcPr>
          <w:p w:rsidR="00AF399C" w:rsidRPr="00EA72DE" w:rsidRDefault="00AF399C" w:rsidP="002D72A7">
            <w:pPr>
              <w:spacing w:before="0"/>
              <w:jc w:val="center"/>
              <w:cnfStyle w:val="000000100000"/>
              <w:rPr>
                <w:szCs w:val="24"/>
              </w:rPr>
            </w:pPr>
            <w:r w:rsidRPr="00EA72DE">
              <w:rPr>
                <w:szCs w:val="24"/>
              </w:rPr>
              <w:t>0,612911</w:t>
            </w:r>
          </w:p>
          <w:p w:rsidR="00AF399C" w:rsidRPr="00EA72DE" w:rsidRDefault="00AF399C" w:rsidP="002D72A7">
            <w:pPr>
              <w:spacing w:before="0"/>
              <w:jc w:val="center"/>
              <w:cnfStyle w:val="000000100000"/>
              <w:rPr>
                <w:szCs w:val="24"/>
              </w:rPr>
            </w:pPr>
          </w:p>
        </w:tc>
        <w:tc>
          <w:tcPr>
            <w:tcW w:w="1832" w:type="dxa"/>
            <w:vAlign w:val="center"/>
          </w:tcPr>
          <w:p w:rsidR="00AF399C" w:rsidRPr="00EA72DE" w:rsidRDefault="00AF399C" w:rsidP="002D72A7">
            <w:pPr>
              <w:spacing w:before="0"/>
              <w:jc w:val="center"/>
              <w:cnfStyle w:val="000000100000"/>
              <w:rPr>
                <w:color w:val="000000"/>
                <w:szCs w:val="24"/>
              </w:rPr>
            </w:pPr>
            <w:r w:rsidRPr="00EA72DE">
              <w:rPr>
                <w:color w:val="000000"/>
                <w:szCs w:val="24"/>
              </w:rPr>
              <w:t>0,652623</w:t>
            </w:r>
          </w:p>
          <w:p w:rsidR="00AF399C" w:rsidRPr="00EA72DE" w:rsidRDefault="00AF399C" w:rsidP="002D72A7">
            <w:pPr>
              <w:spacing w:before="0"/>
              <w:jc w:val="center"/>
              <w:cnfStyle w:val="000000100000"/>
              <w:rPr>
                <w:szCs w:val="24"/>
              </w:rPr>
            </w:pPr>
          </w:p>
        </w:tc>
      </w:tr>
      <w:tr w:rsidR="00AF399C" w:rsidTr="002D72A7">
        <w:trPr>
          <w:trHeight w:val="480"/>
        </w:trPr>
        <w:tc>
          <w:tcPr>
            <w:cnfStyle w:val="001000000000"/>
            <w:tcW w:w="1831" w:type="dxa"/>
            <w:tcBorders>
              <w:left w:val="none" w:sz="0" w:space="0" w:color="auto"/>
              <w:bottom w:val="none" w:sz="0" w:space="0" w:color="auto"/>
              <w:right w:val="none" w:sz="0" w:space="0" w:color="auto"/>
            </w:tcBorders>
            <w:vAlign w:val="center"/>
          </w:tcPr>
          <w:p w:rsidR="00AF399C" w:rsidRPr="00E5799A" w:rsidRDefault="00AF399C" w:rsidP="002D72A7">
            <w:pPr>
              <w:spacing w:before="0"/>
              <w:jc w:val="center"/>
            </w:pPr>
            <w:r w:rsidRPr="00E5799A">
              <w:t>SPDR S&amp;P 500</w:t>
            </w:r>
            <w:r w:rsidRPr="00E5799A">
              <w:rPr>
                <w:vertAlign w:val="superscript"/>
              </w:rPr>
              <w:t xml:space="preserve"> </w:t>
            </w:r>
            <w:r w:rsidRPr="00E5799A">
              <w:t>ETF</w:t>
            </w:r>
          </w:p>
        </w:tc>
        <w:tc>
          <w:tcPr>
            <w:tcW w:w="1831" w:type="dxa"/>
            <w:vAlign w:val="center"/>
          </w:tcPr>
          <w:p w:rsidR="00AF399C" w:rsidRPr="00EA72DE" w:rsidRDefault="00AF399C" w:rsidP="002D72A7">
            <w:pPr>
              <w:spacing w:before="0"/>
              <w:jc w:val="center"/>
              <w:cnfStyle w:val="000000000000"/>
              <w:rPr>
                <w:szCs w:val="24"/>
              </w:rPr>
            </w:pPr>
            <w:r w:rsidRPr="00EA72DE">
              <w:rPr>
                <w:szCs w:val="24"/>
              </w:rPr>
              <w:t>15,21 %</w:t>
            </w:r>
          </w:p>
          <w:p w:rsidR="00AF399C" w:rsidRPr="00EA72DE" w:rsidRDefault="00AF399C" w:rsidP="002D72A7">
            <w:pPr>
              <w:spacing w:before="0"/>
              <w:jc w:val="center"/>
              <w:cnfStyle w:val="000000000000"/>
              <w:rPr>
                <w:szCs w:val="24"/>
              </w:rPr>
            </w:pPr>
          </w:p>
        </w:tc>
        <w:tc>
          <w:tcPr>
            <w:tcW w:w="1831" w:type="dxa"/>
            <w:vAlign w:val="center"/>
          </w:tcPr>
          <w:p w:rsidR="00AF399C" w:rsidRPr="00EA72DE" w:rsidRDefault="00AF399C" w:rsidP="002D72A7">
            <w:pPr>
              <w:spacing w:before="0"/>
              <w:jc w:val="center"/>
              <w:cnfStyle w:val="000000000000"/>
              <w:rPr>
                <w:szCs w:val="24"/>
              </w:rPr>
            </w:pPr>
            <w:r w:rsidRPr="00EA72DE">
              <w:rPr>
                <w:szCs w:val="24"/>
              </w:rPr>
              <w:t>15,85 %</w:t>
            </w:r>
          </w:p>
          <w:p w:rsidR="00AF399C" w:rsidRPr="00EA72DE" w:rsidRDefault="00AF399C" w:rsidP="002D72A7">
            <w:pPr>
              <w:spacing w:before="0"/>
              <w:jc w:val="center"/>
              <w:cnfStyle w:val="000000000000"/>
              <w:rPr>
                <w:szCs w:val="24"/>
              </w:rPr>
            </w:pPr>
          </w:p>
        </w:tc>
        <w:tc>
          <w:tcPr>
            <w:tcW w:w="1832" w:type="dxa"/>
            <w:vAlign w:val="center"/>
          </w:tcPr>
          <w:p w:rsidR="00AF399C" w:rsidRPr="00EA72DE" w:rsidRDefault="00AF399C" w:rsidP="002D72A7">
            <w:pPr>
              <w:spacing w:before="0"/>
              <w:jc w:val="center"/>
              <w:cnfStyle w:val="000000000000"/>
              <w:rPr>
                <w:szCs w:val="24"/>
              </w:rPr>
            </w:pPr>
            <w:r w:rsidRPr="00EA72DE">
              <w:rPr>
                <w:szCs w:val="24"/>
              </w:rPr>
              <w:t>1,668814</w:t>
            </w:r>
          </w:p>
          <w:p w:rsidR="00AF399C" w:rsidRPr="00EA72DE" w:rsidRDefault="00AF399C" w:rsidP="002D72A7">
            <w:pPr>
              <w:spacing w:before="0"/>
              <w:jc w:val="center"/>
              <w:cnfStyle w:val="000000000000"/>
              <w:rPr>
                <w:szCs w:val="24"/>
              </w:rPr>
            </w:pPr>
          </w:p>
        </w:tc>
        <w:tc>
          <w:tcPr>
            <w:tcW w:w="1832" w:type="dxa"/>
            <w:vAlign w:val="center"/>
          </w:tcPr>
          <w:p w:rsidR="00AF399C" w:rsidRPr="00EA72DE" w:rsidRDefault="00AF399C" w:rsidP="002D72A7">
            <w:pPr>
              <w:spacing w:before="0"/>
              <w:jc w:val="center"/>
              <w:cnfStyle w:val="000000000000"/>
              <w:rPr>
                <w:color w:val="000000"/>
                <w:szCs w:val="24"/>
              </w:rPr>
            </w:pPr>
            <w:r w:rsidRPr="00EA72DE">
              <w:rPr>
                <w:color w:val="000000"/>
                <w:szCs w:val="24"/>
              </w:rPr>
              <w:t>-0,38351</w:t>
            </w:r>
          </w:p>
          <w:p w:rsidR="00AF399C" w:rsidRPr="00EA72DE" w:rsidRDefault="00AF399C" w:rsidP="002D72A7">
            <w:pPr>
              <w:spacing w:before="0"/>
              <w:jc w:val="center"/>
              <w:cnfStyle w:val="000000000000"/>
              <w:rPr>
                <w:szCs w:val="24"/>
              </w:rPr>
            </w:pPr>
          </w:p>
        </w:tc>
      </w:tr>
      <w:tr w:rsidR="00AF399C" w:rsidTr="002D72A7">
        <w:trPr>
          <w:cnfStyle w:val="000000100000"/>
          <w:trHeight w:val="480"/>
        </w:trPr>
        <w:tc>
          <w:tcPr>
            <w:cnfStyle w:val="001000000000"/>
            <w:tcW w:w="1831" w:type="dxa"/>
            <w:tcBorders>
              <w:left w:val="none" w:sz="0" w:space="0" w:color="auto"/>
              <w:bottom w:val="none" w:sz="0" w:space="0" w:color="auto"/>
              <w:right w:val="none" w:sz="0" w:space="0" w:color="auto"/>
            </w:tcBorders>
            <w:vAlign w:val="center"/>
          </w:tcPr>
          <w:p w:rsidR="00AF399C" w:rsidRPr="00E5799A" w:rsidRDefault="00AF399C" w:rsidP="002D72A7">
            <w:pPr>
              <w:spacing w:before="0"/>
              <w:jc w:val="center"/>
            </w:pPr>
            <w:r w:rsidRPr="00E5799A">
              <w:t>ProShares Ultra S&amp;P500</w:t>
            </w:r>
          </w:p>
        </w:tc>
        <w:tc>
          <w:tcPr>
            <w:tcW w:w="1831" w:type="dxa"/>
            <w:vAlign w:val="center"/>
          </w:tcPr>
          <w:p w:rsidR="00AF399C" w:rsidRPr="00EA72DE" w:rsidRDefault="00AF399C" w:rsidP="002D72A7">
            <w:pPr>
              <w:spacing w:before="0"/>
              <w:jc w:val="center"/>
              <w:cnfStyle w:val="000000100000"/>
              <w:rPr>
                <w:szCs w:val="24"/>
              </w:rPr>
            </w:pPr>
            <w:r w:rsidRPr="00EA72DE">
              <w:rPr>
                <w:szCs w:val="24"/>
              </w:rPr>
              <w:t>31,23 %</w:t>
            </w:r>
          </w:p>
          <w:p w:rsidR="00AF399C" w:rsidRPr="00EA72DE" w:rsidRDefault="00AF399C" w:rsidP="002D72A7">
            <w:pPr>
              <w:spacing w:before="0"/>
              <w:jc w:val="center"/>
              <w:cnfStyle w:val="000000100000"/>
              <w:rPr>
                <w:szCs w:val="24"/>
              </w:rPr>
            </w:pPr>
          </w:p>
        </w:tc>
        <w:tc>
          <w:tcPr>
            <w:tcW w:w="1831" w:type="dxa"/>
            <w:vAlign w:val="center"/>
          </w:tcPr>
          <w:p w:rsidR="00AF399C" w:rsidRPr="00EA72DE" w:rsidRDefault="00AF399C" w:rsidP="002D72A7">
            <w:pPr>
              <w:spacing w:before="0"/>
              <w:jc w:val="center"/>
              <w:cnfStyle w:val="000000100000"/>
              <w:rPr>
                <w:szCs w:val="24"/>
              </w:rPr>
            </w:pPr>
            <w:r w:rsidRPr="00EA72DE">
              <w:rPr>
                <w:szCs w:val="24"/>
              </w:rPr>
              <w:t>15,85 %</w:t>
            </w:r>
          </w:p>
          <w:p w:rsidR="00AF399C" w:rsidRPr="00EA72DE" w:rsidRDefault="00AF399C" w:rsidP="002D72A7">
            <w:pPr>
              <w:spacing w:before="0"/>
              <w:jc w:val="center"/>
              <w:cnfStyle w:val="000000100000"/>
              <w:rPr>
                <w:szCs w:val="24"/>
              </w:rPr>
            </w:pPr>
          </w:p>
        </w:tc>
        <w:tc>
          <w:tcPr>
            <w:tcW w:w="1832" w:type="dxa"/>
            <w:vAlign w:val="center"/>
          </w:tcPr>
          <w:p w:rsidR="00AF399C" w:rsidRPr="00EA72DE" w:rsidRDefault="00AF399C" w:rsidP="002D72A7">
            <w:pPr>
              <w:spacing w:before="0"/>
              <w:jc w:val="center"/>
              <w:cnfStyle w:val="000000100000"/>
              <w:rPr>
                <w:szCs w:val="24"/>
              </w:rPr>
            </w:pPr>
            <w:r w:rsidRPr="00EA72DE">
              <w:rPr>
                <w:szCs w:val="24"/>
              </w:rPr>
              <w:t>20,82997</w:t>
            </w:r>
          </w:p>
          <w:p w:rsidR="00AF399C" w:rsidRPr="00EA72DE" w:rsidRDefault="00AF399C" w:rsidP="002D72A7">
            <w:pPr>
              <w:spacing w:before="0"/>
              <w:jc w:val="center"/>
              <w:cnfStyle w:val="000000100000"/>
              <w:rPr>
                <w:szCs w:val="24"/>
              </w:rPr>
            </w:pPr>
          </w:p>
        </w:tc>
        <w:tc>
          <w:tcPr>
            <w:tcW w:w="1832" w:type="dxa"/>
            <w:vAlign w:val="center"/>
          </w:tcPr>
          <w:p w:rsidR="00AF399C" w:rsidRPr="00EA72DE" w:rsidRDefault="00AF399C" w:rsidP="002D72A7">
            <w:pPr>
              <w:spacing w:before="0"/>
              <w:jc w:val="center"/>
              <w:cnfStyle w:val="000000100000"/>
              <w:rPr>
                <w:color w:val="000000"/>
                <w:szCs w:val="24"/>
              </w:rPr>
            </w:pPr>
            <w:r w:rsidRPr="00EA72DE">
              <w:rPr>
                <w:color w:val="000000"/>
                <w:szCs w:val="24"/>
              </w:rPr>
              <w:t>0,738359</w:t>
            </w:r>
          </w:p>
          <w:p w:rsidR="00AF399C" w:rsidRPr="00EA72DE" w:rsidRDefault="00AF399C" w:rsidP="002D72A7">
            <w:pPr>
              <w:spacing w:before="0"/>
              <w:jc w:val="center"/>
              <w:cnfStyle w:val="000000100000"/>
              <w:rPr>
                <w:szCs w:val="24"/>
              </w:rPr>
            </w:pPr>
          </w:p>
        </w:tc>
      </w:tr>
      <w:tr w:rsidR="00AF399C" w:rsidTr="002D72A7">
        <w:trPr>
          <w:trHeight w:val="711"/>
        </w:trPr>
        <w:tc>
          <w:tcPr>
            <w:cnfStyle w:val="001000000000"/>
            <w:tcW w:w="1831" w:type="dxa"/>
            <w:tcBorders>
              <w:left w:val="none" w:sz="0" w:space="0" w:color="auto"/>
              <w:bottom w:val="none" w:sz="0" w:space="0" w:color="auto"/>
              <w:right w:val="none" w:sz="0" w:space="0" w:color="auto"/>
            </w:tcBorders>
            <w:vAlign w:val="center"/>
          </w:tcPr>
          <w:p w:rsidR="00AF399C" w:rsidRPr="00E5799A" w:rsidRDefault="00AF399C" w:rsidP="002D72A7">
            <w:pPr>
              <w:spacing w:before="0"/>
              <w:jc w:val="center"/>
            </w:pPr>
            <w:r w:rsidRPr="00E5799A">
              <w:t>ProShares UltraShort S&amp;P500</w:t>
            </w:r>
          </w:p>
        </w:tc>
        <w:tc>
          <w:tcPr>
            <w:tcW w:w="1831" w:type="dxa"/>
            <w:vAlign w:val="center"/>
          </w:tcPr>
          <w:p w:rsidR="00AF399C" w:rsidRPr="00EA72DE" w:rsidRDefault="00AF399C" w:rsidP="002D72A7">
            <w:pPr>
              <w:spacing w:before="0"/>
              <w:jc w:val="center"/>
              <w:cnfStyle w:val="000000000000"/>
              <w:rPr>
                <w:szCs w:val="24"/>
              </w:rPr>
            </w:pPr>
            <w:r w:rsidRPr="00EA72DE">
              <w:rPr>
                <w:szCs w:val="24"/>
              </w:rPr>
              <w:t>-35,59 %</w:t>
            </w:r>
          </w:p>
          <w:p w:rsidR="00AF399C" w:rsidRPr="00EA72DE" w:rsidRDefault="00AF399C" w:rsidP="002D72A7">
            <w:pPr>
              <w:spacing w:before="0"/>
              <w:jc w:val="center"/>
              <w:cnfStyle w:val="000000000000"/>
              <w:rPr>
                <w:szCs w:val="24"/>
              </w:rPr>
            </w:pPr>
          </w:p>
        </w:tc>
        <w:tc>
          <w:tcPr>
            <w:tcW w:w="1831" w:type="dxa"/>
            <w:vAlign w:val="center"/>
          </w:tcPr>
          <w:p w:rsidR="00AF399C" w:rsidRPr="00EA72DE" w:rsidRDefault="00AF399C" w:rsidP="002D72A7">
            <w:pPr>
              <w:spacing w:before="0"/>
              <w:jc w:val="center"/>
              <w:cnfStyle w:val="000000000000"/>
              <w:rPr>
                <w:szCs w:val="24"/>
              </w:rPr>
            </w:pPr>
            <w:r w:rsidRPr="00EA72DE">
              <w:rPr>
                <w:szCs w:val="24"/>
              </w:rPr>
              <w:t>15,85 %</w:t>
            </w:r>
          </w:p>
          <w:p w:rsidR="00AF399C" w:rsidRPr="00EA72DE" w:rsidRDefault="00AF399C" w:rsidP="002D72A7">
            <w:pPr>
              <w:spacing w:before="0"/>
              <w:jc w:val="center"/>
              <w:cnfStyle w:val="000000000000"/>
              <w:rPr>
                <w:szCs w:val="24"/>
              </w:rPr>
            </w:pPr>
          </w:p>
        </w:tc>
        <w:tc>
          <w:tcPr>
            <w:tcW w:w="1832" w:type="dxa"/>
            <w:vAlign w:val="center"/>
          </w:tcPr>
          <w:p w:rsidR="00AF399C" w:rsidRPr="00EA72DE" w:rsidRDefault="00AF399C" w:rsidP="002D72A7">
            <w:pPr>
              <w:spacing w:before="0"/>
              <w:jc w:val="center"/>
              <w:cnfStyle w:val="000000000000"/>
              <w:rPr>
                <w:szCs w:val="24"/>
              </w:rPr>
            </w:pPr>
            <w:r w:rsidRPr="00EA72DE">
              <w:rPr>
                <w:szCs w:val="24"/>
              </w:rPr>
              <w:t>55,3471</w:t>
            </w:r>
          </w:p>
          <w:p w:rsidR="00AF399C" w:rsidRPr="00EA72DE" w:rsidRDefault="00AF399C" w:rsidP="002D72A7">
            <w:pPr>
              <w:spacing w:before="0"/>
              <w:jc w:val="center"/>
              <w:cnfStyle w:val="000000000000"/>
              <w:rPr>
                <w:szCs w:val="24"/>
              </w:rPr>
            </w:pPr>
          </w:p>
        </w:tc>
        <w:tc>
          <w:tcPr>
            <w:tcW w:w="1832" w:type="dxa"/>
            <w:vAlign w:val="center"/>
          </w:tcPr>
          <w:p w:rsidR="00AF399C" w:rsidRPr="00EA72DE" w:rsidRDefault="00AF399C" w:rsidP="002D72A7">
            <w:pPr>
              <w:spacing w:before="0"/>
              <w:jc w:val="center"/>
              <w:cnfStyle w:val="000000000000"/>
              <w:rPr>
                <w:color w:val="000000"/>
                <w:szCs w:val="24"/>
              </w:rPr>
            </w:pPr>
            <w:r w:rsidRPr="00EA72DE">
              <w:rPr>
                <w:color w:val="000000"/>
                <w:szCs w:val="24"/>
              </w:rPr>
              <w:t>-0,92941</w:t>
            </w:r>
          </w:p>
          <w:p w:rsidR="00AF399C" w:rsidRPr="00EA72DE" w:rsidRDefault="00AF399C" w:rsidP="002D72A7">
            <w:pPr>
              <w:spacing w:before="0"/>
              <w:jc w:val="center"/>
              <w:cnfStyle w:val="000000000000"/>
              <w:rPr>
                <w:szCs w:val="24"/>
              </w:rPr>
            </w:pPr>
          </w:p>
        </w:tc>
      </w:tr>
    </w:tbl>
    <w:p w:rsidR="00AF399C" w:rsidRDefault="00AF399C" w:rsidP="002D72A7">
      <w:pPr>
        <w:spacing w:before="0" w:line="360" w:lineRule="auto"/>
        <w:jc w:val="center"/>
      </w:pPr>
      <w:r>
        <w:t>Zdroj: Vlastní zpracování</w:t>
      </w:r>
    </w:p>
    <w:p w:rsidR="00AF399C" w:rsidRDefault="00AF399C" w:rsidP="00AF399C">
      <w:pPr>
        <w:spacing w:after="240" w:line="360" w:lineRule="auto"/>
        <w:rPr>
          <w:szCs w:val="24"/>
        </w:rPr>
      </w:pPr>
      <w:r>
        <w:rPr>
          <w:szCs w:val="24"/>
        </w:rPr>
        <w:t xml:space="preserve">Do výpočtu vstupuje jednak hodnota čisté výnosnosti produktu v % </w:t>
      </w:r>
      <w:proofErr w:type="gramStart"/>
      <w:r>
        <w:rPr>
          <w:szCs w:val="24"/>
        </w:rPr>
        <w:t>p.a.</w:t>
      </w:r>
      <w:proofErr w:type="gramEnd"/>
      <w:r>
        <w:rPr>
          <w:szCs w:val="24"/>
        </w:rPr>
        <w:t xml:space="preserve">, dále výkonnost srovnávacího indexu </w:t>
      </w:r>
      <w:r w:rsidRPr="00EA72DE">
        <w:rPr>
          <w:szCs w:val="28"/>
        </w:rPr>
        <w:t>S&amp;P 500</w:t>
      </w:r>
      <w:r w:rsidRPr="00EA72DE">
        <w:rPr>
          <w:szCs w:val="28"/>
          <w:vertAlign w:val="superscript"/>
        </w:rPr>
        <w:t xml:space="preserve"> </w:t>
      </w:r>
      <w:r>
        <w:rPr>
          <w:szCs w:val="28"/>
        </w:rPr>
        <w:t xml:space="preserve">opět v % p.a. </w:t>
      </w:r>
    </w:p>
    <w:p w:rsidR="00AF399C" w:rsidRPr="00DD55F9" w:rsidRDefault="00AF399C" w:rsidP="00AF399C">
      <w:pPr>
        <w:spacing w:after="240" w:line="360" w:lineRule="auto"/>
      </w:pPr>
      <w:r w:rsidRPr="00DD55F9">
        <w:t xml:space="preserve">Opět i zde platí, že čím vyšší hodnoty, tím lepších výsledků fond dosáhl. Výnosnost srovnávacího indexu překonaly pouze podílový fond KBC Index Fund United States a pákové ETF ProShares Ultra S&amp;P500. </w:t>
      </w:r>
    </w:p>
    <w:p w:rsidR="00AF399C" w:rsidRDefault="00AF399C" w:rsidP="00AF399C">
      <w:pPr>
        <w:spacing w:after="240" w:line="360" w:lineRule="auto"/>
        <w:rPr>
          <w:szCs w:val="24"/>
        </w:rPr>
      </w:pPr>
      <w:r w:rsidRPr="006D21FE">
        <w:rPr>
          <w:szCs w:val="24"/>
        </w:rPr>
        <w:t xml:space="preserve">Záporné hodnoty u ETF SPDR S&amp;P </w:t>
      </w:r>
      <w:proofErr w:type="gramStart"/>
      <w:r w:rsidRPr="006D21FE">
        <w:rPr>
          <w:szCs w:val="24"/>
        </w:rPr>
        <w:t>500</w:t>
      </w:r>
      <w:r w:rsidRPr="006D21FE">
        <w:rPr>
          <w:szCs w:val="24"/>
          <w:vertAlign w:val="superscript"/>
        </w:rPr>
        <w:t xml:space="preserve"> </w:t>
      </w:r>
      <w:r w:rsidRPr="006D21FE">
        <w:rPr>
          <w:szCs w:val="24"/>
        </w:rPr>
        <w:t xml:space="preserve"> a pákového</w:t>
      </w:r>
      <w:proofErr w:type="gramEnd"/>
      <w:r w:rsidRPr="006D21FE">
        <w:rPr>
          <w:szCs w:val="24"/>
        </w:rPr>
        <w:t xml:space="preserve"> ETFProShares UltraShort S&amp;P500 vypovídají naopak o tom, že manažeři fondu nebyli schopni dosáhnout překonání výnosnosti srovnávacího indexu. U SPDR S&amp;P 500</w:t>
      </w:r>
      <w:r w:rsidRPr="006D21FE">
        <w:rPr>
          <w:szCs w:val="24"/>
          <w:vertAlign w:val="superscript"/>
        </w:rPr>
        <w:t xml:space="preserve"> </w:t>
      </w:r>
      <w:r w:rsidRPr="006D21FE">
        <w:rPr>
          <w:szCs w:val="24"/>
        </w:rPr>
        <w:t>je dle mého názoru toto způsobeno zejména transakčními náklady. U ProShares UltraShort S&amp;P500 se opět dal obdobný výsledek očekávat, vzhledem k tomu, že tento produkt nedosahoval během sledovaného období žádné kladné výnosy, nebyl zde tedy prostor k překonání srovnávacího inde</w:t>
      </w:r>
      <w:r>
        <w:rPr>
          <w:szCs w:val="24"/>
        </w:rPr>
        <w:t>x</w:t>
      </w:r>
      <w:r w:rsidRPr="006D21FE">
        <w:rPr>
          <w:szCs w:val="24"/>
        </w:rPr>
        <w:t>u</w:t>
      </w:r>
      <w:r>
        <w:rPr>
          <w:szCs w:val="24"/>
        </w:rPr>
        <w:t>.</w:t>
      </w:r>
    </w:p>
    <w:p w:rsidR="00AF399C" w:rsidRPr="00E22FDD" w:rsidRDefault="00AF399C" w:rsidP="00371136">
      <w:pPr>
        <w:pStyle w:val="Nadpis2"/>
      </w:pPr>
      <w:bookmarkStart w:id="113" w:name="_Toc386146031"/>
      <w:r>
        <w:t>Shrnutí a zhodnocení dosažených výsledků</w:t>
      </w:r>
      <w:bookmarkEnd w:id="113"/>
    </w:p>
    <w:p w:rsidR="00680DC8" w:rsidRPr="00EA72DE" w:rsidRDefault="00AF399C" w:rsidP="00AF399C">
      <w:pPr>
        <w:spacing w:after="240" w:line="360" w:lineRule="auto"/>
      </w:pPr>
      <w:r w:rsidRPr="00EA72DE">
        <w:t xml:space="preserve">Z mého pohledu nelze jednoznačně určit </w:t>
      </w:r>
      <w:r>
        <w:t xml:space="preserve">univerzálně </w:t>
      </w:r>
      <w:r w:rsidRPr="00EA72DE">
        <w:t>nejvhodnější investici. Je zapotřebí brát v úvahu investiční profil investor</w:t>
      </w:r>
      <w:r>
        <w:t>a, tzn. jeho postavení k riziku</w:t>
      </w:r>
      <w:r w:rsidRPr="00EA72DE">
        <w:t xml:space="preserve"> </w:t>
      </w:r>
      <w:r>
        <w:t xml:space="preserve">a </w:t>
      </w:r>
      <w:r w:rsidRPr="00EA72DE">
        <w:t>očeká</w:t>
      </w:r>
      <w:r>
        <w:t xml:space="preserve">vanému </w:t>
      </w:r>
      <w:r w:rsidR="00B637D4">
        <w:t>výnosu produktu.</w:t>
      </w:r>
    </w:p>
    <w:p w:rsidR="00AF399C" w:rsidRDefault="00AF399C" w:rsidP="00AF399C">
      <w:pPr>
        <w:spacing w:before="240" w:after="240" w:line="360" w:lineRule="auto"/>
      </w:pPr>
      <w:r>
        <w:t>Pro celkové zhodnocení získaných údajů p</w:t>
      </w:r>
      <w:r w:rsidR="001904E3">
        <w:t>oslouží následující tabulka č. 26</w:t>
      </w:r>
      <w:r>
        <w:t>.</w:t>
      </w:r>
    </w:p>
    <w:p w:rsidR="00B637D4" w:rsidRDefault="00B637D4" w:rsidP="00AF399C">
      <w:pPr>
        <w:spacing w:before="240" w:after="240" w:line="360" w:lineRule="auto"/>
      </w:pPr>
    </w:p>
    <w:p w:rsidR="00B637D4" w:rsidRDefault="00B637D4" w:rsidP="00AF399C">
      <w:pPr>
        <w:spacing w:before="240" w:after="240" w:line="360" w:lineRule="auto"/>
      </w:pPr>
    </w:p>
    <w:p w:rsidR="00B637D4" w:rsidRDefault="00B637D4" w:rsidP="00AF399C">
      <w:pPr>
        <w:spacing w:before="240" w:after="240" w:line="360" w:lineRule="auto"/>
      </w:pPr>
    </w:p>
    <w:p w:rsidR="001904E3" w:rsidRPr="001904E3" w:rsidRDefault="001904E3" w:rsidP="001904E3">
      <w:pPr>
        <w:pStyle w:val="Titulek"/>
        <w:spacing w:before="240" w:after="0" w:line="360" w:lineRule="auto"/>
        <w:jc w:val="center"/>
        <w:rPr>
          <w:color w:val="auto"/>
          <w:sz w:val="22"/>
          <w:szCs w:val="22"/>
        </w:rPr>
      </w:pPr>
      <w:bookmarkStart w:id="114" w:name="_Toc385970339"/>
      <w:r w:rsidRPr="00E96868">
        <w:rPr>
          <w:color w:val="auto"/>
          <w:sz w:val="22"/>
          <w:szCs w:val="22"/>
        </w:rPr>
        <w:lastRenderedPageBreak/>
        <w:t xml:space="preserve">Tabulka č. </w:t>
      </w:r>
      <w:r w:rsidR="008B79C7" w:rsidRPr="00E96868">
        <w:rPr>
          <w:color w:val="auto"/>
          <w:sz w:val="22"/>
          <w:szCs w:val="22"/>
        </w:rPr>
        <w:fldChar w:fldCharType="begin"/>
      </w:r>
      <w:r w:rsidRPr="00E96868">
        <w:rPr>
          <w:color w:val="auto"/>
          <w:sz w:val="22"/>
          <w:szCs w:val="22"/>
        </w:rPr>
        <w:instrText xml:space="preserve"> SEQ Tabulka_č. \* ARABIC </w:instrText>
      </w:r>
      <w:r w:rsidR="008B79C7" w:rsidRPr="00E96868">
        <w:rPr>
          <w:color w:val="auto"/>
          <w:sz w:val="22"/>
          <w:szCs w:val="22"/>
        </w:rPr>
        <w:fldChar w:fldCharType="separate"/>
      </w:r>
      <w:r w:rsidR="00730734">
        <w:rPr>
          <w:noProof/>
          <w:color w:val="auto"/>
          <w:sz w:val="22"/>
          <w:szCs w:val="22"/>
        </w:rPr>
        <w:t>27</w:t>
      </w:r>
      <w:r w:rsidR="008B79C7" w:rsidRPr="00E96868">
        <w:rPr>
          <w:color w:val="auto"/>
          <w:sz w:val="22"/>
          <w:szCs w:val="22"/>
        </w:rPr>
        <w:fldChar w:fldCharType="end"/>
      </w:r>
      <w:r>
        <w:rPr>
          <w:color w:val="auto"/>
          <w:sz w:val="22"/>
          <w:szCs w:val="22"/>
        </w:rPr>
        <w:t>: Shrnutí výsledků</w:t>
      </w:r>
      <w:r w:rsidR="00BD3FD6">
        <w:rPr>
          <w:color w:val="auto"/>
          <w:sz w:val="22"/>
          <w:szCs w:val="22"/>
        </w:rPr>
        <w:t xml:space="preserve"> za pětiletý horzont</w:t>
      </w:r>
      <w:bookmarkEnd w:id="114"/>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5"/>
        <w:gridCol w:w="1857"/>
        <w:gridCol w:w="1858"/>
        <w:gridCol w:w="1858"/>
        <w:gridCol w:w="1858"/>
      </w:tblGrid>
      <w:tr w:rsidR="00AF399C" w:rsidTr="00C447B1">
        <w:trPr>
          <w:cnfStyle w:val="100000000000"/>
        </w:trPr>
        <w:tc>
          <w:tcPr>
            <w:cnfStyle w:val="001000000100"/>
            <w:tcW w:w="1857" w:type="dxa"/>
            <w:tcBorders>
              <w:top w:val="none" w:sz="0" w:space="0" w:color="auto"/>
              <w:left w:val="none" w:sz="0" w:space="0" w:color="auto"/>
              <w:bottom w:val="none" w:sz="0" w:space="0" w:color="auto"/>
              <w:right w:val="none" w:sz="0" w:space="0" w:color="auto"/>
            </w:tcBorders>
          </w:tcPr>
          <w:p w:rsidR="00AF399C" w:rsidRDefault="00AF399C" w:rsidP="00C447B1">
            <w:pPr>
              <w:spacing w:before="0"/>
              <w:jc w:val="center"/>
            </w:pPr>
            <w:r>
              <w:t>Pořadí</w:t>
            </w:r>
          </w:p>
        </w:tc>
        <w:tc>
          <w:tcPr>
            <w:tcW w:w="1857" w:type="dxa"/>
            <w:tcBorders>
              <w:top w:val="none" w:sz="0" w:space="0" w:color="auto"/>
              <w:left w:val="none" w:sz="0" w:space="0" w:color="auto"/>
              <w:bottom w:val="none" w:sz="0" w:space="0" w:color="auto"/>
              <w:right w:val="none" w:sz="0" w:space="0" w:color="auto"/>
            </w:tcBorders>
          </w:tcPr>
          <w:p w:rsidR="00AF399C" w:rsidRDefault="00AF399C" w:rsidP="00C447B1">
            <w:pPr>
              <w:spacing w:before="0"/>
              <w:jc w:val="center"/>
              <w:cnfStyle w:val="100000000000"/>
            </w:pPr>
            <w:r>
              <w:t>Výnosnost</w:t>
            </w:r>
          </w:p>
        </w:tc>
        <w:tc>
          <w:tcPr>
            <w:tcW w:w="1858" w:type="dxa"/>
            <w:tcBorders>
              <w:top w:val="none" w:sz="0" w:space="0" w:color="auto"/>
              <w:left w:val="none" w:sz="0" w:space="0" w:color="auto"/>
              <w:bottom w:val="none" w:sz="0" w:space="0" w:color="auto"/>
              <w:right w:val="none" w:sz="0" w:space="0" w:color="auto"/>
            </w:tcBorders>
          </w:tcPr>
          <w:p w:rsidR="00AF399C" w:rsidRDefault="00AF399C" w:rsidP="00C447B1">
            <w:pPr>
              <w:spacing w:before="0"/>
              <w:jc w:val="center"/>
              <w:cnfStyle w:val="100000000000"/>
            </w:pPr>
            <w:r>
              <w:t>Volatilita</w:t>
            </w:r>
          </w:p>
        </w:tc>
        <w:tc>
          <w:tcPr>
            <w:tcW w:w="1858" w:type="dxa"/>
            <w:tcBorders>
              <w:top w:val="none" w:sz="0" w:space="0" w:color="auto"/>
              <w:left w:val="none" w:sz="0" w:space="0" w:color="auto"/>
              <w:bottom w:val="none" w:sz="0" w:space="0" w:color="auto"/>
              <w:right w:val="none" w:sz="0" w:space="0" w:color="auto"/>
            </w:tcBorders>
          </w:tcPr>
          <w:p w:rsidR="00AF399C" w:rsidRDefault="00AF399C" w:rsidP="00C447B1">
            <w:pPr>
              <w:spacing w:before="0"/>
              <w:jc w:val="center"/>
              <w:cnfStyle w:val="100000000000"/>
            </w:pPr>
            <w:r>
              <w:t>Sharpe ratio</w:t>
            </w:r>
          </w:p>
        </w:tc>
        <w:tc>
          <w:tcPr>
            <w:tcW w:w="1858" w:type="dxa"/>
            <w:tcBorders>
              <w:top w:val="none" w:sz="0" w:space="0" w:color="auto"/>
              <w:left w:val="none" w:sz="0" w:space="0" w:color="auto"/>
              <w:bottom w:val="none" w:sz="0" w:space="0" w:color="auto"/>
              <w:right w:val="none" w:sz="0" w:space="0" w:color="auto"/>
            </w:tcBorders>
          </w:tcPr>
          <w:p w:rsidR="00AF399C" w:rsidRDefault="00AF399C" w:rsidP="00C447B1">
            <w:pPr>
              <w:spacing w:before="0"/>
              <w:jc w:val="center"/>
              <w:cnfStyle w:val="100000000000"/>
            </w:pPr>
            <w:r>
              <w:t>Information ratio</w:t>
            </w:r>
          </w:p>
        </w:tc>
      </w:tr>
      <w:tr w:rsidR="00AF399C" w:rsidTr="00C447B1">
        <w:trPr>
          <w:cnfStyle w:val="000000100000"/>
        </w:trPr>
        <w:tc>
          <w:tcPr>
            <w:cnfStyle w:val="001000000000"/>
            <w:tcW w:w="1857" w:type="dxa"/>
            <w:tcBorders>
              <w:left w:val="none" w:sz="0" w:space="0" w:color="auto"/>
              <w:bottom w:val="none" w:sz="0" w:space="0" w:color="auto"/>
              <w:right w:val="none" w:sz="0" w:space="0" w:color="auto"/>
            </w:tcBorders>
            <w:vAlign w:val="center"/>
          </w:tcPr>
          <w:p w:rsidR="00AF399C" w:rsidRPr="00E5799A" w:rsidRDefault="00AF399C" w:rsidP="00C447B1">
            <w:pPr>
              <w:spacing w:before="0"/>
              <w:jc w:val="center"/>
            </w:pPr>
            <w:r>
              <w:t>1</w:t>
            </w:r>
          </w:p>
        </w:tc>
        <w:tc>
          <w:tcPr>
            <w:tcW w:w="1857" w:type="dxa"/>
          </w:tcPr>
          <w:p w:rsidR="00AF399C" w:rsidRDefault="00AF399C" w:rsidP="00C447B1">
            <w:pPr>
              <w:spacing w:before="0"/>
              <w:jc w:val="center"/>
              <w:cnfStyle w:val="000000100000"/>
            </w:pPr>
            <w:r w:rsidRPr="00E5799A">
              <w:t>ProShares Ultra S&amp;P500</w:t>
            </w:r>
          </w:p>
        </w:tc>
        <w:tc>
          <w:tcPr>
            <w:tcW w:w="1858" w:type="dxa"/>
          </w:tcPr>
          <w:p w:rsidR="00AF399C" w:rsidRDefault="00AF399C" w:rsidP="00C447B1">
            <w:pPr>
              <w:spacing w:before="0"/>
              <w:jc w:val="center"/>
              <w:cnfStyle w:val="000000100000"/>
            </w:pPr>
            <w:r w:rsidRPr="00E5799A">
              <w:t>KBC Index Fund United States</w:t>
            </w:r>
          </w:p>
        </w:tc>
        <w:tc>
          <w:tcPr>
            <w:tcW w:w="1858" w:type="dxa"/>
          </w:tcPr>
          <w:p w:rsidR="00AF399C" w:rsidRDefault="00AF399C" w:rsidP="00C447B1">
            <w:pPr>
              <w:spacing w:before="0"/>
              <w:jc w:val="center"/>
              <w:cnfStyle w:val="000000100000"/>
            </w:pPr>
            <w:r w:rsidRPr="00E5799A">
              <w:t>KBC Index Fund United States</w:t>
            </w:r>
          </w:p>
        </w:tc>
        <w:tc>
          <w:tcPr>
            <w:tcW w:w="1858" w:type="dxa"/>
          </w:tcPr>
          <w:p w:rsidR="00AF399C" w:rsidRDefault="00AF399C" w:rsidP="00C447B1">
            <w:pPr>
              <w:spacing w:before="0"/>
              <w:jc w:val="center"/>
              <w:cnfStyle w:val="000000100000"/>
            </w:pPr>
            <w:r w:rsidRPr="00E5799A">
              <w:t>ProShares Ultra S&amp;P500</w:t>
            </w:r>
          </w:p>
        </w:tc>
      </w:tr>
      <w:tr w:rsidR="00AF399C" w:rsidTr="00C447B1">
        <w:tc>
          <w:tcPr>
            <w:cnfStyle w:val="001000000000"/>
            <w:tcW w:w="1857" w:type="dxa"/>
            <w:tcBorders>
              <w:left w:val="none" w:sz="0" w:space="0" w:color="auto"/>
              <w:bottom w:val="none" w:sz="0" w:space="0" w:color="auto"/>
              <w:right w:val="none" w:sz="0" w:space="0" w:color="auto"/>
            </w:tcBorders>
            <w:vAlign w:val="center"/>
          </w:tcPr>
          <w:p w:rsidR="00AF399C" w:rsidRPr="00E5799A" w:rsidRDefault="00AF399C" w:rsidP="00C447B1">
            <w:pPr>
              <w:spacing w:before="0"/>
              <w:jc w:val="center"/>
            </w:pPr>
            <w:r>
              <w:t>2</w:t>
            </w:r>
          </w:p>
        </w:tc>
        <w:tc>
          <w:tcPr>
            <w:tcW w:w="1857" w:type="dxa"/>
          </w:tcPr>
          <w:p w:rsidR="00AF399C" w:rsidRDefault="00AF399C" w:rsidP="00C447B1">
            <w:pPr>
              <w:spacing w:before="0"/>
              <w:jc w:val="center"/>
              <w:cnfStyle w:val="000000000000"/>
            </w:pPr>
            <w:r w:rsidRPr="00E5799A">
              <w:t>KBC Index Fund United States</w:t>
            </w:r>
          </w:p>
        </w:tc>
        <w:tc>
          <w:tcPr>
            <w:tcW w:w="1858" w:type="dxa"/>
          </w:tcPr>
          <w:p w:rsidR="00AF399C" w:rsidRDefault="00AF399C" w:rsidP="00C447B1">
            <w:pPr>
              <w:spacing w:before="0"/>
              <w:jc w:val="center"/>
              <w:cnfStyle w:val="000000000000"/>
            </w:pPr>
            <w:r w:rsidRPr="00E5799A">
              <w:t>SPDR S&amp;P 500</w:t>
            </w:r>
            <w:r w:rsidRPr="00E5799A">
              <w:rPr>
                <w:vertAlign w:val="superscript"/>
              </w:rPr>
              <w:t xml:space="preserve"> </w:t>
            </w:r>
            <w:r w:rsidRPr="00E5799A">
              <w:t>ETF</w:t>
            </w:r>
          </w:p>
        </w:tc>
        <w:tc>
          <w:tcPr>
            <w:tcW w:w="1858" w:type="dxa"/>
          </w:tcPr>
          <w:p w:rsidR="00AF399C" w:rsidRDefault="00AF399C" w:rsidP="00C447B1">
            <w:pPr>
              <w:spacing w:before="0"/>
              <w:jc w:val="center"/>
              <w:cnfStyle w:val="000000000000"/>
            </w:pPr>
            <w:r w:rsidRPr="00E5799A">
              <w:t>SPDR S&amp;P 500</w:t>
            </w:r>
            <w:r w:rsidRPr="00E5799A">
              <w:rPr>
                <w:vertAlign w:val="superscript"/>
              </w:rPr>
              <w:t xml:space="preserve"> </w:t>
            </w:r>
            <w:r w:rsidRPr="00E5799A">
              <w:t>ETF</w:t>
            </w:r>
          </w:p>
        </w:tc>
        <w:tc>
          <w:tcPr>
            <w:tcW w:w="1858" w:type="dxa"/>
          </w:tcPr>
          <w:p w:rsidR="00AF399C" w:rsidRDefault="00AF399C" w:rsidP="00C447B1">
            <w:pPr>
              <w:spacing w:before="0"/>
              <w:jc w:val="center"/>
              <w:cnfStyle w:val="000000000000"/>
            </w:pPr>
            <w:r w:rsidRPr="00E5799A">
              <w:t>KBC Index Fund United States</w:t>
            </w:r>
          </w:p>
        </w:tc>
      </w:tr>
      <w:tr w:rsidR="00AF399C" w:rsidTr="00C447B1">
        <w:trPr>
          <w:cnfStyle w:val="000000100000"/>
        </w:trPr>
        <w:tc>
          <w:tcPr>
            <w:cnfStyle w:val="001000000000"/>
            <w:tcW w:w="1857" w:type="dxa"/>
            <w:tcBorders>
              <w:left w:val="none" w:sz="0" w:space="0" w:color="auto"/>
              <w:bottom w:val="none" w:sz="0" w:space="0" w:color="auto"/>
              <w:right w:val="none" w:sz="0" w:space="0" w:color="auto"/>
            </w:tcBorders>
            <w:vAlign w:val="center"/>
          </w:tcPr>
          <w:p w:rsidR="00AF399C" w:rsidRPr="00E5799A" w:rsidRDefault="00AF399C" w:rsidP="00C447B1">
            <w:pPr>
              <w:spacing w:before="0"/>
              <w:jc w:val="center"/>
            </w:pPr>
            <w:r>
              <w:t>3</w:t>
            </w:r>
          </w:p>
        </w:tc>
        <w:tc>
          <w:tcPr>
            <w:tcW w:w="1857" w:type="dxa"/>
          </w:tcPr>
          <w:p w:rsidR="00AF399C" w:rsidRDefault="00AF399C" w:rsidP="00C447B1">
            <w:pPr>
              <w:spacing w:before="0"/>
              <w:jc w:val="center"/>
              <w:cnfStyle w:val="000000100000"/>
            </w:pPr>
            <w:r w:rsidRPr="00E5799A">
              <w:t>SPDR S&amp;P 500</w:t>
            </w:r>
            <w:r w:rsidRPr="00E5799A">
              <w:rPr>
                <w:vertAlign w:val="superscript"/>
              </w:rPr>
              <w:t xml:space="preserve"> </w:t>
            </w:r>
            <w:r w:rsidRPr="00E5799A">
              <w:t>ETF</w:t>
            </w:r>
          </w:p>
        </w:tc>
        <w:tc>
          <w:tcPr>
            <w:tcW w:w="1858" w:type="dxa"/>
            <w:vAlign w:val="center"/>
          </w:tcPr>
          <w:p w:rsidR="00AF399C" w:rsidRPr="00E5799A" w:rsidRDefault="00AF399C" w:rsidP="00C447B1">
            <w:pPr>
              <w:spacing w:before="0"/>
              <w:jc w:val="center"/>
              <w:cnfStyle w:val="000000100000"/>
            </w:pPr>
            <w:r w:rsidRPr="00E5799A">
              <w:t>ProShares UltraShort S&amp;P500</w:t>
            </w:r>
          </w:p>
        </w:tc>
        <w:tc>
          <w:tcPr>
            <w:tcW w:w="1858" w:type="dxa"/>
          </w:tcPr>
          <w:p w:rsidR="00AF399C" w:rsidRDefault="00AF399C" w:rsidP="00C447B1">
            <w:pPr>
              <w:spacing w:before="0"/>
              <w:jc w:val="center"/>
              <w:cnfStyle w:val="000000100000"/>
            </w:pPr>
            <w:r w:rsidRPr="00E5799A">
              <w:t>ProShares Ultra S&amp;P500</w:t>
            </w:r>
          </w:p>
        </w:tc>
        <w:tc>
          <w:tcPr>
            <w:tcW w:w="1858" w:type="dxa"/>
          </w:tcPr>
          <w:p w:rsidR="00AF399C" w:rsidRDefault="00AF399C" w:rsidP="00C447B1">
            <w:pPr>
              <w:spacing w:before="0"/>
              <w:jc w:val="center"/>
              <w:cnfStyle w:val="000000100000"/>
            </w:pPr>
            <w:r w:rsidRPr="00E5799A">
              <w:t>SPDR S&amp;P 500</w:t>
            </w:r>
            <w:r w:rsidRPr="00E5799A">
              <w:rPr>
                <w:vertAlign w:val="superscript"/>
              </w:rPr>
              <w:t xml:space="preserve"> </w:t>
            </w:r>
            <w:r w:rsidRPr="00E5799A">
              <w:t>ETF</w:t>
            </w:r>
          </w:p>
        </w:tc>
      </w:tr>
      <w:tr w:rsidR="00AF399C" w:rsidTr="00C447B1">
        <w:tc>
          <w:tcPr>
            <w:cnfStyle w:val="001000000000"/>
            <w:tcW w:w="1857" w:type="dxa"/>
            <w:tcBorders>
              <w:left w:val="none" w:sz="0" w:space="0" w:color="auto"/>
              <w:bottom w:val="none" w:sz="0" w:space="0" w:color="auto"/>
              <w:right w:val="none" w:sz="0" w:space="0" w:color="auto"/>
            </w:tcBorders>
            <w:vAlign w:val="center"/>
          </w:tcPr>
          <w:p w:rsidR="00AF399C" w:rsidRPr="00E5799A" w:rsidRDefault="00AF399C" w:rsidP="00C447B1">
            <w:pPr>
              <w:spacing w:before="0"/>
              <w:jc w:val="center"/>
            </w:pPr>
            <w:r>
              <w:t>4</w:t>
            </w:r>
          </w:p>
        </w:tc>
        <w:tc>
          <w:tcPr>
            <w:tcW w:w="1857" w:type="dxa"/>
            <w:vAlign w:val="center"/>
          </w:tcPr>
          <w:p w:rsidR="00AF399C" w:rsidRPr="00E5799A" w:rsidRDefault="00AF399C" w:rsidP="00C447B1">
            <w:pPr>
              <w:spacing w:before="0"/>
              <w:jc w:val="center"/>
              <w:cnfStyle w:val="000000000000"/>
            </w:pPr>
            <w:r w:rsidRPr="00E5799A">
              <w:t>ProShares UltraShort S&amp;P500</w:t>
            </w:r>
          </w:p>
        </w:tc>
        <w:tc>
          <w:tcPr>
            <w:tcW w:w="1858" w:type="dxa"/>
          </w:tcPr>
          <w:p w:rsidR="00AF399C" w:rsidRDefault="00AF399C" w:rsidP="00C447B1">
            <w:pPr>
              <w:spacing w:before="0"/>
              <w:jc w:val="center"/>
              <w:cnfStyle w:val="000000000000"/>
            </w:pPr>
            <w:r w:rsidRPr="00E5799A">
              <w:t>ProShares Ultra S&amp;P500</w:t>
            </w:r>
          </w:p>
        </w:tc>
        <w:tc>
          <w:tcPr>
            <w:tcW w:w="1858" w:type="dxa"/>
            <w:vAlign w:val="center"/>
          </w:tcPr>
          <w:p w:rsidR="00AF399C" w:rsidRPr="00E5799A" w:rsidRDefault="00AF399C" w:rsidP="00C447B1">
            <w:pPr>
              <w:spacing w:before="0"/>
              <w:jc w:val="center"/>
              <w:cnfStyle w:val="000000000000"/>
            </w:pPr>
            <w:r w:rsidRPr="00E5799A">
              <w:t>ProShares UltraShort S&amp;P500</w:t>
            </w:r>
          </w:p>
        </w:tc>
        <w:tc>
          <w:tcPr>
            <w:tcW w:w="1858" w:type="dxa"/>
            <w:vAlign w:val="center"/>
          </w:tcPr>
          <w:p w:rsidR="00AF399C" w:rsidRPr="00E5799A" w:rsidRDefault="00AF399C" w:rsidP="00C447B1">
            <w:pPr>
              <w:spacing w:before="0"/>
              <w:jc w:val="center"/>
              <w:cnfStyle w:val="000000000000"/>
            </w:pPr>
            <w:r w:rsidRPr="00E5799A">
              <w:t>ProShares UltraShort S&amp;P500</w:t>
            </w:r>
          </w:p>
        </w:tc>
      </w:tr>
    </w:tbl>
    <w:p w:rsidR="00AF399C" w:rsidRPr="001904E3" w:rsidRDefault="001904E3" w:rsidP="00C447B1">
      <w:pPr>
        <w:spacing w:before="0" w:line="360" w:lineRule="auto"/>
        <w:jc w:val="center"/>
      </w:pPr>
      <w:r>
        <w:t>Zd</w:t>
      </w:r>
      <w:r w:rsidR="00AF399C" w:rsidRPr="00E96868">
        <w:t>roj: Vlastní zpracování</w:t>
      </w:r>
    </w:p>
    <w:p w:rsidR="00AF399C" w:rsidRDefault="00AF399C" w:rsidP="00AF399C">
      <w:pPr>
        <w:spacing w:after="240" w:line="360" w:lineRule="auto"/>
      </w:pPr>
      <w:r w:rsidRPr="00EA72DE">
        <w:t xml:space="preserve">V rámci sledovaného období lze jednoznačně určit, že nejméně vhodná je investice do inverzního pákového ETF ProShares UltraShort S&amp;P500, které se umístilo na posledním místě většiny sledovaných ukazatelů. </w:t>
      </w:r>
    </w:p>
    <w:p w:rsidR="00AF399C" w:rsidRDefault="00AF399C" w:rsidP="00AF399C">
      <w:pPr>
        <w:spacing w:after="240" w:line="360" w:lineRule="auto"/>
        <w:rPr>
          <w:szCs w:val="24"/>
        </w:rPr>
      </w:pPr>
      <w:r w:rsidRPr="00E22FDD">
        <w:rPr>
          <w:szCs w:val="24"/>
        </w:rPr>
        <w:t xml:space="preserve">Konzervativní investor by měl volit mezi investicí do podílového fondu KBC Index Fund United States a klasického ETF SPDR S&amp;P 500. Tyto produkty zaznamenávají obdobné výnosy, stejně tak se víceméně na stejné úrovni nachází i míra podstupovaného rizika. Na tomto místě již záleží na preferencích investora, zda je ochoten vložit své prostředky do podílového fondu, které mají v naší </w:t>
      </w:r>
      <w:proofErr w:type="gramStart"/>
      <w:r w:rsidRPr="00E22FDD">
        <w:rPr>
          <w:szCs w:val="24"/>
        </w:rPr>
        <w:t>zemí</w:t>
      </w:r>
      <w:proofErr w:type="gramEnd"/>
      <w:r w:rsidRPr="00E22FDD">
        <w:rPr>
          <w:szCs w:val="24"/>
        </w:rPr>
        <w:t xml:space="preserve"> mnohem delší tradici než burzovně obchodované fondy, nebo zda zkusí tuto relativně novou možnost investice. V případě, že zvolí podílový fond, vzdává se tak možnosti </w:t>
      </w:r>
      <w:r>
        <w:rPr>
          <w:szCs w:val="24"/>
        </w:rPr>
        <w:t>využívat moderní způsoby obchodování, jako je například short sell, využívání inteligentních pokynů pro obchodování s cennými papíry, podílový list není oceňován na základě nabídky a poptávky burzy v průběhu dne, ale jeho hodnota je určována pouze jedenkrát denně. Jelikož jsou dividendové výnosy v rámci podílového fondu reinvestovány, vzdává se tak investor také průběžných důchodových výnosů. Nicméně pro méně zkušeného investora, který nemá dostatek prostoru pro pravidelné sledování své investice a dostatek zkušeností pro vyhodnocení jejího vývoje, bych doporučila spíše investici do podílového fondu.</w:t>
      </w:r>
    </w:p>
    <w:p w:rsidR="00AF399C" w:rsidRDefault="00AF399C" w:rsidP="00AF399C">
      <w:pPr>
        <w:spacing w:after="240" w:line="360" w:lineRule="auto"/>
        <w:rPr>
          <w:szCs w:val="24"/>
        </w:rPr>
      </w:pPr>
      <w:r w:rsidRPr="004241D6">
        <w:rPr>
          <w:szCs w:val="24"/>
        </w:rPr>
        <w:t xml:space="preserve">Pro zkušenějšího investora se sklony k rizikovějším investicím se z mého pohledu zase jeví jako nejvhodnější investice do pákového ETF ProShares Ultra S&amp;P500, který na základě získaných údajů vykazuje nejvyšší výnosnost ve sledovaném období, ale zároveň je také ze všech produktů vystaven nejvyššímu riziku. </w:t>
      </w:r>
    </w:p>
    <w:p w:rsidR="00AF399C" w:rsidRPr="001846E8" w:rsidRDefault="00AF399C" w:rsidP="00AF399C">
      <w:pPr>
        <w:spacing w:after="240" w:line="360" w:lineRule="auto"/>
        <w:rPr>
          <w:szCs w:val="24"/>
        </w:rPr>
      </w:pPr>
      <w:r>
        <w:rPr>
          <w:szCs w:val="24"/>
        </w:rPr>
        <w:lastRenderedPageBreak/>
        <w:t xml:space="preserve">Sama sebe hodnotím spíše jako konzervativního investora a na základě získaných údajů bych zvolila investici do </w:t>
      </w:r>
      <w:r w:rsidRPr="00E22FDD">
        <w:rPr>
          <w:szCs w:val="24"/>
        </w:rPr>
        <w:t>ETF SPDR S&amp;P 500</w:t>
      </w:r>
      <w:r>
        <w:rPr>
          <w:szCs w:val="24"/>
        </w:rPr>
        <w:t xml:space="preserve">. Možnost sledovat aktuální vývoj hodnoty kurzu tohoto produktu a využívání právě inteligentních pokynů (např. pokyn stop loss), které mi umožní zabránit ztrátám, případně možnost u obchodníka s cennými papíry získat úvěr na obchodování a tím dosáhnout potenciálně ještě vyšších výnosů jsou z mého pohledu přednosti, které u těchto produktů obecně aktivní investoři jistě ocení. </w:t>
      </w:r>
    </w:p>
    <w:p w:rsidR="001846E8" w:rsidRDefault="001846E8" w:rsidP="001846E8">
      <w:pPr>
        <w:spacing w:after="240" w:line="360" w:lineRule="auto"/>
      </w:pPr>
      <w:r>
        <w:t xml:space="preserve">Pro úplnost doplním, že v příloze č. 2 </w:t>
      </w:r>
      <w:proofErr w:type="gramStart"/>
      <w:r>
        <w:t>této</w:t>
      </w:r>
      <w:proofErr w:type="gramEnd"/>
      <w:r>
        <w:t xml:space="preserve"> práce je uvedena komparace zvoleného podílového fondu </w:t>
      </w:r>
      <w:r w:rsidRPr="00E5799A">
        <w:t>KBC Index Fund United States</w:t>
      </w:r>
      <w:r>
        <w:t xml:space="preserve"> a </w:t>
      </w:r>
      <w:r w:rsidRPr="00E5799A">
        <w:t>SPDR S&amp;P 500</w:t>
      </w:r>
      <w:r w:rsidRPr="00E5799A">
        <w:rPr>
          <w:vertAlign w:val="superscript"/>
        </w:rPr>
        <w:t xml:space="preserve"> </w:t>
      </w:r>
      <w:r w:rsidRPr="00E5799A">
        <w:t>ETF</w:t>
      </w:r>
      <w:r>
        <w:t xml:space="preserve"> v časovém horizontu 2000 – 2013. Vzhledem k tomu, že zbývající dva produkty byly na trh uvedeny až v roce 2006, komparace v tomto delším časovém období nebyla možná. </w:t>
      </w:r>
    </w:p>
    <w:p w:rsidR="001846E8" w:rsidRDefault="001846E8" w:rsidP="00AF399C">
      <w:pPr>
        <w:spacing w:after="240" w:line="360" w:lineRule="auto"/>
        <w:sectPr w:rsidR="001846E8" w:rsidSect="008A5AD0">
          <w:pgSz w:w="11906" w:h="16838"/>
          <w:pgMar w:top="1418" w:right="851" w:bottom="1134" w:left="1985" w:header="709" w:footer="709" w:gutter="0"/>
          <w:cols w:space="708"/>
          <w:docGrid w:linePitch="360"/>
        </w:sectPr>
      </w:pPr>
    </w:p>
    <w:p w:rsidR="00AF399C" w:rsidRDefault="00AF399C" w:rsidP="00AF399C">
      <w:pPr>
        <w:pStyle w:val="Nadpis1"/>
        <w:numPr>
          <w:ilvl w:val="0"/>
          <w:numId w:val="0"/>
        </w:numPr>
        <w:ind w:left="432" w:hanging="432"/>
      </w:pPr>
      <w:bookmarkStart w:id="115" w:name="_Toc386146032"/>
      <w:r>
        <w:lastRenderedPageBreak/>
        <w:t>ZÁVĚR</w:t>
      </w:r>
      <w:bookmarkEnd w:id="115"/>
    </w:p>
    <w:p w:rsidR="00053D17" w:rsidRDefault="00053D17" w:rsidP="00E97490">
      <w:pPr>
        <w:spacing w:line="360" w:lineRule="auto"/>
      </w:pPr>
      <w:r>
        <w:t xml:space="preserve">Kolektivní investování představuje jednu z mnoha investičních příležitostí pro drobné investory. Prostřednictvím fondů kolektivního investování mohou jednoduše investovat volné finanční prostředky do určitého koše aktiv a zajistit tak diverzifikaci svého portfolia. V České republice je nejoblíbenějším typem fondů otevřený podílový fond. Jako konkurence tohoto se však v posledních letech začaly vytvářet burzovně obchodované fondy – ETFs. </w:t>
      </w:r>
    </w:p>
    <w:p w:rsidR="00053D17" w:rsidRDefault="00053D17" w:rsidP="00E97490">
      <w:pPr>
        <w:spacing w:line="360" w:lineRule="auto"/>
      </w:pPr>
      <w:r>
        <w:t>Tato</w:t>
      </w:r>
      <w:r w:rsidR="00E97490">
        <w:t xml:space="preserve"> práce byla zaměřena na problematiku ETFs. Jelikož ve své dnešní podobě začaly tyto nástroje vznikat až koncem minulého století, lze konstatovat, že jde o moderní investiční nástroje. Jejich prostřednictvím mohou i drobní investoři získat příležitost investovat své volné prostředky do produktů kopírujících vývoj různých indexů či košů aktiv.</w:t>
      </w:r>
      <w:r>
        <w:t xml:space="preserve"> </w:t>
      </w:r>
    </w:p>
    <w:p w:rsidR="00E97490" w:rsidRDefault="00053D17" w:rsidP="00E97490">
      <w:pPr>
        <w:spacing w:line="360" w:lineRule="auto"/>
      </w:pPr>
      <w:r>
        <w:t xml:space="preserve">První část této práce proto byla převážně věnována charakteristice a analýze ETFs jako takových, tedy jejich historii, procesu vzniku případně zániku. Mimoto zde byly uvedeny také způsoby oceňování tohoto nástroje, jejich právní vymezení a hlavní výhody a nevýhody. Z právního hlediska se na ETFs v České republice nahlíží jako na podílové fondy, co se však vlastností týče, existuje tu celá řada odlišností. Mezi základní patří četnost oceňování, podílové listy jsou oceňovány pouze 1x denně, zatímco ETFs v průběhu obchodního dne. Další odlišností je například minimální obchodované množství, samotný způsob obchodování, kdy ETFs jsou obchodována veřejně na burzách, podílové listy však odkupuje investiční společnost. </w:t>
      </w:r>
    </w:p>
    <w:p w:rsidR="00B4132B" w:rsidRDefault="00053D17" w:rsidP="00E97490">
      <w:pPr>
        <w:spacing w:line="360" w:lineRule="auto"/>
      </w:pPr>
      <w:r>
        <w:t>Druhá kapitola byla zaměřena na analýzu trhu ETFs</w:t>
      </w:r>
      <w:r w:rsidR="00B4132B">
        <w:t>. Nejdříve jsem komparovala jednotlivé vybrané trhy ETFs, konkrétně trh USA, Evropy, Kanady, Latinské Ameriky a Asie a Tichomoří. Zde jsem zjistila, že nejvyšší počet ETF je aktuálně emitován v Evropě, ačkoli ETFs jako taková vznikla v USA. Trh Latinské Ameriky a Asie a Tichomoří je zatím ve fázi rozvoje, počet ETF je zde zatím nízký. Největším poskytovatelem ETPs dle objemu spravovaných prostředků ke konci září 2013 byla skupina iShares. Ve druhé části této práce jsem se zaměřila na obchodníky s cennými papíry působícími v České republice, prostřednictvím nichž je možné tyto produkty obchodovat. Na základě zjištěných poznatků bych osobně zvolila možnost otevření obchodního účtu u společnosti Fio banka.</w:t>
      </w:r>
    </w:p>
    <w:p w:rsidR="00053D17" w:rsidRDefault="00B4132B" w:rsidP="00E97490">
      <w:pPr>
        <w:spacing w:line="360" w:lineRule="auto"/>
      </w:pPr>
      <w:r>
        <w:t xml:space="preserve">V poslední části práce jsem již analyzovala konkrétní vybrané produkty, a sice podílový list, ETF kopírující přesně vývoj podkladového indexu, pákové ETF a inverzní ETF. Na základě zjištěných hodnot vybraných ukazatelů bych osobně volila pro drobného konzervativního </w:t>
      </w:r>
      <w:r>
        <w:lastRenderedPageBreak/>
        <w:t xml:space="preserve">investora mezi podílovým listem a ETF kopírujícím vývoj podkladového indexu. Zjištěné hodnoty byly u těchto dvou produktů prakticky srovnatelné, nelze tedy říci, že by investice například do podílového fondu měla být více prodělečná než do ETF. </w:t>
      </w:r>
      <w:r w:rsidR="00BB0243">
        <w:t>Záleží pak tedy zejména na preferencích investora, zda zvolí historicky starší variantu investice, tedy podílový fond, nebo chce využít například modernějších způsobů obchodování, cožm u umožní právě investice do ETF.</w:t>
      </w:r>
    </w:p>
    <w:p w:rsidR="003223AE" w:rsidRDefault="00E97490" w:rsidP="00E97490">
      <w:pPr>
        <w:spacing w:line="360" w:lineRule="auto"/>
      </w:pPr>
      <w:r>
        <w:t xml:space="preserve"> Za cíl práce jsem si vytyčila jednak analyzovat ETFs a </w:t>
      </w:r>
      <w:r w:rsidR="00BB0243">
        <w:t xml:space="preserve">jednak </w:t>
      </w:r>
      <w:r>
        <w:t xml:space="preserve">komparovat tyto produkty s produkty fondů kolektivního investování. </w:t>
      </w:r>
      <w:r w:rsidR="003223AE">
        <w:t xml:space="preserve"> Prvním dílčím cílem – analýzou trhu ETFs – se zabývala především druhá kapitola této práce.</w:t>
      </w:r>
      <w:r w:rsidR="003223AE" w:rsidRPr="003223AE">
        <w:t xml:space="preserve"> </w:t>
      </w:r>
      <w:r w:rsidR="003223AE">
        <w:t xml:space="preserve">Společně s tím byla v první kapitole provedena komparace trhu ETFs a fondů kolektivního investování, tedy zkoumáno bylo zejména preferovaná orientace produktů a vývoj počtu těchto produktů. Třetí kapitola pak byla zaměřena na druhý parciální cíl -  analýzu a komparaci vybraných ukazatelů a volbě vhodného produktu pro drobného investora. </w:t>
      </w:r>
    </w:p>
    <w:p w:rsidR="00C6140C" w:rsidRDefault="00C6140C" w:rsidP="00AF399C"/>
    <w:p w:rsidR="00C447B1" w:rsidRDefault="00C447B1" w:rsidP="00AF399C">
      <w:pPr>
        <w:sectPr w:rsidR="00C447B1" w:rsidSect="008A5AD0">
          <w:pgSz w:w="11906" w:h="16838"/>
          <w:pgMar w:top="1418" w:right="851" w:bottom="1134" w:left="1985" w:header="709" w:footer="709" w:gutter="0"/>
          <w:cols w:space="708"/>
          <w:docGrid w:linePitch="360"/>
        </w:sectPr>
      </w:pPr>
    </w:p>
    <w:p w:rsidR="00AF399C" w:rsidRDefault="00AF399C" w:rsidP="00AF399C">
      <w:pPr>
        <w:pStyle w:val="Nadpis1"/>
        <w:numPr>
          <w:ilvl w:val="0"/>
          <w:numId w:val="0"/>
        </w:numPr>
        <w:ind w:left="432" w:hanging="432"/>
      </w:pPr>
      <w:bookmarkStart w:id="116" w:name="_Toc386146033"/>
      <w:r>
        <w:lastRenderedPageBreak/>
        <w:t>ZDROJE</w:t>
      </w:r>
      <w:bookmarkEnd w:id="116"/>
    </w:p>
    <w:p w:rsidR="00564049" w:rsidRPr="00A33B3A" w:rsidRDefault="00564049" w:rsidP="00564049">
      <w:pPr>
        <w:rPr>
          <w:b/>
        </w:rPr>
      </w:pPr>
      <w:r w:rsidRPr="00A33B3A">
        <w:rPr>
          <w:b/>
        </w:rPr>
        <w:t>Literární zdroje:</w:t>
      </w:r>
    </w:p>
    <w:p w:rsidR="00564049" w:rsidRPr="00564049" w:rsidRDefault="00564049" w:rsidP="00564049">
      <w:pPr>
        <w:pStyle w:val="Odstavecseseznamem1"/>
        <w:numPr>
          <w:ilvl w:val="0"/>
          <w:numId w:val="26"/>
        </w:numPr>
        <w:spacing w:line="276" w:lineRule="auto"/>
      </w:pPr>
      <w:r w:rsidRPr="00564049">
        <w:t>ABNER, David J. The ETF Handbook: How to Value and Trade Exchange-Traded Funds. USA: John Wiley &amp; Sons, Inc., 2010. ISBN 978-0-470-55682-5.</w:t>
      </w:r>
    </w:p>
    <w:p w:rsidR="00564049" w:rsidRPr="00564049" w:rsidRDefault="00564049" w:rsidP="00564049">
      <w:pPr>
        <w:pStyle w:val="Odstavecseseznamem1"/>
        <w:numPr>
          <w:ilvl w:val="0"/>
          <w:numId w:val="26"/>
        </w:numPr>
        <w:spacing w:line="276" w:lineRule="auto"/>
      </w:pPr>
      <w:r w:rsidRPr="00564049">
        <w:t xml:space="preserve">BORN, Jeffery A a Oliver SCHNUSENBERG. Closed-end funds, exchange-traded funds, and hedge funds: origins, functions, and literature. London: Springer, c2010, x, 128 p. ISBN 978-1-4419-0167-5. </w:t>
      </w:r>
    </w:p>
    <w:p w:rsidR="00564049" w:rsidRPr="00564049" w:rsidRDefault="00564049" w:rsidP="00564049">
      <w:pPr>
        <w:pStyle w:val="Odstavecseseznamem1"/>
        <w:numPr>
          <w:ilvl w:val="0"/>
          <w:numId w:val="26"/>
        </w:numPr>
        <w:spacing w:line="276" w:lineRule="auto"/>
      </w:pPr>
      <w:r w:rsidRPr="00564049">
        <w:t>GASTINEAU, Gary L. The exchange-traded funds manual. 2. vyd. Hoboken, New Jersey.: John Wiley &amp; Sons, Inc, 2010, s. 19-28. ISBN 978-0-470-48233-9</w:t>
      </w:r>
    </w:p>
    <w:p w:rsidR="00564049" w:rsidRPr="00564049" w:rsidRDefault="00564049" w:rsidP="00564049">
      <w:pPr>
        <w:pStyle w:val="Odstavecseseznamem1"/>
        <w:numPr>
          <w:ilvl w:val="0"/>
          <w:numId w:val="26"/>
        </w:numPr>
        <w:spacing w:line="276" w:lineRule="auto"/>
        <w:rPr>
          <w:szCs w:val="24"/>
        </w:rPr>
      </w:pPr>
      <w:r w:rsidRPr="00564049">
        <w:rPr>
          <w:szCs w:val="24"/>
        </w:rPr>
        <w:t>LIŠKA, Václav a Jan GAZDA. Kapitálové trhy a kolektivní investování. 1. vyd. Praha: Professional Publishing, 2004. 525 s. ISBN 80-86419-63-0.</w:t>
      </w:r>
    </w:p>
    <w:p w:rsidR="00564049" w:rsidRPr="00564049" w:rsidRDefault="00564049" w:rsidP="00564049">
      <w:pPr>
        <w:pStyle w:val="Odstavecseseznamem1"/>
        <w:numPr>
          <w:ilvl w:val="0"/>
          <w:numId w:val="26"/>
        </w:numPr>
        <w:spacing w:after="240" w:line="276" w:lineRule="auto"/>
      </w:pPr>
      <w:r w:rsidRPr="00564049">
        <w:t>REJNUŠ, Oldřich. Finanční trhy. 2., rozš. vyd. Ostrava: Key Publishing, 2010, 659 s. Ekonomie (Key Publishing). ISBN 978-80-7418-080-4</w:t>
      </w:r>
    </w:p>
    <w:p w:rsidR="00564049" w:rsidRDefault="00564049" w:rsidP="00564049">
      <w:pPr>
        <w:pStyle w:val="Odstavecseseznamem1"/>
        <w:spacing w:before="240" w:after="240" w:line="276" w:lineRule="auto"/>
        <w:ind w:left="0"/>
      </w:pPr>
    </w:p>
    <w:p w:rsidR="00564049" w:rsidRPr="00A33B3A" w:rsidRDefault="00564049" w:rsidP="00564049">
      <w:pPr>
        <w:pStyle w:val="Odstavecseseznamem1"/>
        <w:spacing w:before="240" w:after="240" w:line="276" w:lineRule="auto"/>
        <w:ind w:left="0"/>
        <w:rPr>
          <w:b/>
        </w:rPr>
      </w:pPr>
      <w:r w:rsidRPr="00A33B3A">
        <w:rPr>
          <w:b/>
        </w:rPr>
        <w:t>Legislativa</w:t>
      </w:r>
    </w:p>
    <w:p w:rsidR="00564049" w:rsidRPr="00564049" w:rsidRDefault="00564049" w:rsidP="00564049">
      <w:pPr>
        <w:pStyle w:val="Odstavecseseznamem1"/>
        <w:numPr>
          <w:ilvl w:val="0"/>
          <w:numId w:val="26"/>
        </w:numPr>
        <w:spacing w:before="240" w:after="240" w:line="276" w:lineRule="auto"/>
      </w:pPr>
      <w:r w:rsidRPr="00564049">
        <w:t>Zákon 240/2013 Sb. o investičních společnostech a investičních fondech ve znění pozdějších předpisů</w:t>
      </w:r>
    </w:p>
    <w:p w:rsidR="00564049" w:rsidRPr="00A33B3A" w:rsidRDefault="00564049" w:rsidP="00564049">
      <w:pPr>
        <w:rPr>
          <w:b/>
        </w:rPr>
      </w:pPr>
      <w:r w:rsidRPr="00A33B3A">
        <w:rPr>
          <w:b/>
        </w:rPr>
        <w:t>Elektronické zdroje</w:t>
      </w:r>
    </w:p>
    <w:p w:rsidR="00564049" w:rsidRPr="00564049" w:rsidRDefault="00564049" w:rsidP="00564049">
      <w:pPr>
        <w:pStyle w:val="Odstavecseseznamem1"/>
        <w:numPr>
          <w:ilvl w:val="0"/>
          <w:numId w:val="26"/>
        </w:numPr>
        <w:spacing w:line="276" w:lineRule="auto"/>
      </w:pPr>
      <w:r w:rsidRPr="00564049">
        <w:t>Akcie online: informace pro Vaše úspěšné investice. Vývoj indexu Standard and Poor’s 500 [</w:t>
      </w:r>
      <w:proofErr w:type="gramStart"/>
      <w:r w:rsidRPr="00564049">
        <w:t>online].© 2013</w:t>
      </w:r>
      <w:proofErr w:type="gramEnd"/>
      <w:r w:rsidRPr="00564049">
        <w:t xml:space="preserve"> [cit. 2014-02-20]. Dostupné z: </w:t>
      </w:r>
      <w:hyperlink r:id="rId45" w:history="1">
        <w:r w:rsidRPr="00564049">
          <w:rPr>
            <w:rStyle w:val="Hypertextovodkaz"/>
            <w:color w:val="auto"/>
            <w:u w:val="none"/>
          </w:rPr>
          <w:t>http://www.akcie.cz/kurzy-svet/indexy-svet/sp500?gclid=CK7QgOaw27wCFUjpwgodTQwAIg</w:t>
        </w:r>
      </w:hyperlink>
    </w:p>
    <w:p w:rsidR="00564049" w:rsidRPr="00564049" w:rsidRDefault="00564049" w:rsidP="00564049">
      <w:pPr>
        <w:pStyle w:val="Odstavecseseznamem1"/>
        <w:numPr>
          <w:ilvl w:val="0"/>
          <w:numId w:val="26"/>
        </w:numPr>
        <w:spacing w:line="276" w:lineRule="auto"/>
      </w:pPr>
      <w:r w:rsidRPr="00564049">
        <w:rPr>
          <w:i/>
          <w:iCs/>
        </w:rPr>
        <w:t>BlackRock</w:t>
      </w:r>
      <w:r w:rsidRPr="00564049">
        <w:t xml:space="preserve"> [online]. 2014 [cit. 2014-04-2]. Dostupné z: </w:t>
      </w:r>
      <w:hyperlink r:id="rId46" w:history="1">
        <w:r w:rsidRPr="00564049">
          <w:rPr>
            <w:rStyle w:val="Hypertextovodkaz"/>
            <w:color w:val="auto"/>
            <w:u w:val="none"/>
          </w:rPr>
          <w:t>http://www.blackrock.com/</w:t>
        </w:r>
      </w:hyperlink>
      <w:r w:rsidRPr="00564049">
        <w:t xml:space="preserve"> </w:t>
      </w:r>
    </w:p>
    <w:p w:rsidR="00564049" w:rsidRPr="00564049" w:rsidRDefault="00564049" w:rsidP="00564049">
      <w:pPr>
        <w:pStyle w:val="Odstavecseseznamem1"/>
        <w:numPr>
          <w:ilvl w:val="0"/>
          <w:numId w:val="26"/>
        </w:numPr>
        <w:spacing w:line="276" w:lineRule="auto"/>
      </w:pPr>
      <w:r w:rsidRPr="00564049">
        <w:rPr>
          <w:i/>
          <w:iCs/>
        </w:rPr>
        <w:t>Bloomberg</w:t>
      </w:r>
      <w:r w:rsidRPr="00564049">
        <w:t xml:space="preserve"> [online]. 2014 [cit. 2014-02-20]. Dostupné z: </w:t>
      </w:r>
      <w:hyperlink r:id="rId47" w:history="1">
        <w:r w:rsidRPr="00564049">
          <w:rPr>
            <w:rStyle w:val="Hypertextovodkaz"/>
            <w:color w:val="auto"/>
            <w:u w:val="none"/>
          </w:rPr>
          <w:t>http://www.bloomberg.com/</w:t>
        </w:r>
      </w:hyperlink>
      <w:r w:rsidRPr="00564049">
        <w:t xml:space="preserve"> </w:t>
      </w:r>
    </w:p>
    <w:p w:rsidR="00564049" w:rsidRPr="00564049" w:rsidRDefault="00564049" w:rsidP="00564049">
      <w:pPr>
        <w:pStyle w:val="Odstavecseseznamem1"/>
        <w:numPr>
          <w:ilvl w:val="0"/>
          <w:numId w:val="26"/>
        </w:numPr>
        <w:spacing w:line="276" w:lineRule="auto"/>
      </w:pPr>
      <w:r w:rsidRPr="00564049">
        <w:rPr>
          <w:i/>
          <w:iCs/>
        </w:rPr>
        <w:t>BROKERJET: Online Broker Erste Group</w:t>
      </w:r>
      <w:r w:rsidRPr="00564049">
        <w:t xml:space="preserve"> [online]. 2014 [cit. 2014-03-28]. Dostupné z: https://www.brokerjet.cz/home/index1.phtml </w:t>
      </w:r>
    </w:p>
    <w:p w:rsidR="00564049" w:rsidRPr="00564049" w:rsidRDefault="00564049" w:rsidP="00564049">
      <w:pPr>
        <w:pStyle w:val="Odstavecseseznamem1"/>
        <w:numPr>
          <w:ilvl w:val="0"/>
          <w:numId w:val="26"/>
        </w:numPr>
        <w:spacing w:line="276" w:lineRule="auto"/>
      </w:pPr>
      <w:r w:rsidRPr="00564049">
        <w:rPr>
          <w:i/>
          <w:iCs/>
        </w:rPr>
        <w:t>Cyrrus, a.s.</w:t>
      </w:r>
      <w:r w:rsidRPr="00564049">
        <w:t xml:space="preserve"> [online]. 2014 [cit. 2014-03-29]. Dostupné z: </w:t>
      </w:r>
      <w:hyperlink r:id="rId48" w:history="1">
        <w:r w:rsidRPr="00564049">
          <w:rPr>
            <w:rStyle w:val="Hypertextovodkaz"/>
            <w:color w:val="auto"/>
            <w:u w:val="none"/>
          </w:rPr>
          <w:t>http://www.cyrrus.cz/</w:t>
        </w:r>
      </w:hyperlink>
      <w:r w:rsidRPr="00564049">
        <w:t xml:space="preserve"> </w:t>
      </w:r>
    </w:p>
    <w:p w:rsidR="00564049" w:rsidRPr="00564049" w:rsidRDefault="00564049" w:rsidP="00564049">
      <w:pPr>
        <w:pStyle w:val="Odstavecseseznamem1"/>
        <w:numPr>
          <w:ilvl w:val="0"/>
          <w:numId w:val="26"/>
        </w:numPr>
        <w:spacing w:line="276" w:lineRule="auto"/>
      </w:pPr>
      <w:r w:rsidRPr="00564049">
        <w:t xml:space="preserve">Cyrrus - ceník služeb. Měšec [online]. 2014 [cit. 2014-03-29]. Dostupné z: </w:t>
      </w:r>
      <w:hyperlink r:id="rId49" w:history="1">
        <w:r w:rsidRPr="00564049">
          <w:rPr>
            <w:rStyle w:val="Hypertextovodkaz"/>
            <w:color w:val="auto"/>
            <w:u w:val="none"/>
          </w:rPr>
          <w:t>http://www.slideshare.net/mesec/cyrrus-cenk-slueb</w:t>
        </w:r>
      </w:hyperlink>
    </w:p>
    <w:p w:rsidR="00564049" w:rsidRPr="00564049" w:rsidRDefault="00564049" w:rsidP="00564049">
      <w:pPr>
        <w:pStyle w:val="Odstavecseseznamem1"/>
        <w:numPr>
          <w:ilvl w:val="0"/>
          <w:numId w:val="26"/>
        </w:numPr>
        <w:spacing w:line="276" w:lineRule="auto"/>
      </w:pPr>
      <w:r w:rsidRPr="00564049">
        <w:rPr>
          <w:i/>
          <w:iCs/>
        </w:rPr>
        <w:t>ČSOB</w:t>
      </w:r>
      <w:r w:rsidRPr="00564049">
        <w:t xml:space="preserve"> [online]. 2014 [cit. 2014-02-12]. Dostupné z: </w:t>
      </w:r>
      <w:hyperlink r:id="rId50" w:history="1">
        <w:r w:rsidRPr="00564049">
          <w:rPr>
            <w:rStyle w:val="Hypertextovodkaz"/>
            <w:color w:val="auto"/>
            <w:u w:val="none"/>
          </w:rPr>
          <w:t>http://www.csob.cz/cz/Stranky/default.aspx</w:t>
        </w:r>
      </w:hyperlink>
      <w:r w:rsidRPr="00564049">
        <w:t xml:space="preserve"> </w:t>
      </w:r>
    </w:p>
    <w:p w:rsidR="00564049" w:rsidRPr="00564049" w:rsidRDefault="00564049" w:rsidP="00564049">
      <w:pPr>
        <w:pStyle w:val="Odstavecseseznamem1"/>
        <w:numPr>
          <w:ilvl w:val="0"/>
          <w:numId w:val="26"/>
        </w:numPr>
        <w:spacing w:line="276" w:lineRule="auto"/>
      </w:pPr>
      <w:r w:rsidRPr="00564049">
        <w:t>Databáze Bloomberg. ©2014</w:t>
      </w:r>
    </w:p>
    <w:p w:rsidR="00564049" w:rsidRPr="00564049" w:rsidRDefault="00564049" w:rsidP="00564049">
      <w:pPr>
        <w:pStyle w:val="Odstavecseseznamem1"/>
        <w:numPr>
          <w:ilvl w:val="0"/>
          <w:numId w:val="26"/>
        </w:numPr>
        <w:spacing w:line="276" w:lineRule="auto"/>
      </w:pPr>
      <w:r w:rsidRPr="00564049">
        <w:t>Deutshce Bank History. Deutsche Bank [online]. 2014 [cit. 2014-04-01]. Dostupné z: https://</w:t>
      </w:r>
      <w:proofErr w:type="gramStart"/>
      <w:r w:rsidRPr="00564049">
        <w:t>www</w:t>
      </w:r>
      <w:proofErr w:type="gramEnd"/>
      <w:r w:rsidRPr="00564049">
        <w:t>.</w:t>
      </w:r>
      <w:proofErr w:type="gramStart"/>
      <w:r w:rsidRPr="00564049">
        <w:t>db</w:t>
      </w:r>
      <w:proofErr w:type="gramEnd"/>
      <w:r w:rsidRPr="00564049">
        <w:t>.com/en/media/Deutsche-Bank-History--Chronicle-from-1870-until-today.pdf</w:t>
      </w:r>
    </w:p>
    <w:p w:rsidR="00564049" w:rsidRPr="00564049" w:rsidRDefault="00564049" w:rsidP="00564049">
      <w:pPr>
        <w:pStyle w:val="Odstavecseseznamem1"/>
        <w:numPr>
          <w:ilvl w:val="0"/>
          <w:numId w:val="26"/>
        </w:numPr>
        <w:spacing w:line="276" w:lineRule="auto"/>
      </w:pPr>
      <w:r w:rsidRPr="00564049">
        <w:t>ETP Landscape. BlackRock [online]. 2014 [cit. 2014-03-15]. Dostupné z: http://www.blackrocklatam.com/content/groups/internationalsite/documents/literature/etfl_industryhilight_dec13.pdf</w:t>
      </w:r>
    </w:p>
    <w:p w:rsidR="00564049" w:rsidRPr="00564049" w:rsidRDefault="00564049" w:rsidP="00564049">
      <w:pPr>
        <w:pStyle w:val="Odstavecseseznamem1"/>
        <w:numPr>
          <w:ilvl w:val="0"/>
          <w:numId w:val="26"/>
        </w:numPr>
        <w:spacing w:line="276" w:lineRule="auto"/>
      </w:pPr>
      <w:r w:rsidRPr="00564049">
        <w:t xml:space="preserve">ETP Landscape: Global Handbook 2012. BlackRock [online]. 2013 [cit. 2014-03-20]. Dostupné z: </w:t>
      </w:r>
      <w:hyperlink r:id="rId51" w:history="1">
        <w:r w:rsidRPr="00564049">
          <w:rPr>
            <w:rStyle w:val="Hypertextovodkaz"/>
            <w:color w:val="auto"/>
            <w:u w:val="none"/>
          </w:rPr>
          <w:t>http://www.blackrockinternational.com/content/groups/internationalsite/documents/literature/etfl_globalhandbook_2012.pdf</w:t>
        </w:r>
      </w:hyperlink>
    </w:p>
    <w:p w:rsidR="00564049" w:rsidRPr="00564049" w:rsidRDefault="00564049" w:rsidP="00564049">
      <w:pPr>
        <w:pStyle w:val="Odstavecseseznamem1"/>
        <w:numPr>
          <w:ilvl w:val="0"/>
          <w:numId w:val="26"/>
        </w:numPr>
        <w:spacing w:line="276" w:lineRule="auto"/>
      </w:pPr>
      <w:r w:rsidRPr="00564049">
        <w:rPr>
          <w:i/>
          <w:iCs/>
        </w:rPr>
        <w:lastRenderedPageBreak/>
        <w:t>ETFs.cz: Exchange Traded Funds</w:t>
      </w:r>
      <w:r w:rsidRPr="00564049">
        <w:t xml:space="preserve"> [online]. 2014 [cit. 2014-03-20]. Dostupné z: </w:t>
      </w:r>
      <w:hyperlink r:id="rId52" w:history="1">
        <w:r w:rsidRPr="00564049">
          <w:rPr>
            <w:rStyle w:val="Hypertextovodkaz"/>
            <w:color w:val="auto"/>
            <w:u w:val="none"/>
          </w:rPr>
          <w:t>http://etfs.cz/</w:t>
        </w:r>
      </w:hyperlink>
      <w:r w:rsidRPr="00564049">
        <w:t xml:space="preserve"> </w:t>
      </w:r>
    </w:p>
    <w:p w:rsidR="00564049" w:rsidRPr="00564049" w:rsidRDefault="00564049" w:rsidP="00564049">
      <w:pPr>
        <w:pStyle w:val="Odstavecseseznamem1"/>
        <w:numPr>
          <w:ilvl w:val="0"/>
          <w:numId w:val="26"/>
        </w:numPr>
        <w:spacing w:line="276" w:lineRule="auto"/>
      </w:pPr>
      <w:r w:rsidRPr="00564049">
        <w:t xml:space="preserve">Exchange Traded Products by Deutsche Asset &amp; Wealth Management. Deutsche Asset &amp; Wealth Management [online]. 2014 [cit. 2014-04-01]. Dostupné z: </w:t>
      </w:r>
      <w:hyperlink r:id="rId53" w:history="1">
        <w:r w:rsidRPr="00564049">
          <w:rPr>
            <w:rStyle w:val="Hypertextovodkaz"/>
            <w:color w:val="auto"/>
            <w:u w:val="none"/>
          </w:rPr>
          <w:t>http://www.dbxus.com/about-us/who-we-are</w:t>
        </w:r>
      </w:hyperlink>
    </w:p>
    <w:p w:rsidR="00564049" w:rsidRPr="00564049" w:rsidRDefault="00564049" w:rsidP="00564049">
      <w:pPr>
        <w:pStyle w:val="Odstavecseseznamem1"/>
        <w:numPr>
          <w:ilvl w:val="0"/>
          <w:numId w:val="26"/>
        </w:numPr>
        <w:spacing w:line="276" w:lineRule="auto"/>
      </w:pPr>
      <w:r w:rsidRPr="00564049">
        <w:rPr>
          <w:i/>
          <w:iCs/>
        </w:rPr>
        <w:t>Fio banka</w:t>
      </w:r>
      <w:r w:rsidRPr="00564049">
        <w:t xml:space="preserve"> [online]. 2014 [cit. 2014-03-26]. Dostupné z: </w:t>
      </w:r>
      <w:hyperlink r:id="rId54" w:history="1">
        <w:r w:rsidRPr="00564049">
          <w:rPr>
            <w:rStyle w:val="Hypertextovodkaz"/>
            <w:color w:val="auto"/>
            <w:u w:val="none"/>
          </w:rPr>
          <w:t>http://www.fio.cz/</w:t>
        </w:r>
      </w:hyperlink>
      <w:r w:rsidRPr="00564049">
        <w:t xml:space="preserve"> </w:t>
      </w:r>
    </w:p>
    <w:p w:rsidR="00564049" w:rsidRPr="00564049" w:rsidRDefault="00564049" w:rsidP="00564049">
      <w:pPr>
        <w:pStyle w:val="Odstavecseseznamem1"/>
        <w:numPr>
          <w:ilvl w:val="0"/>
          <w:numId w:val="26"/>
        </w:numPr>
        <w:spacing w:line="276" w:lineRule="auto"/>
      </w:pPr>
      <w:r w:rsidRPr="00564049">
        <w:rPr>
          <w:i/>
          <w:iCs/>
        </w:rPr>
        <w:t>Invesco</w:t>
      </w:r>
      <w:r w:rsidRPr="00564049">
        <w:t xml:space="preserve"> [online]. 2014 [cit. 2014-04-1]. Dostupné z: </w:t>
      </w:r>
      <w:hyperlink r:id="rId55" w:history="1">
        <w:r w:rsidRPr="00564049">
          <w:rPr>
            <w:rStyle w:val="Hypertextovodkaz"/>
            <w:color w:val="auto"/>
            <w:u w:val="none"/>
          </w:rPr>
          <w:t>http://www.invesco.com/portal/site/global</w:t>
        </w:r>
      </w:hyperlink>
      <w:r w:rsidRPr="00564049">
        <w:t xml:space="preserve"> </w:t>
      </w:r>
    </w:p>
    <w:p w:rsidR="00564049" w:rsidRPr="00564049" w:rsidRDefault="00564049" w:rsidP="00564049">
      <w:pPr>
        <w:pStyle w:val="Odstavecseseznamem1"/>
        <w:numPr>
          <w:ilvl w:val="0"/>
          <w:numId w:val="26"/>
        </w:numPr>
        <w:spacing w:line="276" w:lineRule="auto"/>
      </w:pPr>
      <w:r w:rsidRPr="00564049">
        <w:t xml:space="preserve">KBC Index Fund. ČSOB [online]. </w:t>
      </w:r>
      <w:proofErr w:type="gramStart"/>
      <w:r w:rsidRPr="00564049">
        <w:t>31.12.2013</w:t>
      </w:r>
      <w:proofErr w:type="gramEnd"/>
      <w:r w:rsidRPr="00564049">
        <w:t xml:space="preserve"> [cit. 2014-02-12]. Dostupné z: https://multimediafiles.kbcgroup.eu/ng/feed/am/funds/AR/AR_BF009_EN.pdf </w:t>
      </w:r>
    </w:p>
    <w:p w:rsidR="00564049" w:rsidRPr="00564049" w:rsidRDefault="00564049" w:rsidP="00564049">
      <w:pPr>
        <w:pStyle w:val="Odstavecseseznamem1"/>
        <w:numPr>
          <w:ilvl w:val="0"/>
          <w:numId w:val="26"/>
        </w:numPr>
        <w:spacing w:line="276" w:lineRule="auto"/>
      </w:pPr>
      <w:r w:rsidRPr="00564049">
        <w:t xml:space="preserve">K právní povaze ETF. Česká národní banka [online]. 2010 [cit. 2014-03-18]. Dostupné z: http://www.cnb.cz/miranda2/export/sites/www.cnb.cz/cs/faq/k_pravni_povaze_exchange_traded_funds.pdf </w:t>
      </w:r>
    </w:p>
    <w:p w:rsidR="00564049" w:rsidRPr="00564049" w:rsidRDefault="00564049" w:rsidP="00564049">
      <w:pPr>
        <w:pStyle w:val="Odstavecseseznamem1"/>
        <w:numPr>
          <w:ilvl w:val="0"/>
          <w:numId w:val="26"/>
        </w:numPr>
        <w:spacing w:line="276" w:lineRule="auto"/>
      </w:pPr>
      <w:r w:rsidRPr="00564049">
        <w:t xml:space="preserve">Kolektivní investování. Česká národní banka [online]. 2014 [cit. 2014-03-10]. Dostupné z: http://www.cnbprovsechny.cnb.cz/cs/osobni_finance/investice/moznosti_investovani/kolektivni_investovani.html </w:t>
      </w:r>
    </w:p>
    <w:p w:rsidR="00564049" w:rsidRPr="00564049" w:rsidRDefault="00564049" w:rsidP="00564049">
      <w:pPr>
        <w:pStyle w:val="Odstavecseseznamem1"/>
        <w:numPr>
          <w:ilvl w:val="0"/>
          <w:numId w:val="26"/>
        </w:numPr>
        <w:spacing w:line="276" w:lineRule="auto"/>
      </w:pPr>
      <w:r w:rsidRPr="00564049">
        <w:t xml:space="preserve">MSCI Global Equity Indexes. MSCI [online]. 2011 [cit. 2014-03-25]. Dostupné z: http://www.msci.com/products/indices/ </w:t>
      </w:r>
    </w:p>
    <w:p w:rsidR="00564049" w:rsidRPr="00564049" w:rsidRDefault="00564049" w:rsidP="00564049">
      <w:pPr>
        <w:pStyle w:val="Odstavecseseznamem1"/>
        <w:numPr>
          <w:ilvl w:val="0"/>
          <w:numId w:val="26"/>
        </w:numPr>
        <w:spacing w:line="276" w:lineRule="auto"/>
      </w:pPr>
      <w:r w:rsidRPr="00564049">
        <w:rPr>
          <w:i/>
          <w:iCs/>
        </w:rPr>
        <w:t>Patria Direct</w:t>
      </w:r>
      <w:r w:rsidRPr="00564049">
        <w:t xml:space="preserve"> [online]. 2014 [cit. 2014-03-26]. Dostupné z: https://www.patria-direct.cz/  </w:t>
      </w:r>
    </w:p>
    <w:p w:rsidR="00564049" w:rsidRPr="00564049" w:rsidRDefault="00564049" w:rsidP="00564049">
      <w:pPr>
        <w:pStyle w:val="Odstavecseseznamem1"/>
        <w:numPr>
          <w:ilvl w:val="0"/>
          <w:numId w:val="26"/>
        </w:numPr>
        <w:spacing w:line="276" w:lineRule="auto"/>
      </w:pPr>
      <w:r w:rsidRPr="00564049">
        <w:t xml:space="preserve">Podílový fond. Finančívzdělávání.cz [online]. 2013 [cit. 2014-03-11]. Dostupné z: http://www.financnivzdelavani.cz/webmagazine/page.asp?idk=365 </w:t>
      </w:r>
    </w:p>
    <w:p w:rsidR="00564049" w:rsidRPr="00564049" w:rsidRDefault="00564049" w:rsidP="00564049">
      <w:pPr>
        <w:pStyle w:val="Odstavecseseznamem1"/>
        <w:numPr>
          <w:ilvl w:val="0"/>
          <w:numId w:val="26"/>
        </w:numPr>
        <w:spacing w:line="276" w:lineRule="auto"/>
      </w:pPr>
      <w:r w:rsidRPr="00564049">
        <w:rPr>
          <w:i/>
          <w:iCs/>
        </w:rPr>
        <w:t>ProShares: The Alternative ETF Company</w:t>
      </w:r>
      <w:r w:rsidRPr="00564049">
        <w:t xml:space="preserve"> [online]. 2014 [cit. 2014-02-20]. Dostupné z: </w:t>
      </w:r>
      <w:hyperlink r:id="rId56" w:history="1">
        <w:r w:rsidRPr="00564049">
          <w:rPr>
            <w:rStyle w:val="Hypertextovodkaz"/>
            <w:color w:val="auto"/>
            <w:u w:val="none"/>
          </w:rPr>
          <w:t>http://www.proshares.com/</w:t>
        </w:r>
      </w:hyperlink>
      <w:r w:rsidRPr="00564049">
        <w:t xml:space="preserve"> </w:t>
      </w:r>
    </w:p>
    <w:p w:rsidR="00564049" w:rsidRPr="00564049" w:rsidRDefault="00564049" w:rsidP="00564049">
      <w:pPr>
        <w:pStyle w:val="Odstavecseseznamem1"/>
        <w:numPr>
          <w:ilvl w:val="0"/>
          <w:numId w:val="26"/>
        </w:numPr>
        <w:spacing w:line="276" w:lineRule="auto"/>
      </w:pPr>
      <w:r w:rsidRPr="00564049">
        <w:t xml:space="preserve">S&amp;P 500 Stock Price Index (SP500). FRED [online]. 2014 [cit. 2014-02-11]. Dostupné z: http://research.stlouisfed.org/fred2/series/SP500/downloaddata </w:t>
      </w:r>
    </w:p>
    <w:p w:rsidR="00564049" w:rsidRPr="00564049" w:rsidRDefault="00564049" w:rsidP="00564049">
      <w:pPr>
        <w:pStyle w:val="Odstavecseseznamem1"/>
        <w:numPr>
          <w:ilvl w:val="0"/>
          <w:numId w:val="26"/>
        </w:numPr>
        <w:spacing w:line="276" w:lineRule="auto"/>
      </w:pPr>
      <w:r w:rsidRPr="00564049">
        <w:rPr>
          <w:i/>
          <w:iCs/>
        </w:rPr>
        <w:t>StateStreet</w:t>
      </w:r>
      <w:r w:rsidRPr="00564049">
        <w:t xml:space="preserve"> [online]. 2014 [cit. 2014-04-2]. Dostupné z: </w:t>
      </w:r>
      <w:hyperlink r:id="rId57" w:history="1">
        <w:r w:rsidRPr="00564049">
          <w:rPr>
            <w:rStyle w:val="Hypertextovodkaz"/>
            <w:color w:val="auto"/>
            <w:u w:val="none"/>
          </w:rPr>
          <w:t>http://statestreet.com/wps/portal/internet/corporate/home/!ut/p/c4/04_SB8K8xLLM9MSSzPy8xBz9CP0os3i_0CADCydDRwP_IGdnA08Tc38fINvYwNVQPxykA1lFSJArUIWxoauBgZNRoKkJfvkAc4i8AQ7gaKDv55Gfm6pfkJ0dZOGoqAgAT3My7A!!/dl3/d3/L2dBISEvZ0FBIS9nQSEh/</w:t>
        </w:r>
      </w:hyperlink>
      <w:r w:rsidRPr="00564049">
        <w:t xml:space="preserve"> </w:t>
      </w:r>
    </w:p>
    <w:p w:rsidR="00564049" w:rsidRPr="00564049" w:rsidRDefault="00564049" w:rsidP="00564049">
      <w:pPr>
        <w:pStyle w:val="Odstavecseseznamem1"/>
        <w:numPr>
          <w:ilvl w:val="0"/>
          <w:numId w:val="26"/>
        </w:numPr>
        <w:spacing w:line="276" w:lineRule="auto"/>
      </w:pPr>
      <w:r w:rsidRPr="00564049">
        <w:rPr>
          <w:i/>
          <w:iCs/>
        </w:rPr>
        <w:t>Vanguard</w:t>
      </w:r>
      <w:r w:rsidRPr="00564049">
        <w:t xml:space="preserve"> [online]. 2014 [cit. 2014-04-2]. Dostupné z: https://investor.vanguard.com/corporate-portal/</w:t>
      </w:r>
    </w:p>
    <w:p w:rsidR="00564049" w:rsidRPr="00564049" w:rsidRDefault="00564049" w:rsidP="00564049">
      <w:pPr>
        <w:pStyle w:val="Odstavecseseznamem1"/>
        <w:numPr>
          <w:ilvl w:val="0"/>
          <w:numId w:val="26"/>
        </w:numPr>
        <w:spacing w:line="276" w:lineRule="auto"/>
        <w:rPr>
          <w:szCs w:val="24"/>
        </w:rPr>
      </w:pPr>
      <w:r w:rsidRPr="00564049">
        <w:t xml:space="preserve">What's The </w:t>
      </w:r>
      <w:r w:rsidRPr="00564049">
        <w:rPr>
          <w:szCs w:val="24"/>
        </w:rPr>
        <w:t xml:space="preserve">Difference? Mutual Funds And Exchange Traded Funds Explained. Forbes [online]. 2013 [cit. 2014-03-20]. Dostupné z: </w:t>
      </w:r>
      <w:hyperlink r:id="rId58" w:history="1">
        <w:r w:rsidRPr="00564049">
          <w:rPr>
            <w:rStyle w:val="Hypertextovodkaz"/>
            <w:color w:val="auto"/>
            <w:szCs w:val="24"/>
            <w:u w:val="none"/>
          </w:rPr>
          <w:t>http://www.forbes.com/sites/feeonlyplanner/2013/07/18/whats-the-difference-mutual-funds-and-exchange-traded-funds-explained/</w:t>
        </w:r>
      </w:hyperlink>
    </w:p>
    <w:p w:rsidR="00564049" w:rsidRPr="00564049" w:rsidRDefault="00564049" w:rsidP="00564049">
      <w:pPr>
        <w:pStyle w:val="Odstavecseseznamem1"/>
        <w:numPr>
          <w:ilvl w:val="0"/>
          <w:numId w:val="26"/>
        </w:numPr>
        <w:spacing w:line="276" w:lineRule="auto"/>
      </w:pPr>
      <w:r w:rsidRPr="00564049">
        <w:t>Why you should use the Sharpe ratio when investing in the medical device industry. Finance.yahoo [online]. 2014 [cit. 2014-02-11]. Dostupné z: http://finance.yahoo.com/news/why-sharpe-ratio-investing-medical-042514170.html</w:t>
      </w:r>
    </w:p>
    <w:p w:rsidR="00564049" w:rsidRPr="00564049" w:rsidRDefault="00564049" w:rsidP="00564049">
      <w:pPr>
        <w:pStyle w:val="Odstavecseseznamem1"/>
        <w:numPr>
          <w:ilvl w:val="0"/>
          <w:numId w:val="26"/>
        </w:numPr>
        <w:spacing w:line="276" w:lineRule="auto"/>
      </w:pPr>
      <w:r w:rsidRPr="00564049">
        <w:lastRenderedPageBreak/>
        <w:t xml:space="preserve">Worldwide Mutual Fund Assets and Flows. Investment Company Institute [online]. 2013 [cit. 2014-03-20]. Dostupné z: </w:t>
      </w:r>
      <w:hyperlink r:id="rId59" w:history="1">
        <w:r w:rsidRPr="00564049">
          <w:rPr>
            <w:rStyle w:val="Hypertextovodkaz"/>
            <w:color w:val="auto"/>
            <w:u w:val="none"/>
          </w:rPr>
          <w:t>http://www.ici.org/research/stats/worldwide/ww_09_13</w:t>
        </w:r>
      </w:hyperlink>
    </w:p>
    <w:p w:rsidR="00564049" w:rsidRPr="00564049" w:rsidRDefault="00564049" w:rsidP="00564049">
      <w:pPr>
        <w:pStyle w:val="Odstavecseseznamem1"/>
        <w:numPr>
          <w:ilvl w:val="0"/>
          <w:numId w:val="26"/>
        </w:numPr>
        <w:spacing w:line="276" w:lineRule="auto"/>
      </w:pPr>
      <w:r w:rsidRPr="00564049">
        <w:rPr>
          <w:i/>
          <w:iCs/>
        </w:rPr>
        <w:t>Xtb: online trading</w:t>
      </w:r>
      <w:r w:rsidRPr="00564049">
        <w:t xml:space="preserve"> [online]. 2014 [cit. 2014-03-2]. Dostupné z: </w:t>
      </w:r>
      <w:hyperlink r:id="rId60" w:history="1">
        <w:r w:rsidRPr="00564049">
          <w:rPr>
            <w:rStyle w:val="Hypertextovodkaz"/>
            <w:color w:val="auto"/>
            <w:u w:val="none"/>
          </w:rPr>
          <w:t>http://www.xtb.cz/</w:t>
        </w:r>
      </w:hyperlink>
      <w:r w:rsidRPr="00564049">
        <w:t xml:space="preserve"> </w:t>
      </w:r>
    </w:p>
    <w:p w:rsidR="00564049" w:rsidRPr="00564049" w:rsidRDefault="00564049" w:rsidP="00564049">
      <w:pPr>
        <w:pStyle w:val="Odstavecseseznamem1"/>
        <w:numPr>
          <w:ilvl w:val="0"/>
          <w:numId w:val="26"/>
        </w:numPr>
        <w:spacing w:line="276" w:lineRule="auto"/>
      </w:pPr>
      <w:r w:rsidRPr="00564049">
        <w:t xml:space="preserve">5-Year Treasury Constant Maturity Rate. Economic research [online]. 2013 [cit. 2014-03-27]. Dostupné z: </w:t>
      </w:r>
      <w:hyperlink r:id="rId61" w:history="1">
        <w:r w:rsidRPr="00564049">
          <w:rPr>
            <w:rStyle w:val="Hypertextovodkaz"/>
            <w:color w:val="auto"/>
            <w:u w:val="none"/>
          </w:rPr>
          <w:t>http://research.stlouisfed.org/fred2/graph/?id=DGS5</w:t>
        </w:r>
      </w:hyperlink>
      <w:r w:rsidRPr="00564049">
        <w:t xml:space="preserve"> </w:t>
      </w:r>
    </w:p>
    <w:p w:rsidR="00564049" w:rsidRPr="00685FF0" w:rsidRDefault="00564049" w:rsidP="00564049">
      <w:pPr>
        <w:pStyle w:val="Odstavecseseznamem1"/>
      </w:pPr>
    </w:p>
    <w:p w:rsidR="00564049" w:rsidRPr="00685FF0" w:rsidRDefault="00564049" w:rsidP="00564049">
      <w:pPr>
        <w:pStyle w:val="Odstavecseseznamem1"/>
      </w:pPr>
    </w:p>
    <w:p w:rsidR="00564049" w:rsidRPr="00685FF0" w:rsidRDefault="00564049" w:rsidP="00564049">
      <w:pPr>
        <w:ind w:left="360"/>
      </w:pPr>
    </w:p>
    <w:p w:rsidR="00564049" w:rsidRDefault="00564049" w:rsidP="00AF399C">
      <w:pPr>
        <w:sectPr w:rsidR="00564049" w:rsidSect="008A5AD0">
          <w:pgSz w:w="11906" w:h="16838"/>
          <w:pgMar w:top="1418" w:right="851" w:bottom="1134" w:left="1985" w:header="709" w:footer="709" w:gutter="0"/>
          <w:cols w:space="708"/>
          <w:docGrid w:linePitch="360"/>
        </w:sectPr>
      </w:pPr>
    </w:p>
    <w:p w:rsidR="00AF399C" w:rsidRPr="00AF399C" w:rsidRDefault="00AF399C" w:rsidP="00AF399C">
      <w:pPr>
        <w:pStyle w:val="Nadpis1"/>
        <w:numPr>
          <w:ilvl w:val="0"/>
          <w:numId w:val="0"/>
        </w:numPr>
        <w:ind w:left="432" w:hanging="432"/>
      </w:pPr>
      <w:bookmarkStart w:id="117" w:name="_Toc386146034"/>
      <w:r>
        <w:lastRenderedPageBreak/>
        <w:t>SEZNAM TABULEK, GRAFŮ, OBRÁZKŮ</w:t>
      </w:r>
      <w:bookmarkEnd w:id="117"/>
    </w:p>
    <w:p w:rsidR="00B51940" w:rsidRDefault="00B51940" w:rsidP="00B51940">
      <w:pPr>
        <w:rPr>
          <w:b/>
        </w:rPr>
      </w:pPr>
      <w:r w:rsidRPr="00B51940">
        <w:rPr>
          <w:b/>
        </w:rPr>
        <w:t>Seznam tabulek</w:t>
      </w:r>
    </w:p>
    <w:p w:rsidR="00B51940" w:rsidRDefault="008B79C7">
      <w:pPr>
        <w:pStyle w:val="Seznamobrzk"/>
        <w:tabs>
          <w:tab w:val="right" w:leader="dot" w:pos="9060"/>
        </w:tabs>
        <w:rPr>
          <w:rFonts w:asciiTheme="minorHAnsi" w:eastAsiaTheme="minorEastAsia" w:hAnsiTheme="minorHAnsi"/>
          <w:noProof/>
          <w:sz w:val="22"/>
          <w:lang w:eastAsia="cs-CZ"/>
        </w:rPr>
      </w:pPr>
      <w:r>
        <w:rPr>
          <w:b/>
        </w:rPr>
        <w:fldChar w:fldCharType="begin"/>
      </w:r>
      <w:r w:rsidR="00B51940">
        <w:rPr>
          <w:b/>
        </w:rPr>
        <w:instrText xml:space="preserve"> TOC \h \z \c "Tabulka č." </w:instrText>
      </w:r>
      <w:r>
        <w:rPr>
          <w:b/>
        </w:rPr>
        <w:fldChar w:fldCharType="separate"/>
      </w:r>
      <w:hyperlink w:anchor="_Toc385970314" w:history="1">
        <w:r w:rsidR="00B51940" w:rsidRPr="00C32643">
          <w:rPr>
            <w:rStyle w:val="Hypertextovodkaz"/>
            <w:noProof/>
          </w:rPr>
          <w:t>Tabulka č. 1: Vývoj hodnoty pákového ETF při rostoucím trhu</w:t>
        </w:r>
        <w:r w:rsidR="00B51940">
          <w:rPr>
            <w:noProof/>
            <w:webHidden/>
          </w:rPr>
          <w:tab/>
        </w:r>
        <w:r>
          <w:rPr>
            <w:noProof/>
            <w:webHidden/>
          </w:rPr>
          <w:fldChar w:fldCharType="begin"/>
        </w:r>
        <w:r w:rsidR="00B51940">
          <w:rPr>
            <w:noProof/>
            <w:webHidden/>
          </w:rPr>
          <w:instrText xml:space="preserve"> PAGEREF _Toc385970314 \h </w:instrText>
        </w:r>
        <w:r>
          <w:rPr>
            <w:noProof/>
            <w:webHidden/>
          </w:rPr>
        </w:r>
        <w:r>
          <w:rPr>
            <w:noProof/>
            <w:webHidden/>
          </w:rPr>
          <w:fldChar w:fldCharType="separate"/>
        </w:r>
        <w:r w:rsidR="00B51940">
          <w:rPr>
            <w:noProof/>
            <w:webHidden/>
          </w:rPr>
          <w:t>38</w:t>
        </w:r>
        <w:r>
          <w:rPr>
            <w:noProof/>
            <w:webHidden/>
          </w:rPr>
          <w:fldChar w:fldCharType="end"/>
        </w:r>
      </w:hyperlink>
    </w:p>
    <w:p w:rsidR="00B51940" w:rsidRDefault="008B79C7">
      <w:pPr>
        <w:pStyle w:val="Seznamobrzk"/>
        <w:tabs>
          <w:tab w:val="right" w:leader="dot" w:pos="9060"/>
        </w:tabs>
        <w:rPr>
          <w:rFonts w:asciiTheme="minorHAnsi" w:eastAsiaTheme="minorEastAsia" w:hAnsiTheme="minorHAnsi"/>
          <w:noProof/>
          <w:sz w:val="22"/>
          <w:lang w:eastAsia="cs-CZ"/>
        </w:rPr>
      </w:pPr>
      <w:hyperlink w:anchor="_Toc385970315" w:history="1">
        <w:r w:rsidR="00B51940" w:rsidRPr="00C32643">
          <w:rPr>
            <w:rStyle w:val="Hypertextovodkaz"/>
            <w:noProof/>
          </w:rPr>
          <w:t>Tabulka č. 2: Vývoj hodnoty pákového ETF na volatilním trhu</w:t>
        </w:r>
        <w:r w:rsidR="00B51940">
          <w:rPr>
            <w:noProof/>
            <w:webHidden/>
          </w:rPr>
          <w:tab/>
        </w:r>
        <w:r>
          <w:rPr>
            <w:noProof/>
            <w:webHidden/>
          </w:rPr>
          <w:fldChar w:fldCharType="begin"/>
        </w:r>
        <w:r w:rsidR="00B51940">
          <w:rPr>
            <w:noProof/>
            <w:webHidden/>
          </w:rPr>
          <w:instrText xml:space="preserve"> PAGEREF _Toc385970315 \h </w:instrText>
        </w:r>
        <w:r>
          <w:rPr>
            <w:noProof/>
            <w:webHidden/>
          </w:rPr>
        </w:r>
        <w:r>
          <w:rPr>
            <w:noProof/>
            <w:webHidden/>
          </w:rPr>
          <w:fldChar w:fldCharType="separate"/>
        </w:r>
        <w:r w:rsidR="00B51940">
          <w:rPr>
            <w:noProof/>
            <w:webHidden/>
          </w:rPr>
          <w:t>38</w:t>
        </w:r>
        <w:r>
          <w:rPr>
            <w:noProof/>
            <w:webHidden/>
          </w:rPr>
          <w:fldChar w:fldCharType="end"/>
        </w:r>
      </w:hyperlink>
    </w:p>
    <w:p w:rsidR="00B51940" w:rsidRDefault="008B79C7">
      <w:pPr>
        <w:pStyle w:val="Seznamobrzk"/>
        <w:tabs>
          <w:tab w:val="right" w:leader="dot" w:pos="9060"/>
        </w:tabs>
        <w:rPr>
          <w:rFonts w:asciiTheme="minorHAnsi" w:eastAsiaTheme="minorEastAsia" w:hAnsiTheme="minorHAnsi"/>
          <w:noProof/>
          <w:sz w:val="22"/>
          <w:lang w:eastAsia="cs-CZ"/>
        </w:rPr>
      </w:pPr>
      <w:hyperlink w:anchor="_Toc385970316" w:history="1">
        <w:r w:rsidR="00B51940" w:rsidRPr="00C32643">
          <w:rPr>
            <w:rStyle w:val="Hypertextovodkaz"/>
            <w:noProof/>
          </w:rPr>
          <w:t>Tabulka č. 3: Největší emitenti ETP dle výše majetku společností k 31. 12. 2013</w:t>
        </w:r>
        <w:r w:rsidR="00B51940">
          <w:rPr>
            <w:noProof/>
            <w:webHidden/>
          </w:rPr>
          <w:tab/>
        </w:r>
        <w:r>
          <w:rPr>
            <w:noProof/>
            <w:webHidden/>
          </w:rPr>
          <w:fldChar w:fldCharType="begin"/>
        </w:r>
        <w:r w:rsidR="00B51940">
          <w:rPr>
            <w:noProof/>
            <w:webHidden/>
          </w:rPr>
          <w:instrText xml:space="preserve"> PAGEREF _Toc385970316 \h </w:instrText>
        </w:r>
        <w:r>
          <w:rPr>
            <w:noProof/>
            <w:webHidden/>
          </w:rPr>
        </w:r>
        <w:r>
          <w:rPr>
            <w:noProof/>
            <w:webHidden/>
          </w:rPr>
          <w:fldChar w:fldCharType="separate"/>
        </w:r>
        <w:r w:rsidR="00B51940">
          <w:rPr>
            <w:noProof/>
            <w:webHidden/>
          </w:rPr>
          <w:t>40</w:t>
        </w:r>
        <w:r>
          <w:rPr>
            <w:noProof/>
            <w:webHidden/>
          </w:rPr>
          <w:fldChar w:fldCharType="end"/>
        </w:r>
      </w:hyperlink>
    </w:p>
    <w:p w:rsidR="00B51940" w:rsidRDefault="008B79C7">
      <w:pPr>
        <w:pStyle w:val="Seznamobrzk"/>
        <w:tabs>
          <w:tab w:val="right" w:leader="dot" w:pos="9060"/>
        </w:tabs>
        <w:rPr>
          <w:rFonts w:asciiTheme="minorHAnsi" w:eastAsiaTheme="minorEastAsia" w:hAnsiTheme="minorHAnsi"/>
          <w:noProof/>
          <w:sz w:val="22"/>
          <w:lang w:eastAsia="cs-CZ"/>
        </w:rPr>
      </w:pPr>
      <w:hyperlink w:anchor="_Toc385970317" w:history="1">
        <w:r w:rsidR="00B51940" w:rsidRPr="00C32643">
          <w:rPr>
            <w:rStyle w:val="Hypertextovodkaz"/>
            <w:noProof/>
          </w:rPr>
          <w:t>Tabulka č. 4: Podíly největších emitentů ETPs na americkém trhu ke 30.9.2012</w:t>
        </w:r>
        <w:r w:rsidR="00B51940">
          <w:rPr>
            <w:noProof/>
            <w:webHidden/>
          </w:rPr>
          <w:tab/>
        </w:r>
        <w:r>
          <w:rPr>
            <w:noProof/>
            <w:webHidden/>
          </w:rPr>
          <w:fldChar w:fldCharType="begin"/>
        </w:r>
        <w:r w:rsidR="00B51940">
          <w:rPr>
            <w:noProof/>
            <w:webHidden/>
          </w:rPr>
          <w:instrText xml:space="preserve"> PAGEREF _Toc385970317 \h </w:instrText>
        </w:r>
        <w:r>
          <w:rPr>
            <w:noProof/>
            <w:webHidden/>
          </w:rPr>
        </w:r>
        <w:r>
          <w:rPr>
            <w:noProof/>
            <w:webHidden/>
          </w:rPr>
          <w:fldChar w:fldCharType="separate"/>
        </w:r>
        <w:r w:rsidR="00B51940">
          <w:rPr>
            <w:noProof/>
            <w:webHidden/>
          </w:rPr>
          <w:t>46</w:t>
        </w:r>
        <w:r>
          <w:rPr>
            <w:noProof/>
            <w:webHidden/>
          </w:rPr>
          <w:fldChar w:fldCharType="end"/>
        </w:r>
      </w:hyperlink>
    </w:p>
    <w:p w:rsidR="00B51940" w:rsidRDefault="008B79C7">
      <w:pPr>
        <w:pStyle w:val="Seznamobrzk"/>
        <w:tabs>
          <w:tab w:val="right" w:leader="dot" w:pos="9060"/>
        </w:tabs>
        <w:rPr>
          <w:rFonts w:asciiTheme="minorHAnsi" w:eastAsiaTheme="minorEastAsia" w:hAnsiTheme="minorHAnsi"/>
          <w:noProof/>
          <w:sz w:val="22"/>
          <w:lang w:eastAsia="cs-CZ"/>
        </w:rPr>
      </w:pPr>
      <w:hyperlink w:anchor="_Toc385970318" w:history="1">
        <w:r w:rsidR="00B51940" w:rsidRPr="00C32643">
          <w:rPr>
            <w:rStyle w:val="Hypertextovodkaz"/>
            <w:noProof/>
          </w:rPr>
          <w:t>Tabulka č. 5: Podíly největších emitentů ETPs na evropském trhu ke 30.9.2012</w:t>
        </w:r>
        <w:r w:rsidR="00B51940">
          <w:rPr>
            <w:noProof/>
            <w:webHidden/>
          </w:rPr>
          <w:tab/>
        </w:r>
        <w:r>
          <w:rPr>
            <w:noProof/>
            <w:webHidden/>
          </w:rPr>
          <w:fldChar w:fldCharType="begin"/>
        </w:r>
        <w:r w:rsidR="00B51940">
          <w:rPr>
            <w:noProof/>
            <w:webHidden/>
          </w:rPr>
          <w:instrText xml:space="preserve"> PAGEREF _Toc385970318 \h </w:instrText>
        </w:r>
        <w:r>
          <w:rPr>
            <w:noProof/>
            <w:webHidden/>
          </w:rPr>
        </w:r>
        <w:r>
          <w:rPr>
            <w:noProof/>
            <w:webHidden/>
          </w:rPr>
          <w:fldChar w:fldCharType="separate"/>
        </w:r>
        <w:r w:rsidR="00B51940">
          <w:rPr>
            <w:noProof/>
            <w:webHidden/>
          </w:rPr>
          <w:t>47</w:t>
        </w:r>
        <w:r>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19" w:history="1">
        <w:r w:rsidR="00B51940" w:rsidRPr="00B51940">
          <w:rPr>
            <w:rStyle w:val="Hypertextovodkaz"/>
            <w:noProof/>
          </w:rPr>
          <w:t>Tabulka č. 6: Podíly největších emitentů ETPs na kanadském trhu ke 30.9.2012</w:t>
        </w:r>
        <w:r w:rsidR="00B51940" w:rsidRPr="00B51940">
          <w:rPr>
            <w:noProof/>
            <w:webHidden/>
          </w:rPr>
          <w:tab/>
        </w:r>
        <w:r w:rsidRPr="00B51940">
          <w:rPr>
            <w:noProof/>
            <w:webHidden/>
          </w:rPr>
          <w:fldChar w:fldCharType="begin"/>
        </w:r>
        <w:r w:rsidR="00B51940" w:rsidRPr="00B51940">
          <w:rPr>
            <w:noProof/>
            <w:webHidden/>
          </w:rPr>
          <w:instrText xml:space="preserve"> PAGEREF _Toc385970319 \h </w:instrText>
        </w:r>
        <w:r w:rsidRPr="00B51940">
          <w:rPr>
            <w:noProof/>
            <w:webHidden/>
          </w:rPr>
        </w:r>
        <w:r w:rsidRPr="00B51940">
          <w:rPr>
            <w:noProof/>
            <w:webHidden/>
          </w:rPr>
          <w:fldChar w:fldCharType="separate"/>
        </w:r>
        <w:r w:rsidR="00B51940" w:rsidRPr="00B51940">
          <w:rPr>
            <w:noProof/>
            <w:webHidden/>
          </w:rPr>
          <w:t>49</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0" w:history="1">
        <w:r w:rsidR="00B51940" w:rsidRPr="00B51940">
          <w:rPr>
            <w:rStyle w:val="Hypertextovodkaz"/>
            <w:noProof/>
          </w:rPr>
          <w:t>Tabulka č. 7: Podíly největších emitentů ETPs na trhu Latinské Ameriky ke 30.9.2012</w:t>
        </w:r>
        <w:r w:rsidR="00B51940" w:rsidRPr="00B51940">
          <w:rPr>
            <w:noProof/>
            <w:webHidden/>
          </w:rPr>
          <w:tab/>
        </w:r>
        <w:r w:rsidRPr="00B51940">
          <w:rPr>
            <w:noProof/>
            <w:webHidden/>
          </w:rPr>
          <w:fldChar w:fldCharType="begin"/>
        </w:r>
        <w:r w:rsidR="00B51940" w:rsidRPr="00B51940">
          <w:rPr>
            <w:noProof/>
            <w:webHidden/>
          </w:rPr>
          <w:instrText xml:space="preserve"> PAGEREF _Toc385970320 \h </w:instrText>
        </w:r>
        <w:r w:rsidRPr="00B51940">
          <w:rPr>
            <w:noProof/>
            <w:webHidden/>
          </w:rPr>
        </w:r>
        <w:r w:rsidRPr="00B51940">
          <w:rPr>
            <w:noProof/>
            <w:webHidden/>
          </w:rPr>
          <w:fldChar w:fldCharType="separate"/>
        </w:r>
        <w:r w:rsidR="00B51940" w:rsidRPr="00B51940">
          <w:rPr>
            <w:noProof/>
            <w:webHidden/>
          </w:rPr>
          <w:t>50</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1" w:history="1">
        <w:r w:rsidR="00B51940" w:rsidRPr="00B51940">
          <w:rPr>
            <w:rStyle w:val="Hypertextovodkaz"/>
            <w:noProof/>
          </w:rPr>
          <w:t>Tabulka č. 8: Podíly největších emitentů ETPs na trhu Asie a Tichomoří ke 30.9.2012</w:t>
        </w:r>
        <w:r w:rsidR="00B51940" w:rsidRPr="00B51940">
          <w:rPr>
            <w:noProof/>
            <w:webHidden/>
          </w:rPr>
          <w:tab/>
        </w:r>
        <w:r w:rsidRPr="00B51940">
          <w:rPr>
            <w:noProof/>
            <w:webHidden/>
          </w:rPr>
          <w:fldChar w:fldCharType="begin"/>
        </w:r>
        <w:r w:rsidR="00B51940" w:rsidRPr="00B51940">
          <w:rPr>
            <w:noProof/>
            <w:webHidden/>
          </w:rPr>
          <w:instrText xml:space="preserve"> PAGEREF _Toc385970321 \h </w:instrText>
        </w:r>
        <w:r w:rsidRPr="00B51940">
          <w:rPr>
            <w:noProof/>
            <w:webHidden/>
          </w:rPr>
        </w:r>
        <w:r w:rsidRPr="00B51940">
          <w:rPr>
            <w:noProof/>
            <w:webHidden/>
          </w:rPr>
          <w:fldChar w:fldCharType="separate"/>
        </w:r>
        <w:r w:rsidR="00B51940" w:rsidRPr="00B51940">
          <w:rPr>
            <w:noProof/>
            <w:webHidden/>
          </w:rPr>
          <w:t>52</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2" w:history="1">
        <w:r w:rsidR="00B51940" w:rsidRPr="00B51940">
          <w:rPr>
            <w:rStyle w:val="Hypertextovodkaz"/>
            <w:noProof/>
          </w:rPr>
          <w:t>Tabulka č. 9: Přehled poplatků Brokerjet</w:t>
        </w:r>
        <w:r w:rsidR="00B51940" w:rsidRPr="00B51940">
          <w:rPr>
            <w:noProof/>
            <w:webHidden/>
          </w:rPr>
          <w:tab/>
        </w:r>
        <w:r w:rsidRPr="00B51940">
          <w:rPr>
            <w:noProof/>
            <w:webHidden/>
          </w:rPr>
          <w:fldChar w:fldCharType="begin"/>
        </w:r>
        <w:r w:rsidR="00B51940" w:rsidRPr="00B51940">
          <w:rPr>
            <w:noProof/>
            <w:webHidden/>
          </w:rPr>
          <w:instrText xml:space="preserve"> PAGEREF _Toc385970322 \h </w:instrText>
        </w:r>
        <w:r w:rsidRPr="00B51940">
          <w:rPr>
            <w:noProof/>
            <w:webHidden/>
          </w:rPr>
        </w:r>
        <w:r w:rsidRPr="00B51940">
          <w:rPr>
            <w:noProof/>
            <w:webHidden/>
          </w:rPr>
          <w:fldChar w:fldCharType="separate"/>
        </w:r>
        <w:r w:rsidR="00B51940" w:rsidRPr="00B51940">
          <w:rPr>
            <w:noProof/>
            <w:webHidden/>
          </w:rPr>
          <w:t>55</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3" w:history="1">
        <w:r w:rsidR="00B51940" w:rsidRPr="00B51940">
          <w:rPr>
            <w:rStyle w:val="Hypertextovodkaz"/>
            <w:noProof/>
          </w:rPr>
          <w:t>Tabulka č. 10: Přehled poplatků X-Trade Brokers</w:t>
        </w:r>
        <w:r w:rsidR="00B51940" w:rsidRPr="00B51940">
          <w:rPr>
            <w:noProof/>
            <w:webHidden/>
          </w:rPr>
          <w:tab/>
        </w:r>
        <w:r w:rsidRPr="00B51940">
          <w:rPr>
            <w:noProof/>
            <w:webHidden/>
          </w:rPr>
          <w:fldChar w:fldCharType="begin"/>
        </w:r>
        <w:r w:rsidR="00B51940" w:rsidRPr="00B51940">
          <w:rPr>
            <w:noProof/>
            <w:webHidden/>
          </w:rPr>
          <w:instrText xml:space="preserve"> PAGEREF _Toc385970323 \h </w:instrText>
        </w:r>
        <w:r w:rsidRPr="00B51940">
          <w:rPr>
            <w:noProof/>
            <w:webHidden/>
          </w:rPr>
        </w:r>
        <w:r w:rsidRPr="00B51940">
          <w:rPr>
            <w:noProof/>
            <w:webHidden/>
          </w:rPr>
          <w:fldChar w:fldCharType="separate"/>
        </w:r>
        <w:r w:rsidR="00B51940" w:rsidRPr="00B51940">
          <w:rPr>
            <w:noProof/>
            <w:webHidden/>
          </w:rPr>
          <w:t>55</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4" w:history="1">
        <w:r w:rsidR="00B51940" w:rsidRPr="00B51940">
          <w:rPr>
            <w:rStyle w:val="Hypertextovodkaz"/>
            <w:noProof/>
          </w:rPr>
          <w:t>Tabulka č. 11: Přehled poplatků Fio banky</w:t>
        </w:r>
        <w:r w:rsidR="00B51940" w:rsidRPr="00B51940">
          <w:rPr>
            <w:noProof/>
            <w:webHidden/>
          </w:rPr>
          <w:tab/>
        </w:r>
        <w:r w:rsidRPr="00B51940">
          <w:rPr>
            <w:noProof/>
            <w:webHidden/>
          </w:rPr>
          <w:fldChar w:fldCharType="begin"/>
        </w:r>
        <w:r w:rsidR="00B51940" w:rsidRPr="00B51940">
          <w:rPr>
            <w:noProof/>
            <w:webHidden/>
          </w:rPr>
          <w:instrText xml:space="preserve"> PAGEREF _Toc385970324 \h </w:instrText>
        </w:r>
        <w:r w:rsidRPr="00B51940">
          <w:rPr>
            <w:noProof/>
            <w:webHidden/>
          </w:rPr>
        </w:r>
        <w:r w:rsidRPr="00B51940">
          <w:rPr>
            <w:noProof/>
            <w:webHidden/>
          </w:rPr>
          <w:fldChar w:fldCharType="separate"/>
        </w:r>
        <w:r w:rsidR="00B51940" w:rsidRPr="00B51940">
          <w:rPr>
            <w:noProof/>
            <w:webHidden/>
          </w:rPr>
          <w:t>56</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5" w:history="1">
        <w:r w:rsidR="00B51940" w:rsidRPr="00B51940">
          <w:rPr>
            <w:rStyle w:val="Hypertextovodkaz"/>
            <w:noProof/>
          </w:rPr>
          <w:t>Tabulka č. 12 : Přehled poplatků Patria Direct</w:t>
        </w:r>
        <w:r w:rsidR="00B51940" w:rsidRPr="00B51940">
          <w:rPr>
            <w:noProof/>
            <w:webHidden/>
          </w:rPr>
          <w:tab/>
        </w:r>
        <w:r w:rsidRPr="00B51940">
          <w:rPr>
            <w:noProof/>
            <w:webHidden/>
          </w:rPr>
          <w:fldChar w:fldCharType="begin"/>
        </w:r>
        <w:r w:rsidR="00B51940" w:rsidRPr="00B51940">
          <w:rPr>
            <w:noProof/>
            <w:webHidden/>
          </w:rPr>
          <w:instrText xml:space="preserve"> PAGEREF _Toc385970325 \h </w:instrText>
        </w:r>
        <w:r w:rsidRPr="00B51940">
          <w:rPr>
            <w:noProof/>
            <w:webHidden/>
          </w:rPr>
        </w:r>
        <w:r w:rsidRPr="00B51940">
          <w:rPr>
            <w:noProof/>
            <w:webHidden/>
          </w:rPr>
          <w:fldChar w:fldCharType="separate"/>
        </w:r>
        <w:r w:rsidR="00B51940" w:rsidRPr="00B51940">
          <w:rPr>
            <w:noProof/>
            <w:webHidden/>
          </w:rPr>
          <w:t>57</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6" w:history="1">
        <w:r w:rsidR="00B51940" w:rsidRPr="00B51940">
          <w:rPr>
            <w:rStyle w:val="Hypertextovodkaz"/>
            <w:noProof/>
          </w:rPr>
          <w:t>Tabulka č. 13: Roční výkonnost indexu S&amp;P 500 v % p.a.</w:t>
        </w:r>
        <w:r w:rsidR="00B51940" w:rsidRPr="00B51940">
          <w:rPr>
            <w:noProof/>
            <w:webHidden/>
          </w:rPr>
          <w:tab/>
        </w:r>
        <w:r w:rsidRPr="00B51940">
          <w:rPr>
            <w:noProof/>
            <w:webHidden/>
          </w:rPr>
          <w:fldChar w:fldCharType="begin"/>
        </w:r>
        <w:r w:rsidR="00B51940" w:rsidRPr="00B51940">
          <w:rPr>
            <w:noProof/>
            <w:webHidden/>
          </w:rPr>
          <w:instrText xml:space="preserve"> PAGEREF _Toc385970326 \h </w:instrText>
        </w:r>
        <w:r w:rsidRPr="00B51940">
          <w:rPr>
            <w:noProof/>
            <w:webHidden/>
          </w:rPr>
        </w:r>
        <w:r w:rsidRPr="00B51940">
          <w:rPr>
            <w:noProof/>
            <w:webHidden/>
          </w:rPr>
          <w:fldChar w:fldCharType="separate"/>
        </w:r>
        <w:r w:rsidR="00B51940" w:rsidRPr="00B51940">
          <w:rPr>
            <w:noProof/>
            <w:webHidden/>
          </w:rPr>
          <w:t>64</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7" w:history="1">
        <w:r w:rsidR="00B51940" w:rsidRPr="00B51940">
          <w:rPr>
            <w:rStyle w:val="Hypertextovodkaz"/>
            <w:noProof/>
          </w:rPr>
          <w:t>Tabulka č. 14: Produkty vybrané pro analýzu a komparaci</w:t>
        </w:r>
        <w:r w:rsidR="00B51940" w:rsidRPr="00B51940">
          <w:rPr>
            <w:noProof/>
            <w:webHidden/>
          </w:rPr>
          <w:tab/>
        </w:r>
        <w:r w:rsidRPr="00B51940">
          <w:rPr>
            <w:noProof/>
            <w:webHidden/>
          </w:rPr>
          <w:fldChar w:fldCharType="begin"/>
        </w:r>
        <w:r w:rsidR="00B51940" w:rsidRPr="00B51940">
          <w:rPr>
            <w:noProof/>
            <w:webHidden/>
          </w:rPr>
          <w:instrText xml:space="preserve"> PAGEREF _Toc385970327 \h </w:instrText>
        </w:r>
        <w:r w:rsidRPr="00B51940">
          <w:rPr>
            <w:noProof/>
            <w:webHidden/>
          </w:rPr>
        </w:r>
        <w:r w:rsidRPr="00B51940">
          <w:rPr>
            <w:noProof/>
            <w:webHidden/>
          </w:rPr>
          <w:fldChar w:fldCharType="separate"/>
        </w:r>
        <w:r w:rsidR="00B51940" w:rsidRPr="00B51940">
          <w:rPr>
            <w:noProof/>
            <w:webHidden/>
          </w:rPr>
          <w:t>65</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8" w:history="1">
        <w:r w:rsidR="00B51940" w:rsidRPr="00B51940">
          <w:rPr>
            <w:rStyle w:val="Hypertextovodkaz"/>
            <w:noProof/>
          </w:rPr>
          <w:t>Tabulka č. 15: Hrubá výnosnost podílového fondu KBC Index Fund United States v % p.a.</w:t>
        </w:r>
        <w:r w:rsidR="00B51940" w:rsidRPr="00B51940">
          <w:rPr>
            <w:noProof/>
            <w:webHidden/>
          </w:rPr>
          <w:tab/>
        </w:r>
        <w:r w:rsidRPr="00B51940">
          <w:rPr>
            <w:noProof/>
            <w:webHidden/>
          </w:rPr>
          <w:fldChar w:fldCharType="begin"/>
        </w:r>
        <w:r w:rsidR="00B51940" w:rsidRPr="00B51940">
          <w:rPr>
            <w:noProof/>
            <w:webHidden/>
          </w:rPr>
          <w:instrText xml:space="preserve"> PAGEREF _Toc385970328 \h </w:instrText>
        </w:r>
        <w:r w:rsidRPr="00B51940">
          <w:rPr>
            <w:noProof/>
            <w:webHidden/>
          </w:rPr>
        </w:r>
        <w:r w:rsidRPr="00B51940">
          <w:rPr>
            <w:noProof/>
            <w:webHidden/>
          </w:rPr>
          <w:fldChar w:fldCharType="separate"/>
        </w:r>
        <w:r w:rsidR="00B51940" w:rsidRPr="00B51940">
          <w:rPr>
            <w:noProof/>
            <w:webHidden/>
          </w:rPr>
          <w:t>67</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29" w:history="1">
        <w:r w:rsidR="00B51940" w:rsidRPr="00B51940">
          <w:rPr>
            <w:rStyle w:val="Hypertextovodkaz"/>
            <w:noProof/>
          </w:rPr>
          <w:t>Tabulka č. 16: Čistá výnosnost podílového fondu KBC Index Fund United States v % p.a</w:t>
        </w:r>
        <w:r w:rsidR="00B51940" w:rsidRPr="00B51940">
          <w:rPr>
            <w:noProof/>
            <w:webHidden/>
          </w:rPr>
          <w:tab/>
        </w:r>
        <w:r w:rsidRPr="00B51940">
          <w:rPr>
            <w:noProof/>
            <w:webHidden/>
          </w:rPr>
          <w:fldChar w:fldCharType="begin"/>
        </w:r>
        <w:r w:rsidR="00B51940" w:rsidRPr="00B51940">
          <w:rPr>
            <w:noProof/>
            <w:webHidden/>
          </w:rPr>
          <w:instrText xml:space="preserve"> PAGEREF _Toc385970329 \h </w:instrText>
        </w:r>
        <w:r w:rsidRPr="00B51940">
          <w:rPr>
            <w:noProof/>
            <w:webHidden/>
          </w:rPr>
        </w:r>
        <w:r w:rsidRPr="00B51940">
          <w:rPr>
            <w:noProof/>
            <w:webHidden/>
          </w:rPr>
          <w:fldChar w:fldCharType="separate"/>
        </w:r>
        <w:r w:rsidR="00B51940" w:rsidRPr="00B51940">
          <w:rPr>
            <w:noProof/>
            <w:webHidden/>
          </w:rPr>
          <w:t>68</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0" w:history="1">
        <w:r w:rsidR="00B51940" w:rsidRPr="00B51940">
          <w:rPr>
            <w:rStyle w:val="Hypertextovodkaz"/>
            <w:noProof/>
          </w:rPr>
          <w:t>Tabulka č. 17: Hrubá výnosnost SPDR S&amp;P 500</w:t>
        </w:r>
        <w:r w:rsidR="00B51940" w:rsidRPr="00B51940">
          <w:rPr>
            <w:rStyle w:val="Hypertextovodkaz"/>
            <w:noProof/>
            <w:vertAlign w:val="superscript"/>
          </w:rPr>
          <w:t xml:space="preserve"> </w:t>
        </w:r>
        <w:r w:rsidR="00B51940" w:rsidRPr="00B51940">
          <w:rPr>
            <w:rStyle w:val="Hypertextovodkaz"/>
            <w:noProof/>
          </w:rPr>
          <w:t>ETF v letech 2009-2013 v % p.a.</w:t>
        </w:r>
        <w:r w:rsidR="00B51940" w:rsidRPr="00B51940">
          <w:rPr>
            <w:noProof/>
            <w:webHidden/>
          </w:rPr>
          <w:tab/>
        </w:r>
        <w:r w:rsidRPr="00B51940">
          <w:rPr>
            <w:noProof/>
            <w:webHidden/>
          </w:rPr>
          <w:fldChar w:fldCharType="begin"/>
        </w:r>
        <w:r w:rsidR="00B51940" w:rsidRPr="00B51940">
          <w:rPr>
            <w:noProof/>
            <w:webHidden/>
          </w:rPr>
          <w:instrText xml:space="preserve"> PAGEREF _Toc385970330 \h </w:instrText>
        </w:r>
        <w:r w:rsidRPr="00B51940">
          <w:rPr>
            <w:noProof/>
            <w:webHidden/>
          </w:rPr>
        </w:r>
        <w:r w:rsidRPr="00B51940">
          <w:rPr>
            <w:noProof/>
            <w:webHidden/>
          </w:rPr>
          <w:fldChar w:fldCharType="separate"/>
        </w:r>
        <w:r w:rsidR="00B51940" w:rsidRPr="00B51940">
          <w:rPr>
            <w:noProof/>
            <w:webHidden/>
          </w:rPr>
          <w:t>70</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1" w:history="1">
        <w:r w:rsidR="00B51940" w:rsidRPr="00B51940">
          <w:rPr>
            <w:rStyle w:val="Hypertextovodkaz"/>
            <w:noProof/>
          </w:rPr>
          <w:t>Tabulka č. 18: Čistá výnosnost SPDR S&amp;P 500</w:t>
        </w:r>
        <w:r w:rsidR="00B51940" w:rsidRPr="00B51940">
          <w:rPr>
            <w:rStyle w:val="Hypertextovodkaz"/>
            <w:noProof/>
            <w:vertAlign w:val="superscript"/>
          </w:rPr>
          <w:t xml:space="preserve"> </w:t>
        </w:r>
        <w:r w:rsidR="00B51940" w:rsidRPr="00B51940">
          <w:rPr>
            <w:rStyle w:val="Hypertextovodkaz"/>
            <w:noProof/>
          </w:rPr>
          <w:t>ETF v letech 2009-2013</w:t>
        </w:r>
        <w:r w:rsidR="00B51940" w:rsidRPr="00B51940">
          <w:rPr>
            <w:noProof/>
            <w:webHidden/>
          </w:rPr>
          <w:tab/>
        </w:r>
        <w:r w:rsidRPr="00B51940">
          <w:rPr>
            <w:noProof/>
            <w:webHidden/>
          </w:rPr>
          <w:fldChar w:fldCharType="begin"/>
        </w:r>
        <w:r w:rsidR="00B51940" w:rsidRPr="00B51940">
          <w:rPr>
            <w:noProof/>
            <w:webHidden/>
          </w:rPr>
          <w:instrText xml:space="preserve"> PAGEREF _Toc385970331 \h </w:instrText>
        </w:r>
        <w:r w:rsidRPr="00B51940">
          <w:rPr>
            <w:noProof/>
            <w:webHidden/>
          </w:rPr>
        </w:r>
        <w:r w:rsidRPr="00B51940">
          <w:rPr>
            <w:noProof/>
            <w:webHidden/>
          </w:rPr>
          <w:fldChar w:fldCharType="separate"/>
        </w:r>
        <w:r w:rsidR="00B51940" w:rsidRPr="00B51940">
          <w:rPr>
            <w:noProof/>
            <w:webHidden/>
          </w:rPr>
          <w:t>71</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2" w:history="1">
        <w:r w:rsidR="00B51940" w:rsidRPr="00B51940">
          <w:rPr>
            <w:rStyle w:val="Hypertextovodkaz"/>
            <w:noProof/>
          </w:rPr>
          <w:t>Tabulka č. 19: Hrubá výnosnost ProShares Ultra S&amp;P500 v % p.a.</w:t>
        </w:r>
        <w:r w:rsidR="00B51940" w:rsidRPr="00B51940">
          <w:rPr>
            <w:noProof/>
            <w:webHidden/>
          </w:rPr>
          <w:tab/>
        </w:r>
        <w:r w:rsidRPr="00B51940">
          <w:rPr>
            <w:noProof/>
            <w:webHidden/>
          </w:rPr>
          <w:fldChar w:fldCharType="begin"/>
        </w:r>
        <w:r w:rsidR="00B51940" w:rsidRPr="00B51940">
          <w:rPr>
            <w:noProof/>
            <w:webHidden/>
          </w:rPr>
          <w:instrText xml:space="preserve"> PAGEREF _Toc385970332 \h </w:instrText>
        </w:r>
        <w:r w:rsidRPr="00B51940">
          <w:rPr>
            <w:noProof/>
            <w:webHidden/>
          </w:rPr>
        </w:r>
        <w:r w:rsidRPr="00B51940">
          <w:rPr>
            <w:noProof/>
            <w:webHidden/>
          </w:rPr>
          <w:fldChar w:fldCharType="separate"/>
        </w:r>
        <w:r w:rsidR="00B51940" w:rsidRPr="00B51940">
          <w:rPr>
            <w:noProof/>
            <w:webHidden/>
          </w:rPr>
          <w:t>74</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3" w:history="1">
        <w:r w:rsidR="00B51940" w:rsidRPr="00B51940">
          <w:rPr>
            <w:rStyle w:val="Hypertextovodkaz"/>
            <w:noProof/>
          </w:rPr>
          <w:t>Tabulka č. 20 Čistá výnosnost ETF ProShares Ultra S&amp;P500 v % p.a.</w:t>
        </w:r>
        <w:r w:rsidR="00B51940" w:rsidRPr="00B51940">
          <w:rPr>
            <w:noProof/>
            <w:webHidden/>
          </w:rPr>
          <w:tab/>
        </w:r>
        <w:r w:rsidRPr="00B51940">
          <w:rPr>
            <w:noProof/>
            <w:webHidden/>
          </w:rPr>
          <w:fldChar w:fldCharType="begin"/>
        </w:r>
        <w:r w:rsidR="00B51940" w:rsidRPr="00B51940">
          <w:rPr>
            <w:noProof/>
            <w:webHidden/>
          </w:rPr>
          <w:instrText xml:space="preserve"> PAGEREF _Toc385970333 \h </w:instrText>
        </w:r>
        <w:r w:rsidRPr="00B51940">
          <w:rPr>
            <w:noProof/>
            <w:webHidden/>
          </w:rPr>
        </w:r>
        <w:r w:rsidRPr="00B51940">
          <w:rPr>
            <w:noProof/>
            <w:webHidden/>
          </w:rPr>
          <w:fldChar w:fldCharType="separate"/>
        </w:r>
        <w:r w:rsidR="00B51940" w:rsidRPr="00B51940">
          <w:rPr>
            <w:noProof/>
            <w:webHidden/>
          </w:rPr>
          <w:t>74</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4" w:history="1">
        <w:r w:rsidR="00B51940" w:rsidRPr="00B51940">
          <w:rPr>
            <w:rStyle w:val="Hypertextovodkaz"/>
            <w:noProof/>
          </w:rPr>
          <w:t>Tabulka č. 21 Hrubá výkonnost ProShares UltraShort S&amp;P500 v letech 2009 – 2013 v % p.a.</w:t>
        </w:r>
        <w:r w:rsidR="00B51940" w:rsidRPr="00B51940">
          <w:rPr>
            <w:noProof/>
            <w:webHidden/>
          </w:rPr>
          <w:tab/>
        </w:r>
        <w:r w:rsidRPr="00B51940">
          <w:rPr>
            <w:noProof/>
            <w:webHidden/>
          </w:rPr>
          <w:fldChar w:fldCharType="begin"/>
        </w:r>
        <w:r w:rsidR="00B51940" w:rsidRPr="00B51940">
          <w:rPr>
            <w:noProof/>
            <w:webHidden/>
          </w:rPr>
          <w:instrText xml:space="preserve"> PAGEREF _Toc385970334 \h </w:instrText>
        </w:r>
        <w:r w:rsidRPr="00B51940">
          <w:rPr>
            <w:noProof/>
            <w:webHidden/>
          </w:rPr>
        </w:r>
        <w:r w:rsidRPr="00B51940">
          <w:rPr>
            <w:noProof/>
            <w:webHidden/>
          </w:rPr>
          <w:fldChar w:fldCharType="separate"/>
        </w:r>
        <w:r w:rsidR="00B51940" w:rsidRPr="00B51940">
          <w:rPr>
            <w:noProof/>
            <w:webHidden/>
          </w:rPr>
          <w:t>77</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5" w:history="1">
        <w:r w:rsidR="00B51940" w:rsidRPr="00B51940">
          <w:rPr>
            <w:rStyle w:val="Hypertextovodkaz"/>
            <w:noProof/>
          </w:rPr>
          <w:t>Tabulka č. 22 Čistá výkonnost ProShares UltraShort S&amp;P500 v letech 2009 – 2013 v % p.a.</w:t>
        </w:r>
        <w:r w:rsidR="00B51940" w:rsidRPr="00B51940">
          <w:rPr>
            <w:noProof/>
            <w:webHidden/>
          </w:rPr>
          <w:tab/>
        </w:r>
        <w:r w:rsidRPr="00B51940">
          <w:rPr>
            <w:noProof/>
            <w:webHidden/>
          </w:rPr>
          <w:fldChar w:fldCharType="begin"/>
        </w:r>
        <w:r w:rsidR="00B51940" w:rsidRPr="00B51940">
          <w:rPr>
            <w:noProof/>
            <w:webHidden/>
          </w:rPr>
          <w:instrText xml:space="preserve"> PAGEREF _Toc385970335 \h </w:instrText>
        </w:r>
        <w:r w:rsidRPr="00B51940">
          <w:rPr>
            <w:noProof/>
            <w:webHidden/>
          </w:rPr>
        </w:r>
        <w:r w:rsidRPr="00B51940">
          <w:rPr>
            <w:noProof/>
            <w:webHidden/>
          </w:rPr>
          <w:fldChar w:fldCharType="separate"/>
        </w:r>
        <w:r w:rsidR="00B51940" w:rsidRPr="00B51940">
          <w:rPr>
            <w:noProof/>
            <w:webHidden/>
          </w:rPr>
          <w:t>78</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6" w:history="1">
        <w:r w:rsidR="00B51940" w:rsidRPr="00B51940">
          <w:rPr>
            <w:rStyle w:val="Hypertextovodkaz"/>
            <w:noProof/>
          </w:rPr>
          <w:t>Tabulka č. 24: Srovnání výnosnosti a volatility fondů</w:t>
        </w:r>
        <w:r w:rsidR="00B51940" w:rsidRPr="00B51940">
          <w:rPr>
            <w:noProof/>
            <w:webHidden/>
          </w:rPr>
          <w:tab/>
        </w:r>
        <w:r w:rsidRPr="00B51940">
          <w:rPr>
            <w:noProof/>
            <w:webHidden/>
          </w:rPr>
          <w:fldChar w:fldCharType="begin"/>
        </w:r>
        <w:r w:rsidR="00B51940" w:rsidRPr="00B51940">
          <w:rPr>
            <w:noProof/>
            <w:webHidden/>
          </w:rPr>
          <w:instrText xml:space="preserve"> PAGEREF _Toc385970336 \h </w:instrText>
        </w:r>
        <w:r w:rsidRPr="00B51940">
          <w:rPr>
            <w:noProof/>
            <w:webHidden/>
          </w:rPr>
        </w:r>
        <w:r w:rsidRPr="00B51940">
          <w:rPr>
            <w:noProof/>
            <w:webHidden/>
          </w:rPr>
          <w:fldChar w:fldCharType="separate"/>
        </w:r>
        <w:r w:rsidR="00B51940" w:rsidRPr="00B51940">
          <w:rPr>
            <w:noProof/>
            <w:webHidden/>
          </w:rPr>
          <w:t>80</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7" w:history="1">
        <w:r w:rsidR="00B51940" w:rsidRPr="00B51940">
          <w:rPr>
            <w:rStyle w:val="Hypertextovodkaz"/>
            <w:noProof/>
          </w:rPr>
          <w:t>Tabulka č. 25: Srovnání Sharpe ratio</w:t>
        </w:r>
        <w:r w:rsidR="00B51940" w:rsidRPr="00B51940">
          <w:rPr>
            <w:noProof/>
            <w:webHidden/>
          </w:rPr>
          <w:tab/>
        </w:r>
        <w:r w:rsidRPr="00B51940">
          <w:rPr>
            <w:noProof/>
            <w:webHidden/>
          </w:rPr>
          <w:fldChar w:fldCharType="begin"/>
        </w:r>
        <w:r w:rsidR="00B51940" w:rsidRPr="00B51940">
          <w:rPr>
            <w:noProof/>
            <w:webHidden/>
          </w:rPr>
          <w:instrText xml:space="preserve"> PAGEREF _Toc385970337 \h </w:instrText>
        </w:r>
        <w:r w:rsidRPr="00B51940">
          <w:rPr>
            <w:noProof/>
            <w:webHidden/>
          </w:rPr>
        </w:r>
        <w:r w:rsidRPr="00B51940">
          <w:rPr>
            <w:noProof/>
            <w:webHidden/>
          </w:rPr>
          <w:fldChar w:fldCharType="separate"/>
        </w:r>
        <w:r w:rsidR="00B51940" w:rsidRPr="00B51940">
          <w:rPr>
            <w:noProof/>
            <w:webHidden/>
          </w:rPr>
          <w:t>81</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8" w:history="1">
        <w:r w:rsidR="00B51940" w:rsidRPr="00B51940">
          <w:rPr>
            <w:rStyle w:val="Hypertextovodkaz"/>
            <w:noProof/>
          </w:rPr>
          <w:t>Tabulka č. 26: Srovnání Informatio Ratio</w:t>
        </w:r>
        <w:r w:rsidR="00B51940" w:rsidRPr="00B51940">
          <w:rPr>
            <w:noProof/>
            <w:webHidden/>
          </w:rPr>
          <w:tab/>
        </w:r>
        <w:r w:rsidRPr="00B51940">
          <w:rPr>
            <w:noProof/>
            <w:webHidden/>
          </w:rPr>
          <w:fldChar w:fldCharType="begin"/>
        </w:r>
        <w:r w:rsidR="00B51940" w:rsidRPr="00B51940">
          <w:rPr>
            <w:noProof/>
            <w:webHidden/>
          </w:rPr>
          <w:instrText xml:space="preserve"> PAGEREF _Toc385970338 \h </w:instrText>
        </w:r>
        <w:r w:rsidRPr="00B51940">
          <w:rPr>
            <w:noProof/>
            <w:webHidden/>
          </w:rPr>
        </w:r>
        <w:r w:rsidRPr="00B51940">
          <w:rPr>
            <w:noProof/>
            <w:webHidden/>
          </w:rPr>
          <w:fldChar w:fldCharType="separate"/>
        </w:r>
        <w:r w:rsidR="00B51940" w:rsidRPr="00B51940">
          <w:rPr>
            <w:noProof/>
            <w:webHidden/>
          </w:rPr>
          <w:t>83</w:t>
        </w:r>
        <w:r w:rsidRPr="00B51940">
          <w:rPr>
            <w:noProof/>
            <w:webHidden/>
          </w:rPr>
          <w:fldChar w:fldCharType="end"/>
        </w:r>
      </w:hyperlink>
    </w:p>
    <w:p w:rsidR="00B51940" w:rsidRPr="00B51940" w:rsidRDefault="008B79C7">
      <w:pPr>
        <w:pStyle w:val="Seznamobrzk"/>
        <w:tabs>
          <w:tab w:val="right" w:leader="dot" w:pos="9060"/>
        </w:tabs>
        <w:rPr>
          <w:rFonts w:asciiTheme="minorHAnsi" w:eastAsiaTheme="minorEastAsia" w:hAnsiTheme="minorHAnsi"/>
          <w:noProof/>
          <w:sz w:val="22"/>
          <w:lang w:eastAsia="cs-CZ"/>
        </w:rPr>
      </w:pPr>
      <w:hyperlink w:anchor="_Toc385970339" w:history="1">
        <w:r w:rsidR="00B51940" w:rsidRPr="00B51940">
          <w:rPr>
            <w:rStyle w:val="Hypertextovodkaz"/>
            <w:noProof/>
          </w:rPr>
          <w:t>Tabulka č. 27: Shrnutí výsledků za pětiletý horzont</w:t>
        </w:r>
        <w:r w:rsidR="00B51940" w:rsidRPr="00B51940">
          <w:rPr>
            <w:noProof/>
            <w:webHidden/>
          </w:rPr>
          <w:tab/>
        </w:r>
        <w:r w:rsidRPr="00B51940">
          <w:rPr>
            <w:noProof/>
            <w:webHidden/>
          </w:rPr>
          <w:fldChar w:fldCharType="begin"/>
        </w:r>
        <w:r w:rsidR="00B51940" w:rsidRPr="00B51940">
          <w:rPr>
            <w:noProof/>
            <w:webHidden/>
          </w:rPr>
          <w:instrText xml:space="preserve"> PAGEREF _Toc385970339 \h </w:instrText>
        </w:r>
        <w:r w:rsidRPr="00B51940">
          <w:rPr>
            <w:noProof/>
            <w:webHidden/>
          </w:rPr>
        </w:r>
        <w:r w:rsidRPr="00B51940">
          <w:rPr>
            <w:noProof/>
            <w:webHidden/>
          </w:rPr>
          <w:fldChar w:fldCharType="separate"/>
        </w:r>
        <w:r w:rsidR="00B51940" w:rsidRPr="00B51940">
          <w:rPr>
            <w:noProof/>
            <w:webHidden/>
          </w:rPr>
          <w:t>83</w:t>
        </w:r>
        <w:r w:rsidRPr="00B51940">
          <w:rPr>
            <w:noProof/>
            <w:webHidden/>
          </w:rPr>
          <w:fldChar w:fldCharType="end"/>
        </w:r>
      </w:hyperlink>
    </w:p>
    <w:p w:rsidR="00B51940" w:rsidRDefault="008B79C7" w:rsidP="00B51940">
      <w:pPr>
        <w:rPr>
          <w:b/>
        </w:rPr>
      </w:pPr>
      <w:r>
        <w:rPr>
          <w:b/>
        </w:rPr>
        <w:fldChar w:fldCharType="end"/>
      </w:r>
    </w:p>
    <w:p w:rsidR="00B51940" w:rsidRPr="00B51940" w:rsidRDefault="00B51940" w:rsidP="00B51940">
      <w:pPr>
        <w:rPr>
          <w:b/>
        </w:rPr>
      </w:pPr>
    </w:p>
    <w:p w:rsidR="00B51940" w:rsidRPr="00B51940" w:rsidRDefault="00B51940" w:rsidP="00AF399C">
      <w:pPr>
        <w:rPr>
          <w:b/>
        </w:rPr>
      </w:pPr>
      <w:r w:rsidRPr="00B51940">
        <w:rPr>
          <w:b/>
        </w:rPr>
        <w:lastRenderedPageBreak/>
        <w:t>Seznam grafů</w:t>
      </w:r>
    </w:p>
    <w:p w:rsidR="00236134" w:rsidRDefault="008B79C7">
      <w:pPr>
        <w:pStyle w:val="Seznamobrzk"/>
        <w:tabs>
          <w:tab w:val="right" w:leader="dot" w:pos="9060"/>
        </w:tabs>
        <w:rPr>
          <w:rFonts w:asciiTheme="minorHAnsi" w:eastAsiaTheme="minorEastAsia" w:hAnsiTheme="minorHAnsi"/>
          <w:noProof/>
          <w:sz w:val="22"/>
          <w:lang w:eastAsia="cs-CZ"/>
        </w:rPr>
      </w:pPr>
      <w:r w:rsidRPr="00B51940">
        <w:fldChar w:fldCharType="begin"/>
      </w:r>
      <w:r w:rsidR="00B51940" w:rsidRPr="00B51940">
        <w:instrText xml:space="preserve"> TOC \h \z \c "Graf č." </w:instrText>
      </w:r>
      <w:r w:rsidRPr="00B51940">
        <w:fldChar w:fldCharType="separate"/>
      </w:r>
      <w:hyperlink w:anchor="_Toc385970602" w:history="1">
        <w:r w:rsidR="00236134" w:rsidRPr="00595004">
          <w:rPr>
            <w:rStyle w:val="Hypertextovodkaz"/>
            <w:noProof/>
          </w:rPr>
          <w:t>Graf č. 1: Počet burzovně obchodovaných ETP v letech 2000-2013</w:t>
        </w:r>
        <w:r w:rsidR="00236134">
          <w:rPr>
            <w:noProof/>
            <w:webHidden/>
          </w:rPr>
          <w:tab/>
        </w:r>
        <w:r>
          <w:rPr>
            <w:noProof/>
            <w:webHidden/>
          </w:rPr>
          <w:fldChar w:fldCharType="begin"/>
        </w:r>
        <w:r w:rsidR="00236134">
          <w:rPr>
            <w:noProof/>
            <w:webHidden/>
          </w:rPr>
          <w:instrText xml:space="preserve"> PAGEREF _Toc385970602 \h </w:instrText>
        </w:r>
        <w:r>
          <w:rPr>
            <w:noProof/>
            <w:webHidden/>
          </w:rPr>
        </w:r>
        <w:r>
          <w:rPr>
            <w:noProof/>
            <w:webHidden/>
          </w:rPr>
          <w:fldChar w:fldCharType="separate"/>
        </w:r>
        <w:r w:rsidR="00236134">
          <w:rPr>
            <w:noProof/>
            <w:webHidden/>
          </w:rPr>
          <w:t>21</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3" w:history="1">
        <w:r w:rsidR="00236134" w:rsidRPr="00595004">
          <w:rPr>
            <w:rStyle w:val="Hypertextovodkaz"/>
            <w:noProof/>
          </w:rPr>
          <w:t>Graf č. 2: Srovnání počtu ETP emitovaných v US a Evropě</w:t>
        </w:r>
        <w:r w:rsidR="00236134">
          <w:rPr>
            <w:noProof/>
            <w:webHidden/>
          </w:rPr>
          <w:tab/>
        </w:r>
        <w:r>
          <w:rPr>
            <w:noProof/>
            <w:webHidden/>
          </w:rPr>
          <w:fldChar w:fldCharType="begin"/>
        </w:r>
        <w:r w:rsidR="00236134">
          <w:rPr>
            <w:noProof/>
            <w:webHidden/>
          </w:rPr>
          <w:instrText xml:space="preserve"> PAGEREF _Toc385970603 \h </w:instrText>
        </w:r>
        <w:r>
          <w:rPr>
            <w:noProof/>
            <w:webHidden/>
          </w:rPr>
        </w:r>
        <w:r>
          <w:rPr>
            <w:noProof/>
            <w:webHidden/>
          </w:rPr>
          <w:fldChar w:fldCharType="separate"/>
        </w:r>
        <w:r w:rsidR="00236134">
          <w:rPr>
            <w:noProof/>
            <w:webHidden/>
          </w:rPr>
          <w:t>22</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4" w:history="1">
        <w:r w:rsidR="00236134" w:rsidRPr="00595004">
          <w:rPr>
            <w:rStyle w:val="Hypertextovodkaz"/>
            <w:noProof/>
          </w:rPr>
          <w:t>Graf č. 3: Procento počtu fondů kolektivního investování dle zaměření fondu</w:t>
        </w:r>
        <w:r w:rsidR="00236134">
          <w:rPr>
            <w:noProof/>
            <w:webHidden/>
          </w:rPr>
          <w:tab/>
        </w:r>
        <w:r>
          <w:rPr>
            <w:noProof/>
            <w:webHidden/>
          </w:rPr>
          <w:fldChar w:fldCharType="begin"/>
        </w:r>
        <w:r w:rsidR="00236134">
          <w:rPr>
            <w:noProof/>
            <w:webHidden/>
          </w:rPr>
          <w:instrText xml:space="preserve"> PAGEREF _Toc385970604 \h </w:instrText>
        </w:r>
        <w:r>
          <w:rPr>
            <w:noProof/>
            <w:webHidden/>
          </w:rPr>
        </w:r>
        <w:r>
          <w:rPr>
            <w:noProof/>
            <w:webHidden/>
          </w:rPr>
          <w:fldChar w:fldCharType="separate"/>
        </w:r>
        <w:r w:rsidR="00236134">
          <w:rPr>
            <w:noProof/>
            <w:webHidden/>
          </w:rPr>
          <w:t>23</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5" w:history="1">
        <w:r w:rsidR="00236134" w:rsidRPr="00595004">
          <w:rPr>
            <w:rStyle w:val="Hypertextovodkaz"/>
            <w:noProof/>
          </w:rPr>
          <w:t>Graf č. 4: Procento počtu ETF dle zaměření fondu</w:t>
        </w:r>
        <w:r w:rsidR="00236134">
          <w:rPr>
            <w:noProof/>
            <w:webHidden/>
          </w:rPr>
          <w:tab/>
        </w:r>
        <w:r>
          <w:rPr>
            <w:noProof/>
            <w:webHidden/>
          </w:rPr>
          <w:fldChar w:fldCharType="begin"/>
        </w:r>
        <w:r w:rsidR="00236134">
          <w:rPr>
            <w:noProof/>
            <w:webHidden/>
          </w:rPr>
          <w:instrText xml:space="preserve"> PAGEREF _Toc385970605 \h </w:instrText>
        </w:r>
        <w:r>
          <w:rPr>
            <w:noProof/>
            <w:webHidden/>
          </w:rPr>
        </w:r>
        <w:r>
          <w:rPr>
            <w:noProof/>
            <w:webHidden/>
          </w:rPr>
          <w:fldChar w:fldCharType="separate"/>
        </w:r>
        <w:r w:rsidR="00236134">
          <w:rPr>
            <w:noProof/>
            <w:webHidden/>
          </w:rPr>
          <w:t>24</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6" w:history="1">
        <w:r w:rsidR="00236134" w:rsidRPr="00595004">
          <w:rPr>
            <w:rStyle w:val="Hypertextovodkaz"/>
            <w:noProof/>
          </w:rPr>
          <w:t>Graf č. 5: Podíly ETPs dle zaměření na americkém trhu k 30.9.2012 (v %)</w:t>
        </w:r>
        <w:r w:rsidR="00236134">
          <w:rPr>
            <w:noProof/>
            <w:webHidden/>
          </w:rPr>
          <w:tab/>
        </w:r>
        <w:r>
          <w:rPr>
            <w:noProof/>
            <w:webHidden/>
          </w:rPr>
          <w:fldChar w:fldCharType="begin"/>
        </w:r>
        <w:r w:rsidR="00236134">
          <w:rPr>
            <w:noProof/>
            <w:webHidden/>
          </w:rPr>
          <w:instrText xml:space="preserve"> PAGEREF _Toc385970606 \h </w:instrText>
        </w:r>
        <w:r>
          <w:rPr>
            <w:noProof/>
            <w:webHidden/>
          </w:rPr>
        </w:r>
        <w:r>
          <w:rPr>
            <w:noProof/>
            <w:webHidden/>
          </w:rPr>
          <w:fldChar w:fldCharType="separate"/>
        </w:r>
        <w:r w:rsidR="00236134">
          <w:rPr>
            <w:noProof/>
            <w:webHidden/>
          </w:rPr>
          <w:t>46</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7" w:history="1">
        <w:r w:rsidR="00236134" w:rsidRPr="00595004">
          <w:rPr>
            <w:rStyle w:val="Hypertextovodkaz"/>
            <w:noProof/>
          </w:rPr>
          <w:t>Graf č. 6: Podíly ETPs dle zaměření na evropském trhu k 30.9.2012 (v %)</w:t>
        </w:r>
        <w:r w:rsidR="00236134">
          <w:rPr>
            <w:noProof/>
            <w:webHidden/>
          </w:rPr>
          <w:tab/>
        </w:r>
        <w:r>
          <w:rPr>
            <w:noProof/>
            <w:webHidden/>
          </w:rPr>
          <w:fldChar w:fldCharType="begin"/>
        </w:r>
        <w:r w:rsidR="00236134">
          <w:rPr>
            <w:noProof/>
            <w:webHidden/>
          </w:rPr>
          <w:instrText xml:space="preserve"> PAGEREF _Toc385970607 \h </w:instrText>
        </w:r>
        <w:r>
          <w:rPr>
            <w:noProof/>
            <w:webHidden/>
          </w:rPr>
        </w:r>
        <w:r>
          <w:rPr>
            <w:noProof/>
            <w:webHidden/>
          </w:rPr>
          <w:fldChar w:fldCharType="separate"/>
        </w:r>
        <w:r w:rsidR="00236134">
          <w:rPr>
            <w:noProof/>
            <w:webHidden/>
          </w:rPr>
          <w:t>48</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8" w:history="1">
        <w:r w:rsidR="00236134" w:rsidRPr="00595004">
          <w:rPr>
            <w:rStyle w:val="Hypertextovodkaz"/>
            <w:noProof/>
          </w:rPr>
          <w:t>Graf č. 7: Podíly ETPs dle zaměření na kanadském  trhu k 30.9.2012 (v %)</w:t>
        </w:r>
        <w:r w:rsidR="00236134">
          <w:rPr>
            <w:noProof/>
            <w:webHidden/>
          </w:rPr>
          <w:tab/>
        </w:r>
        <w:r>
          <w:rPr>
            <w:noProof/>
            <w:webHidden/>
          </w:rPr>
          <w:fldChar w:fldCharType="begin"/>
        </w:r>
        <w:r w:rsidR="00236134">
          <w:rPr>
            <w:noProof/>
            <w:webHidden/>
          </w:rPr>
          <w:instrText xml:space="preserve"> PAGEREF _Toc385970608 \h </w:instrText>
        </w:r>
        <w:r>
          <w:rPr>
            <w:noProof/>
            <w:webHidden/>
          </w:rPr>
        </w:r>
        <w:r>
          <w:rPr>
            <w:noProof/>
            <w:webHidden/>
          </w:rPr>
          <w:fldChar w:fldCharType="separate"/>
        </w:r>
        <w:r w:rsidR="00236134">
          <w:rPr>
            <w:noProof/>
            <w:webHidden/>
          </w:rPr>
          <w:t>49</w:t>
        </w:r>
        <w:r>
          <w:rPr>
            <w:noProof/>
            <w:webHidden/>
          </w:rPr>
          <w:fldChar w:fldCharType="end"/>
        </w:r>
      </w:hyperlink>
    </w:p>
    <w:p w:rsidR="00236134" w:rsidRDefault="008B79C7">
      <w:pPr>
        <w:pStyle w:val="Seznamobrzk"/>
        <w:tabs>
          <w:tab w:val="right" w:leader="dot" w:pos="9060"/>
        </w:tabs>
        <w:rPr>
          <w:rFonts w:asciiTheme="minorHAnsi" w:eastAsiaTheme="minorEastAsia" w:hAnsiTheme="minorHAnsi"/>
          <w:noProof/>
          <w:sz w:val="22"/>
          <w:lang w:eastAsia="cs-CZ"/>
        </w:rPr>
      </w:pPr>
      <w:hyperlink w:anchor="_Toc385970609" w:history="1">
        <w:r w:rsidR="00236134" w:rsidRPr="00595004">
          <w:rPr>
            <w:rStyle w:val="Hypertextovodkaz"/>
            <w:noProof/>
          </w:rPr>
          <w:t>Graf č. 8: : Podíly ETPs dle zaměření na trhu Latinské Ameriky k 30.9.2012 (v %)</w:t>
        </w:r>
        <w:r w:rsidR="00236134">
          <w:rPr>
            <w:noProof/>
            <w:webHidden/>
          </w:rPr>
          <w:tab/>
        </w:r>
        <w:r>
          <w:rPr>
            <w:noProof/>
            <w:webHidden/>
          </w:rPr>
          <w:fldChar w:fldCharType="begin"/>
        </w:r>
        <w:r w:rsidR="00236134">
          <w:rPr>
            <w:noProof/>
            <w:webHidden/>
          </w:rPr>
          <w:instrText xml:space="preserve"> PAGEREF _Toc385970609 \h </w:instrText>
        </w:r>
        <w:r>
          <w:rPr>
            <w:noProof/>
            <w:webHidden/>
          </w:rPr>
        </w:r>
        <w:r>
          <w:rPr>
            <w:noProof/>
            <w:webHidden/>
          </w:rPr>
          <w:fldChar w:fldCharType="separate"/>
        </w:r>
        <w:r w:rsidR="00236134">
          <w:rPr>
            <w:noProof/>
            <w:webHidden/>
          </w:rPr>
          <w:t>51</w:t>
        </w:r>
        <w:r>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0" w:history="1">
        <w:r w:rsidR="00236134" w:rsidRPr="00236134">
          <w:rPr>
            <w:rStyle w:val="Hypertextovodkaz"/>
            <w:noProof/>
          </w:rPr>
          <w:t>Graf č. 9: Podíly ETPs dle zaměření na trhu Asie a Tichomoří k 30.9.2012 (v %)</w:t>
        </w:r>
        <w:r w:rsidR="00236134" w:rsidRPr="00236134">
          <w:rPr>
            <w:noProof/>
            <w:webHidden/>
          </w:rPr>
          <w:tab/>
        </w:r>
        <w:r w:rsidRPr="00236134">
          <w:rPr>
            <w:noProof/>
            <w:webHidden/>
          </w:rPr>
          <w:fldChar w:fldCharType="begin"/>
        </w:r>
        <w:r w:rsidR="00236134" w:rsidRPr="00236134">
          <w:rPr>
            <w:noProof/>
            <w:webHidden/>
          </w:rPr>
          <w:instrText xml:space="preserve"> PAGEREF _Toc385970610 \h </w:instrText>
        </w:r>
        <w:r w:rsidRPr="00236134">
          <w:rPr>
            <w:noProof/>
            <w:webHidden/>
          </w:rPr>
        </w:r>
        <w:r w:rsidRPr="00236134">
          <w:rPr>
            <w:noProof/>
            <w:webHidden/>
          </w:rPr>
          <w:fldChar w:fldCharType="separate"/>
        </w:r>
        <w:r w:rsidR="00236134" w:rsidRPr="00236134">
          <w:rPr>
            <w:noProof/>
            <w:webHidden/>
          </w:rPr>
          <w:t>53</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1" w:history="1">
        <w:r w:rsidR="00236134" w:rsidRPr="00236134">
          <w:rPr>
            <w:rStyle w:val="Hypertextovodkaz"/>
            <w:noProof/>
          </w:rPr>
          <w:t>Graf č. 10: Graf vývoje hodnoty indexu S</w:t>
        </w:r>
        <w:r w:rsidR="00236134" w:rsidRPr="00236134">
          <w:rPr>
            <w:rStyle w:val="Hypertextovodkaz"/>
            <w:noProof/>
            <w:lang w:val="en-US"/>
          </w:rPr>
          <w:t>&amp;</w:t>
        </w:r>
        <w:r w:rsidR="00236134" w:rsidRPr="00236134">
          <w:rPr>
            <w:rStyle w:val="Hypertextovodkaz"/>
            <w:noProof/>
          </w:rPr>
          <w:t>P500</w:t>
        </w:r>
        <w:r w:rsidR="00236134" w:rsidRPr="00236134">
          <w:rPr>
            <w:noProof/>
            <w:webHidden/>
          </w:rPr>
          <w:tab/>
        </w:r>
        <w:r w:rsidRPr="00236134">
          <w:rPr>
            <w:noProof/>
            <w:webHidden/>
          </w:rPr>
          <w:fldChar w:fldCharType="begin"/>
        </w:r>
        <w:r w:rsidR="00236134" w:rsidRPr="00236134">
          <w:rPr>
            <w:noProof/>
            <w:webHidden/>
          </w:rPr>
          <w:instrText xml:space="preserve"> PAGEREF _Toc385970611 \h </w:instrText>
        </w:r>
        <w:r w:rsidRPr="00236134">
          <w:rPr>
            <w:noProof/>
            <w:webHidden/>
          </w:rPr>
        </w:r>
        <w:r w:rsidRPr="00236134">
          <w:rPr>
            <w:noProof/>
            <w:webHidden/>
          </w:rPr>
          <w:fldChar w:fldCharType="separate"/>
        </w:r>
        <w:r w:rsidR="00236134" w:rsidRPr="00236134">
          <w:rPr>
            <w:noProof/>
            <w:webHidden/>
          </w:rPr>
          <w:t>64</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2" w:history="1">
        <w:r w:rsidR="00236134" w:rsidRPr="00236134">
          <w:rPr>
            <w:rStyle w:val="Hypertextovodkaz"/>
            <w:noProof/>
          </w:rPr>
          <w:t>Graf č. 11: Vývoj hodnoty kurzu podílového listu BE0166769266</w:t>
        </w:r>
        <w:r w:rsidR="00236134" w:rsidRPr="00236134">
          <w:rPr>
            <w:noProof/>
            <w:webHidden/>
          </w:rPr>
          <w:tab/>
        </w:r>
        <w:r w:rsidRPr="00236134">
          <w:rPr>
            <w:noProof/>
            <w:webHidden/>
          </w:rPr>
          <w:fldChar w:fldCharType="begin"/>
        </w:r>
        <w:r w:rsidR="00236134" w:rsidRPr="00236134">
          <w:rPr>
            <w:noProof/>
            <w:webHidden/>
          </w:rPr>
          <w:instrText xml:space="preserve"> PAGEREF _Toc385970612 \h </w:instrText>
        </w:r>
        <w:r w:rsidRPr="00236134">
          <w:rPr>
            <w:noProof/>
            <w:webHidden/>
          </w:rPr>
        </w:r>
        <w:r w:rsidRPr="00236134">
          <w:rPr>
            <w:noProof/>
            <w:webHidden/>
          </w:rPr>
          <w:fldChar w:fldCharType="separate"/>
        </w:r>
        <w:r w:rsidR="00236134" w:rsidRPr="00236134">
          <w:rPr>
            <w:noProof/>
            <w:webHidden/>
          </w:rPr>
          <w:t>66</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3" w:history="1">
        <w:r w:rsidR="00236134" w:rsidRPr="00236134">
          <w:rPr>
            <w:rStyle w:val="Hypertextovodkaz"/>
            <w:noProof/>
          </w:rPr>
          <w:t>Graf č. 12: Srovnání výkonnosti podílového listu BE0166769266 a indexu S&amp;P 500</w:t>
        </w:r>
        <w:r w:rsidR="00236134" w:rsidRPr="00236134">
          <w:rPr>
            <w:noProof/>
            <w:webHidden/>
          </w:rPr>
          <w:tab/>
        </w:r>
        <w:r w:rsidRPr="00236134">
          <w:rPr>
            <w:noProof/>
            <w:webHidden/>
          </w:rPr>
          <w:fldChar w:fldCharType="begin"/>
        </w:r>
        <w:r w:rsidR="00236134" w:rsidRPr="00236134">
          <w:rPr>
            <w:noProof/>
            <w:webHidden/>
          </w:rPr>
          <w:instrText xml:space="preserve"> PAGEREF _Toc385970613 \h </w:instrText>
        </w:r>
        <w:r w:rsidRPr="00236134">
          <w:rPr>
            <w:noProof/>
            <w:webHidden/>
          </w:rPr>
        </w:r>
        <w:r w:rsidRPr="00236134">
          <w:rPr>
            <w:noProof/>
            <w:webHidden/>
          </w:rPr>
          <w:fldChar w:fldCharType="separate"/>
        </w:r>
        <w:r w:rsidR="00236134" w:rsidRPr="00236134">
          <w:rPr>
            <w:noProof/>
            <w:webHidden/>
          </w:rPr>
          <w:t>68</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4" w:history="1">
        <w:r w:rsidR="00236134" w:rsidRPr="00236134">
          <w:rPr>
            <w:rStyle w:val="Hypertextovodkaz"/>
            <w:noProof/>
          </w:rPr>
          <w:t>Graf č. 13: Vývoj hodnoty kurzu ETF SPY</w:t>
        </w:r>
        <w:r w:rsidR="00236134" w:rsidRPr="00236134">
          <w:rPr>
            <w:noProof/>
            <w:webHidden/>
          </w:rPr>
          <w:tab/>
        </w:r>
        <w:r w:rsidRPr="00236134">
          <w:rPr>
            <w:noProof/>
            <w:webHidden/>
          </w:rPr>
          <w:fldChar w:fldCharType="begin"/>
        </w:r>
        <w:r w:rsidR="00236134" w:rsidRPr="00236134">
          <w:rPr>
            <w:noProof/>
            <w:webHidden/>
          </w:rPr>
          <w:instrText xml:space="preserve"> PAGEREF _Toc385970614 \h </w:instrText>
        </w:r>
        <w:r w:rsidRPr="00236134">
          <w:rPr>
            <w:noProof/>
            <w:webHidden/>
          </w:rPr>
        </w:r>
        <w:r w:rsidRPr="00236134">
          <w:rPr>
            <w:noProof/>
            <w:webHidden/>
          </w:rPr>
          <w:fldChar w:fldCharType="separate"/>
        </w:r>
        <w:r w:rsidR="00236134" w:rsidRPr="00236134">
          <w:rPr>
            <w:noProof/>
            <w:webHidden/>
          </w:rPr>
          <w:t>69</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5" w:history="1">
        <w:r w:rsidR="00236134" w:rsidRPr="00236134">
          <w:rPr>
            <w:rStyle w:val="Hypertextovodkaz"/>
            <w:noProof/>
          </w:rPr>
          <w:t>Graf č. 14: Srovnání Výkonnosti SPY  a indexu S&amp;P 500</w:t>
        </w:r>
        <w:r w:rsidR="00236134" w:rsidRPr="00236134">
          <w:rPr>
            <w:noProof/>
            <w:webHidden/>
          </w:rPr>
          <w:tab/>
        </w:r>
        <w:r w:rsidRPr="00236134">
          <w:rPr>
            <w:noProof/>
            <w:webHidden/>
          </w:rPr>
          <w:fldChar w:fldCharType="begin"/>
        </w:r>
        <w:r w:rsidR="00236134" w:rsidRPr="00236134">
          <w:rPr>
            <w:noProof/>
            <w:webHidden/>
          </w:rPr>
          <w:instrText xml:space="preserve"> PAGEREF _Toc385970615 \h </w:instrText>
        </w:r>
        <w:r w:rsidRPr="00236134">
          <w:rPr>
            <w:noProof/>
            <w:webHidden/>
          </w:rPr>
        </w:r>
        <w:r w:rsidRPr="00236134">
          <w:rPr>
            <w:noProof/>
            <w:webHidden/>
          </w:rPr>
          <w:fldChar w:fldCharType="separate"/>
        </w:r>
        <w:r w:rsidR="00236134" w:rsidRPr="00236134">
          <w:rPr>
            <w:noProof/>
            <w:webHidden/>
          </w:rPr>
          <w:t>71</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6" w:history="1">
        <w:r w:rsidR="00236134" w:rsidRPr="00236134">
          <w:rPr>
            <w:rStyle w:val="Hypertextovodkaz"/>
            <w:noProof/>
          </w:rPr>
          <w:t>Graf č. 15: Vývoj hodnoty kurzu pákového ETF SSO</w:t>
        </w:r>
        <w:r w:rsidR="00236134" w:rsidRPr="00236134">
          <w:rPr>
            <w:noProof/>
            <w:webHidden/>
          </w:rPr>
          <w:tab/>
        </w:r>
        <w:r w:rsidRPr="00236134">
          <w:rPr>
            <w:noProof/>
            <w:webHidden/>
          </w:rPr>
          <w:fldChar w:fldCharType="begin"/>
        </w:r>
        <w:r w:rsidR="00236134" w:rsidRPr="00236134">
          <w:rPr>
            <w:noProof/>
            <w:webHidden/>
          </w:rPr>
          <w:instrText xml:space="preserve"> PAGEREF _Toc385970616 \h </w:instrText>
        </w:r>
        <w:r w:rsidRPr="00236134">
          <w:rPr>
            <w:noProof/>
            <w:webHidden/>
          </w:rPr>
        </w:r>
        <w:r w:rsidRPr="00236134">
          <w:rPr>
            <w:noProof/>
            <w:webHidden/>
          </w:rPr>
          <w:fldChar w:fldCharType="separate"/>
        </w:r>
        <w:r w:rsidR="00236134" w:rsidRPr="00236134">
          <w:rPr>
            <w:noProof/>
            <w:webHidden/>
          </w:rPr>
          <w:t>73</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7" w:history="1">
        <w:r w:rsidR="00236134" w:rsidRPr="00236134">
          <w:rPr>
            <w:rStyle w:val="Hypertextovodkaz"/>
            <w:noProof/>
          </w:rPr>
          <w:t>Graf č. 16 : Srovnání výkonnosti ProShares Ultra S&amp;P500 a Indexu S&amp;P500</w:t>
        </w:r>
        <w:r w:rsidR="00236134" w:rsidRPr="00236134">
          <w:rPr>
            <w:noProof/>
            <w:webHidden/>
          </w:rPr>
          <w:tab/>
        </w:r>
        <w:r w:rsidRPr="00236134">
          <w:rPr>
            <w:noProof/>
            <w:webHidden/>
          </w:rPr>
          <w:fldChar w:fldCharType="begin"/>
        </w:r>
        <w:r w:rsidR="00236134" w:rsidRPr="00236134">
          <w:rPr>
            <w:noProof/>
            <w:webHidden/>
          </w:rPr>
          <w:instrText xml:space="preserve"> PAGEREF _Toc385970617 \h </w:instrText>
        </w:r>
        <w:r w:rsidRPr="00236134">
          <w:rPr>
            <w:noProof/>
            <w:webHidden/>
          </w:rPr>
        </w:r>
        <w:r w:rsidRPr="00236134">
          <w:rPr>
            <w:noProof/>
            <w:webHidden/>
          </w:rPr>
          <w:fldChar w:fldCharType="separate"/>
        </w:r>
        <w:r w:rsidR="00236134" w:rsidRPr="00236134">
          <w:rPr>
            <w:noProof/>
            <w:webHidden/>
          </w:rPr>
          <w:t>75</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8" w:history="1">
        <w:r w:rsidR="00236134" w:rsidRPr="00236134">
          <w:rPr>
            <w:rStyle w:val="Hypertextovodkaz"/>
            <w:noProof/>
          </w:rPr>
          <w:t>Graf č. 17: Vývoj hodnoty kurzu SDS v letech 2009-2013</w:t>
        </w:r>
        <w:r w:rsidR="00236134" w:rsidRPr="00236134">
          <w:rPr>
            <w:noProof/>
            <w:webHidden/>
          </w:rPr>
          <w:tab/>
        </w:r>
        <w:r w:rsidRPr="00236134">
          <w:rPr>
            <w:noProof/>
            <w:webHidden/>
          </w:rPr>
          <w:fldChar w:fldCharType="begin"/>
        </w:r>
        <w:r w:rsidR="00236134" w:rsidRPr="00236134">
          <w:rPr>
            <w:noProof/>
            <w:webHidden/>
          </w:rPr>
          <w:instrText xml:space="preserve"> PAGEREF _Toc385970618 \h </w:instrText>
        </w:r>
        <w:r w:rsidRPr="00236134">
          <w:rPr>
            <w:noProof/>
            <w:webHidden/>
          </w:rPr>
        </w:r>
        <w:r w:rsidRPr="00236134">
          <w:rPr>
            <w:noProof/>
            <w:webHidden/>
          </w:rPr>
          <w:fldChar w:fldCharType="separate"/>
        </w:r>
        <w:r w:rsidR="00236134" w:rsidRPr="00236134">
          <w:rPr>
            <w:noProof/>
            <w:webHidden/>
          </w:rPr>
          <w:t>76</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19" w:history="1">
        <w:r w:rsidR="00236134" w:rsidRPr="00236134">
          <w:rPr>
            <w:rStyle w:val="Hypertextovodkaz"/>
            <w:noProof/>
          </w:rPr>
          <w:t>Graf č. 18 Srovnání výkonnosti ProShares UltraShort S&amp;P500 a Indexu S&amp;P500</w:t>
        </w:r>
        <w:r w:rsidR="00236134" w:rsidRPr="00236134">
          <w:rPr>
            <w:noProof/>
            <w:webHidden/>
          </w:rPr>
          <w:tab/>
        </w:r>
        <w:r w:rsidRPr="00236134">
          <w:rPr>
            <w:noProof/>
            <w:webHidden/>
          </w:rPr>
          <w:fldChar w:fldCharType="begin"/>
        </w:r>
        <w:r w:rsidR="00236134" w:rsidRPr="00236134">
          <w:rPr>
            <w:noProof/>
            <w:webHidden/>
          </w:rPr>
          <w:instrText xml:space="preserve"> PAGEREF _Toc385970619 \h </w:instrText>
        </w:r>
        <w:r w:rsidRPr="00236134">
          <w:rPr>
            <w:noProof/>
            <w:webHidden/>
          </w:rPr>
        </w:r>
        <w:r w:rsidRPr="00236134">
          <w:rPr>
            <w:noProof/>
            <w:webHidden/>
          </w:rPr>
          <w:fldChar w:fldCharType="separate"/>
        </w:r>
        <w:r w:rsidR="00236134" w:rsidRPr="00236134">
          <w:rPr>
            <w:noProof/>
            <w:webHidden/>
          </w:rPr>
          <w:t>79</w:t>
        </w:r>
        <w:r w:rsidRPr="00236134">
          <w:rPr>
            <w:noProof/>
            <w:webHidden/>
          </w:rPr>
          <w:fldChar w:fldCharType="end"/>
        </w:r>
      </w:hyperlink>
    </w:p>
    <w:p w:rsidR="00236134" w:rsidRPr="00236134" w:rsidRDefault="008B79C7">
      <w:pPr>
        <w:pStyle w:val="Seznamobrzk"/>
        <w:tabs>
          <w:tab w:val="right" w:leader="dot" w:pos="9060"/>
        </w:tabs>
        <w:rPr>
          <w:rFonts w:asciiTheme="minorHAnsi" w:eastAsiaTheme="minorEastAsia" w:hAnsiTheme="minorHAnsi"/>
          <w:noProof/>
          <w:sz w:val="22"/>
          <w:lang w:eastAsia="cs-CZ"/>
        </w:rPr>
      </w:pPr>
      <w:hyperlink w:anchor="_Toc385970620" w:history="1">
        <w:r w:rsidR="00236134" w:rsidRPr="00236134">
          <w:rPr>
            <w:rStyle w:val="Hypertextovodkaz"/>
            <w:noProof/>
          </w:rPr>
          <w:t>Graf č. 19: Srovnání hodnot Sharpe ratio</w:t>
        </w:r>
        <w:r w:rsidR="00236134" w:rsidRPr="00236134">
          <w:rPr>
            <w:noProof/>
            <w:webHidden/>
          </w:rPr>
          <w:tab/>
        </w:r>
        <w:r w:rsidRPr="00236134">
          <w:rPr>
            <w:noProof/>
            <w:webHidden/>
          </w:rPr>
          <w:fldChar w:fldCharType="begin"/>
        </w:r>
        <w:r w:rsidR="00236134" w:rsidRPr="00236134">
          <w:rPr>
            <w:noProof/>
            <w:webHidden/>
          </w:rPr>
          <w:instrText xml:space="preserve"> PAGEREF _Toc385970620 \h </w:instrText>
        </w:r>
        <w:r w:rsidRPr="00236134">
          <w:rPr>
            <w:noProof/>
            <w:webHidden/>
          </w:rPr>
        </w:r>
        <w:r w:rsidRPr="00236134">
          <w:rPr>
            <w:noProof/>
            <w:webHidden/>
          </w:rPr>
          <w:fldChar w:fldCharType="separate"/>
        </w:r>
        <w:r w:rsidR="00236134" w:rsidRPr="00236134">
          <w:rPr>
            <w:noProof/>
            <w:webHidden/>
          </w:rPr>
          <w:t>82</w:t>
        </w:r>
        <w:r w:rsidRPr="00236134">
          <w:rPr>
            <w:noProof/>
            <w:webHidden/>
          </w:rPr>
          <w:fldChar w:fldCharType="end"/>
        </w:r>
      </w:hyperlink>
    </w:p>
    <w:p w:rsidR="00B51940" w:rsidRPr="00B51940" w:rsidRDefault="008B79C7" w:rsidP="00AF399C">
      <w:pPr>
        <w:rPr>
          <w:b/>
        </w:rPr>
      </w:pPr>
      <w:r w:rsidRPr="00B51940">
        <w:fldChar w:fldCharType="end"/>
      </w:r>
      <w:r w:rsidR="00B51940" w:rsidRPr="00B51940">
        <w:rPr>
          <w:b/>
        </w:rPr>
        <w:t>Seznam obrázků</w:t>
      </w:r>
    </w:p>
    <w:p w:rsidR="00B51940" w:rsidRDefault="008B79C7">
      <w:pPr>
        <w:pStyle w:val="Seznamobrzk"/>
        <w:tabs>
          <w:tab w:val="right" w:leader="dot" w:pos="9060"/>
        </w:tabs>
        <w:rPr>
          <w:rFonts w:asciiTheme="minorHAnsi" w:eastAsiaTheme="minorEastAsia" w:hAnsiTheme="minorHAnsi"/>
          <w:noProof/>
          <w:sz w:val="22"/>
          <w:lang w:eastAsia="cs-CZ"/>
        </w:rPr>
      </w:pPr>
      <w:r>
        <w:fldChar w:fldCharType="begin"/>
      </w:r>
      <w:r w:rsidR="00B51940">
        <w:instrText xml:space="preserve"> TOC \h \z \c "Obr. č." </w:instrText>
      </w:r>
      <w:r>
        <w:fldChar w:fldCharType="separate"/>
      </w:r>
      <w:hyperlink w:anchor="_Toc385970290" w:history="1">
        <w:r w:rsidR="00B51940" w:rsidRPr="00E67EC7">
          <w:rPr>
            <w:rStyle w:val="Hypertextovodkaz"/>
            <w:noProof/>
          </w:rPr>
          <w:t>Obr. č. 1:  Proces vzniku ETF</w:t>
        </w:r>
        <w:r w:rsidR="00B51940">
          <w:rPr>
            <w:noProof/>
            <w:webHidden/>
          </w:rPr>
          <w:tab/>
        </w:r>
        <w:r>
          <w:rPr>
            <w:noProof/>
            <w:webHidden/>
          </w:rPr>
          <w:fldChar w:fldCharType="begin"/>
        </w:r>
        <w:r w:rsidR="00B51940">
          <w:rPr>
            <w:noProof/>
            <w:webHidden/>
          </w:rPr>
          <w:instrText xml:space="preserve"> PAGEREF _Toc385970290 \h </w:instrText>
        </w:r>
        <w:r>
          <w:rPr>
            <w:noProof/>
            <w:webHidden/>
          </w:rPr>
        </w:r>
        <w:r>
          <w:rPr>
            <w:noProof/>
            <w:webHidden/>
          </w:rPr>
          <w:fldChar w:fldCharType="separate"/>
        </w:r>
        <w:r w:rsidR="00B51940">
          <w:rPr>
            <w:noProof/>
            <w:webHidden/>
          </w:rPr>
          <w:t>27</w:t>
        </w:r>
        <w:r>
          <w:rPr>
            <w:noProof/>
            <w:webHidden/>
          </w:rPr>
          <w:fldChar w:fldCharType="end"/>
        </w:r>
      </w:hyperlink>
    </w:p>
    <w:p w:rsidR="00B51940" w:rsidRDefault="008B79C7">
      <w:pPr>
        <w:pStyle w:val="Seznamobrzk"/>
        <w:tabs>
          <w:tab w:val="right" w:leader="dot" w:pos="9060"/>
        </w:tabs>
        <w:rPr>
          <w:rFonts w:asciiTheme="minorHAnsi" w:eastAsiaTheme="minorEastAsia" w:hAnsiTheme="minorHAnsi"/>
          <w:noProof/>
          <w:sz w:val="22"/>
          <w:lang w:eastAsia="cs-CZ"/>
        </w:rPr>
      </w:pPr>
      <w:hyperlink w:anchor="_Toc385970291" w:history="1">
        <w:r w:rsidR="00B51940" w:rsidRPr="00E67EC7">
          <w:rPr>
            <w:rStyle w:val="Hypertextovodkaz"/>
            <w:noProof/>
          </w:rPr>
          <w:t>Obr. č. 2 : Proces zpětného odkupu ETF</w:t>
        </w:r>
        <w:r w:rsidR="00B51940">
          <w:rPr>
            <w:noProof/>
            <w:webHidden/>
          </w:rPr>
          <w:tab/>
        </w:r>
        <w:r>
          <w:rPr>
            <w:noProof/>
            <w:webHidden/>
          </w:rPr>
          <w:fldChar w:fldCharType="begin"/>
        </w:r>
        <w:r w:rsidR="00B51940">
          <w:rPr>
            <w:noProof/>
            <w:webHidden/>
          </w:rPr>
          <w:instrText xml:space="preserve"> PAGEREF _Toc385970291 \h </w:instrText>
        </w:r>
        <w:r>
          <w:rPr>
            <w:noProof/>
            <w:webHidden/>
          </w:rPr>
        </w:r>
        <w:r>
          <w:rPr>
            <w:noProof/>
            <w:webHidden/>
          </w:rPr>
          <w:fldChar w:fldCharType="separate"/>
        </w:r>
        <w:r w:rsidR="00B51940">
          <w:rPr>
            <w:noProof/>
            <w:webHidden/>
          </w:rPr>
          <w:t>28</w:t>
        </w:r>
        <w:r>
          <w:rPr>
            <w:noProof/>
            <w:webHidden/>
          </w:rPr>
          <w:fldChar w:fldCharType="end"/>
        </w:r>
      </w:hyperlink>
    </w:p>
    <w:p w:rsidR="00B51940" w:rsidRDefault="008B79C7" w:rsidP="00AF399C">
      <w:r>
        <w:fldChar w:fldCharType="end"/>
      </w:r>
    </w:p>
    <w:p w:rsidR="00AF399C" w:rsidRPr="007F6F4E" w:rsidRDefault="00AF399C" w:rsidP="00AF399C">
      <w:pPr>
        <w:pStyle w:val="Nadpis1"/>
        <w:numPr>
          <w:ilvl w:val="0"/>
          <w:numId w:val="0"/>
        </w:numPr>
        <w:spacing w:line="360" w:lineRule="auto"/>
        <w:ind w:left="432"/>
      </w:pPr>
    </w:p>
    <w:p w:rsidR="00AF399C" w:rsidRDefault="00AF399C" w:rsidP="00AF399C">
      <w:pPr>
        <w:spacing w:line="360" w:lineRule="auto"/>
        <w:ind w:left="4248" w:firstLine="708"/>
        <w:jc w:val="center"/>
        <w:rPr>
          <w:rFonts w:cs="Times New Roman"/>
        </w:rPr>
      </w:pPr>
    </w:p>
    <w:p w:rsidR="00730734" w:rsidRDefault="00730734" w:rsidP="00AF399C">
      <w:pPr>
        <w:spacing w:before="0" w:after="0" w:line="360" w:lineRule="auto"/>
        <w:sectPr w:rsidR="00730734" w:rsidSect="008A5AD0">
          <w:pgSz w:w="11906" w:h="16838"/>
          <w:pgMar w:top="1418" w:right="851" w:bottom="1134" w:left="1985" w:header="709" w:footer="709" w:gutter="0"/>
          <w:cols w:space="708"/>
          <w:docGrid w:linePitch="360"/>
        </w:sectPr>
      </w:pPr>
    </w:p>
    <w:p w:rsidR="00730734" w:rsidRDefault="00730734" w:rsidP="00730734">
      <w:pPr>
        <w:pStyle w:val="Titulek"/>
        <w:rPr>
          <w:color w:val="auto"/>
          <w:sz w:val="24"/>
        </w:rPr>
      </w:pPr>
      <w:r w:rsidRPr="00730734">
        <w:rPr>
          <w:color w:val="auto"/>
          <w:sz w:val="24"/>
        </w:rPr>
        <w:lastRenderedPageBreak/>
        <w:t xml:space="preserve">Příloha č. </w:t>
      </w:r>
      <w:r w:rsidR="008B79C7" w:rsidRPr="00730734">
        <w:rPr>
          <w:color w:val="auto"/>
          <w:sz w:val="24"/>
        </w:rPr>
        <w:fldChar w:fldCharType="begin"/>
      </w:r>
      <w:r w:rsidRPr="00730734">
        <w:rPr>
          <w:color w:val="auto"/>
          <w:sz w:val="24"/>
        </w:rPr>
        <w:instrText xml:space="preserve"> SEQ Příloha_č. \* ARABIC </w:instrText>
      </w:r>
      <w:r w:rsidR="008B79C7" w:rsidRPr="00730734">
        <w:rPr>
          <w:color w:val="auto"/>
          <w:sz w:val="24"/>
        </w:rPr>
        <w:fldChar w:fldCharType="separate"/>
      </w:r>
      <w:r>
        <w:rPr>
          <w:noProof/>
          <w:color w:val="auto"/>
          <w:sz w:val="24"/>
        </w:rPr>
        <w:t>1</w:t>
      </w:r>
      <w:r w:rsidR="008B79C7" w:rsidRPr="00730734">
        <w:rPr>
          <w:color w:val="auto"/>
          <w:sz w:val="24"/>
        </w:rPr>
        <w:fldChar w:fldCharType="end"/>
      </w:r>
      <w:r w:rsidRPr="00730734">
        <w:rPr>
          <w:color w:val="auto"/>
          <w:sz w:val="24"/>
        </w:rPr>
        <w:t xml:space="preserve">: Komparace vlastností ETF a otevřených podílových fondů </w:t>
      </w:r>
    </w:p>
    <w:p w:rsidR="00730734" w:rsidRDefault="00730734" w:rsidP="00730734">
      <w:pPr>
        <w:spacing w:after="240" w:line="360" w:lineRule="auto"/>
      </w:pPr>
      <w:r>
        <w:t xml:space="preserve">V první kapitole práce byla vymezena základní charakteristika ETF i fondů kolektivního investování. Z právního hlediska ETF spadá pod otevřené podílové fondy, </w:t>
      </w:r>
      <w:r w:rsidR="001846E8">
        <w:t>zde</w:t>
      </w:r>
      <w:r>
        <w:t xml:space="preserve"> se tedy pokusím komparovat tyto dva typy investičních nástrojů, zjistit, ve kterých bodech se tyto produkty shodují a naopak ve kterých se vyskytují nějaké odlišnosti. Následující tabulka shrnuje </w:t>
      </w:r>
      <w:r w:rsidR="001846E8">
        <w:t>vybrané</w:t>
      </w:r>
      <w:r>
        <w:t xml:space="preserve"> parametry těchto dvou instrumentů.</w:t>
      </w:r>
    </w:p>
    <w:p w:rsidR="00730734" w:rsidRPr="00D27250" w:rsidRDefault="00730734" w:rsidP="00730734">
      <w:pPr>
        <w:pStyle w:val="Titulek"/>
        <w:spacing w:after="0" w:line="360" w:lineRule="auto"/>
        <w:jc w:val="center"/>
        <w:rPr>
          <w:color w:val="auto"/>
          <w:sz w:val="22"/>
          <w:szCs w:val="22"/>
        </w:rPr>
      </w:pPr>
      <w:r>
        <w:rPr>
          <w:color w:val="auto"/>
          <w:sz w:val="22"/>
          <w:szCs w:val="22"/>
        </w:rPr>
        <w:t xml:space="preserve">Tabulka </w:t>
      </w:r>
      <w:proofErr w:type="gramStart"/>
      <w:r>
        <w:rPr>
          <w:color w:val="auto"/>
          <w:sz w:val="22"/>
          <w:szCs w:val="22"/>
        </w:rPr>
        <w:t>č.28</w:t>
      </w:r>
      <w:proofErr w:type="gramEnd"/>
      <w:r>
        <w:rPr>
          <w:color w:val="auto"/>
          <w:sz w:val="22"/>
          <w:szCs w:val="22"/>
        </w:rPr>
        <w:t xml:space="preserve"> </w:t>
      </w:r>
      <w:r w:rsidRPr="00D27250">
        <w:rPr>
          <w:color w:val="auto"/>
          <w:sz w:val="22"/>
          <w:szCs w:val="22"/>
        </w:rPr>
        <w:t>: Komparace fondů ETF a otevřených podílových fondů</w:t>
      </w:r>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730734" w:rsidTr="00B51940">
        <w:trPr>
          <w:cnfStyle w:val="100000000000"/>
        </w:trPr>
        <w:tc>
          <w:tcPr>
            <w:cnfStyle w:val="001000000100"/>
            <w:tcW w:w="3070" w:type="dxa"/>
            <w:tcBorders>
              <w:top w:val="none" w:sz="0" w:space="0" w:color="auto"/>
              <w:left w:val="none" w:sz="0" w:space="0" w:color="auto"/>
              <w:bottom w:val="none" w:sz="0" w:space="0" w:color="auto"/>
              <w:right w:val="none" w:sz="0" w:space="0" w:color="auto"/>
            </w:tcBorders>
          </w:tcPr>
          <w:p w:rsidR="00730734" w:rsidRPr="00D27250" w:rsidRDefault="00730734" w:rsidP="00730734">
            <w:pPr>
              <w:spacing w:line="360" w:lineRule="auto"/>
              <w:jc w:val="center"/>
            </w:pPr>
            <w:r w:rsidRPr="00D27250">
              <w:t>Kritérium</w:t>
            </w:r>
          </w:p>
        </w:tc>
        <w:tc>
          <w:tcPr>
            <w:tcW w:w="3071" w:type="dxa"/>
            <w:tcBorders>
              <w:top w:val="none" w:sz="0" w:space="0" w:color="auto"/>
              <w:left w:val="none" w:sz="0" w:space="0" w:color="auto"/>
              <w:bottom w:val="none" w:sz="0" w:space="0" w:color="auto"/>
              <w:right w:val="none" w:sz="0" w:space="0" w:color="auto"/>
            </w:tcBorders>
          </w:tcPr>
          <w:p w:rsidR="00730734" w:rsidRPr="00D27250" w:rsidRDefault="00730734" w:rsidP="00730734">
            <w:pPr>
              <w:spacing w:line="360" w:lineRule="auto"/>
              <w:jc w:val="center"/>
              <w:cnfStyle w:val="100000000000"/>
            </w:pPr>
            <w:r w:rsidRPr="00D27250">
              <w:t>ETF</w:t>
            </w:r>
          </w:p>
        </w:tc>
        <w:tc>
          <w:tcPr>
            <w:tcW w:w="3071" w:type="dxa"/>
            <w:tcBorders>
              <w:top w:val="none" w:sz="0" w:space="0" w:color="auto"/>
              <w:left w:val="none" w:sz="0" w:space="0" w:color="auto"/>
              <w:bottom w:val="none" w:sz="0" w:space="0" w:color="auto"/>
              <w:right w:val="none" w:sz="0" w:space="0" w:color="auto"/>
            </w:tcBorders>
          </w:tcPr>
          <w:p w:rsidR="00730734" w:rsidRPr="00D27250" w:rsidRDefault="00730734" w:rsidP="00730734">
            <w:pPr>
              <w:spacing w:line="360" w:lineRule="auto"/>
              <w:jc w:val="center"/>
              <w:cnfStyle w:val="100000000000"/>
            </w:pPr>
            <w:r w:rsidRPr="00D27250">
              <w:t>Podílové fondy</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Oceňování</w:t>
            </w:r>
          </w:p>
        </w:tc>
        <w:tc>
          <w:tcPr>
            <w:tcW w:w="3071" w:type="dxa"/>
          </w:tcPr>
          <w:p w:rsidR="00730734" w:rsidRPr="00236134" w:rsidRDefault="00730734" w:rsidP="00730734">
            <w:pPr>
              <w:spacing w:line="360" w:lineRule="auto"/>
              <w:jc w:val="center"/>
              <w:cnfStyle w:val="000000100000"/>
            </w:pPr>
            <w:r w:rsidRPr="00236134">
              <w:t>V průběhu dne</w:t>
            </w:r>
          </w:p>
        </w:tc>
        <w:tc>
          <w:tcPr>
            <w:tcW w:w="3071" w:type="dxa"/>
          </w:tcPr>
          <w:p w:rsidR="00730734" w:rsidRPr="00236134" w:rsidRDefault="00730734" w:rsidP="00730734">
            <w:pPr>
              <w:spacing w:line="360" w:lineRule="auto"/>
              <w:jc w:val="center"/>
              <w:cnfStyle w:val="000000100000"/>
            </w:pPr>
            <w:r w:rsidRPr="00236134">
              <w:t>1x denně</w:t>
            </w:r>
          </w:p>
        </w:tc>
      </w:tr>
      <w:tr w:rsidR="00730734" w:rsidTr="00B51940">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Likvidita</w:t>
            </w:r>
          </w:p>
        </w:tc>
        <w:tc>
          <w:tcPr>
            <w:tcW w:w="3071" w:type="dxa"/>
          </w:tcPr>
          <w:p w:rsidR="00730734" w:rsidRPr="00236134" w:rsidRDefault="00730734" w:rsidP="00730734">
            <w:pPr>
              <w:spacing w:line="360" w:lineRule="auto"/>
              <w:jc w:val="center"/>
              <w:cnfStyle w:val="000000000000"/>
            </w:pPr>
            <w:r w:rsidRPr="00236134">
              <w:t>Vysoká</w:t>
            </w:r>
          </w:p>
        </w:tc>
        <w:tc>
          <w:tcPr>
            <w:tcW w:w="3071" w:type="dxa"/>
          </w:tcPr>
          <w:p w:rsidR="00730734" w:rsidRPr="00236134" w:rsidRDefault="00730734" w:rsidP="00730734">
            <w:pPr>
              <w:spacing w:line="360" w:lineRule="auto"/>
              <w:jc w:val="center"/>
              <w:cnfStyle w:val="000000000000"/>
            </w:pPr>
            <w:r w:rsidRPr="00236134">
              <w:t>Nižší</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Diverzifikace</w:t>
            </w:r>
          </w:p>
        </w:tc>
        <w:tc>
          <w:tcPr>
            <w:tcW w:w="3071" w:type="dxa"/>
          </w:tcPr>
          <w:p w:rsidR="00730734" w:rsidRPr="00236134" w:rsidRDefault="00730734" w:rsidP="00730734">
            <w:pPr>
              <w:spacing w:line="360" w:lineRule="auto"/>
              <w:jc w:val="center"/>
              <w:cnfStyle w:val="000000100000"/>
            </w:pPr>
            <w:r w:rsidRPr="00236134">
              <w:t>Vysoká</w:t>
            </w:r>
          </w:p>
        </w:tc>
        <w:tc>
          <w:tcPr>
            <w:tcW w:w="3071" w:type="dxa"/>
          </w:tcPr>
          <w:p w:rsidR="00730734" w:rsidRPr="00236134" w:rsidRDefault="00730734" w:rsidP="00730734">
            <w:pPr>
              <w:spacing w:line="360" w:lineRule="auto"/>
              <w:jc w:val="center"/>
              <w:cnfStyle w:val="000000100000"/>
            </w:pPr>
            <w:r w:rsidRPr="00236134">
              <w:t>Vysoká</w:t>
            </w:r>
          </w:p>
        </w:tc>
      </w:tr>
      <w:tr w:rsidR="00730734" w:rsidTr="00B51940">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Minimální jednotka obchodu</w:t>
            </w:r>
          </w:p>
        </w:tc>
        <w:tc>
          <w:tcPr>
            <w:tcW w:w="3071" w:type="dxa"/>
          </w:tcPr>
          <w:p w:rsidR="00730734" w:rsidRPr="00236134" w:rsidRDefault="00730734" w:rsidP="00730734">
            <w:pPr>
              <w:spacing w:line="360" w:lineRule="auto"/>
              <w:jc w:val="center"/>
              <w:cnfStyle w:val="000000000000"/>
            </w:pPr>
            <w:r w:rsidRPr="00236134">
              <w:t>1 ETF</w:t>
            </w:r>
          </w:p>
        </w:tc>
        <w:tc>
          <w:tcPr>
            <w:tcW w:w="3071" w:type="dxa"/>
          </w:tcPr>
          <w:p w:rsidR="00730734" w:rsidRPr="00236134" w:rsidRDefault="00730734" w:rsidP="00730734">
            <w:pPr>
              <w:spacing w:line="360" w:lineRule="auto"/>
              <w:jc w:val="center"/>
              <w:cnfStyle w:val="000000000000"/>
            </w:pPr>
            <w:r w:rsidRPr="00236134">
              <w:t>Limitováno minimální částkou</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Poplatky za nákup/prodej</w:t>
            </w:r>
          </w:p>
        </w:tc>
        <w:tc>
          <w:tcPr>
            <w:tcW w:w="3071" w:type="dxa"/>
          </w:tcPr>
          <w:p w:rsidR="00730734" w:rsidRPr="00236134" w:rsidRDefault="00730734" w:rsidP="00730734">
            <w:pPr>
              <w:spacing w:line="360" w:lineRule="auto"/>
              <w:jc w:val="center"/>
              <w:cnfStyle w:val="000000100000"/>
            </w:pPr>
            <w:r w:rsidRPr="00236134">
              <w:t>Ano (dle OCP)</w:t>
            </w:r>
          </w:p>
        </w:tc>
        <w:tc>
          <w:tcPr>
            <w:tcW w:w="3071" w:type="dxa"/>
          </w:tcPr>
          <w:p w:rsidR="00730734" w:rsidRPr="00236134" w:rsidRDefault="00730734" w:rsidP="00730734">
            <w:pPr>
              <w:spacing w:line="360" w:lineRule="auto"/>
              <w:jc w:val="center"/>
              <w:cnfStyle w:val="000000100000"/>
            </w:pPr>
            <w:r w:rsidRPr="00236134">
              <w:t>Ano</w:t>
            </w:r>
          </w:p>
        </w:tc>
      </w:tr>
      <w:tr w:rsidR="00730734" w:rsidTr="00B51940">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Manažerské poplatky</w:t>
            </w:r>
          </w:p>
        </w:tc>
        <w:tc>
          <w:tcPr>
            <w:tcW w:w="3071" w:type="dxa"/>
          </w:tcPr>
          <w:p w:rsidR="00730734" w:rsidRPr="00236134" w:rsidRDefault="00730734" w:rsidP="00730734">
            <w:pPr>
              <w:spacing w:line="360" w:lineRule="auto"/>
              <w:jc w:val="center"/>
              <w:cnfStyle w:val="000000000000"/>
            </w:pPr>
            <w:r w:rsidRPr="00236134">
              <w:t>Ano</w:t>
            </w:r>
          </w:p>
        </w:tc>
        <w:tc>
          <w:tcPr>
            <w:tcW w:w="3071" w:type="dxa"/>
          </w:tcPr>
          <w:p w:rsidR="00730734" w:rsidRPr="00236134" w:rsidRDefault="00730734" w:rsidP="00730734">
            <w:pPr>
              <w:spacing w:line="360" w:lineRule="auto"/>
              <w:jc w:val="center"/>
              <w:cnfStyle w:val="000000000000"/>
            </w:pPr>
            <w:r w:rsidRPr="00236134">
              <w:t>Ano</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rsidRPr="00D27250">
              <w:t>Možnost výplaty dividend</w:t>
            </w:r>
          </w:p>
        </w:tc>
        <w:tc>
          <w:tcPr>
            <w:tcW w:w="3071" w:type="dxa"/>
          </w:tcPr>
          <w:p w:rsidR="00730734" w:rsidRPr="00236134" w:rsidRDefault="00730734" w:rsidP="00730734">
            <w:pPr>
              <w:spacing w:line="360" w:lineRule="auto"/>
              <w:jc w:val="center"/>
              <w:cnfStyle w:val="000000100000"/>
            </w:pPr>
            <w:r w:rsidRPr="00236134">
              <w:t>Ano</w:t>
            </w:r>
          </w:p>
        </w:tc>
        <w:tc>
          <w:tcPr>
            <w:tcW w:w="3071" w:type="dxa"/>
          </w:tcPr>
          <w:p w:rsidR="00730734" w:rsidRPr="00236134" w:rsidRDefault="00730734" w:rsidP="00730734">
            <w:pPr>
              <w:spacing w:line="360" w:lineRule="auto"/>
              <w:jc w:val="center"/>
              <w:cnfStyle w:val="000000100000"/>
            </w:pPr>
            <w:r w:rsidRPr="00236134">
              <w:t>Ne</w:t>
            </w:r>
          </w:p>
        </w:tc>
      </w:tr>
      <w:tr w:rsidR="00730734" w:rsidTr="00B51940">
        <w:tc>
          <w:tcPr>
            <w:cnfStyle w:val="001000000000"/>
            <w:tcW w:w="3070" w:type="dxa"/>
            <w:tcBorders>
              <w:left w:val="none" w:sz="0" w:space="0" w:color="auto"/>
              <w:bottom w:val="none" w:sz="0" w:space="0" w:color="auto"/>
              <w:right w:val="none" w:sz="0" w:space="0" w:color="auto"/>
            </w:tcBorders>
          </w:tcPr>
          <w:p w:rsidR="00730734" w:rsidRPr="00D27250" w:rsidRDefault="00730734" w:rsidP="00730734">
            <w:pPr>
              <w:spacing w:line="360" w:lineRule="auto"/>
            </w:pPr>
            <w:r>
              <w:t xml:space="preserve">Možnost </w:t>
            </w:r>
            <w:proofErr w:type="gramStart"/>
            <w:r w:rsidRPr="00D27250">
              <w:t xml:space="preserve">inteligentních </w:t>
            </w:r>
            <w:r>
              <w:t xml:space="preserve">        </w:t>
            </w:r>
            <w:r w:rsidRPr="00D27250">
              <w:t>pokynů</w:t>
            </w:r>
            <w:proofErr w:type="gramEnd"/>
            <w:r w:rsidRPr="00D27250">
              <w:t xml:space="preserve"> (short sell)</w:t>
            </w:r>
          </w:p>
        </w:tc>
        <w:tc>
          <w:tcPr>
            <w:tcW w:w="3071" w:type="dxa"/>
          </w:tcPr>
          <w:p w:rsidR="00730734" w:rsidRPr="00236134" w:rsidRDefault="00730734" w:rsidP="00730734">
            <w:pPr>
              <w:spacing w:line="360" w:lineRule="auto"/>
              <w:jc w:val="center"/>
              <w:cnfStyle w:val="000000000000"/>
            </w:pPr>
            <w:r w:rsidRPr="00236134">
              <w:t>Ano</w:t>
            </w:r>
          </w:p>
        </w:tc>
        <w:tc>
          <w:tcPr>
            <w:tcW w:w="3071" w:type="dxa"/>
          </w:tcPr>
          <w:p w:rsidR="00730734" w:rsidRPr="00236134" w:rsidRDefault="00730734" w:rsidP="00730734">
            <w:pPr>
              <w:spacing w:line="360" w:lineRule="auto"/>
              <w:jc w:val="center"/>
              <w:cnfStyle w:val="000000000000"/>
            </w:pPr>
            <w:r w:rsidRPr="00236134">
              <w:t>Ne</w:t>
            </w:r>
          </w:p>
        </w:tc>
      </w:tr>
    </w:tbl>
    <w:p w:rsidR="00730734" w:rsidRDefault="00730734" w:rsidP="00730734">
      <w:pPr>
        <w:spacing w:after="240" w:line="360" w:lineRule="auto"/>
        <w:jc w:val="center"/>
        <w:rPr>
          <w:sz w:val="22"/>
        </w:rPr>
      </w:pPr>
      <w:r w:rsidRPr="00412E4A">
        <w:rPr>
          <w:sz w:val="22"/>
        </w:rPr>
        <w:t>Zdroj: vlastní zpracování</w:t>
      </w:r>
    </w:p>
    <w:p w:rsidR="00730734" w:rsidRDefault="00730734" w:rsidP="00730734">
      <w:pPr>
        <w:spacing w:after="240" w:line="360" w:lineRule="auto"/>
      </w:pPr>
      <w:r>
        <w:t xml:space="preserve">První srovnávacím kritériem je oceňování ETF resp. podílových </w:t>
      </w:r>
      <w:r w:rsidR="001846E8">
        <w:t>listů. Jak již bylo řečeno</w:t>
      </w:r>
      <w:r>
        <w:t>, hodnota majetku připadajícího na jednotku podílového listu je počítána vždy na konci obchodního dne. Oproti tomu v případě ETF je tato hodnota počítána v průběhu celého dne, což umožňuje investorům promptně reagovat na aktuální dění na kapitálových trzích. Pokud se tedy hodnota aktiv v portfoliu podílového fondu mění výrazněji v průběhu dne, je investor nucen čekat až na konec obchodního dne s případným prodejem či nákupem, nemá možnost využít aktuální tržní situace.</w:t>
      </w:r>
    </w:p>
    <w:p w:rsidR="00730734" w:rsidRDefault="00730734" w:rsidP="00730734">
      <w:pPr>
        <w:spacing w:after="240" w:line="360" w:lineRule="auto"/>
      </w:pPr>
      <w:r>
        <w:t xml:space="preserve">Dalším sledovaným kritériem je likvidita a s tím související vypořádání obchodu. Pokud by chtěl drobný investor odprodat podílový list, existují zákonné lhůty, které má investiční společnost pro vypořádání takového odkupu, tato lhůta nesmí být delší než 15 dnů, zpravidla tato lhůta bývá kratší, nicméně i tak je lhůta pro vypořádání peněz relativně dlouhá. Oproti </w:t>
      </w:r>
      <w:r>
        <w:lastRenderedPageBreak/>
        <w:t xml:space="preserve">tomu ETF tím, že je obchodováno celý den, je likvidita instrumentu na rozvinutém trhu vysoká, lhůty pro vypořádání jsou stejné jako například pro akcie, tedy na americké </w:t>
      </w:r>
      <w:proofErr w:type="gramStart"/>
      <w:r>
        <w:t>burze</w:t>
      </w:r>
      <w:r w:rsidR="001846E8">
        <w:t xml:space="preserve">    </w:t>
      </w:r>
      <w:r>
        <w:t xml:space="preserve"> T + 2 dny</w:t>
      </w:r>
      <w:proofErr w:type="gramEnd"/>
      <w:r>
        <w:t>, tedy za T + 2 dny po obchodu má investor již volné finanční prostředky. Navíc pokud by chtěl investor tyto prostředky využít pro nákup jiného instrumentu v rámci té stejné burzy, může tento obchod učinit bezodkladně.</w:t>
      </w:r>
    </w:p>
    <w:p w:rsidR="00730734" w:rsidRDefault="00730734" w:rsidP="00730734">
      <w:pPr>
        <w:spacing w:after="240" w:line="360" w:lineRule="auto"/>
      </w:pPr>
      <w:r>
        <w:t>Co se diverzifikace portfolia týče, pak zde nenalezneme rozdíly mezi ETF a podílovými fondy. Investor si volí dle zaměření konkrétního instrumentu, zda chce investovat do celého indexu pokrývající celý trh (např. S</w:t>
      </w:r>
      <w:r w:rsidRPr="007B7151">
        <w:t>&amp;</w:t>
      </w:r>
      <w:r>
        <w:t>P 500) nebo úžeji zamřené instrumenty investující například do oblasti biotechnologie, automobilového průmyslu nebo třeba emerging markets. Dle zvoleného zaměření portfolia se také odvíjí míra diverzifikace.</w:t>
      </w:r>
    </w:p>
    <w:p w:rsidR="00730734" w:rsidRDefault="00730734" w:rsidP="00730734">
      <w:pPr>
        <w:spacing w:after="240" w:line="360" w:lineRule="auto"/>
      </w:pPr>
      <w:r>
        <w:t>Minimální objem obchodu je u obou produktů určen rozličně, u podílových fondů je určena minimální peněžní částka, kterou musí investor vložit a na základě toho obdrží počet podílových listů. Pokud je tedy minimální vložená částka 5.000 CZK a hodnota jednoho podílového listu činí 500 CZK, získá automaticky investor jedním nákupem 10 podílových listů. U ETF není určena minimální výše investované částky, obchoduje se v jednotkách ETF a minimální objem investice je právě 1 jednotka ETF.</w:t>
      </w:r>
    </w:p>
    <w:p w:rsidR="00730734" w:rsidRDefault="00730734" w:rsidP="00730734">
      <w:pPr>
        <w:spacing w:after="240" w:line="360" w:lineRule="auto"/>
      </w:pPr>
      <w:r>
        <w:t>Aspektem, který musí investor také zvážit při volbě své investice, jsou poplatky spojené s touto. Celkem jsou zpravidla uvažovány 3 typy poplatků, vstupní poplatek, manažerský poplatek a výstupní poplatek. Pokud uvažujeme podílové fondy, tak zde se vždy platí vstupní poplatek, který je počítán z objemu investice a zpravidla nebývá vyšší než 3 %. Tento poplatek si určuje každý fond sám. Na druhou stranu výstupní poplatky se u podílových fondů již takřka neúčtují, nicméně vždy je potřeba se předem seznámit se statutem fondu, zda při odprodávání podílových listů nebudou tento poplatek vyžadovat. Oproti tomu ETF’s nemají pevně stanoven ani vstupní ani výstupní poplatek. Tyto instrumenty jsou obchodovány, jak již bylo několikrát řečeno, jako akcie, poplatky spojené s nákupem či prodejem tohoto instrumentu tedy závisí na daném obchodníku s cennými papíry, přes kterého investor realizuje své záměry.</w:t>
      </w:r>
      <w:r>
        <w:rPr>
          <w:rStyle w:val="Znakapoznpodarou"/>
        </w:rPr>
        <w:footnoteReference w:id="91"/>
      </w:r>
    </w:p>
    <w:p w:rsidR="00730734" w:rsidRDefault="00730734" w:rsidP="00730734">
      <w:pPr>
        <w:spacing w:after="240" w:line="360" w:lineRule="auto"/>
      </w:pPr>
      <w:r>
        <w:t xml:space="preserve">Manažerský poplatek závisí na typu správy daného instrumentu. Pokud se jedná o pasivně řízené portfolio, tedy je nakoupena určitá skupina aktiv, která se po dobu fungování fondu </w:t>
      </w:r>
      <w:r>
        <w:lastRenderedPageBreak/>
        <w:t>mění jen zřídkakdy, pak se manažerský poplatek (poplatek za správu) pohybuje na velice nízké úrovni jak u ETF, tak u podílových fondů. Na druhou stranu však existují samozřejmě aktivně spravované podílové fondy, se kterými jsou spojeny vyšší správcovské poplatky. U ETF se pak jedná zejména o inverzní a pákové produkty, které nemají nakoupený koš aktiv a u kterých by nedocházelo ke změnám v portfoliu. Právě s těmito produkty jsou taktéž spojeny manažerské poplatky, které se pohybují zhruba na úrovní 1 %.</w:t>
      </w:r>
    </w:p>
    <w:p w:rsidR="00730734" w:rsidRDefault="00730734" w:rsidP="00730734">
      <w:pPr>
        <w:spacing w:after="240" w:line="360" w:lineRule="auto"/>
      </w:pPr>
      <w:r>
        <w:t xml:space="preserve">Podílové fondy nevyplácejí inkasované dividendy, zpravidla zde dochází k reinvestici těchto a tím i navyšování hodnoty podílových listů. U ETF je potřeba opět zkoumat statut fondu, ve kterém je určeno, zda jsou inkasované dividendy z titulů obsažených v portfoliu vypláceny investorům, nebo jsou reinvestovány stejně jako v případě podílových fondů, případně zda správce ETF kombinuje obě možnosti, tedy část reinvestuje a část vyplatí. </w:t>
      </w:r>
    </w:p>
    <w:p w:rsidR="00730734" w:rsidRDefault="00730734" w:rsidP="00730734">
      <w:pPr>
        <w:spacing w:after="240" w:line="360" w:lineRule="auto"/>
      </w:pPr>
      <w:r>
        <w:t xml:space="preserve">Posledním sledovaným parametrem je možnost využití tzv. inteligentních pokynů, případně obchodování na páku s daným instrumentem. V případě podílových fondů tato možnost není, to plyne ze způsobu jejich obchodování, jsou prodávány a odkupovány investiční společností, hodnota se určuje vždy až po uzavření obchodního dne, intradenní obchodování těchto tedy není proveditelné. Naopak v případě ETF má investor možnost těchto způsobů obchodování využít, pokud k tomu má dostatek schopností a zkušeností. </w:t>
      </w:r>
    </w:p>
    <w:p w:rsidR="00730734" w:rsidRPr="00A712BD" w:rsidRDefault="00730734" w:rsidP="00730734">
      <w:pPr>
        <w:spacing w:after="240" w:line="360" w:lineRule="auto"/>
      </w:pPr>
      <w:r>
        <w:t xml:space="preserve">Pro méně zkušené či začínající investory bude pravděpodobně vhodnější investice do podílových listů, mohou těžit z profesionální správy tohoto cenného papíru a zároveň sledovat reakce vývoje ceny podílového listu na vývoj cen podkladových instrumentů. Podílové fondy se oproti ETF snaží vždy o překonání benchmarku, nejen jeho sledování. ETF jsou oproti tomu vhodná pro mírně zkušenější investory, kteří mají v plánu investovat vyšší částky, je zapotřebí, aby se stali klientem některého z obchodníků s cennými papíry a využívali jejich elektronické platformy pro obchodování.  Je potřeba zkoumat i statut fondu, který zpravidla nebývá dostupný v českém jazyce. </w:t>
      </w:r>
    </w:p>
    <w:p w:rsidR="00730734" w:rsidRDefault="00730734" w:rsidP="00730734">
      <w:pPr>
        <w:pStyle w:val="Nadpis3"/>
        <w:numPr>
          <w:ilvl w:val="0"/>
          <w:numId w:val="0"/>
        </w:numPr>
        <w:rPr>
          <w:sz w:val="24"/>
        </w:rPr>
        <w:sectPr w:rsidR="00730734" w:rsidSect="008A5AD0">
          <w:footerReference w:type="default" r:id="rId62"/>
          <w:pgSz w:w="11906" w:h="16838"/>
          <w:pgMar w:top="1418" w:right="851" w:bottom="1134" w:left="1985" w:header="709" w:footer="709" w:gutter="0"/>
          <w:cols w:space="708"/>
          <w:docGrid w:linePitch="360"/>
        </w:sectPr>
      </w:pPr>
    </w:p>
    <w:p w:rsidR="00730734" w:rsidRPr="00730734" w:rsidRDefault="00730734" w:rsidP="00730734">
      <w:pPr>
        <w:pStyle w:val="Nadpis3"/>
        <w:numPr>
          <w:ilvl w:val="0"/>
          <w:numId w:val="0"/>
        </w:numPr>
        <w:rPr>
          <w:sz w:val="24"/>
        </w:rPr>
      </w:pPr>
      <w:bookmarkStart w:id="118" w:name="_Toc385971032"/>
      <w:bookmarkStart w:id="119" w:name="_Toc386061723"/>
      <w:bookmarkStart w:id="120" w:name="_Toc386128854"/>
      <w:bookmarkStart w:id="121" w:name="_Toc386146035"/>
      <w:r w:rsidRPr="00730734">
        <w:rPr>
          <w:sz w:val="24"/>
        </w:rPr>
        <w:lastRenderedPageBreak/>
        <w:t xml:space="preserve">Příloha č. </w:t>
      </w:r>
      <w:r w:rsidR="008B79C7" w:rsidRPr="00730734">
        <w:rPr>
          <w:sz w:val="24"/>
        </w:rPr>
        <w:fldChar w:fldCharType="begin"/>
      </w:r>
      <w:r w:rsidRPr="00730734">
        <w:rPr>
          <w:sz w:val="24"/>
        </w:rPr>
        <w:instrText xml:space="preserve"> SEQ Příloha_č. \* ARABIC </w:instrText>
      </w:r>
      <w:r w:rsidR="008B79C7" w:rsidRPr="00730734">
        <w:rPr>
          <w:sz w:val="24"/>
        </w:rPr>
        <w:fldChar w:fldCharType="separate"/>
      </w:r>
      <w:r w:rsidRPr="00730734">
        <w:rPr>
          <w:noProof/>
          <w:sz w:val="24"/>
        </w:rPr>
        <w:t>2</w:t>
      </w:r>
      <w:r w:rsidR="008B79C7" w:rsidRPr="00730734">
        <w:rPr>
          <w:sz w:val="24"/>
        </w:rPr>
        <w:fldChar w:fldCharType="end"/>
      </w:r>
      <w:r w:rsidRPr="00730734">
        <w:rPr>
          <w:sz w:val="24"/>
        </w:rPr>
        <w:t xml:space="preserve">: Komparace vývoje hodnot podílového fondu a ETF </w:t>
      </w:r>
      <w:r w:rsidR="00016AD2">
        <w:rPr>
          <w:sz w:val="24"/>
        </w:rPr>
        <w:t>v letech</w:t>
      </w:r>
      <w:r w:rsidRPr="00730734">
        <w:rPr>
          <w:sz w:val="24"/>
        </w:rPr>
        <w:t xml:space="preserve"> 2000</w:t>
      </w:r>
      <w:bookmarkEnd w:id="118"/>
      <w:r w:rsidRPr="00730734">
        <w:rPr>
          <w:sz w:val="24"/>
        </w:rPr>
        <w:t xml:space="preserve"> </w:t>
      </w:r>
      <w:r w:rsidR="00016AD2">
        <w:rPr>
          <w:sz w:val="24"/>
        </w:rPr>
        <w:t>- 2013</w:t>
      </w:r>
      <w:bookmarkEnd w:id="119"/>
      <w:bookmarkEnd w:id="120"/>
      <w:bookmarkEnd w:id="121"/>
    </w:p>
    <w:p w:rsidR="00730734" w:rsidRPr="00730734" w:rsidRDefault="00730734" w:rsidP="00730734">
      <w:pPr>
        <w:spacing w:line="360" w:lineRule="auto"/>
      </w:pPr>
      <w:r w:rsidRPr="00730734">
        <w:t>Od roku 2000 prošly kapitálové trhy řadou krizí, na následujících řádcích se pokusím analyzovat, jak toto dění ovlivnilo kurzy vybraných cenných papírů – podílového listu a ETF SPY. Jelikož výše zmíněná inverzní i pákové ETF vznikla až roku 2006, nejsou dostupná potřebná data pro srovnání i těchto instrumentů.</w:t>
      </w:r>
    </w:p>
    <w:p w:rsidR="00730734" w:rsidRDefault="009F7EDE" w:rsidP="00730734">
      <w:pPr>
        <w:spacing w:line="360" w:lineRule="auto"/>
      </w:pPr>
      <w:r>
        <w:t>Graf č. 20</w:t>
      </w:r>
      <w:r w:rsidR="00730734">
        <w:t xml:space="preserve"> charakterizuje vývoj kurzu podílového listu v letech 2000 – 2013. Můžeme vidět jasně patrné poklesy hodnot jak v období 2002, tak v roce 2009 a 2011. </w:t>
      </w:r>
    </w:p>
    <w:p w:rsidR="00730734" w:rsidRPr="002E0A33" w:rsidRDefault="00730734" w:rsidP="00730734">
      <w:pPr>
        <w:pStyle w:val="Titulek"/>
        <w:jc w:val="center"/>
        <w:rPr>
          <w:color w:val="auto"/>
          <w:sz w:val="22"/>
        </w:rPr>
      </w:pPr>
      <w:r w:rsidRPr="002E0A33">
        <w:rPr>
          <w:color w:val="auto"/>
          <w:sz w:val="22"/>
        </w:rPr>
        <w:t xml:space="preserve">Graf </w:t>
      </w:r>
      <w:proofErr w:type="gramStart"/>
      <w:r w:rsidRPr="002E0A33">
        <w:rPr>
          <w:color w:val="auto"/>
          <w:sz w:val="22"/>
        </w:rPr>
        <w:t>č.</w:t>
      </w:r>
      <w:r>
        <w:rPr>
          <w:color w:val="auto"/>
          <w:sz w:val="22"/>
        </w:rPr>
        <w:t>2</w:t>
      </w:r>
      <w:r w:rsidR="00236134">
        <w:rPr>
          <w:color w:val="auto"/>
          <w:sz w:val="22"/>
        </w:rPr>
        <w:t>0</w:t>
      </w:r>
      <w:proofErr w:type="gramEnd"/>
      <w:r w:rsidRPr="002E0A33">
        <w:rPr>
          <w:color w:val="auto"/>
          <w:sz w:val="22"/>
        </w:rPr>
        <w:t xml:space="preserve"> : Vývoj kurzu podílového listu</w:t>
      </w:r>
      <w:r>
        <w:rPr>
          <w:color w:val="auto"/>
          <w:sz w:val="22"/>
        </w:rPr>
        <w:t xml:space="preserve"> v období 2000 - 2013</w:t>
      </w:r>
    </w:p>
    <w:p w:rsidR="00730734" w:rsidRDefault="00730734" w:rsidP="00730734">
      <w:pPr>
        <w:spacing w:line="360" w:lineRule="auto"/>
      </w:pPr>
      <w:r w:rsidRPr="002E0A33">
        <w:rPr>
          <w:noProof/>
          <w:lang w:eastAsia="cs-CZ"/>
        </w:rPr>
        <w:drawing>
          <wp:inline distT="0" distB="0" distL="0" distR="0">
            <wp:extent cx="5427024" cy="2576945"/>
            <wp:effectExtent l="0" t="0" r="0" b="0"/>
            <wp:docPr id="2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730734" w:rsidRDefault="00730734" w:rsidP="00730734">
      <w:pPr>
        <w:spacing w:after="240" w:line="360" w:lineRule="auto"/>
        <w:jc w:val="center"/>
        <w:rPr>
          <w:sz w:val="22"/>
        </w:rPr>
      </w:pPr>
      <w:r w:rsidRPr="001904E3">
        <w:rPr>
          <w:sz w:val="22"/>
        </w:rPr>
        <w:t xml:space="preserve">Zdroj: vlastní zpracování dle údajů KBC Index Fund USA. </w:t>
      </w:r>
      <w:r w:rsidRPr="001904E3">
        <w:rPr>
          <w:i/>
          <w:iCs/>
          <w:sz w:val="22"/>
        </w:rPr>
        <w:t>ČSOB</w:t>
      </w:r>
      <w:r w:rsidRPr="001904E3">
        <w:rPr>
          <w:sz w:val="22"/>
        </w:rPr>
        <w:t xml:space="preserve"> [online]. 2014 [cit. 2014-02-12]. Dostupné </w:t>
      </w:r>
      <w:r w:rsidRPr="002E0A33">
        <w:rPr>
          <w:sz w:val="22"/>
        </w:rPr>
        <w:t xml:space="preserve">z: </w:t>
      </w:r>
      <w:hyperlink r:id="rId64" w:history="1">
        <w:r w:rsidRPr="002E0A33">
          <w:rPr>
            <w:rStyle w:val="Hypertextovodkaz"/>
            <w:color w:val="auto"/>
            <w:sz w:val="22"/>
            <w:u w:val="none"/>
          </w:rPr>
          <w:t>http://www.csob.cz/cz/fondy/Akciove-fondy/Stranky/BE0166769266.aspx</w:t>
        </w:r>
      </w:hyperlink>
    </w:p>
    <w:p w:rsidR="009F7EDE" w:rsidRDefault="009F7EDE" w:rsidP="00730734">
      <w:pPr>
        <w:spacing w:after="240" w:line="360" w:lineRule="auto"/>
      </w:pPr>
      <w:r>
        <w:t xml:space="preserve">Z uvedeného lze vyvodit, že hodnota podílového listu má převážně rostoucí hodnotu, zmíněné poklesy se týkaly trhu jako celku, tím pádem docházelo i k poklesu hodnot srovnávacího indexu. </w:t>
      </w:r>
    </w:p>
    <w:p w:rsidR="00730734" w:rsidRPr="009F7EDE" w:rsidRDefault="009F7EDE" w:rsidP="00730734">
      <w:pPr>
        <w:spacing w:after="240" w:line="360" w:lineRule="auto"/>
      </w:pPr>
      <w:r w:rsidRPr="009F7EDE">
        <w:t xml:space="preserve">Graf </w:t>
      </w:r>
      <w:r>
        <w:t>č. 21</w:t>
      </w:r>
      <w:r w:rsidR="00730734" w:rsidRPr="009F7EDE">
        <w:t xml:space="preserve"> zobrazuje vývoj hodnoty ETF SPY od roku 2000 – 2013. </w:t>
      </w:r>
      <w:r>
        <w:t>I v tomto případě je patrná rostoucí tendence tohoto produktu. Při srovnání obou grafů lze pozorovat v podstatě stejný vývoj hodnot, oba tyto produkty mají jako srovnávací index S</w:t>
      </w:r>
      <w:r w:rsidRPr="009F7EDE">
        <w:t>&amp;</w:t>
      </w:r>
      <w:r>
        <w:t>P 500</w:t>
      </w:r>
    </w:p>
    <w:p w:rsidR="009F7EDE" w:rsidRDefault="009F7EDE" w:rsidP="00730734">
      <w:pPr>
        <w:pStyle w:val="Titulek"/>
        <w:jc w:val="center"/>
        <w:rPr>
          <w:color w:val="auto"/>
          <w:sz w:val="22"/>
        </w:rPr>
      </w:pPr>
    </w:p>
    <w:p w:rsidR="009F7EDE" w:rsidRDefault="009F7EDE" w:rsidP="00730734">
      <w:pPr>
        <w:pStyle w:val="Titulek"/>
        <w:jc w:val="center"/>
        <w:rPr>
          <w:color w:val="auto"/>
          <w:sz w:val="22"/>
        </w:rPr>
      </w:pPr>
    </w:p>
    <w:p w:rsidR="009F7EDE" w:rsidRDefault="009F7EDE" w:rsidP="00730734">
      <w:pPr>
        <w:pStyle w:val="Titulek"/>
        <w:jc w:val="center"/>
        <w:rPr>
          <w:color w:val="auto"/>
          <w:sz w:val="22"/>
        </w:rPr>
      </w:pPr>
    </w:p>
    <w:p w:rsidR="009F7EDE" w:rsidRDefault="009F7EDE" w:rsidP="00730734">
      <w:pPr>
        <w:pStyle w:val="Titulek"/>
        <w:jc w:val="center"/>
        <w:rPr>
          <w:color w:val="auto"/>
          <w:sz w:val="22"/>
        </w:rPr>
      </w:pPr>
    </w:p>
    <w:p w:rsidR="00730734" w:rsidRPr="002E0A33" w:rsidRDefault="00730734" w:rsidP="00730734">
      <w:pPr>
        <w:pStyle w:val="Titulek"/>
        <w:jc w:val="center"/>
        <w:rPr>
          <w:color w:val="auto"/>
          <w:sz w:val="28"/>
        </w:rPr>
      </w:pPr>
      <w:r w:rsidRPr="002E0A33">
        <w:rPr>
          <w:color w:val="auto"/>
          <w:sz w:val="22"/>
        </w:rPr>
        <w:lastRenderedPageBreak/>
        <w:t xml:space="preserve">Graf č. </w:t>
      </w:r>
      <w:r w:rsidR="00236134">
        <w:rPr>
          <w:color w:val="auto"/>
          <w:sz w:val="22"/>
        </w:rPr>
        <w:t>21</w:t>
      </w:r>
      <w:r w:rsidRPr="002E0A33">
        <w:rPr>
          <w:color w:val="auto"/>
          <w:sz w:val="22"/>
        </w:rPr>
        <w:t xml:space="preserve"> : Vývoj kurz hodnoty ETF SPY v období 2000 - 2013</w:t>
      </w:r>
    </w:p>
    <w:p w:rsidR="00730734" w:rsidRDefault="00730734" w:rsidP="00730734">
      <w:pPr>
        <w:spacing w:after="240" w:line="360" w:lineRule="auto"/>
        <w:rPr>
          <w:sz w:val="22"/>
        </w:rPr>
      </w:pPr>
      <w:r w:rsidRPr="002E0A33">
        <w:rPr>
          <w:noProof/>
          <w:sz w:val="22"/>
          <w:lang w:eastAsia="cs-CZ"/>
        </w:rPr>
        <w:drawing>
          <wp:inline distT="0" distB="0" distL="0" distR="0">
            <wp:extent cx="5427024" cy="2743200"/>
            <wp:effectExtent l="0" t="0" r="0" b="0"/>
            <wp:docPr id="24"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30734" w:rsidRDefault="00730734" w:rsidP="00730734">
      <w:pPr>
        <w:spacing w:after="240" w:line="360" w:lineRule="auto"/>
        <w:jc w:val="center"/>
        <w:rPr>
          <w:rStyle w:val="null"/>
          <w:rFonts w:eastAsiaTheme="majorEastAsia"/>
        </w:rPr>
      </w:pPr>
      <w:proofErr w:type="gramStart"/>
      <w:r w:rsidRPr="007C741F">
        <w:t xml:space="preserve">Zdroj : </w:t>
      </w:r>
      <w:r w:rsidRPr="007C741F">
        <w:rPr>
          <w:rStyle w:val="null"/>
          <w:rFonts w:eastAsiaTheme="majorEastAsia"/>
        </w:rPr>
        <w:t>Zpracováno</w:t>
      </w:r>
      <w:proofErr w:type="gramEnd"/>
      <w:r w:rsidRPr="007C741F">
        <w:rPr>
          <w:rStyle w:val="null"/>
          <w:rFonts w:eastAsiaTheme="majorEastAsia"/>
        </w:rPr>
        <w:t xml:space="preserve"> podle dat přístupných v elektronické databázi Bloomberg</w:t>
      </w:r>
    </w:p>
    <w:p w:rsidR="009F7EDE" w:rsidRDefault="009F7EDE" w:rsidP="009F7EDE">
      <w:pPr>
        <w:spacing w:after="240" w:line="360" w:lineRule="auto"/>
        <w:rPr>
          <w:rStyle w:val="null"/>
          <w:rFonts w:eastAsiaTheme="majorEastAsia"/>
        </w:rPr>
      </w:pPr>
      <w:r>
        <w:rPr>
          <w:rStyle w:val="null"/>
          <w:rFonts w:eastAsiaTheme="majorEastAsia"/>
        </w:rPr>
        <w:t>Tabulka č. 29 uvádí hodnoty vybraných ukazatelů, které byly zkoumány v rámci mé práce. Ve srovnání s pětiletým horizontem i zde můžeme vypozorovat, že vyšší výnos přináší podílový list, nicméně je zde podstupováno i o něco vyšší riziko.</w:t>
      </w:r>
      <w:r>
        <w:t xml:space="preserve"> V dlouhém časovém horizontu </w:t>
      </w:r>
      <w:r w:rsidR="00016AD2">
        <w:t xml:space="preserve">je v důsledku četných krizí </w:t>
      </w:r>
      <w:r>
        <w:t>odměna za podstupované riziko</w:t>
      </w:r>
      <w:r w:rsidR="00016AD2">
        <w:t xml:space="preserve"> měřená prostřednictvím ukazatele Sharpe ratio v obou případech</w:t>
      </w:r>
      <w:r>
        <w:t xml:space="preserve"> </w:t>
      </w:r>
      <w:r w:rsidR="00016AD2">
        <w:t xml:space="preserve">je velmi nízká, v případě </w:t>
      </w:r>
      <w:r w:rsidR="00016AD2" w:rsidRPr="00FE0B71">
        <w:t>SPDR S&amp;P 500</w:t>
      </w:r>
      <w:r w:rsidR="00016AD2" w:rsidRPr="00FE0B71">
        <w:rPr>
          <w:vertAlign w:val="superscript"/>
        </w:rPr>
        <w:t xml:space="preserve"> </w:t>
      </w:r>
      <w:r w:rsidR="00016AD2" w:rsidRPr="00FE0B71">
        <w:t>ETF</w:t>
      </w:r>
      <w:r w:rsidR="00016AD2">
        <w:t xml:space="preserve"> dokonce nabývá záporných hodnot. Zde je tedy výrazný rozdíl oproti pětiletému horizontu, který nebyl vystaven tolika hlubokým propadům kapitálových trhů.</w:t>
      </w:r>
    </w:p>
    <w:p w:rsidR="00730734" w:rsidRPr="00730734" w:rsidRDefault="00730734" w:rsidP="00730734">
      <w:pPr>
        <w:pStyle w:val="Titulek"/>
        <w:jc w:val="center"/>
        <w:rPr>
          <w:color w:val="auto"/>
          <w:sz w:val="22"/>
        </w:rPr>
      </w:pPr>
      <w:r w:rsidRPr="00730734">
        <w:rPr>
          <w:color w:val="auto"/>
          <w:sz w:val="22"/>
        </w:rPr>
        <w:t xml:space="preserve">Tabulka č. </w:t>
      </w:r>
      <w:r>
        <w:rPr>
          <w:color w:val="auto"/>
          <w:sz w:val="22"/>
        </w:rPr>
        <w:t>29</w:t>
      </w:r>
      <w:r w:rsidRPr="00730734">
        <w:rPr>
          <w:color w:val="auto"/>
          <w:sz w:val="22"/>
        </w:rPr>
        <w:t>: Srovnání vybraných ukazatelů</w:t>
      </w:r>
    </w:p>
    <w:tbl>
      <w:tblPr>
        <w:tblStyle w:val="Stednstnovn2zvraznn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0"/>
        <w:gridCol w:w="3070"/>
      </w:tblGrid>
      <w:tr w:rsidR="00730734" w:rsidTr="00B51940">
        <w:trPr>
          <w:cnfStyle w:val="100000000000"/>
        </w:trPr>
        <w:tc>
          <w:tcPr>
            <w:cnfStyle w:val="001000000100"/>
            <w:tcW w:w="3070" w:type="dxa"/>
            <w:tcBorders>
              <w:top w:val="none" w:sz="0" w:space="0" w:color="auto"/>
              <w:left w:val="none" w:sz="0" w:space="0" w:color="auto"/>
              <w:bottom w:val="none" w:sz="0" w:space="0" w:color="auto"/>
              <w:right w:val="none" w:sz="0" w:space="0" w:color="auto"/>
            </w:tcBorders>
            <w:vAlign w:val="center"/>
          </w:tcPr>
          <w:p w:rsidR="00730734" w:rsidRDefault="00730734" w:rsidP="00B51940">
            <w:pPr>
              <w:spacing w:before="0" w:after="240"/>
              <w:jc w:val="center"/>
            </w:pPr>
          </w:p>
        </w:tc>
        <w:tc>
          <w:tcPr>
            <w:tcW w:w="3070" w:type="dxa"/>
            <w:tcBorders>
              <w:top w:val="none" w:sz="0" w:space="0" w:color="auto"/>
              <w:left w:val="none" w:sz="0" w:space="0" w:color="auto"/>
              <w:bottom w:val="none" w:sz="0" w:space="0" w:color="auto"/>
              <w:right w:val="none" w:sz="0" w:space="0" w:color="auto"/>
            </w:tcBorders>
            <w:vAlign w:val="center"/>
          </w:tcPr>
          <w:p w:rsidR="00730734" w:rsidRDefault="00E95E3F" w:rsidP="00E95E3F">
            <w:pPr>
              <w:spacing w:before="0" w:after="240"/>
              <w:jc w:val="center"/>
              <w:cnfStyle w:val="100000000000"/>
            </w:pPr>
            <w:r w:rsidRPr="00FE0B71">
              <w:t>SPDR S&amp;P 500</w:t>
            </w:r>
            <w:r w:rsidRPr="00FE0B71">
              <w:rPr>
                <w:vertAlign w:val="superscript"/>
              </w:rPr>
              <w:t xml:space="preserve"> </w:t>
            </w:r>
            <w:r w:rsidRPr="00FE0B71">
              <w:t xml:space="preserve">ETF </w:t>
            </w:r>
          </w:p>
        </w:tc>
        <w:tc>
          <w:tcPr>
            <w:tcW w:w="3070" w:type="dxa"/>
            <w:tcBorders>
              <w:top w:val="none" w:sz="0" w:space="0" w:color="auto"/>
              <w:left w:val="none" w:sz="0" w:space="0" w:color="auto"/>
              <w:bottom w:val="none" w:sz="0" w:space="0" w:color="auto"/>
              <w:right w:val="none" w:sz="0" w:space="0" w:color="auto"/>
            </w:tcBorders>
            <w:vAlign w:val="center"/>
          </w:tcPr>
          <w:p w:rsidR="00730734" w:rsidRDefault="00E95E3F" w:rsidP="00B51940">
            <w:pPr>
              <w:spacing w:before="0" w:after="240"/>
              <w:jc w:val="center"/>
              <w:cnfStyle w:val="100000000000"/>
            </w:pPr>
            <w:r w:rsidRPr="00FE0B71">
              <w:t>KBC Index Fund United States</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rsidRPr="00FE0B71">
              <w:t xml:space="preserve">Průměrná hrubá výnosnost </w:t>
            </w:r>
            <w:r>
              <w:t xml:space="preserve">       </w:t>
            </w:r>
            <w:r w:rsidRPr="00FE0B71">
              <w:t xml:space="preserve">v % </w:t>
            </w:r>
            <w:proofErr w:type="gramStart"/>
            <w:r w:rsidRPr="00FE0B71">
              <w:t>p.a.</w:t>
            </w:r>
            <w:proofErr w:type="gramEnd"/>
          </w:p>
        </w:tc>
        <w:tc>
          <w:tcPr>
            <w:tcW w:w="3070" w:type="dxa"/>
            <w:vAlign w:val="center"/>
          </w:tcPr>
          <w:p w:rsidR="00730734" w:rsidRPr="00730734" w:rsidRDefault="00730734" w:rsidP="00016AD2">
            <w:pPr>
              <w:spacing w:before="0"/>
              <w:jc w:val="center"/>
              <w:cnfStyle w:val="000000100000"/>
              <w:rPr>
                <w:rFonts w:cs="Times New Roman"/>
              </w:rPr>
            </w:pPr>
            <w:r w:rsidRPr="00730734">
              <w:rPr>
                <w:rFonts w:cs="Times New Roman"/>
              </w:rPr>
              <w:t xml:space="preserve">3,58 </w:t>
            </w:r>
            <w:r>
              <w:rPr>
                <w:rFonts w:cs="Times New Roman"/>
              </w:rPr>
              <w:t>%</w:t>
            </w:r>
          </w:p>
        </w:tc>
        <w:tc>
          <w:tcPr>
            <w:tcW w:w="3070" w:type="dxa"/>
            <w:vAlign w:val="center"/>
          </w:tcPr>
          <w:p w:rsidR="00730734" w:rsidRPr="00730734" w:rsidRDefault="00730734" w:rsidP="00016AD2">
            <w:pPr>
              <w:spacing w:before="0"/>
              <w:jc w:val="center"/>
              <w:cnfStyle w:val="000000100000"/>
              <w:rPr>
                <w:rFonts w:cs="Times New Roman"/>
              </w:rPr>
            </w:pPr>
            <w:r w:rsidRPr="00730734">
              <w:rPr>
                <w:rFonts w:cs="Times New Roman"/>
              </w:rPr>
              <w:t>4,23</w:t>
            </w:r>
            <w:r w:rsidR="00016AD2">
              <w:rPr>
                <w:rFonts w:cs="Times New Roman"/>
              </w:rPr>
              <w:t xml:space="preserve"> </w:t>
            </w:r>
            <w:r>
              <w:rPr>
                <w:rFonts w:cs="Times New Roman"/>
              </w:rPr>
              <w:t>%</w:t>
            </w:r>
          </w:p>
        </w:tc>
      </w:tr>
      <w:tr w:rsidR="00730734" w:rsidTr="00B51940">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t>Volatilita</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17,59</w:t>
            </w:r>
            <w:r>
              <w:rPr>
                <w:rFonts w:cs="Times New Roman"/>
              </w:rPr>
              <w:t xml:space="preserve"> %</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18,5</w:t>
            </w:r>
            <w:r>
              <w:rPr>
                <w:rFonts w:cs="Times New Roman"/>
              </w:rPr>
              <w:t xml:space="preserve"> %</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t>Riskfree rate</w:t>
            </w:r>
          </w:p>
        </w:tc>
        <w:tc>
          <w:tcPr>
            <w:tcW w:w="3070" w:type="dxa"/>
            <w:vAlign w:val="center"/>
          </w:tcPr>
          <w:p w:rsidR="00730734" w:rsidRPr="00730734" w:rsidRDefault="00730734" w:rsidP="00016AD2">
            <w:pPr>
              <w:spacing w:before="0"/>
              <w:jc w:val="center"/>
              <w:cnfStyle w:val="000000100000"/>
              <w:rPr>
                <w:rFonts w:cs="Times New Roman"/>
              </w:rPr>
            </w:pPr>
            <w:r w:rsidRPr="00730734">
              <w:rPr>
                <w:rFonts w:cs="Times New Roman"/>
              </w:rPr>
              <w:t>3,91</w:t>
            </w:r>
            <w:r>
              <w:rPr>
                <w:rFonts w:cs="Times New Roman"/>
              </w:rPr>
              <w:t xml:space="preserve"> %</w:t>
            </w:r>
          </w:p>
        </w:tc>
        <w:tc>
          <w:tcPr>
            <w:tcW w:w="3070" w:type="dxa"/>
            <w:vAlign w:val="center"/>
          </w:tcPr>
          <w:p w:rsidR="00730734" w:rsidRPr="00730734" w:rsidRDefault="00730734" w:rsidP="00016AD2">
            <w:pPr>
              <w:spacing w:before="0"/>
              <w:jc w:val="center"/>
              <w:cnfStyle w:val="000000100000"/>
              <w:rPr>
                <w:rFonts w:cs="Times New Roman"/>
              </w:rPr>
            </w:pPr>
            <w:r w:rsidRPr="00730734">
              <w:rPr>
                <w:rFonts w:cs="Times New Roman"/>
              </w:rPr>
              <w:t>3,91</w:t>
            </w:r>
            <w:r>
              <w:rPr>
                <w:rFonts w:cs="Times New Roman"/>
              </w:rPr>
              <w:t xml:space="preserve"> %</w:t>
            </w:r>
          </w:p>
        </w:tc>
      </w:tr>
      <w:tr w:rsidR="00730734" w:rsidTr="00B51940">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t>Sharpe Ratio</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-0,02</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0,03</w:t>
            </w:r>
          </w:p>
        </w:tc>
      </w:tr>
      <w:tr w:rsidR="00730734" w:rsidTr="00B51940">
        <w:trPr>
          <w:cnfStyle w:val="000000100000"/>
        </w:trPr>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t>Tracking error</w:t>
            </w:r>
          </w:p>
        </w:tc>
        <w:tc>
          <w:tcPr>
            <w:tcW w:w="3070" w:type="dxa"/>
            <w:vAlign w:val="center"/>
          </w:tcPr>
          <w:p w:rsidR="00730734" w:rsidRPr="00730734" w:rsidRDefault="00730734" w:rsidP="00016AD2">
            <w:pPr>
              <w:jc w:val="center"/>
              <w:cnfStyle w:val="000000100000"/>
              <w:rPr>
                <w:rFonts w:cs="Times New Roman"/>
                <w:color w:val="000000"/>
              </w:rPr>
            </w:pPr>
            <w:r w:rsidRPr="00730734">
              <w:rPr>
                <w:rFonts w:cs="Times New Roman"/>
                <w:color w:val="000000"/>
              </w:rPr>
              <w:t>2,429738</w:t>
            </w:r>
          </w:p>
        </w:tc>
        <w:tc>
          <w:tcPr>
            <w:tcW w:w="3070" w:type="dxa"/>
            <w:vAlign w:val="center"/>
          </w:tcPr>
          <w:p w:rsidR="00730734" w:rsidRPr="00730734" w:rsidRDefault="00730734" w:rsidP="00016AD2">
            <w:pPr>
              <w:jc w:val="center"/>
              <w:cnfStyle w:val="000000100000"/>
              <w:rPr>
                <w:rFonts w:cs="Times New Roman"/>
                <w:color w:val="000000"/>
              </w:rPr>
            </w:pPr>
            <w:r w:rsidRPr="00730734">
              <w:rPr>
                <w:rFonts w:cs="Times New Roman"/>
                <w:color w:val="000000"/>
              </w:rPr>
              <w:t>2,105886</w:t>
            </w:r>
          </w:p>
          <w:p w:rsidR="00730734" w:rsidRPr="00730734" w:rsidRDefault="00730734" w:rsidP="00016AD2">
            <w:pPr>
              <w:spacing w:before="0"/>
              <w:jc w:val="center"/>
              <w:cnfStyle w:val="000000100000"/>
              <w:rPr>
                <w:rFonts w:cs="Times New Roman"/>
              </w:rPr>
            </w:pPr>
          </w:p>
        </w:tc>
      </w:tr>
      <w:tr w:rsidR="00730734" w:rsidTr="00B51940">
        <w:tc>
          <w:tcPr>
            <w:cnfStyle w:val="001000000000"/>
            <w:tcW w:w="3070" w:type="dxa"/>
            <w:tcBorders>
              <w:left w:val="none" w:sz="0" w:space="0" w:color="auto"/>
              <w:bottom w:val="none" w:sz="0" w:space="0" w:color="auto"/>
              <w:right w:val="none" w:sz="0" w:space="0" w:color="auto"/>
            </w:tcBorders>
            <w:vAlign w:val="center"/>
          </w:tcPr>
          <w:p w:rsidR="00730734" w:rsidRDefault="00730734" w:rsidP="00016AD2">
            <w:pPr>
              <w:spacing w:before="0"/>
              <w:jc w:val="center"/>
            </w:pPr>
            <w:r>
              <w:t>Information ratio</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-0,17</w:t>
            </w:r>
          </w:p>
        </w:tc>
        <w:tc>
          <w:tcPr>
            <w:tcW w:w="3070" w:type="dxa"/>
            <w:vAlign w:val="center"/>
          </w:tcPr>
          <w:p w:rsidR="00730734" w:rsidRPr="00730734" w:rsidRDefault="00730734" w:rsidP="00016AD2">
            <w:pPr>
              <w:spacing w:before="0"/>
              <w:jc w:val="center"/>
              <w:cnfStyle w:val="000000000000"/>
              <w:rPr>
                <w:rFonts w:cs="Times New Roman"/>
              </w:rPr>
            </w:pPr>
            <w:r w:rsidRPr="00730734">
              <w:rPr>
                <w:rFonts w:cs="Times New Roman"/>
              </w:rPr>
              <w:t>0,11</w:t>
            </w:r>
          </w:p>
        </w:tc>
      </w:tr>
    </w:tbl>
    <w:p w:rsidR="00730734" w:rsidRDefault="00730734" w:rsidP="00016AD2">
      <w:pPr>
        <w:spacing w:before="0" w:after="0" w:line="360" w:lineRule="auto"/>
        <w:jc w:val="center"/>
        <w:rPr>
          <w:sz w:val="22"/>
        </w:rPr>
      </w:pPr>
      <w:r>
        <w:rPr>
          <w:sz w:val="22"/>
        </w:rPr>
        <w:t xml:space="preserve">Zdroj: vlastní zpracování na základě dat přístupných v elektronické databázi </w:t>
      </w:r>
      <w:r w:rsidR="00B51940">
        <w:rPr>
          <w:sz w:val="22"/>
        </w:rPr>
        <w:t>B</w:t>
      </w:r>
      <w:r>
        <w:rPr>
          <w:sz w:val="22"/>
        </w:rPr>
        <w:t>loomberg</w:t>
      </w:r>
    </w:p>
    <w:p w:rsidR="00016AD2" w:rsidRDefault="00016AD2" w:rsidP="00016AD2">
      <w:pPr>
        <w:spacing w:before="0" w:after="0" w:line="360" w:lineRule="auto"/>
      </w:pPr>
    </w:p>
    <w:p w:rsidR="00B76084" w:rsidRDefault="00B76084" w:rsidP="00B76084">
      <w:pPr>
        <w:spacing w:before="0" w:after="240" w:line="360" w:lineRule="auto"/>
      </w:pPr>
      <w:r>
        <w:t xml:space="preserve">Kromě výnosu, rizika a Sharpe ratio byl opět sledován Informační poměr. Z výpočtu tohoto ukazatele v delším časovém horizontu je opět vidět, že </w:t>
      </w:r>
      <w:r w:rsidRPr="00FE0B71">
        <w:t>SPDR S&amp;P 500</w:t>
      </w:r>
      <w:r w:rsidRPr="00FE0B71">
        <w:rPr>
          <w:vertAlign w:val="superscript"/>
        </w:rPr>
        <w:t xml:space="preserve"> </w:t>
      </w:r>
      <w:r w:rsidRPr="00FE0B71">
        <w:t xml:space="preserve">ETF </w:t>
      </w:r>
      <w:r>
        <w:t xml:space="preserve">nabývá </w:t>
      </w:r>
      <w:r>
        <w:lastRenderedPageBreak/>
        <w:t>záporných hodnot, tedy tomuto produktu se nepodařilo překonat výkonnost podkladového indexu. Oproti tomu u podílového listu skupiny KBC vychází kladná hodnota, tedy byl překonán benchmark. V tomto případě se výsledky shodují s pětiletým horizontem, kdy výsledky obou instrumentů vykazovaly podobné hodnoty, tedy produktu ETF se nepodařilo překonat S</w:t>
      </w:r>
      <w:r w:rsidRPr="00B76084">
        <w:t>&amp;</w:t>
      </w:r>
      <w:r>
        <w:t xml:space="preserve">P 500, zatímco podílovému listu ano. Jak již bylo řečeno, podílové fondy se snaží nejen kopírovat srovnávací index, ale překonat ho. V případě ETF záleží na statutu fondu, zda se snaží o překonání, nebo o replikaci výnosu dle podkladu. Oba nástroje vykazují v absolutní hodnotě nízké výsledky, což svědčí o pasivně řízených fondech. </w:t>
      </w:r>
    </w:p>
    <w:p w:rsidR="00B76084" w:rsidRDefault="00B76084" w:rsidP="00B76084">
      <w:pPr>
        <w:spacing w:before="0" w:after="240" w:line="360" w:lineRule="auto"/>
      </w:pPr>
      <w:r>
        <w:t xml:space="preserve">Z výše uvedeného opět vychází jako výhodnější instrument podílový fond. Nabízí jak vyšší zhodnocení investice, tak </w:t>
      </w:r>
      <w:proofErr w:type="gramStart"/>
      <w:r>
        <w:t>nabývá</w:t>
      </w:r>
      <w:proofErr w:type="gramEnd"/>
      <w:r>
        <w:t xml:space="preserve"> lepších hodnot </w:t>
      </w:r>
      <w:proofErr w:type="gramStart"/>
      <w:r>
        <w:t>Sharpe</w:t>
      </w:r>
      <w:proofErr w:type="gramEnd"/>
      <w:r>
        <w:t xml:space="preserve"> a Information ratio. Opět je potřeba brát v úvahu postavení investora k podstupovanému riziku a možnosti podávání moderních obchodních pokynů. </w:t>
      </w:r>
    </w:p>
    <w:p w:rsidR="00016AD2" w:rsidRPr="00016AD2" w:rsidRDefault="00016AD2" w:rsidP="00016AD2">
      <w:pPr>
        <w:spacing w:before="0" w:after="0" w:line="360" w:lineRule="auto"/>
      </w:pPr>
    </w:p>
    <w:p w:rsidR="00730734" w:rsidRDefault="00730734" w:rsidP="00730734"/>
    <w:p w:rsidR="00730734" w:rsidRDefault="00730734" w:rsidP="00730734">
      <w:pPr>
        <w:pStyle w:val="Titulek"/>
      </w:pPr>
    </w:p>
    <w:p w:rsidR="00730734" w:rsidRPr="00730734" w:rsidRDefault="00730734" w:rsidP="00730734">
      <w:pPr>
        <w:rPr>
          <w:lang w:eastAsia="cs-CZ"/>
        </w:rPr>
      </w:pPr>
    </w:p>
    <w:p w:rsidR="00AF399C" w:rsidRDefault="00AF399C" w:rsidP="00730734">
      <w:pPr>
        <w:pStyle w:val="Titulek"/>
      </w:pPr>
    </w:p>
    <w:sectPr w:rsidR="00AF399C" w:rsidSect="008A5AD0">
      <w:pgSz w:w="11906" w:h="16838"/>
      <w:pgMar w:top="1418" w:right="851"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1FC" w:rsidRDefault="00DD71FC" w:rsidP="00AF399C">
      <w:pPr>
        <w:spacing w:before="0" w:after="0" w:line="240" w:lineRule="auto"/>
      </w:pPr>
      <w:r>
        <w:separator/>
      </w:r>
    </w:p>
  </w:endnote>
  <w:endnote w:type="continuationSeparator" w:id="0">
    <w:p w:rsidR="00DD71FC" w:rsidRDefault="00DD71FC" w:rsidP="00AF399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Palatino Linotype">
    <w:panose1 w:val="02040502050505030304"/>
    <w:charset w:val="EE"/>
    <w:family w:val="roman"/>
    <w:pitch w:val="variable"/>
    <w:sig w:usb0="E0000387" w:usb1="40000013" w:usb2="00000000" w:usb3="00000000" w:csb0="000001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987"/>
      <w:docPartObj>
        <w:docPartGallery w:val="Page Numbers (Bottom of Page)"/>
        <w:docPartUnique/>
      </w:docPartObj>
    </w:sdtPr>
    <w:sdtContent>
      <w:p w:rsidR="0069115C" w:rsidRDefault="0069115C">
        <w:pPr>
          <w:pStyle w:val="Zpat"/>
          <w:jc w:val="center"/>
        </w:pPr>
        <w:fldSimple w:instr=" PAGE   \* MERGEFORMAT ">
          <w:r>
            <w:rPr>
              <w:noProof/>
            </w:rPr>
            <w:t>2</w:t>
          </w:r>
        </w:fldSimple>
      </w:p>
    </w:sdtContent>
  </w:sdt>
  <w:p w:rsidR="0069115C" w:rsidRDefault="0069115C">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5C" w:rsidRDefault="0069115C">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974"/>
      <w:docPartObj>
        <w:docPartGallery w:val="Page Numbers (Bottom of Page)"/>
        <w:docPartUnique/>
      </w:docPartObj>
    </w:sdtPr>
    <w:sdtContent>
      <w:p w:rsidR="0069115C" w:rsidRDefault="0069115C">
        <w:pPr>
          <w:pStyle w:val="Zpat"/>
          <w:jc w:val="center"/>
        </w:pPr>
        <w:fldSimple w:instr=" PAGE   \* MERGEFORMAT ">
          <w:r w:rsidR="008A6499">
            <w:rPr>
              <w:noProof/>
            </w:rPr>
            <w:t>92</w:t>
          </w:r>
        </w:fldSimple>
      </w:p>
    </w:sdtContent>
  </w:sdt>
  <w:p w:rsidR="0069115C" w:rsidRDefault="0069115C">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30063"/>
      <w:docPartObj>
        <w:docPartGallery w:val="Page Numbers (Bottom of Page)"/>
        <w:docPartUnique/>
      </w:docPartObj>
    </w:sdtPr>
    <w:sdtContent>
      <w:p w:rsidR="0069115C" w:rsidRDefault="0069115C">
        <w:pPr>
          <w:pStyle w:val="Zpat"/>
          <w:jc w:val="center"/>
        </w:pPr>
      </w:p>
      <w:p w:rsidR="0069115C" w:rsidRDefault="0069115C">
        <w:pPr>
          <w:pStyle w:val="Zpat"/>
          <w:jc w:val="center"/>
        </w:pPr>
      </w:p>
    </w:sdtContent>
  </w:sdt>
  <w:p w:rsidR="0069115C" w:rsidRDefault="0069115C">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1FC" w:rsidRDefault="00DD71FC" w:rsidP="00AF399C">
      <w:pPr>
        <w:spacing w:before="0" w:after="0" w:line="240" w:lineRule="auto"/>
      </w:pPr>
      <w:r>
        <w:separator/>
      </w:r>
    </w:p>
  </w:footnote>
  <w:footnote w:type="continuationSeparator" w:id="0">
    <w:p w:rsidR="00DD71FC" w:rsidRDefault="00DD71FC" w:rsidP="00AF399C">
      <w:pPr>
        <w:spacing w:before="0" w:after="0" w:line="240" w:lineRule="auto"/>
      </w:pPr>
      <w:r>
        <w:continuationSeparator/>
      </w:r>
    </w:p>
  </w:footnote>
  <w:footnote w:id="1">
    <w:p w:rsidR="0069115C" w:rsidRPr="008410A8" w:rsidRDefault="0069115C" w:rsidP="008410A8">
      <w:pPr>
        <w:autoSpaceDE w:val="0"/>
        <w:autoSpaceDN w:val="0"/>
        <w:adjustRightInd w:val="0"/>
        <w:spacing w:before="0" w:after="0" w:line="240" w:lineRule="auto"/>
        <w:jc w:val="left"/>
        <w:rPr>
          <w:rFonts w:cs="Times New Roman"/>
          <w:color w:val="FF0000"/>
          <w:sz w:val="20"/>
          <w:szCs w:val="20"/>
        </w:rPr>
      </w:pPr>
      <w:r w:rsidRPr="008410A8">
        <w:rPr>
          <w:rStyle w:val="Znakapoznpodarou"/>
          <w:rFonts w:cs="Times New Roman"/>
          <w:sz w:val="20"/>
          <w:szCs w:val="20"/>
        </w:rPr>
        <w:footnoteRef/>
      </w:r>
      <w:r w:rsidRPr="008410A8">
        <w:rPr>
          <w:rFonts w:cs="Times New Roman"/>
          <w:sz w:val="20"/>
          <w:szCs w:val="20"/>
        </w:rPr>
        <w:t xml:space="preserve"> </w:t>
      </w:r>
      <w:r w:rsidRPr="008410A8">
        <w:rPr>
          <w:rFonts w:eastAsia="Times New Roman" w:cs="Times New Roman"/>
          <w:sz w:val="20"/>
          <w:szCs w:val="20"/>
        </w:rPr>
        <w:t>LIŠKA, Václav a Jan GAZDA. Kapitálové trhy a kolektivní investování. 1. vyd. Praha: Professional</w:t>
      </w:r>
      <w:r>
        <w:rPr>
          <w:rFonts w:eastAsia="Times New Roman" w:cs="Times New Roman"/>
          <w:sz w:val="20"/>
          <w:szCs w:val="20"/>
        </w:rPr>
        <w:t xml:space="preserve"> </w:t>
      </w:r>
      <w:r w:rsidRPr="008410A8">
        <w:rPr>
          <w:rFonts w:eastAsia="Times New Roman" w:cs="Times New Roman"/>
          <w:sz w:val="20"/>
          <w:szCs w:val="20"/>
        </w:rPr>
        <w:t>Publishing, 2004. 5</w:t>
      </w:r>
      <w:r>
        <w:rPr>
          <w:rFonts w:eastAsia="Times New Roman" w:cs="Times New Roman"/>
          <w:sz w:val="20"/>
          <w:szCs w:val="20"/>
        </w:rPr>
        <w:t>25 s. ISBN 80-86419-63-0. s. 311</w:t>
      </w:r>
    </w:p>
  </w:footnote>
  <w:footnote w:id="2">
    <w:p w:rsidR="0069115C" w:rsidRDefault="0069115C" w:rsidP="00AF399C">
      <w:pPr>
        <w:pStyle w:val="Textpoznpodarou"/>
      </w:pPr>
      <w:r>
        <w:rPr>
          <w:rStyle w:val="Znakapoznpodarou"/>
        </w:rPr>
        <w:footnoteRef/>
      </w:r>
      <w:r>
        <w:t xml:space="preserve"> §93 Zákona 240/2013 Sb. o investičních společnostech a investičních fondech ve znění pozdějších předpisů</w:t>
      </w:r>
    </w:p>
  </w:footnote>
  <w:footnote w:id="3">
    <w:p w:rsidR="0069115C" w:rsidRDefault="0069115C" w:rsidP="00AF399C">
      <w:pPr>
        <w:pStyle w:val="Textpoznpodarou"/>
      </w:pPr>
      <w:r>
        <w:rPr>
          <w:rStyle w:val="Znakapoznpodarou"/>
        </w:rPr>
        <w:footnoteRef/>
      </w:r>
      <w:r>
        <w:t xml:space="preserve"> Omezení jsou dána prospektem cenného papíru, kde by mělo být definováno, do kterých typů cenných papírů a v jakém poměru bude investováno. Portfolio manažer je přitom povinen vždy respektovat rizika spojená s investicemi a dle toho vážit svá rozhodnutí. </w:t>
      </w:r>
    </w:p>
  </w:footnote>
  <w:footnote w:id="4">
    <w:p w:rsidR="0069115C" w:rsidRDefault="0069115C" w:rsidP="00AF399C">
      <w:pPr>
        <w:pStyle w:val="Textpoznpodarou"/>
      </w:pPr>
      <w:r>
        <w:rPr>
          <w:rStyle w:val="Znakapoznpodarou"/>
        </w:rPr>
        <w:footnoteRef/>
      </w:r>
      <w:r>
        <w:t xml:space="preserve"> Konkrétní zaměření fondu a skladba portfolia by opět měla být určena v prospektu cenného papíru, se kterou se má investor seznámit dříve, než se do investování pustí. </w:t>
      </w:r>
    </w:p>
  </w:footnote>
  <w:footnote w:id="5">
    <w:p w:rsidR="0069115C" w:rsidRPr="005E5134" w:rsidRDefault="0069115C" w:rsidP="005E5134">
      <w:pPr>
        <w:spacing w:before="0" w:after="0" w:line="240" w:lineRule="auto"/>
        <w:rPr>
          <w:sz w:val="20"/>
          <w:szCs w:val="20"/>
        </w:rPr>
      </w:pPr>
      <w:r>
        <w:rPr>
          <w:rStyle w:val="Znakapoznpodarou"/>
        </w:rPr>
        <w:footnoteRef/>
      </w:r>
      <w:r>
        <w:t xml:space="preserve"> </w:t>
      </w:r>
      <w:r w:rsidRPr="005E5134">
        <w:rPr>
          <w:sz w:val="20"/>
          <w:szCs w:val="20"/>
        </w:rPr>
        <w:t xml:space="preserve">Kolektivní investování. </w:t>
      </w:r>
      <w:r w:rsidRPr="005E5134">
        <w:rPr>
          <w:i/>
          <w:iCs/>
          <w:sz w:val="20"/>
          <w:szCs w:val="20"/>
        </w:rPr>
        <w:t>Česká národní banka</w:t>
      </w:r>
      <w:r w:rsidRPr="005E5134">
        <w:rPr>
          <w:sz w:val="20"/>
          <w:szCs w:val="20"/>
        </w:rPr>
        <w:t xml:space="preserve"> [online]. 2014 [cit. 2014-03-10]. Dostupné z: http://www.cnbprovsechny.cnb.cz/cs/osobni_finance/investice/moznosti_investovani/kolektivni_investovani.html </w:t>
      </w:r>
    </w:p>
  </w:footnote>
  <w:footnote w:id="6">
    <w:p w:rsidR="0069115C" w:rsidRPr="005E5134" w:rsidRDefault="0069115C" w:rsidP="00AF399C">
      <w:pPr>
        <w:pStyle w:val="Textpoznpodarou"/>
      </w:pPr>
      <w:r w:rsidRPr="005E5134">
        <w:rPr>
          <w:rStyle w:val="Znakapoznpodarou"/>
        </w:rPr>
        <w:footnoteRef/>
      </w:r>
      <w:r w:rsidRPr="005E5134">
        <w:t xml:space="preserve"> vklady u bank jsou ze zákona pojištěny ve výši 100 %, maximálně však 100.000 EUR</w:t>
      </w:r>
    </w:p>
  </w:footnote>
  <w:footnote w:id="7">
    <w:p w:rsidR="0069115C" w:rsidRPr="005E5134" w:rsidRDefault="0069115C" w:rsidP="00AF399C">
      <w:pPr>
        <w:pStyle w:val="Textpoznpodarou"/>
      </w:pPr>
      <w:r w:rsidRPr="005E5134">
        <w:rPr>
          <w:rStyle w:val="Znakapoznpodarou"/>
        </w:rPr>
        <w:footnoteRef/>
      </w:r>
      <w:r w:rsidRPr="005E5134">
        <w:t xml:space="preserve"> náhrady z Garančního fondu jsou poskytovány ve výši 90 %, maximálně však 20.000 EUR </w:t>
      </w:r>
    </w:p>
  </w:footnote>
  <w:footnote w:id="8">
    <w:p w:rsidR="0069115C" w:rsidRPr="005E5134" w:rsidRDefault="0069115C" w:rsidP="005E5134">
      <w:pPr>
        <w:spacing w:before="0" w:after="0" w:line="240" w:lineRule="auto"/>
        <w:rPr>
          <w:sz w:val="20"/>
          <w:szCs w:val="20"/>
        </w:rPr>
      </w:pPr>
      <w:r w:rsidRPr="005E5134">
        <w:rPr>
          <w:rStyle w:val="Znakapoznpodarou"/>
          <w:sz w:val="20"/>
          <w:szCs w:val="20"/>
        </w:rPr>
        <w:footnoteRef/>
      </w:r>
      <w:r w:rsidRPr="005E5134">
        <w:rPr>
          <w:sz w:val="20"/>
          <w:szCs w:val="20"/>
        </w:rPr>
        <w:t xml:space="preserve"> REJNUŠ, Oldřich. </w:t>
      </w:r>
      <w:r w:rsidRPr="005E5134">
        <w:rPr>
          <w:i/>
          <w:iCs/>
          <w:sz w:val="20"/>
          <w:szCs w:val="20"/>
        </w:rPr>
        <w:t>Finanční trhy</w:t>
      </w:r>
      <w:r w:rsidRPr="005E5134">
        <w:rPr>
          <w:sz w:val="20"/>
          <w:szCs w:val="20"/>
        </w:rPr>
        <w:t>. 2., rozš. vyd. Ostrava: Key Publishing, 2010, 659 s. Ekonomie (Key Publishing). ISBN 978-80-7418-080-4. str. 560</w:t>
      </w:r>
    </w:p>
  </w:footnote>
  <w:footnote w:id="9">
    <w:p w:rsidR="0069115C" w:rsidRPr="005E5134" w:rsidRDefault="0069115C" w:rsidP="005E5134">
      <w:pPr>
        <w:spacing w:before="0" w:after="0" w:line="240" w:lineRule="auto"/>
        <w:rPr>
          <w:sz w:val="20"/>
          <w:szCs w:val="20"/>
        </w:rPr>
      </w:pPr>
      <w:r w:rsidRPr="005E5134">
        <w:rPr>
          <w:rStyle w:val="Znakapoznpodarou"/>
          <w:sz w:val="20"/>
          <w:szCs w:val="20"/>
        </w:rPr>
        <w:footnoteRef/>
      </w:r>
      <w:r w:rsidRPr="005E5134">
        <w:rPr>
          <w:sz w:val="20"/>
          <w:szCs w:val="20"/>
        </w:rPr>
        <w:t xml:space="preserve"> Podílový fond. </w:t>
      </w:r>
      <w:r w:rsidRPr="005E5134">
        <w:rPr>
          <w:i/>
          <w:iCs/>
          <w:sz w:val="20"/>
          <w:szCs w:val="20"/>
        </w:rPr>
        <w:t>Finančívzdělávání.cz</w:t>
      </w:r>
      <w:r w:rsidRPr="005E5134">
        <w:rPr>
          <w:sz w:val="20"/>
          <w:szCs w:val="20"/>
        </w:rPr>
        <w:t xml:space="preserve"> [online]. 2013 [cit. 2014-03-11]. Dostupné z: http://www.financnivzdelavani.cz/webmagazine/page.asp?idk=365 </w:t>
      </w:r>
    </w:p>
  </w:footnote>
  <w:footnote w:id="10">
    <w:p w:rsidR="0069115C" w:rsidRPr="005E5134" w:rsidRDefault="0069115C" w:rsidP="00AF399C">
      <w:pPr>
        <w:pStyle w:val="Textpoznpodarou"/>
      </w:pPr>
      <w:r w:rsidRPr="005E5134">
        <w:rPr>
          <w:rStyle w:val="Znakapoznpodarou"/>
        </w:rPr>
        <w:footnoteRef/>
      </w:r>
      <w:r w:rsidRPr="005E5134">
        <w:t xml:space="preserve"> REJNUŠ, Oldřich. </w:t>
      </w:r>
      <w:r w:rsidRPr="005E5134">
        <w:rPr>
          <w:i/>
          <w:iCs/>
        </w:rPr>
        <w:t>Finanční trhy</w:t>
      </w:r>
      <w:r w:rsidRPr="005E5134">
        <w:t xml:space="preserve">. 2., rozš. vyd. Ostrava: Key Publishing, 2010, 659 s. Ekonomie (Key Publishing). ISBN 978-80-7418-080-4. </w:t>
      </w:r>
      <w:proofErr w:type="gramStart"/>
      <w:r w:rsidRPr="005E5134">
        <w:t>str.  561</w:t>
      </w:r>
      <w:proofErr w:type="gramEnd"/>
    </w:p>
  </w:footnote>
  <w:footnote w:id="11">
    <w:p w:rsidR="0069115C" w:rsidRDefault="0069115C" w:rsidP="00AF399C">
      <w:pPr>
        <w:pStyle w:val="Textpoznpodarou"/>
      </w:pPr>
      <w:r w:rsidRPr="005E5134">
        <w:rPr>
          <w:rStyle w:val="Znakapoznpodarou"/>
        </w:rPr>
        <w:footnoteRef/>
      </w:r>
      <w:r w:rsidRPr="005E5134">
        <w:t xml:space="preserve"> za předpokladu, že je toto povoleno ve statutu fondu</w:t>
      </w:r>
    </w:p>
  </w:footnote>
  <w:footnote w:id="12">
    <w:p w:rsidR="0069115C" w:rsidRDefault="0069115C">
      <w:pPr>
        <w:pStyle w:val="Textpoznpodarou"/>
      </w:pPr>
      <w:r>
        <w:rPr>
          <w:rStyle w:val="Znakapoznpodarou"/>
        </w:rPr>
        <w:footnoteRef/>
      </w:r>
      <w:r>
        <w:t xml:space="preserve"> </w:t>
      </w:r>
      <w:r w:rsidRPr="005E5134">
        <w:t xml:space="preserve">REJNUŠ, Oldřich. </w:t>
      </w:r>
      <w:r w:rsidRPr="005E5134">
        <w:rPr>
          <w:i/>
          <w:iCs/>
        </w:rPr>
        <w:t>Finanční trhy</w:t>
      </w:r>
      <w:r w:rsidRPr="005E5134">
        <w:t>. 2., rozš. vyd. Ostrava: Key Publishing, 2010, 659 s. Ekonomie (Key Publishing). ISBN 978-80-7418-080-4</w:t>
      </w:r>
      <w:r>
        <w:t>str. 559</w:t>
      </w:r>
    </w:p>
  </w:footnote>
  <w:footnote w:id="13">
    <w:p w:rsidR="0069115C" w:rsidRDefault="0069115C" w:rsidP="00AF399C">
      <w:pPr>
        <w:pStyle w:val="Textpoznpodarou"/>
      </w:pPr>
      <w:r>
        <w:rPr>
          <w:rStyle w:val="Znakapoznpodarou"/>
        </w:rPr>
        <w:footnoteRef/>
      </w:r>
      <w:r>
        <w:t xml:space="preserve"> </w:t>
      </w:r>
      <w:r w:rsidRPr="00736B50">
        <w:rPr>
          <w:szCs w:val="24"/>
        </w:rPr>
        <w:t xml:space="preserve">REJNUŠ, Oldřich. </w:t>
      </w:r>
      <w:r w:rsidRPr="00736B50">
        <w:rPr>
          <w:i/>
          <w:iCs/>
          <w:szCs w:val="24"/>
        </w:rPr>
        <w:t>Finanční trhy</w:t>
      </w:r>
      <w:r w:rsidRPr="00736B50">
        <w:rPr>
          <w:szCs w:val="24"/>
        </w:rPr>
        <w:t xml:space="preserve">. 2., rozš. vyd. Ostrava: Key Publishing, 2010, 659 s. Ekonomie (Key Publishing). ISBN 978-80-7418-080-4. </w:t>
      </w:r>
      <w:proofErr w:type="gramStart"/>
      <w:r w:rsidRPr="00736B50">
        <w:rPr>
          <w:szCs w:val="24"/>
        </w:rPr>
        <w:t>str.</w:t>
      </w:r>
      <w:r w:rsidRPr="00736B50">
        <w:t xml:space="preserve"> </w:t>
      </w:r>
      <w:r>
        <w:t xml:space="preserve"> 561</w:t>
      </w:r>
      <w:proofErr w:type="gramEnd"/>
    </w:p>
  </w:footnote>
  <w:footnote w:id="14">
    <w:p w:rsidR="0069115C" w:rsidRDefault="0069115C" w:rsidP="00AF399C">
      <w:pPr>
        <w:pStyle w:val="Textpoznpodarou"/>
      </w:pPr>
      <w:r>
        <w:rPr>
          <w:rStyle w:val="Znakapoznpodarou"/>
        </w:rPr>
        <w:footnoteRef/>
      </w:r>
      <w:r>
        <w:t xml:space="preserve"> §8 zákona 240/2013 Sb. o investičních společnostech a investičních fondech ve znění pozdějších předpisů</w:t>
      </w:r>
    </w:p>
  </w:footnote>
  <w:footnote w:id="15">
    <w:p w:rsidR="0069115C" w:rsidRDefault="0069115C" w:rsidP="00AF399C">
      <w:pPr>
        <w:pStyle w:val="Textpoznpodarou"/>
      </w:pPr>
      <w:r>
        <w:rPr>
          <w:rStyle w:val="Znakapoznpodarou"/>
        </w:rPr>
        <w:footnoteRef/>
      </w:r>
      <w:r>
        <w:t xml:space="preserve"> dle §159 zákona 240/2013 Sb. o investičních společnostech a investičních fondech ve znění pozdějších předpisů není se zakladatelskou akcií spojeno právo na odkup na účet společnosti ani jiné zvláštní právo a nemůže být přijata k obchodování na evropském regulovaném trhu ani na jiném veřejném trhu.</w:t>
      </w:r>
    </w:p>
  </w:footnote>
  <w:footnote w:id="16">
    <w:p w:rsidR="0069115C" w:rsidRDefault="0069115C" w:rsidP="00AF399C">
      <w:pPr>
        <w:pStyle w:val="Textpoznpodarou"/>
      </w:pPr>
      <w:r>
        <w:rPr>
          <w:rStyle w:val="Znakapoznpodarou"/>
        </w:rPr>
        <w:footnoteRef/>
      </w:r>
      <w:r>
        <w:t xml:space="preserve"> dle §162 zákona 240/2013 Sb. o investičních společnostech a investičních fondech ve znění pozdějších předpisů je s investiční akcií spojeno právo na odkup na účet společnosti, tyto akcie pak odkupem zanikají. </w:t>
      </w:r>
    </w:p>
  </w:footnote>
  <w:footnote w:id="17">
    <w:p w:rsidR="0069115C" w:rsidRDefault="0069115C" w:rsidP="00AF399C">
      <w:pPr>
        <w:pStyle w:val="Textpoznpodarou"/>
      </w:pPr>
      <w:r>
        <w:rPr>
          <w:rStyle w:val="Znakapoznpodarou"/>
        </w:rPr>
        <w:footnoteRef/>
      </w:r>
      <w:r>
        <w:t xml:space="preserve"> </w:t>
      </w:r>
      <w:r w:rsidRPr="00736B50">
        <w:rPr>
          <w:szCs w:val="24"/>
        </w:rPr>
        <w:t xml:space="preserve">REJNUŠ, Oldřich. </w:t>
      </w:r>
      <w:r w:rsidRPr="00736B50">
        <w:rPr>
          <w:i/>
          <w:iCs/>
          <w:szCs w:val="24"/>
        </w:rPr>
        <w:t>Finanční trhy</w:t>
      </w:r>
      <w:r w:rsidRPr="00736B50">
        <w:rPr>
          <w:szCs w:val="24"/>
        </w:rPr>
        <w:t xml:space="preserve">. 2., rozš. vyd. Ostrava: Key Publishing, 2010, 659 s. Ekonomie (Key Publishing). ISBN 978-80-7418-080-4. </w:t>
      </w:r>
      <w:proofErr w:type="gramStart"/>
      <w:r w:rsidRPr="00736B50">
        <w:rPr>
          <w:szCs w:val="24"/>
        </w:rPr>
        <w:t>str.</w:t>
      </w:r>
      <w:r w:rsidRPr="00736B50">
        <w:t xml:space="preserve"> </w:t>
      </w:r>
      <w:r>
        <w:t xml:space="preserve"> 570</w:t>
      </w:r>
      <w:proofErr w:type="gramEnd"/>
    </w:p>
  </w:footnote>
  <w:footnote w:id="18">
    <w:p w:rsidR="0069115C" w:rsidRDefault="0069115C" w:rsidP="00AF399C">
      <w:pPr>
        <w:pStyle w:val="Textpoznpodarou"/>
      </w:pPr>
    </w:p>
  </w:footnote>
  <w:footnote w:id="19">
    <w:p w:rsidR="0069115C" w:rsidRDefault="0069115C" w:rsidP="00AF399C">
      <w:pPr>
        <w:pStyle w:val="Textpoznpodarou"/>
      </w:pPr>
      <w:r>
        <w:rPr>
          <w:rStyle w:val="Znakapoznpodarou"/>
        </w:rPr>
        <w:footnoteRef/>
      </w:r>
      <w:r>
        <w:t xml:space="preserve"> GASTINEAU, Gary L. </w:t>
      </w:r>
      <w:r>
        <w:rPr>
          <w:i/>
          <w:iCs/>
        </w:rPr>
        <w:t>The exchange-traded funds manual</w:t>
      </w:r>
      <w:r>
        <w:t>. 2. vyd. Hoboken, New Jersey.: John Wiley &amp; Sons, Inc, 2010, s. 19-28. ISBN 978-0-470-48233-9.  Str. 31</w:t>
      </w:r>
    </w:p>
  </w:footnote>
  <w:footnote w:id="20">
    <w:p w:rsidR="0069115C" w:rsidRDefault="0069115C">
      <w:pPr>
        <w:pStyle w:val="Textpoznpodarou"/>
      </w:pPr>
      <w:r>
        <w:rPr>
          <w:rStyle w:val="Znakapoznpodarou"/>
        </w:rPr>
        <w:footnoteRef/>
      </w:r>
      <w:r>
        <w:t xml:space="preserve"> následující text upraven dle GASTINEAU, Gary L. </w:t>
      </w:r>
      <w:r>
        <w:rPr>
          <w:i/>
          <w:iCs/>
        </w:rPr>
        <w:t>The exchange-traded funds manual</w:t>
      </w:r>
      <w:r>
        <w:t>. 2. vyd. Hoboken, New Jersey.: John Wiley &amp; Sons, Inc, 2010, s. 19-28. ISBN 978-0-470-48233-9. str. 25 - 34</w:t>
      </w:r>
    </w:p>
  </w:footnote>
  <w:footnote w:id="21">
    <w:p w:rsidR="0069115C" w:rsidRDefault="0069115C" w:rsidP="00AF399C">
      <w:pPr>
        <w:pStyle w:val="Textpoznpodarou"/>
      </w:pPr>
      <w:r>
        <w:rPr>
          <w:rStyle w:val="Znakapoznpodarou"/>
        </w:rPr>
        <w:footnoteRef/>
      </w:r>
      <w:r>
        <w:t xml:space="preserve"> </w:t>
      </w:r>
      <w:r w:rsidRPr="00470790">
        <w:rPr>
          <w:szCs w:val="24"/>
        </w:rPr>
        <w:t xml:space="preserve">Kolektivní investování v České republice. </w:t>
      </w:r>
      <w:r w:rsidRPr="00470790">
        <w:rPr>
          <w:i/>
          <w:iCs/>
          <w:szCs w:val="24"/>
        </w:rPr>
        <w:t>ETFs.cz</w:t>
      </w:r>
      <w:r w:rsidRPr="00470790">
        <w:rPr>
          <w:szCs w:val="24"/>
        </w:rPr>
        <w:t xml:space="preserve"> [online]. 2014 [cit. 2014-03-20]. Dostupné z: http://etfs.cz/o-etf/</w:t>
      </w:r>
    </w:p>
  </w:footnote>
  <w:footnote w:id="22">
    <w:p w:rsidR="0069115C" w:rsidRPr="008410A8" w:rsidRDefault="0069115C" w:rsidP="008410A8">
      <w:pPr>
        <w:spacing w:before="0" w:after="0" w:line="240" w:lineRule="auto"/>
        <w:rPr>
          <w:sz w:val="20"/>
          <w:szCs w:val="20"/>
        </w:rPr>
      </w:pPr>
      <w:r w:rsidRPr="008410A8">
        <w:rPr>
          <w:rStyle w:val="Znakapoznpodarou"/>
          <w:sz w:val="20"/>
          <w:szCs w:val="20"/>
        </w:rPr>
        <w:footnoteRef/>
      </w:r>
      <w:r w:rsidRPr="008410A8">
        <w:rPr>
          <w:sz w:val="20"/>
          <w:szCs w:val="20"/>
        </w:rPr>
        <w:t xml:space="preserve"> Kolektivní investování v České republice. </w:t>
      </w:r>
      <w:r w:rsidRPr="008410A8">
        <w:rPr>
          <w:i/>
          <w:iCs/>
          <w:sz w:val="20"/>
          <w:szCs w:val="20"/>
        </w:rPr>
        <w:t>ETFs.cz</w:t>
      </w:r>
      <w:r w:rsidRPr="008410A8">
        <w:rPr>
          <w:sz w:val="20"/>
          <w:szCs w:val="20"/>
        </w:rPr>
        <w:t xml:space="preserve"> [online]. 2014 [cit. 2014-03-20]. Dostupné z: http://etfs.cz/o-etf/ </w:t>
      </w:r>
    </w:p>
  </w:footnote>
  <w:footnote w:id="23">
    <w:p w:rsidR="0069115C" w:rsidRDefault="0069115C" w:rsidP="00AF399C">
      <w:pPr>
        <w:pStyle w:val="Textpoznpodarou"/>
      </w:pPr>
      <w:r>
        <w:rPr>
          <w:rStyle w:val="Znakapoznpodarou"/>
        </w:rPr>
        <w:footnoteRef/>
      </w:r>
      <w:r>
        <w:t xml:space="preserve"> ETP – Exchange traded products je o něco širší pojem než samotná ETF, zahrnuje nejen ETF (Exchange traded </w:t>
      </w:r>
      <w:proofErr w:type="gramStart"/>
      <w:r>
        <w:t>funds) , ale</w:t>
      </w:r>
      <w:proofErr w:type="gramEnd"/>
      <w:r>
        <w:t xml:space="preserve"> také ETV (Exchange traded vehicles) a ETN (Exchange traded notes), bližší specifikace těchto typů bude uvedena dále v textu.</w:t>
      </w:r>
    </w:p>
  </w:footnote>
  <w:footnote w:id="24">
    <w:p w:rsidR="0069115C" w:rsidRDefault="0069115C" w:rsidP="00AF399C">
      <w:pPr>
        <w:pStyle w:val="Textpoznpodarou"/>
      </w:pPr>
      <w:r>
        <w:rPr>
          <w:rStyle w:val="Znakapoznpodarou"/>
        </w:rPr>
        <w:footnoteRef/>
      </w:r>
      <w:r>
        <w:t xml:space="preserve"> Celkový počet obchodovaných byl 106, zbytek byl tedy obchodovaný na burzách v Kanadě a Asii.</w:t>
      </w:r>
    </w:p>
  </w:footnote>
  <w:footnote w:id="25">
    <w:p w:rsidR="0069115C" w:rsidRPr="00470790" w:rsidRDefault="0069115C" w:rsidP="005E47A8">
      <w:pPr>
        <w:spacing w:before="0" w:after="0" w:line="240" w:lineRule="auto"/>
        <w:rPr>
          <w:sz w:val="20"/>
        </w:rPr>
      </w:pPr>
      <w:r w:rsidRPr="00470790">
        <w:rPr>
          <w:rStyle w:val="Znakapoznpodarou"/>
        </w:rPr>
        <w:footnoteRef/>
      </w:r>
      <w:r w:rsidRPr="00470790">
        <w:rPr>
          <w:sz w:val="20"/>
        </w:rPr>
        <w:t xml:space="preserve">ETP Landscape. </w:t>
      </w:r>
      <w:r w:rsidRPr="00470790">
        <w:rPr>
          <w:i/>
          <w:iCs/>
          <w:sz w:val="20"/>
        </w:rPr>
        <w:t>BlackRock</w:t>
      </w:r>
      <w:r w:rsidRPr="00470790">
        <w:rPr>
          <w:sz w:val="20"/>
        </w:rPr>
        <w:t xml:space="preserve"> [online]. 2014 [cit. 2014-03-15]. Dostupné z: http://www.blackrocklatam.com/content/groups/internationalsite/documents/literature/etfl_industryhilight_dec13.pdf</w:t>
      </w:r>
    </w:p>
  </w:footnote>
  <w:footnote w:id="26">
    <w:p w:rsidR="0069115C" w:rsidRPr="00673138" w:rsidRDefault="0069115C" w:rsidP="005E47A8">
      <w:pPr>
        <w:spacing w:before="0" w:after="0" w:line="240" w:lineRule="auto"/>
        <w:rPr>
          <w:sz w:val="20"/>
          <w:szCs w:val="24"/>
        </w:rPr>
      </w:pPr>
      <w:r>
        <w:rPr>
          <w:rStyle w:val="Znakapoznpodarou"/>
        </w:rPr>
        <w:footnoteRef/>
      </w:r>
      <w:r>
        <w:t xml:space="preserve"> </w:t>
      </w:r>
      <w:r w:rsidRPr="00673138">
        <w:rPr>
          <w:sz w:val="20"/>
          <w:szCs w:val="24"/>
        </w:rPr>
        <w:t xml:space="preserve">Worldwide Mutual Fund Assets and Flows. </w:t>
      </w:r>
      <w:r w:rsidRPr="00673138">
        <w:rPr>
          <w:i/>
          <w:iCs/>
          <w:sz w:val="20"/>
          <w:szCs w:val="24"/>
        </w:rPr>
        <w:t>Investment Company Institute</w:t>
      </w:r>
      <w:r w:rsidRPr="00673138">
        <w:rPr>
          <w:sz w:val="20"/>
          <w:szCs w:val="24"/>
        </w:rPr>
        <w:t xml:space="preserve"> [online]. 2013 [cit. 2014-03-20]. Dostupné z: http://www.ici.org/research/stats/worldwide/ww_09_13 </w:t>
      </w:r>
    </w:p>
  </w:footnote>
  <w:footnote w:id="27">
    <w:p w:rsidR="0069115C" w:rsidRDefault="0069115C" w:rsidP="00AF399C">
      <w:pPr>
        <w:pStyle w:val="Textpoznpodarou"/>
      </w:pPr>
      <w:r>
        <w:rPr>
          <w:rStyle w:val="Znakapoznpodarou"/>
        </w:rPr>
        <w:footnoteRef/>
      </w:r>
      <w:r>
        <w:t xml:space="preserve"> Mezi akcie jsou započítávány indexy jako podkladová aktiva, pokud jsou tyto na akcie. </w:t>
      </w:r>
    </w:p>
  </w:footnote>
  <w:footnote w:id="28">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w:t>
      </w:r>
      <w:proofErr w:type="gramStart"/>
      <w:r>
        <w:t>55682-5.  str.</w:t>
      </w:r>
      <w:proofErr w:type="gramEnd"/>
      <w:r>
        <w:t xml:space="preserve"> 27</w:t>
      </w:r>
    </w:p>
  </w:footnote>
  <w:footnote w:id="29">
    <w:p w:rsidR="0069115C" w:rsidRPr="00673138" w:rsidRDefault="0069115C" w:rsidP="00AF399C">
      <w:pPr>
        <w:spacing w:line="240" w:lineRule="auto"/>
        <w:rPr>
          <w:sz w:val="20"/>
          <w:szCs w:val="24"/>
        </w:rPr>
      </w:pPr>
      <w:r w:rsidRPr="00673138">
        <w:rPr>
          <w:rStyle w:val="Znakapoznpodarou"/>
        </w:rPr>
        <w:footnoteRef/>
      </w:r>
      <w:r w:rsidRPr="00673138">
        <w:rPr>
          <w:sz w:val="20"/>
        </w:rPr>
        <w:t xml:space="preserve"> </w:t>
      </w:r>
      <w:r w:rsidRPr="00673138">
        <w:rPr>
          <w:sz w:val="20"/>
          <w:szCs w:val="24"/>
        </w:rPr>
        <w:t xml:space="preserve">K právní povaze ETF. </w:t>
      </w:r>
      <w:r w:rsidRPr="00673138">
        <w:rPr>
          <w:i/>
          <w:iCs/>
          <w:sz w:val="20"/>
          <w:szCs w:val="24"/>
        </w:rPr>
        <w:t>Česká národní banka</w:t>
      </w:r>
      <w:r w:rsidRPr="00673138">
        <w:rPr>
          <w:sz w:val="20"/>
          <w:szCs w:val="24"/>
        </w:rPr>
        <w:t xml:space="preserve"> [online]. 2010 [cit. 2014-03-18]. Dostupné z: http://www.cnb.cz/miranda2/export/sites/www.cnb.cz/cs/faq/k_pravni_povaze_exchange_traded_funds.pdf </w:t>
      </w:r>
    </w:p>
    <w:p w:rsidR="0069115C" w:rsidRPr="00673138" w:rsidRDefault="0069115C" w:rsidP="00AF399C">
      <w:pPr>
        <w:pStyle w:val="Textpoznpodarou"/>
        <w:rPr>
          <w:sz w:val="16"/>
        </w:rPr>
      </w:pPr>
    </w:p>
  </w:footnote>
  <w:footnote w:id="30">
    <w:p w:rsidR="0069115C" w:rsidRDefault="0069115C" w:rsidP="00AF399C">
      <w:pPr>
        <w:pStyle w:val="Textpoznpodarou"/>
      </w:pPr>
      <w:r>
        <w:rPr>
          <w:rStyle w:val="Znakapoznpodarou"/>
        </w:rPr>
        <w:footnoteRef/>
      </w:r>
      <w:r>
        <w:t xml:space="preserve"> </w:t>
      </w:r>
      <w:r w:rsidRPr="00736B50">
        <w:rPr>
          <w:szCs w:val="24"/>
        </w:rPr>
        <w:t xml:space="preserve">REJNUŠ, Oldřich. </w:t>
      </w:r>
      <w:r w:rsidRPr="00736B50">
        <w:rPr>
          <w:i/>
          <w:iCs/>
          <w:szCs w:val="24"/>
        </w:rPr>
        <w:t>Finanční trhy</w:t>
      </w:r>
      <w:r w:rsidRPr="00736B50">
        <w:rPr>
          <w:szCs w:val="24"/>
        </w:rPr>
        <w:t xml:space="preserve">. 2., rozš. vyd. Ostrava: Key Publishing, 2010, 659 s. Ekonomie (Key Publishing). ISBN 978-80-7418-080-4. </w:t>
      </w:r>
      <w:proofErr w:type="gramStart"/>
      <w:r w:rsidRPr="00736B50">
        <w:rPr>
          <w:szCs w:val="24"/>
        </w:rPr>
        <w:t>str.</w:t>
      </w:r>
      <w:r w:rsidRPr="00736B50">
        <w:t xml:space="preserve"> </w:t>
      </w:r>
      <w:r>
        <w:t xml:space="preserve"> 571</w:t>
      </w:r>
      <w:proofErr w:type="gramEnd"/>
    </w:p>
  </w:footnote>
  <w:footnote w:id="31">
    <w:p w:rsidR="0069115C" w:rsidRDefault="0069115C" w:rsidP="00AF399C">
      <w:pPr>
        <w:pStyle w:val="Textpoznpodarou"/>
      </w:pPr>
      <w:r>
        <w:rPr>
          <w:rStyle w:val="Znakapoznpodarou"/>
        </w:rPr>
        <w:footnoteRef/>
      </w:r>
      <w:r>
        <w:t xml:space="preserve"> </w:t>
      </w:r>
      <w:r w:rsidRPr="00736B50">
        <w:rPr>
          <w:szCs w:val="24"/>
        </w:rPr>
        <w:t xml:space="preserve">REJNUŠ, Oldřich. </w:t>
      </w:r>
      <w:r w:rsidRPr="00736B50">
        <w:rPr>
          <w:i/>
          <w:iCs/>
          <w:szCs w:val="24"/>
        </w:rPr>
        <w:t>Finanční trhy</w:t>
      </w:r>
      <w:r w:rsidRPr="00736B50">
        <w:rPr>
          <w:szCs w:val="24"/>
        </w:rPr>
        <w:t xml:space="preserve">. 2., rozš. vyd. Ostrava: Key Publishing, 2010, 659 s. Ekonomie (Key Publishing). ISBN 978-80-7418-080-4. </w:t>
      </w:r>
      <w:proofErr w:type="gramStart"/>
      <w:r w:rsidRPr="00736B50">
        <w:rPr>
          <w:szCs w:val="24"/>
        </w:rPr>
        <w:t>str.</w:t>
      </w:r>
      <w:r w:rsidRPr="00736B50">
        <w:t xml:space="preserve"> </w:t>
      </w:r>
      <w:r>
        <w:t xml:space="preserve"> 571</w:t>
      </w:r>
      <w:proofErr w:type="gramEnd"/>
    </w:p>
  </w:footnote>
  <w:footnote w:id="32">
    <w:p w:rsidR="0069115C" w:rsidRDefault="0069115C" w:rsidP="00AF399C">
      <w:pPr>
        <w:pStyle w:val="Textpoznpodarou"/>
      </w:pPr>
      <w:r>
        <w:rPr>
          <w:rStyle w:val="Znakapoznpodarou"/>
        </w:rPr>
        <w:footnoteRef/>
      </w:r>
      <w:r>
        <w:t xml:space="preserve"> </w:t>
      </w:r>
      <w:r w:rsidRPr="00736B50">
        <w:rPr>
          <w:szCs w:val="24"/>
        </w:rPr>
        <w:t xml:space="preserve">REJNUŠ, Oldřich. </w:t>
      </w:r>
      <w:r w:rsidRPr="00736B50">
        <w:rPr>
          <w:i/>
          <w:iCs/>
          <w:szCs w:val="24"/>
        </w:rPr>
        <w:t>Finanční trhy</w:t>
      </w:r>
      <w:r w:rsidRPr="00736B50">
        <w:rPr>
          <w:szCs w:val="24"/>
        </w:rPr>
        <w:t xml:space="preserve">. 2., rozš. vyd. Ostrava: Key Publishing, 2010, 659 s. Ekonomie (Key Publishing). ISBN 978-80-7418-080-4. </w:t>
      </w:r>
      <w:proofErr w:type="gramStart"/>
      <w:r w:rsidRPr="00736B50">
        <w:rPr>
          <w:szCs w:val="24"/>
        </w:rPr>
        <w:t>str.</w:t>
      </w:r>
      <w:r w:rsidRPr="00736B50">
        <w:t xml:space="preserve"> </w:t>
      </w:r>
      <w:r>
        <w:t xml:space="preserve"> 571</w:t>
      </w:r>
      <w:proofErr w:type="gramEnd"/>
    </w:p>
  </w:footnote>
  <w:footnote w:id="33">
    <w:p w:rsidR="0069115C" w:rsidRDefault="0069115C" w:rsidP="00AF399C">
      <w:pPr>
        <w:pStyle w:val="Textpoznpodarou"/>
      </w:pPr>
      <w:r>
        <w:rPr>
          <w:rStyle w:val="Znakapoznpodarou"/>
        </w:rPr>
        <w:footnoteRef/>
      </w:r>
      <w:r>
        <w:t xml:space="preserve"> GASTINEAU, Gary L. </w:t>
      </w:r>
      <w:r>
        <w:rPr>
          <w:i/>
          <w:iCs/>
        </w:rPr>
        <w:t>The exchange-traded funds manual</w:t>
      </w:r>
      <w:r>
        <w:t>. 2. vyd. Hoboken, New Jersey.: John Wiley &amp; Sons, Inc, 2010, s. 19-28. ISBN 978-0-470-48233-9 str. 55</w:t>
      </w:r>
    </w:p>
  </w:footnote>
  <w:footnote w:id="34">
    <w:p w:rsidR="0069115C" w:rsidRPr="00673138" w:rsidRDefault="0069115C" w:rsidP="00AF399C">
      <w:pPr>
        <w:spacing w:line="240" w:lineRule="auto"/>
        <w:rPr>
          <w:sz w:val="20"/>
          <w:szCs w:val="24"/>
        </w:rPr>
      </w:pPr>
      <w:r w:rsidRPr="00673138">
        <w:rPr>
          <w:rStyle w:val="Znakapoznpodarou"/>
        </w:rPr>
        <w:footnoteRef/>
      </w:r>
      <w:r w:rsidRPr="00673138">
        <w:rPr>
          <w:sz w:val="20"/>
        </w:rPr>
        <w:t xml:space="preserve"> upraveno dle </w:t>
      </w:r>
      <w:r w:rsidRPr="00673138">
        <w:rPr>
          <w:sz w:val="20"/>
          <w:szCs w:val="24"/>
        </w:rPr>
        <w:t xml:space="preserve">Základní konstrukce ETF. </w:t>
      </w:r>
      <w:r w:rsidRPr="00673138">
        <w:rPr>
          <w:i/>
          <w:iCs/>
          <w:sz w:val="20"/>
          <w:szCs w:val="24"/>
        </w:rPr>
        <w:t>ETFs.cz</w:t>
      </w:r>
      <w:r w:rsidRPr="00673138">
        <w:rPr>
          <w:sz w:val="20"/>
          <w:szCs w:val="24"/>
        </w:rPr>
        <w:t xml:space="preserve"> [online]. 2013 [cit. 2014-03-21]. Dostupné z: http://etfs.cz/o-etf/konstrukce-etf/ </w:t>
      </w:r>
    </w:p>
    <w:p w:rsidR="0069115C" w:rsidRDefault="0069115C" w:rsidP="00AF399C">
      <w:pPr>
        <w:pStyle w:val="Textpoznpodarou"/>
      </w:pPr>
    </w:p>
  </w:footnote>
  <w:footnote w:id="35">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w:t>
      </w:r>
      <w:proofErr w:type="gramStart"/>
      <w:r>
        <w:t>55682-5.  str.</w:t>
      </w:r>
      <w:proofErr w:type="gramEnd"/>
      <w:r>
        <w:t xml:space="preserve"> 83</w:t>
      </w:r>
    </w:p>
  </w:footnote>
  <w:footnote w:id="36">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978-0-470-55682-5.  84</w:t>
      </w:r>
    </w:p>
  </w:footnote>
  <w:footnote w:id="37">
    <w:p w:rsidR="0069115C" w:rsidRDefault="0069115C" w:rsidP="00AF399C">
      <w:pPr>
        <w:pStyle w:val="Textpoznpodarou"/>
      </w:pPr>
      <w:r>
        <w:rPr>
          <w:rStyle w:val="Znakapoznpodarou"/>
        </w:rPr>
        <w:footnoteRef/>
      </w:r>
      <w:r>
        <w:t xml:space="preserve"> upraveno dle </w:t>
      </w:r>
      <w:proofErr w:type="gramStart"/>
      <w:r>
        <w:t>ABNER</w:t>
      </w:r>
      <w:proofErr w:type="gramEnd"/>
      <w:r>
        <w:t xml:space="preserve">, David J. </w:t>
      </w:r>
      <w:r>
        <w:rPr>
          <w:i/>
          <w:iCs/>
        </w:rPr>
        <w:t>The ETF Handbook: How to Value and Trade Exchange-Traded Funds</w:t>
      </w:r>
      <w:r>
        <w:t>. USA: John Wiley &amp; Sons, Inc., 2010. ISBN 978-0-470-55682-5.  89</w:t>
      </w:r>
    </w:p>
  </w:footnote>
  <w:footnote w:id="38">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978-0-470-55682-5. str. 90</w:t>
      </w:r>
    </w:p>
  </w:footnote>
  <w:footnote w:id="39">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w:t>
      </w:r>
      <w:proofErr w:type="gramStart"/>
      <w:r>
        <w:t>55682-5.  str.</w:t>
      </w:r>
      <w:proofErr w:type="gramEnd"/>
      <w:r>
        <w:t xml:space="preserve"> 94-95</w:t>
      </w:r>
    </w:p>
  </w:footnote>
  <w:footnote w:id="40">
    <w:p w:rsidR="0069115C" w:rsidRDefault="0069115C" w:rsidP="00AF399C">
      <w:pPr>
        <w:pStyle w:val="Textpoznpodarou"/>
      </w:pPr>
      <w:r>
        <w:rPr>
          <w:rStyle w:val="Znakapoznpodarou"/>
        </w:rPr>
        <w:footnoteRef/>
      </w:r>
      <w:r>
        <w:t xml:space="preserve"> ABNER, David J. </w:t>
      </w:r>
      <w:r>
        <w:rPr>
          <w:i/>
          <w:iCs/>
        </w:rPr>
        <w:t>The ETF Handbook: How to Value and Trade Exchange-Traded Funds</w:t>
      </w:r>
      <w:r>
        <w:t>. USA: John Wiley &amp; Sons, Inc., 2010. ISBN 978-0-470-</w:t>
      </w:r>
      <w:proofErr w:type="gramStart"/>
      <w:r>
        <w:t>55682-5.  str.</w:t>
      </w:r>
      <w:proofErr w:type="gramEnd"/>
      <w:r>
        <w:t xml:space="preserve"> 98-99</w:t>
      </w:r>
    </w:p>
  </w:footnote>
  <w:footnote w:id="41">
    <w:p w:rsidR="0069115C" w:rsidRPr="00050222" w:rsidRDefault="0069115C" w:rsidP="000B447C">
      <w:pPr>
        <w:spacing w:line="240" w:lineRule="auto"/>
      </w:pPr>
      <w:r>
        <w:rPr>
          <w:rStyle w:val="Znakapoznpodarou"/>
        </w:rPr>
        <w:footnoteRef/>
      </w:r>
      <w:r>
        <w:t xml:space="preserve"> </w:t>
      </w:r>
      <w:r w:rsidRPr="00050222">
        <w:rPr>
          <w:sz w:val="20"/>
        </w:rPr>
        <w:t xml:space="preserve">BORN, Jeffery A a Oliver SCHNUSENBERG. </w:t>
      </w:r>
      <w:r w:rsidRPr="00050222">
        <w:rPr>
          <w:i/>
          <w:iCs/>
          <w:sz w:val="20"/>
        </w:rPr>
        <w:t>Closed-end funds, exchange-traded funds, and hedge funds: origins, functions, and literature</w:t>
      </w:r>
      <w:r w:rsidRPr="00050222">
        <w:rPr>
          <w:sz w:val="20"/>
        </w:rPr>
        <w:t xml:space="preserve">. London: Springer, c2010, x, 128 p. ISBN 978-1-4419-0167-5. </w:t>
      </w:r>
      <w:r w:rsidRPr="00050222">
        <w:t>str. 81</w:t>
      </w:r>
    </w:p>
  </w:footnote>
  <w:footnote w:id="42">
    <w:p w:rsidR="0069115C" w:rsidRDefault="0069115C" w:rsidP="00AF399C">
      <w:pPr>
        <w:pStyle w:val="Textpoznpodarou"/>
      </w:pPr>
      <w:r>
        <w:rPr>
          <w:rStyle w:val="Znakapoznpodarou"/>
        </w:rPr>
        <w:footnoteRef/>
      </w:r>
      <w:r>
        <w:t xml:space="preserve"> který do konce loňského roku činil 6 měsíců, aktuálně je stanoven na 3 roky</w:t>
      </w:r>
    </w:p>
  </w:footnote>
  <w:footnote w:id="43">
    <w:p w:rsidR="0069115C" w:rsidRPr="007A43D0" w:rsidRDefault="0069115C" w:rsidP="007A43D0">
      <w:pPr>
        <w:spacing w:before="0" w:after="0" w:line="240" w:lineRule="auto"/>
        <w:rPr>
          <w:sz w:val="20"/>
          <w:szCs w:val="20"/>
        </w:rPr>
      </w:pPr>
      <w:r w:rsidRPr="00673138">
        <w:rPr>
          <w:rStyle w:val="Znakapoznpodarou"/>
        </w:rPr>
        <w:footnoteRef/>
      </w:r>
      <w:r w:rsidRPr="00673138">
        <w:rPr>
          <w:sz w:val="20"/>
        </w:rPr>
        <w:t xml:space="preserve"> </w:t>
      </w:r>
      <w:r w:rsidRPr="007A43D0">
        <w:rPr>
          <w:sz w:val="20"/>
          <w:szCs w:val="20"/>
        </w:rPr>
        <w:t xml:space="preserve">Zdanění dividend u ETF fondů. </w:t>
      </w:r>
      <w:r w:rsidRPr="007A43D0">
        <w:rPr>
          <w:i/>
          <w:iCs/>
          <w:sz w:val="20"/>
          <w:szCs w:val="20"/>
        </w:rPr>
        <w:t>ETFs.cz</w:t>
      </w:r>
      <w:r w:rsidRPr="007A43D0">
        <w:rPr>
          <w:sz w:val="20"/>
          <w:szCs w:val="20"/>
        </w:rPr>
        <w:t xml:space="preserve"> [online]. 2013 [cit. 2014-03-21]. Dostupné z: http://etfs.cz/zdaneni-dividend-u-etf-fondu/ </w:t>
      </w:r>
    </w:p>
  </w:footnote>
  <w:footnote w:id="44">
    <w:p w:rsidR="0069115C" w:rsidRPr="007A43D0" w:rsidRDefault="0069115C" w:rsidP="007A43D0">
      <w:pPr>
        <w:spacing w:before="0" w:after="0" w:line="240" w:lineRule="auto"/>
        <w:rPr>
          <w:sz w:val="20"/>
          <w:szCs w:val="20"/>
        </w:rPr>
      </w:pPr>
      <w:r w:rsidRPr="007A43D0">
        <w:rPr>
          <w:rStyle w:val="Znakapoznpodarou"/>
          <w:sz w:val="20"/>
          <w:szCs w:val="20"/>
        </w:rPr>
        <w:footnoteRef/>
      </w:r>
      <w:r w:rsidRPr="007A43D0">
        <w:rPr>
          <w:sz w:val="20"/>
          <w:szCs w:val="20"/>
        </w:rPr>
        <w:t xml:space="preserve"> BORN, Jeffery A a Oliver SCHNUSENBERG. </w:t>
      </w:r>
      <w:r w:rsidRPr="007A43D0">
        <w:rPr>
          <w:i/>
          <w:iCs/>
          <w:sz w:val="20"/>
          <w:szCs w:val="20"/>
        </w:rPr>
        <w:t>Closed-end funds, exchange-traded funds, and hedge funds: origins, functions, and literature</w:t>
      </w:r>
      <w:r w:rsidRPr="007A43D0">
        <w:rPr>
          <w:sz w:val="20"/>
          <w:szCs w:val="20"/>
        </w:rPr>
        <w:t xml:space="preserve">. London: Springer, c2010, x, 128 p. ISBN 978-1-4419-0167-5. </w:t>
      </w:r>
    </w:p>
    <w:p w:rsidR="0069115C" w:rsidRPr="007A43D0" w:rsidRDefault="0069115C" w:rsidP="00AF399C">
      <w:pPr>
        <w:pStyle w:val="Textpoznpodarou"/>
      </w:pPr>
      <w:proofErr w:type="gramStart"/>
      <w:r w:rsidRPr="007A43D0">
        <w:t>str.  81</w:t>
      </w:r>
      <w:proofErr w:type="gramEnd"/>
    </w:p>
  </w:footnote>
  <w:footnote w:id="45">
    <w:p w:rsidR="0069115C" w:rsidRPr="007A43D0" w:rsidRDefault="0069115C" w:rsidP="007A43D0">
      <w:pPr>
        <w:spacing w:before="0" w:after="0" w:line="240" w:lineRule="auto"/>
        <w:rPr>
          <w:sz w:val="20"/>
          <w:szCs w:val="20"/>
        </w:rPr>
      </w:pPr>
      <w:r w:rsidRPr="007A43D0">
        <w:rPr>
          <w:rStyle w:val="Znakapoznpodarou"/>
          <w:sz w:val="20"/>
          <w:szCs w:val="20"/>
        </w:rPr>
        <w:footnoteRef/>
      </w:r>
      <w:r w:rsidRPr="007A43D0">
        <w:rPr>
          <w:sz w:val="20"/>
          <w:szCs w:val="20"/>
        </w:rPr>
        <w:t xml:space="preserve"> BORN, Jeffery A a Oliver SCHNUSENBERG. </w:t>
      </w:r>
      <w:r w:rsidRPr="007A43D0">
        <w:rPr>
          <w:i/>
          <w:iCs/>
          <w:sz w:val="20"/>
          <w:szCs w:val="20"/>
        </w:rPr>
        <w:t>Closed-end funds, exchange-traded funds, and hedge funds: origins, functions, and literature</w:t>
      </w:r>
      <w:r w:rsidRPr="007A43D0">
        <w:rPr>
          <w:sz w:val="20"/>
          <w:szCs w:val="20"/>
        </w:rPr>
        <w:t xml:space="preserve">. London: Springer, c2010, x, 128 p. ISBN 978-1-4419-0167-5. </w:t>
      </w:r>
    </w:p>
    <w:p w:rsidR="0069115C" w:rsidRPr="007A43D0" w:rsidRDefault="0069115C" w:rsidP="00AF399C">
      <w:pPr>
        <w:pStyle w:val="Textpoznpodarou"/>
      </w:pPr>
      <w:r w:rsidRPr="007A43D0">
        <w:t>str. 81</w:t>
      </w:r>
    </w:p>
  </w:footnote>
  <w:footnote w:id="46">
    <w:p w:rsidR="0069115C" w:rsidRPr="007A43D0" w:rsidRDefault="0069115C" w:rsidP="007A43D0">
      <w:pPr>
        <w:spacing w:before="0" w:after="0" w:line="240" w:lineRule="auto"/>
        <w:rPr>
          <w:sz w:val="20"/>
          <w:szCs w:val="20"/>
        </w:rPr>
      </w:pPr>
      <w:r w:rsidRPr="007A43D0">
        <w:rPr>
          <w:rStyle w:val="Znakapoznpodarou"/>
          <w:sz w:val="20"/>
          <w:szCs w:val="20"/>
        </w:rPr>
        <w:footnoteRef/>
      </w:r>
      <w:r w:rsidRPr="007A43D0">
        <w:rPr>
          <w:sz w:val="20"/>
          <w:szCs w:val="20"/>
        </w:rPr>
        <w:t xml:space="preserve"> Výhody a nevýhody ETF. </w:t>
      </w:r>
      <w:r w:rsidRPr="007A43D0">
        <w:rPr>
          <w:i/>
          <w:iCs/>
          <w:sz w:val="20"/>
          <w:szCs w:val="20"/>
        </w:rPr>
        <w:t>ETFs.cz</w:t>
      </w:r>
      <w:r w:rsidRPr="007A43D0">
        <w:rPr>
          <w:sz w:val="20"/>
          <w:szCs w:val="20"/>
        </w:rPr>
        <w:t xml:space="preserve"> [online]. 2013 [cit. 2014-03-21]. Dostupné z: http://etfs.cz/o-etf/vyhody-a-nevyhody-etf/ </w:t>
      </w:r>
    </w:p>
    <w:p w:rsidR="0069115C" w:rsidRPr="007A43D0" w:rsidRDefault="0069115C" w:rsidP="00AF399C">
      <w:pPr>
        <w:pStyle w:val="Textpoznpodarou"/>
      </w:pPr>
    </w:p>
  </w:footnote>
  <w:footnote w:id="47">
    <w:p w:rsidR="0069115C" w:rsidRDefault="0069115C" w:rsidP="00AF399C">
      <w:pPr>
        <w:pStyle w:val="Textpoznpodarou"/>
      </w:pPr>
      <w:r>
        <w:rPr>
          <w:rStyle w:val="Znakapoznpodarou"/>
        </w:rPr>
        <w:footnoteRef/>
      </w:r>
      <w:r>
        <w:t xml:space="preserve"> upraveno dle </w:t>
      </w:r>
      <w:proofErr w:type="gramStart"/>
      <w:r>
        <w:t>ABNER</w:t>
      </w:r>
      <w:proofErr w:type="gramEnd"/>
      <w:r>
        <w:t xml:space="preserve">, David J. </w:t>
      </w:r>
      <w:r>
        <w:rPr>
          <w:i/>
          <w:iCs/>
        </w:rPr>
        <w:t>The ETF Handbook: How to Value and Trade Exchange-Traded Funds</w:t>
      </w:r>
      <w:r>
        <w:t>. USA: John Wiley &amp; Sons, Inc., 2010. ISBN 978-0-470-</w:t>
      </w:r>
      <w:proofErr w:type="gramStart"/>
      <w:r>
        <w:t>55682-5.  str.</w:t>
      </w:r>
      <w:proofErr w:type="gramEnd"/>
      <w:r>
        <w:t xml:space="preserve"> 24-26</w:t>
      </w:r>
    </w:p>
  </w:footnote>
  <w:footnote w:id="48">
    <w:p w:rsidR="0069115C" w:rsidRPr="00673138" w:rsidRDefault="0069115C" w:rsidP="00AF399C">
      <w:pPr>
        <w:spacing w:line="240" w:lineRule="auto"/>
        <w:rPr>
          <w:sz w:val="20"/>
          <w:szCs w:val="24"/>
        </w:rPr>
      </w:pPr>
      <w:r w:rsidRPr="00673138">
        <w:rPr>
          <w:rStyle w:val="Znakapoznpodarou"/>
        </w:rPr>
        <w:footnoteRef/>
      </w:r>
      <w:r w:rsidRPr="00673138">
        <w:rPr>
          <w:sz w:val="20"/>
        </w:rPr>
        <w:t xml:space="preserve"> upraveno dle </w:t>
      </w:r>
      <w:proofErr w:type="gramStart"/>
      <w:r w:rsidRPr="00673138">
        <w:rPr>
          <w:sz w:val="20"/>
          <w:szCs w:val="24"/>
        </w:rPr>
        <w:t>Typy</w:t>
      </w:r>
      <w:proofErr w:type="gramEnd"/>
      <w:r w:rsidRPr="00673138">
        <w:rPr>
          <w:sz w:val="20"/>
          <w:szCs w:val="24"/>
        </w:rPr>
        <w:t xml:space="preserve"> ETF. </w:t>
      </w:r>
      <w:r w:rsidRPr="00673138">
        <w:rPr>
          <w:i/>
          <w:iCs/>
          <w:sz w:val="20"/>
          <w:szCs w:val="24"/>
        </w:rPr>
        <w:t>ETFs.cz</w:t>
      </w:r>
      <w:r w:rsidRPr="00673138">
        <w:rPr>
          <w:sz w:val="20"/>
          <w:szCs w:val="24"/>
        </w:rPr>
        <w:t xml:space="preserve"> [online]. 2013 [cit. 2014-03-21]. Dostupné z: http://etfs.cz/o-etf/typy-etf/ </w:t>
      </w:r>
    </w:p>
  </w:footnote>
  <w:footnote w:id="49">
    <w:p w:rsidR="0069115C" w:rsidRPr="00673138" w:rsidRDefault="0069115C" w:rsidP="00AF399C">
      <w:pPr>
        <w:spacing w:line="240" w:lineRule="auto"/>
        <w:rPr>
          <w:sz w:val="20"/>
          <w:szCs w:val="24"/>
        </w:rPr>
      </w:pPr>
      <w:r w:rsidRPr="00673138">
        <w:rPr>
          <w:rStyle w:val="Znakapoznpodarou"/>
        </w:rPr>
        <w:footnoteRef/>
      </w:r>
      <w:r w:rsidRPr="00673138">
        <w:rPr>
          <w:sz w:val="20"/>
        </w:rPr>
        <w:t xml:space="preserve"> </w:t>
      </w:r>
      <w:r w:rsidRPr="00673138">
        <w:rPr>
          <w:sz w:val="20"/>
          <w:szCs w:val="24"/>
        </w:rPr>
        <w:t xml:space="preserve">MSCI Global Equity Indexes. </w:t>
      </w:r>
      <w:r w:rsidRPr="00673138">
        <w:rPr>
          <w:i/>
          <w:iCs/>
          <w:sz w:val="20"/>
          <w:szCs w:val="24"/>
        </w:rPr>
        <w:t>MSCI</w:t>
      </w:r>
      <w:r w:rsidRPr="00673138">
        <w:rPr>
          <w:sz w:val="20"/>
          <w:szCs w:val="24"/>
        </w:rPr>
        <w:t xml:space="preserve"> [online]. 2011 [cit. 2014-03-25]. Dostupné z: http://www.msci.com/products/indices/ </w:t>
      </w:r>
    </w:p>
  </w:footnote>
  <w:footnote w:id="50">
    <w:p w:rsidR="0069115C" w:rsidRPr="007A43D0" w:rsidRDefault="0069115C" w:rsidP="002A4FDE">
      <w:pPr>
        <w:pStyle w:val="Textpoznpodarou"/>
      </w:pPr>
      <w:r>
        <w:rPr>
          <w:rStyle w:val="Znakapoznpodarou"/>
        </w:rPr>
        <w:footnoteRef/>
      </w:r>
      <w:r>
        <w:t xml:space="preserve"> </w:t>
      </w:r>
      <w:r w:rsidRPr="00CB5FA6">
        <w:t>Who</w:t>
      </w:r>
      <w:r w:rsidRPr="007A43D0">
        <w:t xml:space="preserve"> we are. </w:t>
      </w:r>
      <w:r w:rsidRPr="007A43D0">
        <w:rPr>
          <w:i/>
          <w:iCs/>
        </w:rPr>
        <w:t>BlackRock</w:t>
      </w:r>
      <w:r w:rsidRPr="007A43D0">
        <w:t xml:space="preserve"> [online]. 2013 [cit. 2014-04-2]. Dostupné z: </w:t>
      </w:r>
      <w:hyperlink r:id="rId1" w:history="1">
        <w:r w:rsidRPr="007A43D0">
          <w:rPr>
            <w:rStyle w:val="Hypertextovodkaz"/>
            <w:color w:val="auto"/>
            <w:u w:val="none"/>
          </w:rPr>
          <w:t>http://www.blackrock.com/corporate/en-us/about-us</w:t>
        </w:r>
      </w:hyperlink>
    </w:p>
  </w:footnote>
  <w:footnote w:id="51">
    <w:p w:rsidR="0069115C" w:rsidRPr="00CB5FA6" w:rsidRDefault="0069115C" w:rsidP="002A4FDE">
      <w:pPr>
        <w:pStyle w:val="Textpoznpodarou"/>
      </w:pPr>
      <w:r w:rsidRPr="007A43D0">
        <w:rPr>
          <w:rStyle w:val="Znakapoznpodarou"/>
        </w:rPr>
        <w:footnoteRef/>
      </w:r>
      <w:r w:rsidRPr="007A43D0">
        <w:t xml:space="preserve"> Our History. </w:t>
      </w:r>
      <w:r w:rsidRPr="007A43D0">
        <w:rPr>
          <w:i/>
          <w:iCs/>
        </w:rPr>
        <w:t>BlackRock</w:t>
      </w:r>
      <w:r w:rsidRPr="007A43D0">
        <w:t xml:space="preserve"> [online]. 2013 [cit. 2014-04-2]. Dostupné z: </w:t>
      </w:r>
      <w:hyperlink r:id="rId2" w:history="1">
        <w:r w:rsidRPr="007A43D0">
          <w:rPr>
            <w:rStyle w:val="Hypertextovodkaz"/>
            <w:color w:val="auto"/>
            <w:u w:val="none"/>
          </w:rPr>
          <w:t>http://www.blackrock.com/corporate/en-us/about-us/blackrock-history</w:t>
        </w:r>
      </w:hyperlink>
    </w:p>
  </w:footnote>
  <w:footnote w:id="52">
    <w:p w:rsidR="0069115C" w:rsidRPr="007A43D0" w:rsidRDefault="0069115C" w:rsidP="00DC3D9E">
      <w:pPr>
        <w:pStyle w:val="Titulek"/>
        <w:spacing w:after="0"/>
        <w:rPr>
          <w:b w:val="0"/>
          <w:color w:val="auto"/>
          <w:sz w:val="20"/>
          <w:szCs w:val="20"/>
        </w:rPr>
      </w:pPr>
      <w:r w:rsidRPr="00DC3D9E">
        <w:rPr>
          <w:rStyle w:val="Znakapoznpodarou"/>
          <w:b w:val="0"/>
          <w:color w:val="auto"/>
          <w:sz w:val="20"/>
          <w:szCs w:val="20"/>
        </w:rPr>
        <w:footnoteRef/>
      </w:r>
      <w:r w:rsidRPr="00DC3D9E">
        <w:rPr>
          <w:b w:val="0"/>
          <w:color w:val="auto"/>
          <w:sz w:val="20"/>
          <w:szCs w:val="20"/>
        </w:rPr>
        <w:t xml:space="preserve"> </w:t>
      </w:r>
      <w:r w:rsidRPr="007A43D0">
        <w:rPr>
          <w:b w:val="0"/>
          <w:color w:val="auto"/>
          <w:sz w:val="20"/>
          <w:szCs w:val="20"/>
        </w:rPr>
        <w:t xml:space="preserve">ETP Landscape. </w:t>
      </w:r>
      <w:r w:rsidRPr="007A43D0">
        <w:rPr>
          <w:b w:val="0"/>
          <w:i/>
          <w:iCs/>
          <w:color w:val="auto"/>
          <w:sz w:val="20"/>
          <w:szCs w:val="20"/>
        </w:rPr>
        <w:t>BlackRock</w:t>
      </w:r>
      <w:r w:rsidRPr="007A43D0">
        <w:rPr>
          <w:b w:val="0"/>
          <w:color w:val="auto"/>
          <w:sz w:val="20"/>
          <w:szCs w:val="20"/>
        </w:rPr>
        <w:t xml:space="preserve"> [online]. 2014 [cit. 2014-03-15]. Dostupné z: </w:t>
      </w:r>
      <w:hyperlink r:id="rId3" w:history="1">
        <w:r w:rsidRPr="007A43D0">
          <w:rPr>
            <w:rStyle w:val="Hypertextovodkaz"/>
            <w:b w:val="0"/>
            <w:color w:val="auto"/>
            <w:sz w:val="20"/>
            <w:szCs w:val="20"/>
            <w:u w:val="none"/>
          </w:rPr>
          <w:t>http://www.blackrocklatam.com/content/groups/internationalsite/documents/literature/etfl_industryhilight_dec13.pdf</w:t>
        </w:r>
      </w:hyperlink>
    </w:p>
  </w:footnote>
  <w:footnote w:id="53">
    <w:p w:rsidR="0069115C" w:rsidRPr="007A43D0" w:rsidRDefault="0069115C" w:rsidP="00371136">
      <w:pPr>
        <w:pStyle w:val="Textpoznpodarou"/>
      </w:pPr>
      <w:r w:rsidRPr="007A43D0">
        <w:rPr>
          <w:rStyle w:val="Znakapoznpodarou"/>
        </w:rPr>
        <w:footnoteRef/>
      </w:r>
      <w:r w:rsidRPr="007A43D0">
        <w:t xml:space="preserve"> Corporate Overview. </w:t>
      </w:r>
      <w:r w:rsidRPr="007A43D0">
        <w:rPr>
          <w:i/>
          <w:iCs/>
        </w:rPr>
        <w:t>State Street</w:t>
      </w:r>
      <w:r w:rsidRPr="007A43D0">
        <w:t xml:space="preserve"> [online]. 2013 [cit. 2014-04-2]. Dostupné z: </w:t>
      </w:r>
      <w:hyperlink r:id="rId4" w:history="1">
        <w:r w:rsidRPr="007A43D0">
          <w:rPr>
            <w:rStyle w:val="Hypertextovodkaz"/>
            <w:color w:val="auto"/>
            <w:u w:val="none"/>
          </w:rPr>
          <w:t>http://www.statestreet.com/wps/wcm/connect/0f1584004d796f7fa8f9bf4329901229/14-21501_STT_Advantage_FIN.pdf?MOD=AJPERES&amp;CONVERT_TO=url&amp;CACHEID=0f1584004d796f7fa8f9bf4329901229</w:t>
        </w:r>
      </w:hyperlink>
    </w:p>
  </w:footnote>
  <w:footnote w:id="54">
    <w:p w:rsidR="0069115C" w:rsidRDefault="0069115C" w:rsidP="00371136">
      <w:pPr>
        <w:pStyle w:val="Textpoznpodarou"/>
      </w:pPr>
      <w:r w:rsidRPr="007A43D0">
        <w:rPr>
          <w:rStyle w:val="Znakapoznpodarou"/>
        </w:rPr>
        <w:footnoteRef/>
      </w:r>
      <w:r w:rsidRPr="007A43D0">
        <w:t xml:space="preserve"> The State Street Advantage. </w:t>
      </w:r>
      <w:r w:rsidRPr="007A43D0">
        <w:rPr>
          <w:i/>
          <w:iCs/>
        </w:rPr>
        <w:t>State Street</w:t>
      </w:r>
      <w:r w:rsidRPr="007A43D0">
        <w:t xml:space="preserve"> [online]. 2013 [cit. 2014-04-2]. Dostupné z: </w:t>
      </w:r>
      <w:hyperlink r:id="rId5" w:history="1">
        <w:r w:rsidRPr="007A43D0">
          <w:rPr>
            <w:rStyle w:val="Hypertextovodkaz"/>
            <w:color w:val="auto"/>
            <w:u w:val="none"/>
          </w:rPr>
          <w:t>http://www.statestreet.com/wps/wcm/connect/2fb29e004d64555eba21bf4329901229/14-21502_StrongFinancial_FIN.pdf?MOD=AJPERES&amp;CONVERT_TO=url&amp;CACHEID=2fb29e004d64555eba21bf4329901229</w:t>
        </w:r>
      </w:hyperlink>
    </w:p>
  </w:footnote>
  <w:footnote w:id="55">
    <w:p w:rsidR="0069115C" w:rsidRDefault="0069115C" w:rsidP="00371136">
      <w:pPr>
        <w:pStyle w:val="Textpoznpodarou"/>
      </w:pPr>
      <w:r>
        <w:rPr>
          <w:rStyle w:val="Znakapoznpodarou"/>
        </w:rPr>
        <w:footnoteRef/>
      </w:r>
      <w:r>
        <w:t xml:space="preserve"> </w:t>
      </w:r>
      <w:r w:rsidRPr="00DC3D9E">
        <w:rPr>
          <w:sz w:val="22"/>
        </w:rPr>
        <w:t xml:space="preserve">ETP Landscape. </w:t>
      </w:r>
      <w:r w:rsidRPr="00DC3D9E">
        <w:rPr>
          <w:i/>
          <w:iCs/>
          <w:sz w:val="22"/>
        </w:rPr>
        <w:t>BlackRock</w:t>
      </w:r>
      <w:r w:rsidRPr="00DC3D9E">
        <w:rPr>
          <w:sz w:val="22"/>
        </w:rPr>
        <w:t xml:space="preserve"> [online]. 2014 [cit. 2014-03-15]. Dostupné z: </w:t>
      </w:r>
      <w:hyperlink r:id="rId6" w:history="1">
        <w:r w:rsidRPr="00DC3D9E">
          <w:rPr>
            <w:rStyle w:val="Hypertextovodkaz"/>
            <w:color w:val="auto"/>
            <w:sz w:val="22"/>
            <w:u w:val="none"/>
          </w:rPr>
          <w:t>http://www.blackrocklatam.com/content/groups/internationalsite/documents/literature/etfl_industryhilight_dec13.pdf</w:t>
        </w:r>
      </w:hyperlink>
    </w:p>
  </w:footnote>
  <w:footnote w:id="56">
    <w:p w:rsidR="0069115C" w:rsidRPr="00CB5FA6" w:rsidRDefault="0069115C" w:rsidP="00371136">
      <w:pPr>
        <w:pStyle w:val="Textpoznpodarou"/>
      </w:pPr>
      <w:r w:rsidRPr="00CB5FA6">
        <w:rPr>
          <w:rStyle w:val="Znakapoznpodarou"/>
        </w:rPr>
        <w:footnoteRef/>
      </w:r>
      <w:r w:rsidRPr="00CB5FA6">
        <w:t xml:space="preserve"> Vanguard ETF Advantage. </w:t>
      </w:r>
      <w:r w:rsidRPr="00CB5FA6">
        <w:rPr>
          <w:i/>
          <w:iCs/>
        </w:rPr>
        <w:t>Vanguard</w:t>
      </w:r>
      <w:r w:rsidRPr="00CB5FA6">
        <w:t xml:space="preserve"> [online]. 2013 [cit. 2014-04-2]. Dostupné z: https://personal.vanguard.com/us/funds/etf</w:t>
      </w:r>
    </w:p>
  </w:footnote>
  <w:footnote w:id="57">
    <w:p w:rsidR="0069115C" w:rsidRDefault="0069115C" w:rsidP="00371136">
      <w:pPr>
        <w:pStyle w:val="Textpoznpodarou"/>
      </w:pPr>
      <w:r w:rsidRPr="00CB5FA6">
        <w:rPr>
          <w:rStyle w:val="Znakapoznpodarou"/>
        </w:rPr>
        <w:footnoteRef/>
      </w:r>
      <w:r w:rsidRPr="00CB5FA6">
        <w:t xml:space="preserve"> Fast facts about Vanguard. </w:t>
      </w:r>
      <w:r w:rsidRPr="00CB5FA6">
        <w:rPr>
          <w:i/>
          <w:iCs/>
        </w:rPr>
        <w:t>Vanguard</w:t>
      </w:r>
      <w:r w:rsidRPr="00CB5FA6">
        <w:t xml:space="preserve"> [online]. 2013 [cit. 2014-04-2]. Dostupné z: https://about.vanguard.com/who-we-are/fast-facts</w:t>
      </w:r>
    </w:p>
  </w:footnote>
  <w:footnote w:id="58">
    <w:p w:rsidR="0069115C" w:rsidRPr="007E5078" w:rsidRDefault="0069115C">
      <w:pPr>
        <w:pStyle w:val="Textpoznpodarou"/>
      </w:pPr>
      <w:r>
        <w:rPr>
          <w:rStyle w:val="Znakapoznpodarou"/>
        </w:rPr>
        <w:footnoteRef/>
      </w:r>
      <w:r>
        <w:t xml:space="preserve">Exchange-Traded Funds (ETFs). </w:t>
      </w:r>
      <w:r>
        <w:rPr>
          <w:i/>
          <w:iCs/>
        </w:rPr>
        <w:t>Invesco</w:t>
      </w:r>
      <w:r>
        <w:t xml:space="preserve"> [online]. 2014 [cit. 2014-04-01]. Dostupné z: https://www.invesco.com/static/us/investors/contentdetail?contentId=</w:t>
      </w:r>
      <w:r w:rsidRPr="007E5078">
        <w:t>abe200a6f22a0410VgnVCM1000004cf1bf0aRCRD</w:t>
      </w:r>
    </w:p>
  </w:footnote>
  <w:footnote w:id="59">
    <w:p w:rsidR="0069115C" w:rsidRPr="007E5078" w:rsidRDefault="0069115C">
      <w:pPr>
        <w:pStyle w:val="Textpoznpodarou"/>
      </w:pPr>
      <w:r w:rsidRPr="007E5078">
        <w:rPr>
          <w:rStyle w:val="Znakapoznpodarou"/>
        </w:rPr>
        <w:footnoteRef/>
      </w:r>
      <w:r w:rsidRPr="007E5078">
        <w:t xml:space="preserve">Exchange-Traded Funds (ETFs): An introduction to ETFs. </w:t>
      </w:r>
      <w:r w:rsidRPr="007E5078">
        <w:rPr>
          <w:i/>
          <w:iCs/>
        </w:rPr>
        <w:t>Invesco</w:t>
      </w:r>
      <w:r w:rsidRPr="007E5078">
        <w:t xml:space="preserve"> [online]. 2014 [cit. 2014-04-01]. Dostupné z: https://www.invesco.com/static/us/investors/contentdetail?contentId=d47f66b451c41410VgnVCM100000c2f1bf0aRCRD</w:t>
      </w:r>
    </w:p>
  </w:footnote>
  <w:footnote w:id="60">
    <w:p w:rsidR="0069115C" w:rsidRDefault="0069115C">
      <w:pPr>
        <w:pStyle w:val="Textpoznpodarou"/>
      </w:pPr>
      <w:r w:rsidRPr="007E5078">
        <w:rPr>
          <w:rStyle w:val="Znakapoznpodarou"/>
        </w:rPr>
        <w:footnoteRef/>
      </w:r>
      <w:r w:rsidRPr="007E5078">
        <w:t xml:space="preserve"> QQQ - PowerShares QQQ. </w:t>
      </w:r>
      <w:r w:rsidRPr="007E5078">
        <w:rPr>
          <w:i/>
          <w:iCs/>
        </w:rPr>
        <w:t>Invesco</w:t>
      </w:r>
      <w:r w:rsidRPr="007E5078">
        <w:t xml:space="preserve"> [online]. 2014 [cit. 2014-04-01]. Dostupné z: https://www.invesco.com/portal/site/us/investors/etfs/product-detail?productId=QQQ</w:t>
      </w:r>
    </w:p>
  </w:footnote>
  <w:footnote w:id="61">
    <w:p w:rsidR="0069115C" w:rsidRDefault="0069115C">
      <w:pPr>
        <w:pStyle w:val="Textpoznpodarou"/>
      </w:pPr>
      <w:r>
        <w:rPr>
          <w:rStyle w:val="Znakapoznpodarou"/>
        </w:rPr>
        <w:footnoteRef/>
      </w:r>
      <w:r>
        <w:t xml:space="preserve"> Deutshce Bank History. </w:t>
      </w:r>
      <w:r>
        <w:rPr>
          <w:i/>
          <w:iCs/>
        </w:rPr>
        <w:t>Deutsche Bank</w:t>
      </w:r>
      <w:r>
        <w:t xml:space="preserve"> [online]. 2014 [cit. 2014-04-01]. Dostupné z: https://</w:t>
      </w:r>
      <w:proofErr w:type="gramStart"/>
      <w:r>
        <w:t>www</w:t>
      </w:r>
      <w:proofErr w:type="gramEnd"/>
      <w:r>
        <w:t>.</w:t>
      </w:r>
      <w:proofErr w:type="gramStart"/>
      <w:r>
        <w:t>db</w:t>
      </w:r>
      <w:proofErr w:type="gramEnd"/>
      <w:r>
        <w:t>.com/en/media/Deutsche-Bank-History--Chronicle-from-1870-until-today.pdf</w:t>
      </w:r>
    </w:p>
  </w:footnote>
  <w:footnote w:id="62">
    <w:p w:rsidR="0069115C" w:rsidRPr="000B447C" w:rsidRDefault="0069115C">
      <w:pPr>
        <w:pStyle w:val="Textpoznpodarou"/>
      </w:pPr>
      <w:r>
        <w:rPr>
          <w:rStyle w:val="Znakapoznpodarou"/>
        </w:rPr>
        <w:footnoteRef/>
      </w:r>
      <w:r>
        <w:t xml:space="preserve"> Exchange Traded Products by </w:t>
      </w:r>
      <w:r w:rsidRPr="000B447C">
        <w:t xml:space="preserve">Deutsche Asset &amp; Wealth Management. </w:t>
      </w:r>
      <w:r w:rsidRPr="000B447C">
        <w:rPr>
          <w:i/>
          <w:iCs/>
        </w:rPr>
        <w:t>Deutsche Asset &amp; Wealth Management</w:t>
      </w:r>
      <w:r w:rsidRPr="000B447C">
        <w:t xml:space="preserve"> [online]. 2014 [cit. 2014-04-01]. Dostupné z: </w:t>
      </w:r>
      <w:hyperlink r:id="rId7" w:history="1">
        <w:r w:rsidRPr="000B447C">
          <w:rPr>
            <w:rStyle w:val="Hypertextovodkaz"/>
            <w:rFonts w:eastAsiaTheme="majorEastAsia"/>
            <w:color w:val="auto"/>
            <w:u w:val="none"/>
          </w:rPr>
          <w:t>http://www.dbxus.com/about-us/who-we-are</w:t>
        </w:r>
      </w:hyperlink>
    </w:p>
  </w:footnote>
  <w:footnote w:id="63">
    <w:p w:rsidR="0069115C" w:rsidRPr="000B447C" w:rsidRDefault="0069115C" w:rsidP="00371136">
      <w:pPr>
        <w:pStyle w:val="Textpoznpodarou"/>
      </w:pPr>
      <w:r w:rsidRPr="000B447C">
        <w:rPr>
          <w:rStyle w:val="Znakapoznpodarou"/>
        </w:rPr>
        <w:footnoteRef/>
      </w:r>
      <w:r w:rsidRPr="000B447C">
        <w:t xml:space="preserve"> ETP Landscape: Global Handbook 2012. </w:t>
      </w:r>
      <w:r w:rsidRPr="000B447C">
        <w:rPr>
          <w:i/>
          <w:iCs/>
        </w:rPr>
        <w:t>BlackRock</w:t>
      </w:r>
      <w:r w:rsidRPr="000B447C">
        <w:t xml:space="preserve"> [online]. 2013 [cit. 2014-03-20]. Dostupné z: </w:t>
      </w:r>
      <w:hyperlink r:id="rId8" w:history="1">
        <w:r w:rsidRPr="000B447C">
          <w:rPr>
            <w:rStyle w:val="Hypertextovodkaz"/>
            <w:color w:val="auto"/>
            <w:u w:val="none"/>
          </w:rPr>
          <w:t>http://www.blackrockinternational.com/content/groups/internationalsite/documents/literature/etfl_globalhandbook_2012.pdf</w:t>
        </w:r>
      </w:hyperlink>
    </w:p>
  </w:footnote>
  <w:footnote w:id="64">
    <w:p w:rsidR="0069115C" w:rsidRPr="007E5078" w:rsidRDefault="0069115C">
      <w:pPr>
        <w:pStyle w:val="Textpoznpodarou"/>
      </w:pPr>
      <w:r>
        <w:rPr>
          <w:rStyle w:val="Znakapoznpodarou"/>
        </w:rPr>
        <w:footnoteRef/>
      </w:r>
      <w:r>
        <w:t xml:space="preserve"> Historie. </w:t>
      </w:r>
      <w:r>
        <w:rPr>
          <w:i/>
          <w:iCs/>
        </w:rPr>
        <w:t>Cyrrus</w:t>
      </w:r>
      <w:r>
        <w:t xml:space="preserve"> [online]. 2014 [</w:t>
      </w:r>
      <w:r w:rsidRPr="007E5078">
        <w:t xml:space="preserve">cit. 2014-03-29]. Dostupné z: </w:t>
      </w:r>
      <w:hyperlink r:id="rId9" w:history="1">
        <w:r w:rsidRPr="007E5078">
          <w:rPr>
            <w:rStyle w:val="Hypertextovodkaz"/>
            <w:rFonts w:eastAsiaTheme="majorEastAsia"/>
            <w:color w:val="auto"/>
            <w:u w:val="none"/>
          </w:rPr>
          <w:t>http://www.cyrrus.cz/cyrrus/historie</w:t>
        </w:r>
      </w:hyperlink>
    </w:p>
  </w:footnote>
  <w:footnote w:id="65">
    <w:p w:rsidR="0069115C" w:rsidRDefault="0069115C">
      <w:pPr>
        <w:pStyle w:val="Textpoznpodarou"/>
      </w:pPr>
      <w:r w:rsidRPr="007E5078">
        <w:rPr>
          <w:rStyle w:val="Znakapoznpodarou"/>
        </w:rPr>
        <w:footnoteRef/>
      </w:r>
      <w:r w:rsidRPr="007E5078">
        <w:t xml:space="preserve"> O společnosti. </w:t>
      </w:r>
      <w:r w:rsidRPr="007E5078">
        <w:rPr>
          <w:i/>
          <w:iCs/>
        </w:rPr>
        <w:t>Cyrrus</w:t>
      </w:r>
      <w:r w:rsidRPr="007E5078">
        <w:t xml:space="preserve"> [online]. 2014 [cit. 2014-03-29]. Dostupné z: </w:t>
      </w:r>
      <w:hyperlink r:id="rId10" w:history="1">
        <w:r w:rsidRPr="007E5078">
          <w:rPr>
            <w:rStyle w:val="Hypertextovodkaz"/>
            <w:rFonts w:eastAsiaTheme="majorEastAsia"/>
            <w:color w:val="auto"/>
            <w:u w:val="none"/>
          </w:rPr>
          <w:t>http://www.cyrrus.cz/cyrrus/o-spolecnosti</w:t>
        </w:r>
      </w:hyperlink>
    </w:p>
  </w:footnote>
  <w:footnote w:id="66">
    <w:p w:rsidR="0069115C" w:rsidRDefault="0069115C">
      <w:pPr>
        <w:pStyle w:val="Textpoznpodarou"/>
      </w:pPr>
      <w:r>
        <w:rPr>
          <w:rStyle w:val="Znakapoznpodarou"/>
        </w:rPr>
        <w:footnoteRef/>
      </w:r>
      <w:r>
        <w:t xml:space="preserve"> Cyrrus - ceník služeb. </w:t>
      </w:r>
      <w:r>
        <w:rPr>
          <w:i/>
          <w:iCs/>
        </w:rPr>
        <w:t>Měšec</w:t>
      </w:r>
      <w:r>
        <w:t xml:space="preserve"> [online</w:t>
      </w:r>
      <w:r w:rsidRPr="00A07E35">
        <w:t xml:space="preserve">]. 2014 [cit. 2014-03-29]. Dostupné z: </w:t>
      </w:r>
      <w:hyperlink r:id="rId11" w:history="1">
        <w:r w:rsidRPr="00A07E35">
          <w:rPr>
            <w:rStyle w:val="Hypertextovodkaz"/>
            <w:rFonts w:eastAsiaTheme="majorEastAsia"/>
            <w:color w:val="auto"/>
            <w:u w:val="none"/>
          </w:rPr>
          <w:t>http://www.slideshare.net/mesec/cyrrus-cenk-slueb</w:t>
        </w:r>
      </w:hyperlink>
    </w:p>
  </w:footnote>
  <w:footnote w:id="67">
    <w:p w:rsidR="0069115C" w:rsidRDefault="0069115C">
      <w:pPr>
        <w:pStyle w:val="Textpoznpodarou"/>
      </w:pPr>
      <w:r>
        <w:rPr>
          <w:rStyle w:val="Znakapoznpodarou"/>
        </w:rPr>
        <w:footnoteRef/>
      </w:r>
      <w:r>
        <w:t xml:space="preserve"> O nás. </w:t>
      </w:r>
      <w:r>
        <w:rPr>
          <w:i/>
          <w:iCs/>
        </w:rPr>
        <w:t>BROKERJET</w:t>
      </w:r>
      <w:r>
        <w:t xml:space="preserve"> [online]. 2014 [cit. 2014-03-28]. Dostupné z: https://www.brokerjet.cz/satl/b/imprint/</w:t>
      </w:r>
    </w:p>
  </w:footnote>
  <w:footnote w:id="68">
    <w:p w:rsidR="0069115C" w:rsidRDefault="0069115C">
      <w:pPr>
        <w:pStyle w:val="Textpoznpodarou"/>
      </w:pPr>
      <w:r>
        <w:rPr>
          <w:rStyle w:val="Znakapoznpodarou"/>
        </w:rPr>
        <w:footnoteRef/>
      </w:r>
      <w:r>
        <w:t xml:space="preserve"> Obchodní aplikace. </w:t>
      </w:r>
      <w:r>
        <w:rPr>
          <w:i/>
          <w:iCs/>
        </w:rPr>
        <w:t>BROKERJET</w:t>
      </w:r>
      <w:r>
        <w:t xml:space="preserve"> [online]. 2014 [cit. 2014-03-28]. Dostupné z: https://www.brokerjet.cz/products/platforms/</w:t>
      </w:r>
    </w:p>
  </w:footnote>
  <w:footnote w:id="69">
    <w:p w:rsidR="0069115C" w:rsidRDefault="0069115C">
      <w:pPr>
        <w:pStyle w:val="Textpoznpodarou"/>
      </w:pPr>
      <w:r>
        <w:rPr>
          <w:rStyle w:val="Znakapoznpodarou"/>
        </w:rPr>
        <w:footnoteRef/>
      </w:r>
      <w:r>
        <w:t xml:space="preserve"> O společnosti. </w:t>
      </w:r>
      <w:r>
        <w:rPr>
          <w:i/>
          <w:iCs/>
        </w:rPr>
        <w:t>XTB</w:t>
      </w:r>
      <w:r>
        <w:t xml:space="preserve"> [online]. 2014 [cit. 2014-03-27]</w:t>
      </w:r>
      <w:r w:rsidRPr="00A07E35">
        <w:t xml:space="preserve">. Dostupné z: </w:t>
      </w:r>
      <w:hyperlink r:id="rId12" w:history="1">
        <w:r w:rsidRPr="00A07E35">
          <w:rPr>
            <w:rStyle w:val="Hypertextovodkaz"/>
            <w:rFonts w:eastAsiaTheme="majorEastAsia"/>
            <w:color w:val="auto"/>
            <w:u w:val="none"/>
          </w:rPr>
          <w:t>http://www.xtb.cz/o-xtb/o-spolecnosti</w:t>
        </w:r>
      </w:hyperlink>
    </w:p>
  </w:footnote>
  <w:footnote w:id="70">
    <w:p w:rsidR="0069115C" w:rsidRDefault="0069115C">
      <w:pPr>
        <w:pStyle w:val="Textpoznpodarou"/>
      </w:pPr>
      <w:r>
        <w:rPr>
          <w:rStyle w:val="Znakapoznpodarou"/>
        </w:rPr>
        <w:footnoteRef/>
      </w:r>
      <w:r>
        <w:t xml:space="preserve"> O Fio. </w:t>
      </w:r>
      <w:r>
        <w:rPr>
          <w:i/>
          <w:iCs/>
        </w:rPr>
        <w:t>Fio banka</w:t>
      </w:r>
      <w:r>
        <w:t xml:space="preserve"> [online]. 2014 [cit. 2014-03-26]. Dostupné z: </w:t>
      </w:r>
      <w:hyperlink r:id="rId13" w:history="1">
        <w:r w:rsidRPr="00A07E35">
          <w:rPr>
            <w:rStyle w:val="Hypertextovodkaz"/>
            <w:rFonts w:eastAsiaTheme="majorEastAsia"/>
            <w:color w:val="auto"/>
            <w:u w:val="none"/>
          </w:rPr>
          <w:t>http://www.fio.cz/o-nas/fio-banka/o-fio</w:t>
        </w:r>
      </w:hyperlink>
    </w:p>
  </w:footnote>
  <w:footnote w:id="71">
    <w:p w:rsidR="0069115C" w:rsidRDefault="0069115C">
      <w:pPr>
        <w:pStyle w:val="Textpoznpodarou"/>
      </w:pPr>
      <w:r>
        <w:rPr>
          <w:rStyle w:val="Znakapoznpodarou"/>
        </w:rPr>
        <w:footnoteRef/>
      </w:r>
      <w:r>
        <w:t xml:space="preserve"> Historie. </w:t>
      </w:r>
      <w:r>
        <w:rPr>
          <w:i/>
          <w:iCs/>
        </w:rPr>
        <w:t>Fio banka</w:t>
      </w:r>
      <w:r>
        <w:t xml:space="preserve"> [online]. 2014 [cit. 2014-03-26]. </w:t>
      </w:r>
      <w:r w:rsidRPr="00A07E35">
        <w:t xml:space="preserve">Dostupné z: </w:t>
      </w:r>
      <w:hyperlink r:id="rId14" w:history="1">
        <w:r w:rsidRPr="00A07E35">
          <w:rPr>
            <w:rStyle w:val="Hypertextovodkaz"/>
            <w:rFonts w:eastAsiaTheme="majorEastAsia"/>
            <w:color w:val="auto"/>
            <w:u w:val="none"/>
          </w:rPr>
          <w:t>http://www.fio.cz/o-nas/fio-banka/historie</w:t>
        </w:r>
      </w:hyperlink>
    </w:p>
  </w:footnote>
  <w:footnote w:id="72">
    <w:p w:rsidR="0069115C" w:rsidRDefault="0069115C">
      <w:pPr>
        <w:pStyle w:val="Textpoznpodarou"/>
      </w:pPr>
      <w:r>
        <w:rPr>
          <w:rStyle w:val="Znakapoznpodarou"/>
        </w:rPr>
        <w:footnoteRef/>
      </w:r>
      <w:r>
        <w:t xml:space="preserve"> O </w:t>
      </w:r>
      <w:proofErr w:type="gramStart"/>
      <w:r>
        <w:t>Patria</w:t>
      </w:r>
      <w:proofErr w:type="gramEnd"/>
      <w:r>
        <w:t xml:space="preserve"> Direct. </w:t>
      </w:r>
      <w:r>
        <w:rPr>
          <w:i/>
          <w:iCs/>
        </w:rPr>
        <w:t>Patria Direct</w:t>
      </w:r>
      <w:r>
        <w:t xml:space="preserve"> [online]. 2014 [cit. 2014-03-26]. Dostupné z: https://www.patria-direct.cz/otevrit-ucet/patria-direct/o-patria-direct#</w:t>
      </w:r>
    </w:p>
  </w:footnote>
  <w:footnote w:id="73">
    <w:p w:rsidR="0069115C" w:rsidRDefault="0069115C">
      <w:pPr>
        <w:pStyle w:val="Textpoznpodarou"/>
      </w:pPr>
      <w:r>
        <w:rPr>
          <w:rStyle w:val="Znakapoznpodarou"/>
        </w:rPr>
        <w:footnoteRef/>
      </w:r>
      <w:r>
        <w:t xml:space="preserve"> Produkty a trhy. </w:t>
      </w:r>
      <w:r>
        <w:rPr>
          <w:i/>
          <w:iCs/>
        </w:rPr>
        <w:t>Patria Direct</w:t>
      </w:r>
      <w:r>
        <w:t xml:space="preserve"> [online]. 2014 [cit. 2014-03-26]. Dostupné z: https://www.patria-direct.cz/produkty-a-trhy</w:t>
      </w:r>
    </w:p>
  </w:footnote>
  <w:footnote w:id="74">
    <w:p w:rsidR="0069115C" w:rsidRDefault="0069115C" w:rsidP="00AF399C">
      <w:pPr>
        <w:pStyle w:val="Textpoznpodarou"/>
      </w:pPr>
      <w:r w:rsidRPr="001B7C40">
        <w:rPr>
          <w:rStyle w:val="Znakapoznpodarou"/>
        </w:rPr>
        <w:footnoteRef/>
      </w:r>
      <w:r w:rsidRPr="001B7C40">
        <w:t xml:space="preserve"> Je</w:t>
      </w:r>
      <w:r>
        <w:t xml:space="preserve"> třeba mít na paměti, že výnosové míry minulé nejsou zárukou výnosových měr budoucích. </w:t>
      </w:r>
    </w:p>
  </w:footnote>
  <w:footnote w:id="75">
    <w:p w:rsidR="0069115C" w:rsidRDefault="0069115C" w:rsidP="00AF399C">
      <w:pPr>
        <w:pStyle w:val="Textpoznpodarou"/>
      </w:pPr>
      <w:r>
        <w:rPr>
          <w:rStyle w:val="Znakapoznpodarou"/>
        </w:rPr>
        <w:footnoteRef/>
      </w:r>
      <w:r>
        <w:t xml:space="preserve"> Why you should use the Sharpe ratio when investing in the medical device industry. </w:t>
      </w:r>
      <w:r>
        <w:rPr>
          <w:i/>
          <w:iCs/>
        </w:rPr>
        <w:t>Finance.yahoo</w:t>
      </w:r>
      <w:r>
        <w:t xml:space="preserve"> [online]. 2014 [cit. 2014-02-11]. Dostupné z: http://finance.yahoo.com/news/why-sharpe-ratio-investing-medical-042514170.html</w:t>
      </w:r>
    </w:p>
  </w:footnote>
  <w:footnote w:id="76">
    <w:p w:rsidR="0069115C" w:rsidRPr="00F444BB" w:rsidRDefault="0069115C" w:rsidP="00AF399C">
      <w:pPr>
        <w:rPr>
          <w:sz w:val="20"/>
          <w:szCs w:val="18"/>
        </w:rPr>
      </w:pPr>
      <w:r w:rsidRPr="00F444BB">
        <w:rPr>
          <w:rStyle w:val="Znakapoznpodarou"/>
          <w:sz w:val="20"/>
          <w:szCs w:val="18"/>
        </w:rPr>
        <w:footnoteRef/>
      </w:r>
      <w:r w:rsidRPr="00F444BB">
        <w:rPr>
          <w:sz w:val="20"/>
          <w:szCs w:val="18"/>
        </w:rPr>
        <w:t xml:space="preserve"> Tracking error u ETF. BRZEK, David. </w:t>
      </w:r>
      <w:r w:rsidRPr="00F444BB">
        <w:rPr>
          <w:i/>
          <w:iCs/>
          <w:sz w:val="20"/>
          <w:szCs w:val="18"/>
        </w:rPr>
        <w:t>Fio banka</w:t>
      </w:r>
      <w:r w:rsidRPr="00F444BB">
        <w:rPr>
          <w:sz w:val="20"/>
          <w:szCs w:val="18"/>
        </w:rPr>
        <w:t xml:space="preserve"> [online]. </w:t>
      </w:r>
      <w:proofErr w:type="gramStart"/>
      <w:r w:rsidRPr="00F444BB">
        <w:rPr>
          <w:sz w:val="20"/>
          <w:szCs w:val="18"/>
        </w:rPr>
        <w:t>20.6.2013</w:t>
      </w:r>
      <w:proofErr w:type="gramEnd"/>
      <w:r w:rsidRPr="00F444BB">
        <w:rPr>
          <w:sz w:val="20"/>
          <w:szCs w:val="18"/>
        </w:rPr>
        <w:t xml:space="preserve"> [cit. 2014-02-11]. Dostupné z: http://www.fio.cz/zpravodajstvi/odborne-clanky/132395-tracking-error-u-etf </w:t>
      </w:r>
    </w:p>
    <w:p w:rsidR="0069115C" w:rsidRDefault="0069115C" w:rsidP="00AF399C">
      <w:pPr>
        <w:pStyle w:val="Textpoznpodarou"/>
      </w:pPr>
    </w:p>
  </w:footnote>
  <w:footnote w:id="77">
    <w:p w:rsidR="0069115C" w:rsidRDefault="0069115C" w:rsidP="00AF399C">
      <w:pPr>
        <w:pStyle w:val="Textpoznpodarou"/>
      </w:pPr>
      <w:r>
        <w:rPr>
          <w:rStyle w:val="Znakapoznpodarou"/>
        </w:rPr>
        <w:footnoteRef/>
      </w:r>
      <w:r>
        <w:t xml:space="preserve"> KBC Index Fund United States. </w:t>
      </w:r>
      <w:r>
        <w:rPr>
          <w:i/>
          <w:iCs/>
        </w:rPr>
        <w:t>ČSOB</w:t>
      </w:r>
      <w:r>
        <w:t xml:space="preserve"> [online]. 2014 [cit. 2014-02-12]. Dostupné z: http://www.csob.cz/cz/Fondy/Akciove-fondy/Stranky/historie.aspx?Isin=BE0166769266&amp;Currency=USD&amp;Guid=5b6235a9-b8d0-43e7-820d-ac14e07b615e</w:t>
      </w:r>
    </w:p>
  </w:footnote>
  <w:footnote w:id="78">
    <w:p w:rsidR="0069115C" w:rsidRDefault="0069115C" w:rsidP="00AF399C">
      <w:pPr>
        <w:pStyle w:val="Textpoznpodarou"/>
      </w:pPr>
      <w:r>
        <w:rPr>
          <w:rStyle w:val="Znakapoznpodarou"/>
        </w:rPr>
        <w:footnoteRef/>
      </w:r>
      <w:r>
        <w:t xml:space="preserve"> KBC Index Fund. </w:t>
      </w:r>
      <w:r>
        <w:rPr>
          <w:i/>
          <w:iCs/>
        </w:rPr>
        <w:t>ČSOB</w:t>
      </w:r>
      <w:r>
        <w:t xml:space="preserve"> [online]. </w:t>
      </w:r>
      <w:proofErr w:type="gramStart"/>
      <w:r>
        <w:t>31.12.2013</w:t>
      </w:r>
      <w:proofErr w:type="gramEnd"/>
      <w:r>
        <w:t xml:space="preserve"> [cit. 2014-02-12]. Dostupné z: https://multimediafiles.kbcgroup.eu/ng/feed/am/funds/AR/AR_BF009_EN.pdf str. 162</w:t>
      </w:r>
    </w:p>
  </w:footnote>
  <w:footnote w:id="79">
    <w:p w:rsidR="0069115C" w:rsidRPr="007C741F" w:rsidRDefault="0069115C" w:rsidP="000B447C">
      <w:pPr>
        <w:spacing w:after="0"/>
        <w:rPr>
          <w:sz w:val="20"/>
          <w:szCs w:val="18"/>
        </w:rPr>
      </w:pPr>
      <w:r>
        <w:rPr>
          <w:rStyle w:val="Znakapoznpodarou"/>
        </w:rPr>
        <w:footnoteRef/>
      </w:r>
      <w:r w:rsidRPr="007C741F">
        <w:rPr>
          <w:sz w:val="20"/>
          <w:szCs w:val="18"/>
        </w:rPr>
        <w:t xml:space="preserve">PROSPECTUS. </w:t>
      </w:r>
      <w:r w:rsidRPr="007C741F">
        <w:rPr>
          <w:i/>
          <w:iCs/>
          <w:sz w:val="20"/>
          <w:szCs w:val="18"/>
        </w:rPr>
        <w:t>ČSOB</w:t>
      </w:r>
      <w:r w:rsidRPr="007C741F">
        <w:rPr>
          <w:sz w:val="20"/>
          <w:szCs w:val="18"/>
        </w:rPr>
        <w:t xml:space="preserve"> [online]. </w:t>
      </w:r>
      <w:proofErr w:type="gramStart"/>
      <w:r w:rsidRPr="007C741F">
        <w:rPr>
          <w:sz w:val="20"/>
          <w:szCs w:val="18"/>
        </w:rPr>
        <w:t>30.12.2013</w:t>
      </w:r>
      <w:proofErr w:type="gramEnd"/>
      <w:r w:rsidRPr="007C741F">
        <w:rPr>
          <w:sz w:val="20"/>
          <w:szCs w:val="18"/>
        </w:rPr>
        <w:t xml:space="preserve"> [cit. 2014-02-12]. Dostupné z: https://multimediafiles.kbcgroup.eu/ng/feed/am/funds/FU/FU_BF009_EN.pdf  str. 50</w:t>
      </w:r>
    </w:p>
  </w:footnote>
  <w:footnote w:id="80">
    <w:p w:rsidR="0069115C" w:rsidRDefault="0069115C" w:rsidP="00AF399C">
      <w:pPr>
        <w:pStyle w:val="Textpoznpodarou"/>
      </w:pPr>
      <w:r>
        <w:rPr>
          <w:rStyle w:val="Znakapoznpodarou"/>
        </w:rPr>
        <w:footnoteRef/>
      </w:r>
      <w:r>
        <w:t>Viz</w:t>
      </w:r>
      <w:r w:rsidRPr="007C741F">
        <w:rPr>
          <w:sz w:val="22"/>
          <w:szCs w:val="22"/>
        </w:rPr>
        <w:t xml:space="preserve"> </w:t>
      </w:r>
      <w:r w:rsidRPr="00F444BB">
        <w:rPr>
          <w:sz w:val="22"/>
          <w:szCs w:val="22"/>
        </w:rPr>
        <w:t xml:space="preserve">KBC Index Fund USA. </w:t>
      </w:r>
      <w:r w:rsidRPr="00F444BB">
        <w:rPr>
          <w:i/>
          <w:iCs/>
          <w:sz w:val="22"/>
          <w:szCs w:val="22"/>
        </w:rPr>
        <w:t>ČSOB</w:t>
      </w:r>
      <w:r w:rsidRPr="00F444BB">
        <w:rPr>
          <w:sz w:val="22"/>
          <w:szCs w:val="22"/>
        </w:rPr>
        <w:t xml:space="preserve"> [online]. 2014 [cit. 2014-02-12]. Dostupné z: http://www.csob.cz/cz/fondy/Akciove-fondy/Stranky/BE0166769266.aspx</w:t>
      </w:r>
    </w:p>
  </w:footnote>
  <w:footnote w:id="81">
    <w:p w:rsidR="0069115C" w:rsidRDefault="0069115C" w:rsidP="00AF399C">
      <w:pPr>
        <w:pStyle w:val="Textpoznpodarou"/>
      </w:pPr>
      <w:r>
        <w:rPr>
          <w:rStyle w:val="Znakapoznpodarou"/>
        </w:rPr>
        <w:footnoteRef/>
      </w:r>
      <w:r>
        <w:t xml:space="preserve"> </w:t>
      </w:r>
      <w:r w:rsidRPr="00F444BB">
        <w:rPr>
          <w:sz w:val="22"/>
          <w:szCs w:val="22"/>
        </w:rPr>
        <w:t xml:space="preserve">KBC Index Fund USA. </w:t>
      </w:r>
      <w:r w:rsidRPr="00F444BB">
        <w:rPr>
          <w:i/>
          <w:iCs/>
          <w:sz w:val="22"/>
          <w:szCs w:val="22"/>
        </w:rPr>
        <w:t>ČSOB</w:t>
      </w:r>
      <w:r w:rsidRPr="00F444BB">
        <w:rPr>
          <w:sz w:val="22"/>
          <w:szCs w:val="22"/>
        </w:rPr>
        <w:t xml:space="preserve"> [online]. 2014 [cit. 2014-02-12]. Dostupné z: http://www.csob.cz/cz/fondy/Akciove-fondy/Stranky/BE0166769266.aspx</w:t>
      </w:r>
      <w:r>
        <w:t xml:space="preserve"> </w:t>
      </w:r>
    </w:p>
  </w:footnote>
  <w:footnote w:id="82">
    <w:p w:rsidR="0069115C" w:rsidRPr="007C741F" w:rsidRDefault="0069115C" w:rsidP="00AF399C">
      <w:pPr>
        <w:pStyle w:val="Textpoznpodarou"/>
      </w:pPr>
      <w:r w:rsidRPr="007C741F">
        <w:rPr>
          <w:rStyle w:val="Znakapoznpodarou"/>
        </w:rPr>
        <w:footnoteRef/>
      </w:r>
      <w:r w:rsidRPr="007C741F">
        <w:t xml:space="preserve"> Upraveno dle </w:t>
      </w:r>
      <w:r w:rsidRPr="007C741F">
        <w:rPr>
          <w:szCs w:val="18"/>
        </w:rPr>
        <w:t xml:space="preserve">PROSPECTUS. </w:t>
      </w:r>
      <w:r w:rsidRPr="00460B97">
        <w:rPr>
          <w:i/>
          <w:iCs/>
          <w:szCs w:val="18"/>
        </w:rPr>
        <w:t>ČSOB</w:t>
      </w:r>
      <w:r w:rsidRPr="00460B97">
        <w:rPr>
          <w:szCs w:val="18"/>
        </w:rPr>
        <w:t xml:space="preserve"> [online]. </w:t>
      </w:r>
      <w:proofErr w:type="gramStart"/>
      <w:r w:rsidRPr="00460B97">
        <w:rPr>
          <w:szCs w:val="18"/>
        </w:rPr>
        <w:t>30.12.2013</w:t>
      </w:r>
      <w:proofErr w:type="gramEnd"/>
      <w:r w:rsidRPr="00460B97">
        <w:rPr>
          <w:szCs w:val="18"/>
        </w:rPr>
        <w:t xml:space="preserve"> [cit. 2014-02-12]. Dostupné z: </w:t>
      </w:r>
      <w:hyperlink r:id="rId15" w:history="1">
        <w:r w:rsidRPr="00460B97">
          <w:rPr>
            <w:rStyle w:val="Hypertextovodkaz"/>
            <w:color w:val="auto"/>
            <w:szCs w:val="18"/>
            <w:u w:val="none"/>
          </w:rPr>
          <w:t>https://multimediafiles.kbcgroup.eu/ng/feed/am/funds/FU/FU_BF009_EN.pdf</w:t>
        </w:r>
      </w:hyperlink>
      <w:r w:rsidRPr="00460B97">
        <w:rPr>
          <w:szCs w:val="18"/>
        </w:rPr>
        <w:t xml:space="preserve"> </w:t>
      </w:r>
      <w:r w:rsidRPr="00460B97">
        <w:t xml:space="preserve">str. 54 a </w:t>
      </w:r>
      <w:r w:rsidRPr="00460B97">
        <w:rPr>
          <w:sz w:val="22"/>
          <w:szCs w:val="22"/>
        </w:rPr>
        <w:t xml:space="preserve">KBC Index Fund USA. </w:t>
      </w:r>
      <w:r w:rsidRPr="00460B97">
        <w:rPr>
          <w:i/>
          <w:iCs/>
          <w:sz w:val="22"/>
          <w:szCs w:val="22"/>
        </w:rPr>
        <w:t>ČSOB</w:t>
      </w:r>
      <w:r w:rsidRPr="00460B97">
        <w:rPr>
          <w:sz w:val="22"/>
          <w:szCs w:val="22"/>
        </w:rPr>
        <w:t xml:space="preserve"> [online]. 2014 [cit. 2014-02-12]. Dostupné</w:t>
      </w:r>
      <w:r w:rsidRPr="007C741F">
        <w:rPr>
          <w:sz w:val="22"/>
          <w:szCs w:val="22"/>
        </w:rPr>
        <w:t xml:space="preserve"> z: http://www.csob.cz/cz/fondy/Akciove-fondy/Stranky/BE0166769266.aspx</w:t>
      </w:r>
    </w:p>
  </w:footnote>
  <w:footnote w:id="83">
    <w:p w:rsidR="0069115C" w:rsidRPr="00436E3C" w:rsidRDefault="0069115C" w:rsidP="00AF399C">
      <w:pPr>
        <w:rPr>
          <w:sz w:val="20"/>
        </w:rPr>
      </w:pPr>
      <w:r w:rsidRPr="00436E3C">
        <w:rPr>
          <w:rStyle w:val="Znakapoznpodarou"/>
          <w:sz w:val="20"/>
        </w:rPr>
        <w:footnoteRef/>
      </w:r>
      <w:r w:rsidRPr="00436E3C">
        <w:rPr>
          <w:sz w:val="20"/>
        </w:rPr>
        <w:t xml:space="preserve"> Ultra S&amp;P500 Prospectus. </w:t>
      </w:r>
      <w:r w:rsidRPr="00436E3C">
        <w:rPr>
          <w:i/>
          <w:iCs/>
          <w:sz w:val="20"/>
        </w:rPr>
        <w:t>ProShares</w:t>
      </w:r>
      <w:r w:rsidRPr="00436E3C">
        <w:rPr>
          <w:sz w:val="20"/>
        </w:rPr>
        <w:t xml:space="preserve"> [online]. 2014 [cit. 2014-02-20]. Dostupné z: http://www.proshares.com/funds/prospectus.html?ticker=SSO </w:t>
      </w:r>
    </w:p>
  </w:footnote>
  <w:footnote w:id="84">
    <w:p w:rsidR="0069115C" w:rsidRPr="00920008" w:rsidRDefault="0069115C" w:rsidP="00AF399C">
      <w:pPr>
        <w:rPr>
          <w:sz w:val="20"/>
        </w:rPr>
      </w:pPr>
      <w:r w:rsidRPr="00436E3C">
        <w:rPr>
          <w:rStyle w:val="Znakapoznpodarou"/>
          <w:sz w:val="20"/>
        </w:rPr>
        <w:footnoteRef/>
      </w:r>
      <w:r w:rsidRPr="00436E3C">
        <w:rPr>
          <w:sz w:val="20"/>
        </w:rPr>
        <w:t xml:space="preserve"> ProShares Ultra S&amp;P500. </w:t>
      </w:r>
      <w:r w:rsidRPr="00436E3C">
        <w:rPr>
          <w:i/>
          <w:iCs/>
          <w:sz w:val="20"/>
        </w:rPr>
        <w:t>Bloomberg markets</w:t>
      </w:r>
      <w:r w:rsidRPr="00436E3C">
        <w:rPr>
          <w:sz w:val="20"/>
        </w:rPr>
        <w:t xml:space="preserve"> [online]. 2014 [cit. 2014-02-20]. Dostupné z: http://</w:t>
      </w:r>
      <w:r>
        <w:rPr>
          <w:sz w:val="20"/>
        </w:rPr>
        <w:t xml:space="preserve">www.bloomberg.com/quote/SSO:US </w:t>
      </w:r>
    </w:p>
  </w:footnote>
  <w:footnote w:id="85">
    <w:p w:rsidR="0069115C" w:rsidRPr="00436E3C" w:rsidRDefault="0069115C" w:rsidP="00AF399C">
      <w:r w:rsidRPr="00436E3C">
        <w:rPr>
          <w:rStyle w:val="Znakapoznpodarou"/>
        </w:rPr>
        <w:footnoteRef/>
      </w:r>
      <w:r w:rsidRPr="00436E3C">
        <w:t xml:space="preserve"> UltraShort S&amp;P500 Prospectus. </w:t>
      </w:r>
      <w:r w:rsidRPr="00436E3C">
        <w:rPr>
          <w:i/>
          <w:iCs/>
        </w:rPr>
        <w:t>ProShares</w:t>
      </w:r>
      <w:r w:rsidRPr="00436E3C">
        <w:t xml:space="preserve"> [online]. 2014 [cit. 2014-02-24]. Dostupné z: http://www.proshares.com/funds/prospectus.html?ticker=SDS </w:t>
      </w:r>
    </w:p>
  </w:footnote>
  <w:footnote w:id="86">
    <w:p w:rsidR="0069115C" w:rsidRPr="00436E3C" w:rsidRDefault="0069115C" w:rsidP="00AF399C">
      <w:r w:rsidRPr="00436E3C">
        <w:rPr>
          <w:rStyle w:val="Znakapoznpodarou"/>
        </w:rPr>
        <w:footnoteRef/>
      </w:r>
      <w:r w:rsidRPr="00436E3C">
        <w:t xml:space="preserve"> UltraShort S&amp;P500 Prospectus. </w:t>
      </w:r>
      <w:r w:rsidRPr="00436E3C">
        <w:rPr>
          <w:i/>
          <w:iCs/>
        </w:rPr>
        <w:t>ProShares</w:t>
      </w:r>
      <w:r w:rsidRPr="00436E3C">
        <w:t xml:space="preserve"> [online]. 2014 [cit. 2014-02-24]. Dostupné z: http://www.proshares.com/funds/prospectus.html?ticker=SDS  str. 3</w:t>
      </w:r>
    </w:p>
  </w:footnote>
  <w:footnote w:id="87">
    <w:p w:rsidR="0069115C" w:rsidRPr="00E9795E" w:rsidRDefault="0069115C" w:rsidP="00AF399C">
      <w:pPr>
        <w:pStyle w:val="Textpoznpodarou"/>
      </w:pPr>
      <w:r>
        <w:rPr>
          <w:rStyle w:val="Znakapoznpodarou"/>
        </w:rPr>
        <w:footnoteRef/>
      </w:r>
      <w:r>
        <w:t xml:space="preserve"> Viz. UltraShort S&amp;P500 Prospectus. </w:t>
      </w:r>
      <w:r>
        <w:rPr>
          <w:i/>
          <w:iCs/>
        </w:rPr>
        <w:t>ProShares</w:t>
      </w:r>
      <w:r>
        <w:t xml:space="preserve"> [online]. 2014 [cit. 2014-02-24]. Dostupné z: http://www.proshares</w:t>
      </w:r>
      <w:r w:rsidRPr="00E9795E">
        <w:t>.com/funds/prospectus.html?ticker=SDS</w:t>
      </w:r>
    </w:p>
  </w:footnote>
  <w:footnote w:id="88">
    <w:p w:rsidR="0069115C" w:rsidRPr="00E9795E" w:rsidRDefault="0069115C" w:rsidP="00AF399C">
      <w:pPr>
        <w:pStyle w:val="Textpoznpodarou"/>
      </w:pPr>
      <w:r w:rsidRPr="00E9795E">
        <w:rPr>
          <w:rStyle w:val="Znakapoznpodarou"/>
        </w:rPr>
        <w:footnoteRef/>
      </w:r>
      <w:r w:rsidRPr="00E9795E">
        <w:t xml:space="preserve"> Upraveno dle UltraShort S&amp;P500 Prospectus. </w:t>
      </w:r>
      <w:r w:rsidRPr="00E9795E">
        <w:rPr>
          <w:i/>
          <w:iCs/>
        </w:rPr>
        <w:t>ProShares</w:t>
      </w:r>
      <w:r w:rsidRPr="00E9795E">
        <w:t xml:space="preserve"> [online]. 2014 [cit. 2014-02-24]. Dostupné z: </w:t>
      </w:r>
      <w:hyperlink r:id="rId16" w:history="1">
        <w:r w:rsidRPr="00E9795E">
          <w:rPr>
            <w:rStyle w:val="Hypertextovodkaz"/>
            <w:color w:val="auto"/>
            <w:u w:val="none"/>
          </w:rPr>
          <w:t>http://www.proshares.com/funds/prospectus.html?ticker=SDS</w:t>
        </w:r>
      </w:hyperlink>
      <w:r w:rsidRPr="00E9795E">
        <w:t xml:space="preserve"> str. 4-7</w:t>
      </w:r>
    </w:p>
    <w:p w:rsidR="0069115C" w:rsidRDefault="0069115C" w:rsidP="00AF399C">
      <w:pPr>
        <w:pStyle w:val="Textpoznpodarou"/>
      </w:pPr>
    </w:p>
  </w:footnote>
  <w:footnote w:id="89">
    <w:p w:rsidR="0069115C" w:rsidRDefault="0069115C" w:rsidP="00AF399C">
      <w:pPr>
        <w:pStyle w:val="Textpoznpodarou"/>
      </w:pPr>
      <w:r>
        <w:rPr>
          <w:rStyle w:val="Znakapoznpodarou"/>
        </w:rPr>
        <w:footnoteRef/>
      </w:r>
      <w:r>
        <w:t xml:space="preserve"> 2 % činí vstupní poplatek při nákupu podílového listu</w:t>
      </w:r>
    </w:p>
  </w:footnote>
  <w:footnote w:id="90">
    <w:p w:rsidR="0069115C" w:rsidRPr="00033EE1" w:rsidRDefault="0069115C" w:rsidP="00AF399C">
      <w:pPr>
        <w:rPr>
          <w:sz w:val="20"/>
        </w:rPr>
      </w:pPr>
      <w:r w:rsidRPr="00033EE1">
        <w:rPr>
          <w:rStyle w:val="Znakapoznpodarou"/>
          <w:sz w:val="20"/>
        </w:rPr>
        <w:footnoteRef/>
      </w:r>
      <w:r w:rsidRPr="00033EE1">
        <w:rPr>
          <w:sz w:val="20"/>
        </w:rPr>
        <w:t xml:space="preserve"> 5-Year Treasury Constant Maturity Rate. </w:t>
      </w:r>
      <w:r w:rsidRPr="00033EE1">
        <w:rPr>
          <w:i/>
          <w:iCs/>
          <w:sz w:val="20"/>
        </w:rPr>
        <w:t>Economic research</w:t>
      </w:r>
      <w:r w:rsidRPr="00033EE1">
        <w:rPr>
          <w:sz w:val="20"/>
        </w:rPr>
        <w:t xml:space="preserve"> [online]. 2013 [cit. 2014-03-01]. Dostupné z: http://research.stlouisfed.org/fred2/graph/?id=DGS5 </w:t>
      </w:r>
    </w:p>
  </w:footnote>
  <w:footnote w:id="91">
    <w:p w:rsidR="0069115C" w:rsidRDefault="0069115C" w:rsidP="00730734">
      <w:pPr>
        <w:pStyle w:val="Textpoznpodarou"/>
      </w:pPr>
      <w:r>
        <w:rPr>
          <w:rStyle w:val="Znakapoznpodarou"/>
        </w:rPr>
        <w:footnoteRef/>
      </w:r>
      <w:r>
        <w:t xml:space="preserve"> What's The Difference? Mutual Funds And Exchange Traded Funds Explained. </w:t>
      </w:r>
      <w:r>
        <w:rPr>
          <w:i/>
          <w:iCs/>
        </w:rPr>
        <w:t>Forbes</w:t>
      </w:r>
      <w:r>
        <w:t xml:space="preserve"> [online]. 2013 [cit. 2014-03-</w:t>
      </w:r>
      <w:r w:rsidRPr="009914C1">
        <w:t xml:space="preserve">20]. Dostupné z: </w:t>
      </w:r>
      <w:hyperlink r:id="rId17" w:history="1">
        <w:r w:rsidRPr="009914C1">
          <w:rPr>
            <w:rStyle w:val="Hypertextovodkaz"/>
            <w:rFonts w:eastAsiaTheme="majorEastAsia"/>
            <w:color w:val="auto"/>
            <w:u w:val="none"/>
          </w:rPr>
          <w:t>http://www.forbes.com/sites/feeonlyplanner/2013/07/18/whats-the-difference-mutual-funds-and-exchange-traded-funds-explained/</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6046"/>
    <w:multiLevelType w:val="hybridMultilevel"/>
    <w:tmpl w:val="498CF64C"/>
    <w:lvl w:ilvl="0" w:tplc="1F7050F8">
      <w:start w:val="1"/>
      <w:numFmt w:val="decimal"/>
      <w:lvlText w:val="[%1]"/>
      <w:lvlJc w:val="center"/>
      <w:pPr>
        <w:ind w:left="1080" w:hanging="360"/>
      </w:pPr>
      <w:rPr>
        <w:rFonts w:ascii="Times New Roman" w:hAnsi="Times New Roman" w:hint="default"/>
        <w:i w:val="0"/>
        <w:iCs w:val="0"/>
        <w:caps w:val="0"/>
        <w:smallCaps w:val="0"/>
        <w:strike w:val="0"/>
        <w:dstrike w:val="0"/>
        <w:vanish w:val="0"/>
        <w:spacing w:val="0"/>
        <w:kern w:val="0"/>
        <w:position w:val="0"/>
        <w:u w:val="none"/>
        <w:vertAlign w:val="baseline"/>
        <w:em w:val="non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nsid w:val="04E31A10"/>
    <w:multiLevelType w:val="multilevel"/>
    <w:tmpl w:val="017C3C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74D375E"/>
    <w:multiLevelType w:val="hybridMultilevel"/>
    <w:tmpl w:val="56A67DFA"/>
    <w:lvl w:ilvl="0" w:tplc="8FFC2510">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23F297D"/>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1BFF4010"/>
    <w:multiLevelType w:val="multilevel"/>
    <w:tmpl w:val="C92C1D5C"/>
    <w:lvl w:ilvl="0">
      <w:start w:val="1"/>
      <w:numFmt w:val="decimal"/>
      <w:lvlText w:val="%1."/>
      <w:lvlJc w:val="left"/>
      <w:pPr>
        <w:ind w:left="360" w:hanging="360"/>
      </w:pPr>
      <w:rPr>
        <w:b/>
        <w:sz w:val="24"/>
      </w:rPr>
    </w:lvl>
    <w:lvl w:ilvl="1">
      <w:start w:val="1"/>
      <w:numFmt w:val="decimal"/>
      <w:lvlText w:val="%1.%2."/>
      <w:lvlJc w:val="left"/>
      <w:pPr>
        <w:ind w:left="792" w:hanging="432"/>
      </w:pPr>
      <w:rPr>
        <w:b/>
        <w:i w:val="0"/>
        <w:sz w:val="22"/>
      </w:rPr>
    </w:lvl>
    <w:lvl w:ilvl="2">
      <w:start w:val="1"/>
      <w:numFmt w:val="decimal"/>
      <w:lvlText w:val="%1.%2.%3."/>
      <w:lvlJc w:val="left"/>
      <w:pPr>
        <w:ind w:left="1224" w:hanging="504"/>
      </w:pPr>
      <w:rPr>
        <w:b/>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C6E702C"/>
    <w:multiLevelType w:val="hybridMultilevel"/>
    <w:tmpl w:val="3F2498F6"/>
    <w:lvl w:ilvl="0" w:tplc="27A08AD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55577E1"/>
    <w:multiLevelType w:val="hybridMultilevel"/>
    <w:tmpl w:val="AC8018FA"/>
    <w:lvl w:ilvl="0" w:tplc="8080549E">
      <w:start w:val="1"/>
      <w:numFmt w:val="decimal"/>
      <w:lvlText w:val="[%1]"/>
      <w:lvlJc w:val="center"/>
      <w:pPr>
        <w:ind w:left="360" w:hanging="360"/>
      </w:pPr>
      <w:rPr>
        <w:rFonts w:ascii="Times New Roman" w:hAnsi="Times New Roman" w:hint="default"/>
        <w:i w:val="0"/>
        <w:iCs w:val="0"/>
        <w:caps w:val="0"/>
        <w:smallCaps w:val="0"/>
        <w:strike w:val="0"/>
        <w:dstrike w:val="0"/>
        <w:vanish w:val="0"/>
        <w:spacing w:val="0"/>
        <w:kern w:val="0"/>
        <w:position w:val="0"/>
        <w:sz w:val="24"/>
        <w:szCs w:val="24"/>
        <w:u w:val="none"/>
        <w:vertAlign w:val="baseline"/>
        <w:em w:val="none"/>
      </w:rPr>
    </w:lvl>
    <w:lvl w:ilvl="1" w:tplc="04050019">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7">
    <w:nsid w:val="34FB392C"/>
    <w:multiLevelType w:val="multilevel"/>
    <w:tmpl w:val="040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8">
    <w:nsid w:val="35DB53F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71C7EB9"/>
    <w:multiLevelType w:val="hybridMultilevel"/>
    <w:tmpl w:val="923C8DE6"/>
    <w:lvl w:ilvl="0" w:tplc="0405000F">
      <w:start w:val="1"/>
      <w:numFmt w:val="decimal"/>
      <w:lvlText w:val="%1."/>
      <w:lvlJc w:val="left"/>
      <w:pPr>
        <w:ind w:left="714" w:hanging="360"/>
      </w:pPr>
    </w:lvl>
    <w:lvl w:ilvl="1" w:tplc="04050019" w:tentative="1">
      <w:start w:val="1"/>
      <w:numFmt w:val="lowerLetter"/>
      <w:lvlText w:val="%2."/>
      <w:lvlJc w:val="left"/>
      <w:pPr>
        <w:ind w:left="1434" w:hanging="360"/>
      </w:pPr>
    </w:lvl>
    <w:lvl w:ilvl="2" w:tplc="0405001B" w:tentative="1">
      <w:start w:val="1"/>
      <w:numFmt w:val="lowerRoman"/>
      <w:lvlText w:val="%3."/>
      <w:lvlJc w:val="right"/>
      <w:pPr>
        <w:ind w:left="2154" w:hanging="180"/>
      </w:pPr>
    </w:lvl>
    <w:lvl w:ilvl="3" w:tplc="0405000F" w:tentative="1">
      <w:start w:val="1"/>
      <w:numFmt w:val="decimal"/>
      <w:lvlText w:val="%4."/>
      <w:lvlJc w:val="left"/>
      <w:pPr>
        <w:ind w:left="2874" w:hanging="360"/>
      </w:pPr>
    </w:lvl>
    <w:lvl w:ilvl="4" w:tplc="04050019" w:tentative="1">
      <w:start w:val="1"/>
      <w:numFmt w:val="lowerLetter"/>
      <w:lvlText w:val="%5."/>
      <w:lvlJc w:val="left"/>
      <w:pPr>
        <w:ind w:left="3594" w:hanging="360"/>
      </w:pPr>
    </w:lvl>
    <w:lvl w:ilvl="5" w:tplc="0405001B" w:tentative="1">
      <w:start w:val="1"/>
      <w:numFmt w:val="lowerRoman"/>
      <w:lvlText w:val="%6."/>
      <w:lvlJc w:val="right"/>
      <w:pPr>
        <w:ind w:left="4314" w:hanging="180"/>
      </w:pPr>
    </w:lvl>
    <w:lvl w:ilvl="6" w:tplc="0405000F" w:tentative="1">
      <w:start w:val="1"/>
      <w:numFmt w:val="decimal"/>
      <w:lvlText w:val="%7."/>
      <w:lvlJc w:val="left"/>
      <w:pPr>
        <w:ind w:left="5034" w:hanging="360"/>
      </w:pPr>
    </w:lvl>
    <w:lvl w:ilvl="7" w:tplc="04050019" w:tentative="1">
      <w:start w:val="1"/>
      <w:numFmt w:val="lowerLetter"/>
      <w:lvlText w:val="%8."/>
      <w:lvlJc w:val="left"/>
      <w:pPr>
        <w:ind w:left="5754" w:hanging="360"/>
      </w:pPr>
    </w:lvl>
    <w:lvl w:ilvl="8" w:tplc="0405001B" w:tentative="1">
      <w:start w:val="1"/>
      <w:numFmt w:val="lowerRoman"/>
      <w:lvlText w:val="%9."/>
      <w:lvlJc w:val="right"/>
      <w:pPr>
        <w:ind w:left="6474" w:hanging="180"/>
      </w:pPr>
    </w:lvl>
  </w:abstractNum>
  <w:abstractNum w:abstractNumId="10">
    <w:nsid w:val="41505752"/>
    <w:multiLevelType w:val="hybridMultilevel"/>
    <w:tmpl w:val="0A8AAD5C"/>
    <w:lvl w:ilvl="0" w:tplc="935A8698">
      <w:start w:val="1"/>
      <w:numFmt w:val="decimal"/>
      <w:lvlText w:val="[%1]"/>
      <w:lvlJc w:val="left"/>
      <w:pPr>
        <w:ind w:left="720" w:hanging="360"/>
      </w:pPr>
      <w:rPr>
        <w:rFonts w:ascii="Times New Roman" w:hAnsi="Times New Roman" w:hint="default"/>
        <w:i w:val="0"/>
        <w:iCs w:val="0"/>
        <w:caps w:val="0"/>
        <w:smallCaps w:val="0"/>
        <w:strike w:val="0"/>
        <w:dstrike w:val="0"/>
        <w:vanish w:val="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4CE5D9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AD979DD"/>
    <w:multiLevelType w:val="hybridMultilevel"/>
    <w:tmpl w:val="E14229C6"/>
    <w:lvl w:ilvl="0" w:tplc="FA6EE27E">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nsid w:val="6BAA1AE4"/>
    <w:multiLevelType w:val="hybridMultilevel"/>
    <w:tmpl w:val="AE06A5FE"/>
    <w:lvl w:ilvl="0" w:tplc="017EBE0E">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4385B4D"/>
    <w:multiLevelType w:val="hybridMultilevel"/>
    <w:tmpl w:val="F53CB860"/>
    <w:lvl w:ilvl="0" w:tplc="0405000F">
      <w:start w:val="1"/>
      <w:numFmt w:val="decimal"/>
      <w:lvlText w:val="%1."/>
      <w:lvlJc w:val="left"/>
      <w:pPr>
        <w:ind w:left="720" w:hanging="360"/>
      </w:pPr>
      <w:rPr>
        <w:rFonts w:cs="Times New Roman"/>
      </w:rPr>
    </w:lvl>
    <w:lvl w:ilvl="1" w:tplc="B21A2542">
      <w:numFmt w:val="bullet"/>
      <w:lvlText w:val=""/>
      <w:lvlJc w:val="left"/>
      <w:pPr>
        <w:ind w:left="1665" w:hanging="585"/>
      </w:pPr>
      <w:rPr>
        <w:rFonts w:ascii="Symbol" w:eastAsia="Times New Roman" w:hAnsi="Symbol" w:hint="default"/>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nsid w:val="78471870"/>
    <w:multiLevelType w:val="hybridMultilevel"/>
    <w:tmpl w:val="C436C77C"/>
    <w:lvl w:ilvl="0" w:tplc="BFBC48F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79754DCF"/>
    <w:multiLevelType w:val="multilevel"/>
    <w:tmpl w:val="D9761998"/>
    <w:lvl w:ilvl="0">
      <w:start w:val="1"/>
      <w:numFmt w:val="decimal"/>
      <w:pStyle w:val="Nadpis1"/>
      <w:lvlText w:val="%1"/>
      <w:lvlJc w:val="left"/>
      <w:pPr>
        <w:ind w:left="432" w:hanging="432"/>
      </w:pPr>
    </w:lvl>
    <w:lvl w:ilvl="1">
      <w:start w:val="1"/>
      <w:numFmt w:val="decimal"/>
      <w:pStyle w:val="Nadpis2"/>
      <w:lvlText w:val="%1.%2"/>
      <w:lvlJc w:val="left"/>
      <w:pPr>
        <w:ind w:left="576" w:hanging="576"/>
      </w:pPr>
      <w:rPr>
        <w:i w:val="0"/>
      </w:rPr>
    </w:lvl>
    <w:lvl w:ilvl="2">
      <w:start w:val="1"/>
      <w:numFmt w:val="decimal"/>
      <w:pStyle w:val="Nadpis3"/>
      <w:lvlText w:val="%1.%2.%3"/>
      <w:lvlJc w:val="left"/>
      <w:pPr>
        <w:ind w:left="720" w:hanging="720"/>
      </w:pPr>
      <w:rPr>
        <w:rFonts w:ascii="Times New Roman" w:hAnsi="Times New Roman" w:cs="Times New Roman"/>
        <w:b/>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3"/>
  </w:num>
  <w:num w:numId="3">
    <w:abstractNumId w:val="1"/>
  </w:num>
  <w:num w:numId="4">
    <w:abstractNumId w:val="1"/>
  </w:num>
  <w:num w:numId="5">
    <w:abstractNumId w:val="1"/>
  </w:num>
  <w:num w:numId="6">
    <w:abstractNumId w:val="1"/>
  </w:num>
  <w:num w:numId="7">
    <w:abstractNumId w:val="1"/>
  </w:num>
  <w:num w:numId="8">
    <w:abstractNumId w:val="1"/>
  </w:num>
  <w:num w:numId="9">
    <w:abstractNumId w:val="12"/>
  </w:num>
  <w:num w:numId="10">
    <w:abstractNumId w:val="16"/>
  </w:num>
  <w:num w:numId="11">
    <w:abstractNumId w:val="16"/>
  </w:num>
  <w:num w:numId="12">
    <w:abstractNumId w:val="4"/>
  </w:num>
  <w:num w:numId="13">
    <w:abstractNumId w:val="2"/>
  </w:num>
  <w:num w:numId="14">
    <w:abstractNumId w:val="9"/>
  </w:num>
  <w:num w:numId="15">
    <w:abstractNumId w:val="7"/>
  </w:num>
  <w:num w:numId="16">
    <w:abstractNumId w:val="8"/>
  </w:num>
  <w:num w:numId="17">
    <w:abstractNumId w:val="5"/>
  </w:num>
  <w:num w:numId="18">
    <w:abstractNumId w:val="11"/>
  </w:num>
  <w:num w:numId="19">
    <w:abstractNumId w:val="15"/>
  </w:num>
  <w:num w:numId="20">
    <w:abstractNumId w:val="10"/>
  </w:num>
  <w:num w:numId="21">
    <w:abstractNumId w:val="0"/>
  </w:num>
  <w:num w:numId="22">
    <w:abstractNumId w:val="6"/>
  </w:num>
  <w:num w:numId="23">
    <w:abstractNumId w:val="13"/>
  </w:num>
  <w:num w:numId="24">
    <w:abstractNumId w:val="16"/>
  </w:num>
  <w:num w:numId="25">
    <w:abstractNumId w:val="16"/>
  </w:num>
  <w:num w:numId="26">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mirrorMargins/>
  <w:proofState w:grammar="clean"/>
  <w:defaultTabStop w:val="708"/>
  <w:hyphenationZone w:val="425"/>
  <w:drawingGridHorizontalSpacing w:val="120"/>
  <w:displayHorizontalDrawingGridEvery w:val="2"/>
  <w:characterSpacingControl w:val="doNotCompress"/>
  <w:hdrShapeDefaults>
    <o:shapedefaults v:ext="edit" spidmax="35842">
      <o:colormenu v:ext="edit" strokecolor="none [3213]"/>
    </o:shapedefaults>
  </w:hdrShapeDefaults>
  <w:footnotePr>
    <w:footnote w:id="-1"/>
    <w:footnote w:id="0"/>
  </w:footnotePr>
  <w:endnotePr>
    <w:endnote w:id="-1"/>
    <w:endnote w:id="0"/>
  </w:endnotePr>
  <w:compat/>
  <w:rsids>
    <w:rsidRoot w:val="00AF399C"/>
    <w:rsid w:val="00010FBC"/>
    <w:rsid w:val="00013A45"/>
    <w:rsid w:val="00016AD2"/>
    <w:rsid w:val="0004283C"/>
    <w:rsid w:val="00052148"/>
    <w:rsid w:val="00053D17"/>
    <w:rsid w:val="00056AC3"/>
    <w:rsid w:val="00063687"/>
    <w:rsid w:val="00070E4B"/>
    <w:rsid w:val="0008008D"/>
    <w:rsid w:val="0008777C"/>
    <w:rsid w:val="00091E74"/>
    <w:rsid w:val="000B12B1"/>
    <w:rsid w:val="000B447C"/>
    <w:rsid w:val="000E46AC"/>
    <w:rsid w:val="000E5D64"/>
    <w:rsid w:val="000F2DE6"/>
    <w:rsid w:val="000F52DE"/>
    <w:rsid w:val="000F6786"/>
    <w:rsid w:val="00127C1E"/>
    <w:rsid w:val="0013214F"/>
    <w:rsid w:val="001419A1"/>
    <w:rsid w:val="00152481"/>
    <w:rsid w:val="001846E8"/>
    <w:rsid w:val="001904E3"/>
    <w:rsid w:val="001A4EE9"/>
    <w:rsid w:val="001B538C"/>
    <w:rsid w:val="001B7C40"/>
    <w:rsid w:val="001C3A7A"/>
    <w:rsid w:val="001C5745"/>
    <w:rsid w:val="001D7F39"/>
    <w:rsid w:val="001F28C7"/>
    <w:rsid w:val="00236134"/>
    <w:rsid w:val="00240BB4"/>
    <w:rsid w:val="00252329"/>
    <w:rsid w:val="00255E7F"/>
    <w:rsid w:val="00265937"/>
    <w:rsid w:val="00275BAD"/>
    <w:rsid w:val="00286856"/>
    <w:rsid w:val="002872A0"/>
    <w:rsid w:val="0029259B"/>
    <w:rsid w:val="002A4FDE"/>
    <w:rsid w:val="002D45B9"/>
    <w:rsid w:val="002D72A7"/>
    <w:rsid w:val="002E0A33"/>
    <w:rsid w:val="00301497"/>
    <w:rsid w:val="00301F42"/>
    <w:rsid w:val="003223AE"/>
    <w:rsid w:val="00322488"/>
    <w:rsid w:val="003541F5"/>
    <w:rsid w:val="00371136"/>
    <w:rsid w:val="003718F0"/>
    <w:rsid w:val="00393B9E"/>
    <w:rsid w:val="003B0ADB"/>
    <w:rsid w:val="003B3D9D"/>
    <w:rsid w:val="003B6E6C"/>
    <w:rsid w:val="003D4384"/>
    <w:rsid w:val="003D6D99"/>
    <w:rsid w:val="00407173"/>
    <w:rsid w:val="00425388"/>
    <w:rsid w:val="00431ECD"/>
    <w:rsid w:val="00460B97"/>
    <w:rsid w:val="00463C6B"/>
    <w:rsid w:val="00464817"/>
    <w:rsid w:val="00512233"/>
    <w:rsid w:val="00526A72"/>
    <w:rsid w:val="005550B1"/>
    <w:rsid w:val="00564049"/>
    <w:rsid w:val="005E47A8"/>
    <w:rsid w:val="005E5134"/>
    <w:rsid w:val="0060190A"/>
    <w:rsid w:val="00606431"/>
    <w:rsid w:val="006274C8"/>
    <w:rsid w:val="0063402E"/>
    <w:rsid w:val="006422A9"/>
    <w:rsid w:val="00662A50"/>
    <w:rsid w:val="00666717"/>
    <w:rsid w:val="00671DAE"/>
    <w:rsid w:val="00672131"/>
    <w:rsid w:val="00680DC8"/>
    <w:rsid w:val="0069115C"/>
    <w:rsid w:val="006D13BB"/>
    <w:rsid w:val="006D3E39"/>
    <w:rsid w:val="00702D3A"/>
    <w:rsid w:val="00730734"/>
    <w:rsid w:val="00752214"/>
    <w:rsid w:val="00765A90"/>
    <w:rsid w:val="007906A5"/>
    <w:rsid w:val="0079198A"/>
    <w:rsid w:val="00793F19"/>
    <w:rsid w:val="007A43D0"/>
    <w:rsid w:val="007A4F65"/>
    <w:rsid w:val="007D6E38"/>
    <w:rsid w:val="007E0945"/>
    <w:rsid w:val="007E5078"/>
    <w:rsid w:val="007F2E82"/>
    <w:rsid w:val="007F69FC"/>
    <w:rsid w:val="008050B6"/>
    <w:rsid w:val="00805C5B"/>
    <w:rsid w:val="008410A8"/>
    <w:rsid w:val="00846CAE"/>
    <w:rsid w:val="00856B48"/>
    <w:rsid w:val="008733AC"/>
    <w:rsid w:val="0088156B"/>
    <w:rsid w:val="00894BE8"/>
    <w:rsid w:val="008963C5"/>
    <w:rsid w:val="008A5AD0"/>
    <w:rsid w:val="008A6499"/>
    <w:rsid w:val="008B425D"/>
    <w:rsid w:val="008B79C7"/>
    <w:rsid w:val="008C16B0"/>
    <w:rsid w:val="008C5120"/>
    <w:rsid w:val="0093227E"/>
    <w:rsid w:val="00940EC8"/>
    <w:rsid w:val="00945FF5"/>
    <w:rsid w:val="009825DF"/>
    <w:rsid w:val="009914C1"/>
    <w:rsid w:val="009B4BE1"/>
    <w:rsid w:val="009B52AF"/>
    <w:rsid w:val="009C7F71"/>
    <w:rsid w:val="009F026E"/>
    <w:rsid w:val="009F7EDE"/>
    <w:rsid w:val="00A01389"/>
    <w:rsid w:val="00A07E35"/>
    <w:rsid w:val="00A1654E"/>
    <w:rsid w:val="00A17A15"/>
    <w:rsid w:val="00A26088"/>
    <w:rsid w:val="00A33B3A"/>
    <w:rsid w:val="00A35ADB"/>
    <w:rsid w:val="00A44F81"/>
    <w:rsid w:val="00A52D97"/>
    <w:rsid w:val="00A71794"/>
    <w:rsid w:val="00A8496E"/>
    <w:rsid w:val="00A948E9"/>
    <w:rsid w:val="00AA2143"/>
    <w:rsid w:val="00AD0945"/>
    <w:rsid w:val="00AD7DC9"/>
    <w:rsid w:val="00AF399C"/>
    <w:rsid w:val="00B4132B"/>
    <w:rsid w:val="00B51940"/>
    <w:rsid w:val="00B637D4"/>
    <w:rsid w:val="00B75EA5"/>
    <w:rsid w:val="00B76084"/>
    <w:rsid w:val="00B80FE1"/>
    <w:rsid w:val="00B85ED2"/>
    <w:rsid w:val="00BB0243"/>
    <w:rsid w:val="00BB25A8"/>
    <w:rsid w:val="00BD3FD6"/>
    <w:rsid w:val="00BE4631"/>
    <w:rsid w:val="00BF6266"/>
    <w:rsid w:val="00C02AA5"/>
    <w:rsid w:val="00C05EAA"/>
    <w:rsid w:val="00C073FC"/>
    <w:rsid w:val="00C22352"/>
    <w:rsid w:val="00C27B55"/>
    <w:rsid w:val="00C3723A"/>
    <w:rsid w:val="00C447B1"/>
    <w:rsid w:val="00C51548"/>
    <w:rsid w:val="00C6140C"/>
    <w:rsid w:val="00C6366E"/>
    <w:rsid w:val="00CE6AB7"/>
    <w:rsid w:val="00CF7B0A"/>
    <w:rsid w:val="00D0413C"/>
    <w:rsid w:val="00D057DC"/>
    <w:rsid w:val="00D25FBB"/>
    <w:rsid w:val="00D725B5"/>
    <w:rsid w:val="00D77F5C"/>
    <w:rsid w:val="00DA1699"/>
    <w:rsid w:val="00DA54BB"/>
    <w:rsid w:val="00DA7C94"/>
    <w:rsid w:val="00DB5AB5"/>
    <w:rsid w:val="00DB7DAC"/>
    <w:rsid w:val="00DC3D9E"/>
    <w:rsid w:val="00DD71FC"/>
    <w:rsid w:val="00DF64E8"/>
    <w:rsid w:val="00E117C7"/>
    <w:rsid w:val="00E200A3"/>
    <w:rsid w:val="00E42F6B"/>
    <w:rsid w:val="00E46977"/>
    <w:rsid w:val="00E52759"/>
    <w:rsid w:val="00E95E3F"/>
    <w:rsid w:val="00E97490"/>
    <w:rsid w:val="00E977AA"/>
    <w:rsid w:val="00E9795E"/>
    <w:rsid w:val="00EF5AB2"/>
    <w:rsid w:val="00F156FB"/>
    <w:rsid w:val="00F1602A"/>
    <w:rsid w:val="00F26C4F"/>
    <w:rsid w:val="00FA4365"/>
    <w:rsid w:val="00FA51F6"/>
    <w:rsid w:val="00FC1DCE"/>
    <w:rsid w:val="00FE5AC4"/>
    <w:rsid w:val="00FF3A7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5842">
      <o:colormenu v:ext="edit" strokecolor="none [3213]"/>
    </o:shapedefaults>
    <o:shapelayout v:ext="edit">
      <o:idmap v:ext="edit" data="1"/>
      <o:rules v:ext="edit">
        <o:r id="V:Rule5" type="connector" idref="#AutoShape 19"/>
        <o:r id="V:Rule6" type="connector" idref="#AutoShape 21"/>
        <o:r id="V:Rule7" type="connector" idref="#AutoShape 25"/>
        <o:r id="V:Rule8" type="connector" idref="#AutoShape 27"/>
        <o:r id="V:Rule13" type="connector" idref="#AutoShape 27"/>
        <o:r id="V:Rule14" type="connector" idref="#AutoShape 21"/>
        <o:r id="V:Rule15" type="connector" idref="#AutoShape 25"/>
        <o:r id="V:Rule16" type="connector" idref="#AutoShape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F399C"/>
    <w:pPr>
      <w:spacing w:before="120"/>
      <w:jc w:val="both"/>
    </w:pPr>
    <w:rPr>
      <w:rFonts w:ascii="Times New Roman" w:eastAsiaTheme="minorHAnsi" w:hAnsi="Times New Roman"/>
      <w:sz w:val="24"/>
    </w:rPr>
  </w:style>
  <w:style w:type="paragraph" w:styleId="Nadpis1">
    <w:name w:val="heading 1"/>
    <w:basedOn w:val="Normln"/>
    <w:next w:val="Normln"/>
    <w:link w:val="Nadpis1Char"/>
    <w:uiPriority w:val="9"/>
    <w:qFormat/>
    <w:rsid w:val="00B80FE1"/>
    <w:pPr>
      <w:keepNext/>
      <w:keepLines/>
      <w:numPr>
        <w:numId w:val="11"/>
      </w:numPr>
      <w:spacing w:before="480" w:after="120"/>
      <w:jc w:val="left"/>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B80FE1"/>
    <w:pPr>
      <w:keepNext/>
      <w:keepLines/>
      <w:numPr>
        <w:ilvl w:val="1"/>
        <w:numId w:val="11"/>
      </w:numPr>
      <w:spacing w:before="200"/>
      <w:jc w:val="left"/>
      <w:outlineLvl w:val="1"/>
    </w:pPr>
    <w:rPr>
      <w:rFonts w:eastAsiaTheme="majorEastAsia" w:cstheme="majorBidi"/>
      <w:b/>
      <w:bCs/>
      <w:sz w:val="28"/>
      <w:szCs w:val="26"/>
    </w:rPr>
  </w:style>
  <w:style w:type="paragraph" w:styleId="Nadpis3">
    <w:name w:val="heading 3"/>
    <w:basedOn w:val="Normln"/>
    <w:next w:val="Normln"/>
    <w:link w:val="Nadpis3Char"/>
    <w:uiPriority w:val="9"/>
    <w:unhideWhenUsed/>
    <w:qFormat/>
    <w:rsid w:val="00B80FE1"/>
    <w:pPr>
      <w:keepNext/>
      <w:keepLines/>
      <w:numPr>
        <w:ilvl w:val="2"/>
        <w:numId w:val="11"/>
      </w:numPr>
      <w:spacing w:before="200"/>
      <w:outlineLvl w:val="2"/>
    </w:pPr>
    <w:rPr>
      <w:rFonts w:eastAsiaTheme="majorEastAsia" w:cstheme="majorBidi"/>
      <w:b/>
      <w:bCs/>
      <w:sz w:val="22"/>
    </w:rPr>
  </w:style>
  <w:style w:type="paragraph" w:styleId="Nadpis4">
    <w:name w:val="heading 4"/>
    <w:basedOn w:val="Normln"/>
    <w:next w:val="Normln"/>
    <w:link w:val="Nadpis4Char"/>
    <w:uiPriority w:val="9"/>
    <w:unhideWhenUsed/>
    <w:qFormat/>
    <w:rsid w:val="0037113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80FE1"/>
    <w:rPr>
      <w:rFonts w:ascii="Palatino Linotype" w:eastAsiaTheme="majorEastAsia" w:hAnsi="Palatino Linotype" w:cstheme="majorBidi"/>
      <w:b/>
      <w:bCs/>
      <w:sz w:val="32"/>
      <w:szCs w:val="28"/>
      <w:lang w:eastAsia="cs-CZ"/>
    </w:rPr>
  </w:style>
  <w:style w:type="paragraph" w:styleId="Bezmezer">
    <w:name w:val="No Spacing"/>
    <w:uiPriority w:val="1"/>
    <w:qFormat/>
    <w:rsid w:val="00DA54BB"/>
    <w:pPr>
      <w:spacing w:after="0" w:line="240" w:lineRule="auto"/>
      <w:jc w:val="both"/>
    </w:pPr>
    <w:rPr>
      <w:rFonts w:ascii="Palatino Linotype" w:hAnsi="Palatino Linotype"/>
      <w:sz w:val="24"/>
    </w:rPr>
  </w:style>
  <w:style w:type="character" w:customStyle="1" w:styleId="Nadpis2Char">
    <w:name w:val="Nadpis 2 Char"/>
    <w:basedOn w:val="Standardnpsmoodstavce"/>
    <w:link w:val="Nadpis2"/>
    <w:uiPriority w:val="9"/>
    <w:rsid w:val="00B80FE1"/>
    <w:rPr>
      <w:rFonts w:ascii="Palatino Linotype" w:eastAsiaTheme="majorEastAsia" w:hAnsi="Palatino Linotype" w:cstheme="majorBidi"/>
      <w:b/>
      <w:bCs/>
      <w:sz w:val="28"/>
      <w:szCs w:val="26"/>
      <w:lang w:eastAsia="cs-CZ"/>
    </w:rPr>
  </w:style>
  <w:style w:type="character" w:customStyle="1" w:styleId="Nadpis3Char">
    <w:name w:val="Nadpis 3 Char"/>
    <w:basedOn w:val="Standardnpsmoodstavce"/>
    <w:link w:val="Nadpis3"/>
    <w:uiPriority w:val="9"/>
    <w:rsid w:val="00DA54BB"/>
    <w:rPr>
      <w:rFonts w:ascii="Times New Roman" w:eastAsiaTheme="majorEastAsia" w:hAnsi="Times New Roman" w:cstheme="majorBidi"/>
      <w:b/>
      <w:bCs/>
    </w:rPr>
  </w:style>
  <w:style w:type="paragraph" w:styleId="Zkladntext">
    <w:name w:val="Body Text"/>
    <w:basedOn w:val="Normln"/>
    <w:link w:val="ZkladntextChar"/>
    <w:rsid w:val="00AF399C"/>
    <w:pPr>
      <w:suppressAutoHyphens/>
      <w:spacing w:before="0" w:after="0" w:line="240" w:lineRule="auto"/>
    </w:pPr>
    <w:rPr>
      <w:rFonts w:eastAsia="Times New Roman" w:cs="Times New Roman"/>
      <w:szCs w:val="20"/>
      <w:lang w:eastAsia="ar-SA"/>
    </w:rPr>
  </w:style>
  <w:style w:type="character" w:customStyle="1" w:styleId="ZkladntextChar">
    <w:name w:val="Základní text Char"/>
    <w:basedOn w:val="Standardnpsmoodstavce"/>
    <w:link w:val="Zkladntext"/>
    <w:rsid w:val="00AF399C"/>
    <w:rPr>
      <w:rFonts w:ascii="Times New Roman" w:hAnsi="Times New Roman" w:cs="Times New Roman"/>
      <w:sz w:val="24"/>
      <w:szCs w:val="20"/>
      <w:lang w:eastAsia="ar-SA"/>
    </w:rPr>
  </w:style>
  <w:style w:type="paragraph" w:customStyle="1" w:styleId="Diplomka-textodstavce">
    <w:name w:val="Diplomka - text odstavce"/>
    <w:rsid w:val="00AF399C"/>
    <w:pPr>
      <w:suppressAutoHyphens/>
      <w:spacing w:before="120" w:after="120" w:line="360" w:lineRule="auto"/>
      <w:jc w:val="both"/>
    </w:pPr>
    <w:rPr>
      <w:rFonts w:ascii="Times New Roman" w:eastAsia="Arial" w:hAnsi="Times New Roman" w:cs="Times New Roman"/>
      <w:sz w:val="24"/>
      <w:szCs w:val="20"/>
      <w:lang w:eastAsia="ar-SA"/>
    </w:rPr>
  </w:style>
  <w:style w:type="paragraph" w:styleId="Odstavecseseznamem">
    <w:name w:val="List Paragraph"/>
    <w:basedOn w:val="Normln"/>
    <w:uiPriority w:val="34"/>
    <w:qFormat/>
    <w:rsid w:val="00AF399C"/>
    <w:pPr>
      <w:spacing w:before="0" w:after="0" w:line="360" w:lineRule="auto"/>
      <w:ind w:left="720"/>
      <w:contextualSpacing/>
    </w:pPr>
    <w:rPr>
      <w:rFonts w:eastAsia="Times New Roman" w:cs="Times New Roman"/>
      <w:szCs w:val="20"/>
      <w:lang w:eastAsia="cs-CZ"/>
    </w:rPr>
  </w:style>
  <w:style w:type="character" w:customStyle="1" w:styleId="null">
    <w:name w:val="null"/>
    <w:basedOn w:val="Standardnpsmoodstavce"/>
    <w:rsid w:val="001B7C40"/>
    <w:rPr>
      <w:szCs w:val="24"/>
    </w:rPr>
  </w:style>
  <w:style w:type="paragraph" w:styleId="Titulek">
    <w:name w:val="caption"/>
    <w:basedOn w:val="Normln"/>
    <w:next w:val="Normln"/>
    <w:uiPriority w:val="35"/>
    <w:unhideWhenUsed/>
    <w:qFormat/>
    <w:rsid w:val="00AF399C"/>
    <w:pPr>
      <w:spacing w:before="0" w:line="240" w:lineRule="auto"/>
    </w:pPr>
    <w:rPr>
      <w:rFonts w:eastAsia="Times New Roman" w:cs="Times New Roman"/>
      <w:b/>
      <w:bCs/>
      <w:color w:val="4F81BD" w:themeColor="accent1"/>
      <w:sz w:val="18"/>
      <w:szCs w:val="18"/>
      <w:lang w:eastAsia="cs-CZ"/>
    </w:rPr>
  </w:style>
  <w:style w:type="paragraph" w:styleId="Textpoznpodarou">
    <w:name w:val="footnote text"/>
    <w:basedOn w:val="Normln"/>
    <w:link w:val="TextpoznpodarouChar"/>
    <w:uiPriority w:val="99"/>
    <w:semiHidden/>
    <w:unhideWhenUsed/>
    <w:rsid w:val="00AF399C"/>
    <w:pPr>
      <w:spacing w:before="0" w:after="0" w:line="240" w:lineRule="auto"/>
    </w:pPr>
    <w:rPr>
      <w:rFonts w:eastAsia="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AF399C"/>
    <w:rPr>
      <w:rFonts w:ascii="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AF399C"/>
    <w:rPr>
      <w:vertAlign w:val="superscript"/>
    </w:rPr>
  </w:style>
  <w:style w:type="table" w:styleId="Mkatabulky">
    <w:name w:val="Table Grid"/>
    <w:basedOn w:val="Normlntabulka"/>
    <w:uiPriority w:val="59"/>
    <w:rsid w:val="00AF3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AF399C"/>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F399C"/>
    <w:rPr>
      <w:rFonts w:ascii="Tahoma" w:eastAsiaTheme="minorHAnsi" w:hAnsi="Tahoma" w:cs="Tahoma"/>
      <w:sz w:val="16"/>
      <w:szCs w:val="16"/>
    </w:rPr>
  </w:style>
  <w:style w:type="paragraph" w:styleId="Zhlav">
    <w:name w:val="header"/>
    <w:basedOn w:val="Normln"/>
    <w:link w:val="ZhlavChar"/>
    <w:uiPriority w:val="99"/>
    <w:semiHidden/>
    <w:unhideWhenUsed/>
    <w:rsid w:val="00AF399C"/>
    <w:pPr>
      <w:tabs>
        <w:tab w:val="center" w:pos="4536"/>
        <w:tab w:val="right" w:pos="9072"/>
      </w:tabs>
      <w:spacing w:before="0" w:after="0" w:line="240" w:lineRule="auto"/>
    </w:pPr>
  </w:style>
  <w:style w:type="character" w:customStyle="1" w:styleId="ZhlavChar">
    <w:name w:val="Záhlaví Char"/>
    <w:basedOn w:val="Standardnpsmoodstavce"/>
    <w:link w:val="Zhlav"/>
    <w:uiPriority w:val="99"/>
    <w:semiHidden/>
    <w:rsid w:val="00AF399C"/>
    <w:rPr>
      <w:rFonts w:ascii="Times New Roman" w:eastAsiaTheme="minorHAnsi" w:hAnsi="Times New Roman"/>
      <w:sz w:val="24"/>
    </w:rPr>
  </w:style>
  <w:style w:type="paragraph" w:styleId="Zpat">
    <w:name w:val="footer"/>
    <w:basedOn w:val="Normln"/>
    <w:link w:val="ZpatChar"/>
    <w:uiPriority w:val="99"/>
    <w:unhideWhenUsed/>
    <w:rsid w:val="00AF399C"/>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AF399C"/>
    <w:rPr>
      <w:rFonts w:ascii="Times New Roman" w:eastAsiaTheme="minorHAnsi" w:hAnsi="Times New Roman"/>
      <w:sz w:val="24"/>
    </w:rPr>
  </w:style>
  <w:style w:type="character" w:styleId="Zstupntext">
    <w:name w:val="Placeholder Text"/>
    <w:basedOn w:val="Standardnpsmoodstavce"/>
    <w:uiPriority w:val="99"/>
    <w:semiHidden/>
    <w:rsid w:val="00AF399C"/>
    <w:rPr>
      <w:color w:val="808080"/>
    </w:rPr>
  </w:style>
  <w:style w:type="character" w:styleId="Hypertextovodkaz">
    <w:name w:val="Hyperlink"/>
    <w:basedOn w:val="Standardnpsmoodstavce"/>
    <w:uiPriority w:val="99"/>
    <w:unhideWhenUsed/>
    <w:rsid w:val="00AF399C"/>
    <w:rPr>
      <w:color w:val="0000FF" w:themeColor="hyperlink"/>
      <w:u w:val="single"/>
    </w:rPr>
  </w:style>
  <w:style w:type="character" w:styleId="Sledovanodkaz">
    <w:name w:val="FollowedHyperlink"/>
    <w:basedOn w:val="Standardnpsmoodstavce"/>
    <w:uiPriority w:val="99"/>
    <w:semiHidden/>
    <w:unhideWhenUsed/>
    <w:rsid w:val="00AF399C"/>
    <w:rPr>
      <w:color w:val="800080" w:themeColor="followedHyperlink"/>
      <w:u w:val="single"/>
    </w:rPr>
  </w:style>
  <w:style w:type="table" w:customStyle="1" w:styleId="Svtlseznamzvraznn11">
    <w:name w:val="Světlý seznam – zvýraznění 11"/>
    <w:basedOn w:val="Normlntabulka"/>
    <w:uiPriority w:val="61"/>
    <w:rsid w:val="00AF399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tednstnovn1zvraznn11">
    <w:name w:val="Střední stínování 1 – zvýraznění 11"/>
    <w:basedOn w:val="Normlntabulka"/>
    <w:uiPriority w:val="63"/>
    <w:rsid w:val="00AF399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tednstnovn2zvraznn11">
    <w:name w:val="Střední stínování 2 – zvýraznění 11"/>
    <w:basedOn w:val="Normlntabulka"/>
    <w:uiPriority w:val="64"/>
    <w:rsid w:val="00AF399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adpis4Char">
    <w:name w:val="Nadpis 4 Char"/>
    <w:basedOn w:val="Standardnpsmoodstavce"/>
    <w:link w:val="Nadpis4"/>
    <w:uiPriority w:val="9"/>
    <w:rsid w:val="00371136"/>
    <w:rPr>
      <w:rFonts w:asciiTheme="majorHAnsi" w:eastAsiaTheme="majorEastAsia" w:hAnsiTheme="majorHAnsi" w:cstheme="majorBidi"/>
      <w:b/>
      <w:bCs/>
      <w:i/>
      <w:iCs/>
      <w:color w:val="4F81BD" w:themeColor="accent1"/>
      <w:sz w:val="24"/>
    </w:rPr>
  </w:style>
  <w:style w:type="paragraph" w:styleId="Nadpisobsahu">
    <w:name w:val="TOC Heading"/>
    <w:basedOn w:val="Nadpis1"/>
    <w:next w:val="Normln"/>
    <w:uiPriority w:val="39"/>
    <w:unhideWhenUsed/>
    <w:qFormat/>
    <w:rsid w:val="00371136"/>
    <w:pPr>
      <w:numPr>
        <w:numId w:val="0"/>
      </w:numPr>
      <w:spacing w:after="0"/>
      <w:outlineLvl w:val="9"/>
    </w:pPr>
    <w:rPr>
      <w:rFonts w:asciiTheme="majorHAnsi" w:hAnsiTheme="majorHAnsi"/>
      <w:color w:val="365F91" w:themeColor="accent1" w:themeShade="BF"/>
      <w:sz w:val="28"/>
    </w:rPr>
  </w:style>
  <w:style w:type="paragraph" w:styleId="Obsah1">
    <w:name w:val="toc 1"/>
    <w:basedOn w:val="Normln"/>
    <w:next w:val="Normln"/>
    <w:autoRedefine/>
    <w:uiPriority w:val="39"/>
    <w:unhideWhenUsed/>
    <w:rsid w:val="00371136"/>
    <w:pPr>
      <w:spacing w:after="100"/>
    </w:pPr>
  </w:style>
  <w:style w:type="paragraph" w:styleId="Obsah2">
    <w:name w:val="toc 2"/>
    <w:basedOn w:val="Normln"/>
    <w:next w:val="Normln"/>
    <w:autoRedefine/>
    <w:uiPriority w:val="39"/>
    <w:unhideWhenUsed/>
    <w:rsid w:val="00371136"/>
    <w:pPr>
      <w:spacing w:after="100"/>
      <w:ind w:left="240"/>
    </w:pPr>
  </w:style>
  <w:style w:type="paragraph" w:styleId="Obsah3">
    <w:name w:val="toc 3"/>
    <w:basedOn w:val="Normln"/>
    <w:next w:val="Normln"/>
    <w:autoRedefine/>
    <w:uiPriority w:val="39"/>
    <w:unhideWhenUsed/>
    <w:rsid w:val="00371136"/>
    <w:pPr>
      <w:spacing w:after="100"/>
      <w:ind w:left="480"/>
    </w:pPr>
  </w:style>
  <w:style w:type="paragraph" w:styleId="Seznamobrzk">
    <w:name w:val="table of figures"/>
    <w:basedOn w:val="Normln"/>
    <w:next w:val="Normln"/>
    <w:uiPriority w:val="99"/>
    <w:unhideWhenUsed/>
    <w:rsid w:val="00B51940"/>
    <w:pPr>
      <w:spacing w:after="0"/>
    </w:pPr>
  </w:style>
  <w:style w:type="paragraph" w:customStyle="1" w:styleId="Odstavecseseznamem1">
    <w:name w:val="Odstavec se seznamem1"/>
    <w:basedOn w:val="Normln"/>
    <w:rsid w:val="00564049"/>
    <w:pPr>
      <w:spacing w:before="0" w:after="0" w:line="360" w:lineRule="auto"/>
      <w:ind w:left="720"/>
      <w:contextualSpacing/>
    </w:pPr>
    <w:rPr>
      <w:rFonts w:eastAsia="Times New Roman" w:cs="Times New Roman"/>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F399C"/>
    <w:pPr>
      <w:spacing w:before="120"/>
      <w:jc w:val="both"/>
    </w:pPr>
    <w:rPr>
      <w:rFonts w:ascii="Times New Roman" w:eastAsiaTheme="minorHAnsi" w:hAnsi="Times New Roman"/>
      <w:sz w:val="24"/>
    </w:rPr>
  </w:style>
  <w:style w:type="paragraph" w:styleId="Nadpis1">
    <w:name w:val="heading 1"/>
    <w:basedOn w:val="Normln"/>
    <w:next w:val="Normln"/>
    <w:link w:val="Nadpis1Char"/>
    <w:uiPriority w:val="9"/>
    <w:qFormat/>
    <w:rsid w:val="00B80FE1"/>
    <w:pPr>
      <w:keepNext/>
      <w:keepLines/>
      <w:numPr>
        <w:numId w:val="11"/>
      </w:numPr>
      <w:spacing w:before="480" w:after="120"/>
      <w:jc w:val="left"/>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B80FE1"/>
    <w:pPr>
      <w:keepNext/>
      <w:keepLines/>
      <w:numPr>
        <w:ilvl w:val="1"/>
        <w:numId w:val="11"/>
      </w:numPr>
      <w:spacing w:before="200"/>
      <w:jc w:val="left"/>
      <w:outlineLvl w:val="1"/>
    </w:pPr>
    <w:rPr>
      <w:rFonts w:eastAsiaTheme="majorEastAsia" w:cstheme="majorBidi"/>
      <w:b/>
      <w:bCs/>
      <w:sz w:val="28"/>
      <w:szCs w:val="26"/>
    </w:rPr>
  </w:style>
  <w:style w:type="paragraph" w:styleId="Nadpis3">
    <w:name w:val="heading 3"/>
    <w:basedOn w:val="Normln"/>
    <w:next w:val="Normln"/>
    <w:link w:val="Nadpis3Char"/>
    <w:uiPriority w:val="9"/>
    <w:unhideWhenUsed/>
    <w:qFormat/>
    <w:rsid w:val="00B80FE1"/>
    <w:pPr>
      <w:keepNext/>
      <w:keepLines/>
      <w:numPr>
        <w:ilvl w:val="2"/>
        <w:numId w:val="11"/>
      </w:numPr>
      <w:spacing w:before="200"/>
      <w:outlineLvl w:val="2"/>
    </w:pPr>
    <w:rPr>
      <w:rFonts w:eastAsiaTheme="majorEastAsia" w:cstheme="majorBidi"/>
      <w:b/>
      <w:bCs/>
      <w:sz w:val="22"/>
    </w:rPr>
  </w:style>
  <w:style w:type="paragraph" w:styleId="Nadpis4">
    <w:name w:val="heading 4"/>
    <w:basedOn w:val="Normln"/>
    <w:next w:val="Normln"/>
    <w:link w:val="Nadpis4Char"/>
    <w:uiPriority w:val="9"/>
    <w:unhideWhenUsed/>
    <w:qFormat/>
    <w:rsid w:val="0037113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80FE1"/>
    <w:rPr>
      <w:rFonts w:ascii="Palatino Linotype" w:eastAsiaTheme="majorEastAsia" w:hAnsi="Palatino Linotype" w:cstheme="majorBidi"/>
      <w:b/>
      <w:bCs/>
      <w:sz w:val="32"/>
      <w:szCs w:val="28"/>
      <w:lang w:eastAsia="cs-CZ"/>
    </w:rPr>
  </w:style>
  <w:style w:type="paragraph" w:styleId="Bezmezer">
    <w:name w:val="No Spacing"/>
    <w:uiPriority w:val="1"/>
    <w:qFormat/>
    <w:rsid w:val="00DA54BB"/>
    <w:pPr>
      <w:spacing w:after="0" w:line="240" w:lineRule="auto"/>
      <w:jc w:val="both"/>
    </w:pPr>
    <w:rPr>
      <w:rFonts w:ascii="Palatino Linotype" w:hAnsi="Palatino Linotype"/>
      <w:sz w:val="24"/>
    </w:rPr>
  </w:style>
  <w:style w:type="character" w:customStyle="1" w:styleId="Nadpis2Char">
    <w:name w:val="Nadpis 2 Char"/>
    <w:basedOn w:val="Standardnpsmoodstavce"/>
    <w:link w:val="Nadpis2"/>
    <w:uiPriority w:val="9"/>
    <w:rsid w:val="00B80FE1"/>
    <w:rPr>
      <w:rFonts w:ascii="Palatino Linotype" w:eastAsiaTheme="majorEastAsia" w:hAnsi="Palatino Linotype" w:cstheme="majorBidi"/>
      <w:b/>
      <w:bCs/>
      <w:sz w:val="28"/>
      <w:szCs w:val="26"/>
      <w:lang w:eastAsia="cs-CZ"/>
    </w:rPr>
  </w:style>
  <w:style w:type="character" w:customStyle="1" w:styleId="Nadpis3Char">
    <w:name w:val="Nadpis 3 Char"/>
    <w:basedOn w:val="Standardnpsmoodstavce"/>
    <w:link w:val="Nadpis3"/>
    <w:uiPriority w:val="9"/>
    <w:rsid w:val="00DA54BB"/>
    <w:rPr>
      <w:rFonts w:ascii="Times New Roman" w:eastAsiaTheme="majorEastAsia" w:hAnsi="Times New Roman" w:cstheme="majorBidi"/>
      <w:b/>
      <w:bCs/>
    </w:rPr>
  </w:style>
  <w:style w:type="paragraph" w:styleId="Zkladntext">
    <w:name w:val="Body Text"/>
    <w:basedOn w:val="Normln"/>
    <w:link w:val="ZkladntextChar"/>
    <w:rsid w:val="00AF399C"/>
    <w:pPr>
      <w:suppressAutoHyphens/>
      <w:spacing w:before="0" w:after="0" w:line="240" w:lineRule="auto"/>
    </w:pPr>
    <w:rPr>
      <w:rFonts w:eastAsia="Times New Roman" w:cs="Times New Roman"/>
      <w:szCs w:val="20"/>
      <w:lang w:eastAsia="ar-SA"/>
    </w:rPr>
  </w:style>
  <w:style w:type="character" w:customStyle="1" w:styleId="ZkladntextChar">
    <w:name w:val="Základní text Char"/>
    <w:basedOn w:val="Standardnpsmoodstavce"/>
    <w:link w:val="Zkladntext"/>
    <w:rsid w:val="00AF399C"/>
    <w:rPr>
      <w:rFonts w:ascii="Times New Roman" w:hAnsi="Times New Roman" w:cs="Times New Roman"/>
      <w:sz w:val="24"/>
      <w:szCs w:val="20"/>
      <w:lang w:eastAsia="ar-SA"/>
    </w:rPr>
  </w:style>
  <w:style w:type="paragraph" w:customStyle="1" w:styleId="Diplomka-textodstavce">
    <w:name w:val="Diplomka - text odstavce"/>
    <w:rsid w:val="00AF399C"/>
    <w:pPr>
      <w:suppressAutoHyphens/>
      <w:spacing w:before="120" w:after="120" w:line="360" w:lineRule="auto"/>
      <w:jc w:val="both"/>
    </w:pPr>
    <w:rPr>
      <w:rFonts w:ascii="Times New Roman" w:eastAsia="Arial" w:hAnsi="Times New Roman" w:cs="Times New Roman"/>
      <w:sz w:val="24"/>
      <w:szCs w:val="20"/>
      <w:lang w:eastAsia="ar-SA"/>
    </w:rPr>
  </w:style>
  <w:style w:type="paragraph" w:styleId="Odstavecseseznamem">
    <w:name w:val="List Paragraph"/>
    <w:basedOn w:val="Normln"/>
    <w:uiPriority w:val="34"/>
    <w:qFormat/>
    <w:rsid w:val="00AF399C"/>
    <w:pPr>
      <w:spacing w:before="0" w:after="0" w:line="360" w:lineRule="auto"/>
      <w:ind w:left="720"/>
      <w:contextualSpacing/>
    </w:pPr>
    <w:rPr>
      <w:rFonts w:eastAsia="Times New Roman" w:cs="Times New Roman"/>
      <w:szCs w:val="20"/>
      <w:lang w:eastAsia="cs-CZ"/>
    </w:rPr>
  </w:style>
  <w:style w:type="character" w:customStyle="1" w:styleId="null">
    <w:name w:val="null"/>
    <w:basedOn w:val="Standardnpsmoodstavce"/>
    <w:rsid w:val="00AF399C"/>
  </w:style>
  <w:style w:type="paragraph" w:styleId="Titulek">
    <w:name w:val="caption"/>
    <w:basedOn w:val="Normln"/>
    <w:next w:val="Normln"/>
    <w:uiPriority w:val="35"/>
    <w:unhideWhenUsed/>
    <w:qFormat/>
    <w:rsid w:val="00AF399C"/>
    <w:pPr>
      <w:spacing w:before="0" w:line="240" w:lineRule="auto"/>
    </w:pPr>
    <w:rPr>
      <w:rFonts w:eastAsia="Times New Roman" w:cs="Times New Roman"/>
      <w:b/>
      <w:bCs/>
      <w:color w:val="4F81BD" w:themeColor="accent1"/>
      <w:sz w:val="18"/>
      <w:szCs w:val="18"/>
      <w:lang w:eastAsia="cs-CZ"/>
    </w:rPr>
  </w:style>
  <w:style w:type="paragraph" w:styleId="Textpoznpodarou">
    <w:name w:val="footnote text"/>
    <w:basedOn w:val="Normln"/>
    <w:link w:val="TextpoznpodarouChar"/>
    <w:uiPriority w:val="99"/>
    <w:semiHidden/>
    <w:unhideWhenUsed/>
    <w:rsid w:val="00AF399C"/>
    <w:pPr>
      <w:spacing w:before="0" w:after="0" w:line="240" w:lineRule="auto"/>
    </w:pPr>
    <w:rPr>
      <w:rFonts w:eastAsia="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AF399C"/>
    <w:rPr>
      <w:rFonts w:ascii="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AF399C"/>
    <w:rPr>
      <w:vertAlign w:val="superscript"/>
    </w:rPr>
  </w:style>
  <w:style w:type="table" w:styleId="Mkatabulky">
    <w:name w:val="Table Grid"/>
    <w:basedOn w:val="Normlntabulka"/>
    <w:uiPriority w:val="59"/>
    <w:rsid w:val="00AF3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AF399C"/>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F399C"/>
    <w:rPr>
      <w:rFonts w:ascii="Tahoma" w:eastAsiaTheme="minorHAnsi" w:hAnsi="Tahoma" w:cs="Tahoma"/>
      <w:sz w:val="16"/>
      <w:szCs w:val="16"/>
    </w:rPr>
  </w:style>
  <w:style w:type="paragraph" w:styleId="Zhlav">
    <w:name w:val="header"/>
    <w:basedOn w:val="Normln"/>
    <w:link w:val="ZhlavChar"/>
    <w:uiPriority w:val="99"/>
    <w:semiHidden/>
    <w:unhideWhenUsed/>
    <w:rsid w:val="00AF399C"/>
    <w:pPr>
      <w:tabs>
        <w:tab w:val="center" w:pos="4536"/>
        <w:tab w:val="right" w:pos="9072"/>
      </w:tabs>
      <w:spacing w:before="0" w:after="0" w:line="240" w:lineRule="auto"/>
    </w:pPr>
  </w:style>
  <w:style w:type="character" w:customStyle="1" w:styleId="ZhlavChar">
    <w:name w:val="Záhlaví Char"/>
    <w:basedOn w:val="Standardnpsmoodstavce"/>
    <w:link w:val="Zhlav"/>
    <w:uiPriority w:val="99"/>
    <w:semiHidden/>
    <w:rsid w:val="00AF399C"/>
    <w:rPr>
      <w:rFonts w:ascii="Times New Roman" w:eastAsiaTheme="minorHAnsi" w:hAnsi="Times New Roman"/>
      <w:sz w:val="24"/>
    </w:rPr>
  </w:style>
  <w:style w:type="paragraph" w:styleId="Zpat">
    <w:name w:val="footer"/>
    <w:basedOn w:val="Normln"/>
    <w:link w:val="ZpatChar"/>
    <w:uiPriority w:val="99"/>
    <w:unhideWhenUsed/>
    <w:rsid w:val="00AF399C"/>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AF399C"/>
    <w:rPr>
      <w:rFonts w:ascii="Times New Roman" w:eastAsiaTheme="minorHAnsi" w:hAnsi="Times New Roman"/>
      <w:sz w:val="24"/>
    </w:rPr>
  </w:style>
  <w:style w:type="character" w:styleId="Zstupntext">
    <w:name w:val="Placeholder Text"/>
    <w:basedOn w:val="Standardnpsmoodstavce"/>
    <w:uiPriority w:val="99"/>
    <w:semiHidden/>
    <w:rsid w:val="00AF399C"/>
    <w:rPr>
      <w:color w:val="808080"/>
    </w:rPr>
  </w:style>
  <w:style w:type="character" w:styleId="Hypertextovodkaz">
    <w:name w:val="Hyperlink"/>
    <w:basedOn w:val="Standardnpsmoodstavce"/>
    <w:uiPriority w:val="99"/>
    <w:unhideWhenUsed/>
    <w:rsid w:val="00AF399C"/>
    <w:rPr>
      <w:color w:val="0000FF" w:themeColor="hyperlink"/>
      <w:u w:val="single"/>
    </w:rPr>
  </w:style>
  <w:style w:type="character" w:styleId="Sledovanodkaz">
    <w:name w:val="FollowedHyperlink"/>
    <w:basedOn w:val="Standardnpsmoodstavce"/>
    <w:uiPriority w:val="99"/>
    <w:semiHidden/>
    <w:unhideWhenUsed/>
    <w:rsid w:val="00AF399C"/>
    <w:rPr>
      <w:color w:val="800080" w:themeColor="followedHyperlink"/>
      <w:u w:val="single"/>
    </w:rPr>
  </w:style>
  <w:style w:type="table" w:customStyle="1" w:styleId="Svtlseznamzvraznn11">
    <w:name w:val="Světlý seznam – zvýraznění 11"/>
    <w:basedOn w:val="Normlntabulka"/>
    <w:uiPriority w:val="61"/>
    <w:rsid w:val="00AF399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tednstnovn1zvraznn11">
    <w:name w:val="Střední stínování 1 – zvýraznění 11"/>
    <w:basedOn w:val="Normlntabulka"/>
    <w:uiPriority w:val="63"/>
    <w:rsid w:val="00AF399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tednstnovn2zvraznn11">
    <w:name w:val="Střední stínování 2 – zvýraznění 11"/>
    <w:basedOn w:val="Normlntabulka"/>
    <w:uiPriority w:val="64"/>
    <w:rsid w:val="00AF399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adpis4Char">
    <w:name w:val="Nadpis 4 Char"/>
    <w:basedOn w:val="Standardnpsmoodstavce"/>
    <w:link w:val="Nadpis4"/>
    <w:uiPriority w:val="9"/>
    <w:rsid w:val="00371136"/>
    <w:rPr>
      <w:rFonts w:asciiTheme="majorHAnsi" w:eastAsiaTheme="majorEastAsia" w:hAnsiTheme="majorHAnsi" w:cstheme="majorBidi"/>
      <w:b/>
      <w:bCs/>
      <w:i/>
      <w:iCs/>
      <w:color w:val="4F81BD" w:themeColor="accent1"/>
      <w:sz w:val="24"/>
    </w:rPr>
  </w:style>
  <w:style w:type="paragraph" w:styleId="Nadpisobsahu">
    <w:name w:val="TOC Heading"/>
    <w:basedOn w:val="Nadpis1"/>
    <w:next w:val="Normln"/>
    <w:uiPriority w:val="39"/>
    <w:semiHidden/>
    <w:unhideWhenUsed/>
    <w:qFormat/>
    <w:rsid w:val="00371136"/>
    <w:pPr>
      <w:numPr>
        <w:numId w:val="0"/>
      </w:numPr>
      <w:spacing w:after="0"/>
      <w:outlineLvl w:val="9"/>
    </w:pPr>
    <w:rPr>
      <w:rFonts w:asciiTheme="majorHAnsi" w:hAnsiTheme="majorHAnsi"/>
      <w:color w:val="365F91" w:themeColor="accent1" w:themeShade="BF"/>
      <w:sz w:val="28"/>
    </w:rPr>
  </w:style>
  <w:style w:type="paragraph" w:styleId="Obsah1">
    <w:name w:val="toc 1"/>
    <w:basedOn w:val="Normln"/>
    <w:next w:val="Normln"/>
    <w:autoRedefine/>
    <w:uiPriority w:val="39"/>
    <w:unhideWhenUsed/>
    <w:rsid w:val="00371136"/>
    <w:pPr>
      <w:spacing w:after="100"/>
    </w:pPr>
  </w:style>
  <w:style w:type="paragraph" w:styleId="Obsah2">
    <w:name w:val="toc 2"/>
    <w:basedOn w:val="Normln"/>
    <w:next w:val="Normln"/>
    <w:autoRedefine/>
    <w:uiPriority w:val="39"/>
    <w:unhideWhenUsed/>
    <w:rsid w:val="00371136"/>
    <w:pPr>
      <w:spacing w:after="100"/>
      <w:ind w:left="240"/>
    </w:pPr>
  </w:style>
  <w:style w:type="paragraph" w:styleId="Obsah3">
    <w:name w:val="toc 3"/>
    <w:basedOn w:val="Normln"/>
    <w:next w:val="Normln"/>
    <w:autoRedefine/>
    <w:uiPriority w:val="39"/>
    <w:unhideWhenUsed/>
    <w:rsid w:val="00371136"/>
    <w:pPr>
      <w:spacing w:after="100"/>
      <w:ind w:left="480"/>
    </w:pPr>
  </w:style>
</w:styles>
</file>

<file path=word/webSettings.xml><?xml version="1.0" encoding="utf-8"?>
<w:webSettings xmlns:r="http://schemas.openxmlformats.org/officeDocument/2006/relationships" xmlns:w="http://schemas.openxmlformats.org/wordprocessingml/2006/main">
  <w:divs>
    <w:div w:id="294650970">
      <w:bodyDiv w:val="1"/>
      <w:marLeft w:val="0"/>
      <w:marRight w:val="0"/>
      <w:marTop w:val="0"/>
      <w:marBottom w:val="0"/>
      <w:divBdr>
        <w:top w:val="none" w:sz="0" w:space="0" w:color="auto"/>
        <w:left w:val="none" w:sz="0" w:space="0" w:color="auto"/>
        <w:bottom w:val="none" w:sz="0" w:space="0" w:color="auto"/>
        <w:right w:val="none" w:sz="0" w:space="0" w:color="auto"/>
      </w:divBdr>
    </w:div>
    <w:div w:id="771246029">
      <w:bodyDiv w:val="1"/>
      <w:marLeft w:val="0"/>
      <w:marRight w:val="0"/>
      <w:marTop w:val="0"/>
      <w:marBottom w:val="0"/>
      <w:divBdr>
        <w:top w:val="none" w:sz="0" w:space="0" w:color="auto"/>
        <w:left w:val="none" w:sz="0" w:space="0" w:color="auto"/>
        <w:bottom w:val="none" w:sz="0" w:space="0" w:color="auto"/>
        <w:right w:val="none" w:sz="0" w:space="0" w:color="auto"/>
      </w:divBdr>
    </w:div>
    <w:div w:id="193220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5.xml"/><Relationship Id="rId26" Type="http://schemas.openxmlformats.org/officeDocument/2006/relationships/hyperlink" Target="http://www.blackrockinternational.com/content/groups/internationalsite/documents/literature/etfl_globalhandbook_2012.pdf" TargetMode="External"/><Relationship Id="rId39" Type="http://schemas.openxmlformats.org/officeDocument/2006/relationships/chart" Target="charts/chart14.xml"/><Relationship Id="rId21" Type="http://schemas.openxmlformats.org/officeDocument/2006/relationships/chart" Target="charts/chart6.xml"/><Relationship Id="rId34" Type="http://schemas.openxmlformats.org/officeDocument/2006/relationships/chart" Target="charts/chart10.xml"/><Relationship Id="rId42" Type="http://schemas.openxmlformats.org/officeDocument/2006/relationships/chart" Target="charts/chart17.xml"/><Relationship Id="rId47" Type="http://schemas.openxmlformats.org/officeDocument/2006/relationships/hyperlink" Target="http://www.bloomberg.com/" TargetMode="External"/><Relationship Id="rId50" Type="http://schemas.openxmlformats.org/officeDocument/2006/relationships/hyperlink" Target="http://www.csob.cz/cz/Stranky/default.aspx" TargetMode="External"/><Relationship Id="rId55" Type="http://schemas.openxmlformats.org/officeDocument/2006/relationships/hyperlink" Target="http://www.invesco.com/portal/site/global" TargetMode="External"/><Relationship Id="rId63" Type="http://schemas.openxmlformats.org/officeDocument/2006/relationships/chart" Target="charts/chart20.xml"/><Relationship Id="rId68"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lackrocklatam.com/content/groups/internationalsite/documents/literature/etfl_industryhilight_dec13.pdf" TargetMode="External"/><Relationship Id="rId29" Type="http://schemas.openxmlformats.org/officeDocument/2006/relationships/hyperlink" Target="http://www.blackrockinternational.com/content/groups/internationalsite/documents/literature/etfl_globalhandbook_20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7.xml"/><Relationship Id="rId32" Type="http://schemas.openxmlformats.org/officeDocument/2006/relationships/hyperlink" Target="http://www.xtb.cz/obchodni-podminky/poplatky-a-provize" TargetMode="Externa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hyperlink" Target="http://www.akcie.cz/kurzy-svet/indexy-svet/sp500?gclid=CK7QgOaw27wCFUjpwgodTQwAIg" TargetMode="External"/><Relationship Id="rId53" Type="http://schemas.openxmlformats.org/officeDocument/2006/relationships/hyperlink" Target="http://www.dbxus.com/about-us/who-we-are" TargetMode="External"/><Relationship Id="rId58" Type="http://schemas.openxmlformats.org/officeDocument/2006/relationships/hyperlink" Target="http://www.forbes.com/sites/feeonlyplanner/2013/07/18/whats-the-difference-mutual-funds-and-exchange-traded-funds-explained/"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www.blackrockinternational.com/content/groups/internationalsite/documents/literature/etfl_globalhandbook_2012.pdf" TargetMode="External"/><Relationship Id="rId28" Type="http://schemas.openxmlformats.org/officeDocument/2006/relationships/hyperlink" Target="http://www.blackrockinternational.com/content/groups/internationalsite/documents/literature/etfl_globalhandbook_2012.pdf" TargetMode="External"/><Relationship Id="rId36" Type="http://schemas.openxmlformats.org/officeDocument/2006/relationships/chart" Target="charts/chart11.xml"/><Relationship Id="rId49" Type="http://schemas.openxmlformats.org/officeDocument/2006/relationships/hyperlink" Target="http://www.slideshare.net/mesec/cyrrus-cenk-slueb" TargetMode="External"/><Relationship Id="rId57" Type="http://schemas.openxmlformats.org/officeDocument/2006/relationships/hyperlink" Target="http://statestreet.com/wps/portal/internet/corporate/home/%21ut/p/c4/04_SB8K8xLLM9MSSzPy8xBz9CP0os3i_0CADCydDRwP_IGdnA08Tc38fINvYwNVQPxykA1lFSJArUIWxoauBgZNRoKkJfvkAc4i8AQ7gaKDv55Gfm6pfkJ0dZOGoqAgAT3My7A%21%21/dl3/d3/L2dBISEvZ0FBIS9nQSEh/" TargetMode="External"/><Relationship Id="rId61" Type="http://schemas.openxmlformats.org/officeDocument/2006/relationships/hyperlink" Target="http://research.stlouisfed.org/fred2/graph/?id=DGS5" TargetMode="External"/><Relationship Id="rId10" Type="http://schemas.openxmlformats.org/officeDocument/2006/relationships/footer" Target="footer2.xml"/><Relationship Id="rId19" Type="http://schemas.openxmlformats.org/officeDocument/2006/relationships/hyperlink" Target="http://www.blackrockinternational.com/content/groups/internationalsite/documents/literature/etfl_globalhandbook_2012.pdf" TargetMode="External"/><Relationship Id="rId31" Type="http://schemas.openxmlformats.org/officeDocument/2006/relationships/hyperlink" Target="http://www.blackrockinternational.com/content/groups/internationalsite/documents/literature/etfl_globalhandbook_2012.pdf" TargetMode="External"/><Relationship Id="rId44" Type="http://schemas.openxmlformats.org/officeDocument/2006/relationships/chart" Target="charts/chart19.xml"/><Relationship Id="rId52" Type="http://schemas.openxmlformats.org/officeDocument/2006/relationships/hyperlink" Target="http://etfs.cz/" TargetMode="External"/><Relationship Id="rId60" Type="http://schemas.openxmlformats.org/officeDocument/2006/relationships/hyperlink" Target="http://www.xtb.cz/" TargetMode="External"/><Relationship Id="rId65"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hyperlink" Target="http://www.blackrockinternational.com/content/groups/internationalsite/documents/literature/etfl_globalhandbook_2012.pdf" TargetMode="External"/><Relationship Id="rId27" Type="http://schemas.openxmlformats.org/officeDocument/2006/relationships/chart" Target="charts/chart8.xml"/><Relationship Id="rId30" Type="http://schemas.openxmlformats.org/officeDocument/2006/relationships/chart" Target="charts/chart9.xml"/><Relationship Id="rId35" Type="http://schemas.openxmlformats.org/officeDocument/2006/relationships/hyperlink" Target="http://www.akcie.cz/kurzy-svet/indexy-svet/sp500?gclid=CK7QgOaw27wCFUjpwgodTQwAIg" TargetMode="External"/><Relationship Id="rId43" Type="http://schemas.openxmlformats.org/officeDocument/2006/relationships/chart" Target="charts/chart18.xml"/><Relationship Id="rId48" Type="http://schemas.openxmlformats.org/officeDocument/2006/relationships/hyperlink" Target="http://www.cyrrus.cz/" TargetMode="External"/><Relationship Id="rId56" Type="http://schemas.openxmlformats.org/officeDocument/2006/relationships/hyperlink" Target="http://www.proshares.com/" TargetMode="External"/><Relationship Id="rId64" Type="http://schemas.openxmlformats.org/officeDocument/2006/relationships/hyperlink" Target="http://www.csob.cz/cz/fondy/Akciove-fondy/Stranky/BE0166769266.aspx" TargetMode="External"/><Relationship Id="rId8" Type="http://schemas.openxmlformats.org/officeDocument/2006/relationships/image" Target="media/image1.wmf"/><Relationship Id="rId51" Type="http://schemas.openxmlformats.org/officeDocument/2006/relationships/hyperlink" Target="http://www.blackrockinternational.com/content/groups/internationalsite/documents/literature/etfl_globalhandbook_2012.pdf"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www.blackrockinternational.com/content/groups/internationalsite/documents/literature/etfl_globalhandbook_2012.pdf" TargetMode="External"/><Relationship Id="rId25" Type="http://schemas.openxmlformats.org/officeDocument/2006/relationships/hyperlink" Target="http://www.blackrockinternational.com/content/groups/internationalsite/documents/literature/etfl_globalhandbook_2012.pdf" TargetMode="External"/><Relationship Id="rId33" Type="http://schemas.openxmlformats.org/officeDocument/2006/relationships/hyperlink" Target="http://www.fio.cz/o-nas/dokumenty-ceniky/ceniky-sazebniky" TargetMode="External"/><Relationship Id="rId38" Type="http://schemas.openxmlformats.org/officeDocument/2006/relationships/chart" Target="charts/chart13.xml"/><Relationship Id="rId46" Type="http://schemas.openxmlformats.org/officeDocument/2006/relationships/hyperlink" Target="http://www.blackrock.com/" TargetMode="External"/><Relationship Id="rId59" Type="http://schemas.openxmlformats.org/officeDocument/2006/relationships/hyperlink" Target="http://www.ici.org/research/stats/worldwide/ww_09_13" TargetMode="External"/><Relationship Id="rId67" Type="http://schemas.openxmlformats.org/officeDocument/2006/relationships/theme" Target="theme/theme1.xml"/><Relationship Id="rId20" Type="http://schemas.openxmlformats.org/officeDocument/2006/relationships/hyperlink" Target="http://www.blackrockinternational.com/content/groups/internationalsite/documents/literature/etfl_globalhandbook_2012.pdf" TargetMode="External"/><Relationship Id="rId41" Type="http://schemas.openxmlformats.org/officeDocument/2006/relationships/chart" Target="charts/chart16.xml"/><Relationship Id="rId54" Type="http://schemas.openxmlformats.org/officeDocument/2006/relationships/hyperlink" Target="http://www.fio.cz/" TargetMode="External"/><Relationship Id="rId6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www.blackrockinternational.com/content/groups/internationalsite/documents/literature/etfl_globalhandbook_2012.pdf" TargetMode="External"/><Relationship Id="rId13" Type="http://schemas.openxmlformats.org/officeDocument/2006/relationships/hyperlink" Target="http://www.fio.cz/o-nas/fio-banka/o-fio" TargetMode="External"/><Relationship Id="rId3" Type="http://schemas.openxmlformats.org/officeDocument/2006/relationships/hyperlink" Target="http://www.blackrocklatam.com/content/groups/internationalsite/documents/literature/etfl_industryhilight_dec13.pdf" TargetMode="External"/><Relationship Id="rId7" Type="http://schemas.openxmlformats.org/officeDocument/2006/relationships/hyperlink" Target="http://www.dbxus.com/about-us/who-we-are" TargetMode="External"/><Relationship Id="rId12" Type="http://schemas.openxmlformats.org/officeDocument/2006/relationships/hyperlink" Target="http://www.xtb.cz/o-xtb/o-spolecnosti" TargetMode="External"/><Relationship Id="rId17" Type="http://schemas.openxmlformats.org/officeDocument/2006/relationships/hyperlink" Target="http://www.forbes.com/sites/feeonlyplanner/2013/07/18/whats-the-difference-mutual-funds-and-exchange-traded-funds-explained/" TargetMode="External"/><Relationship Id="rId2" Type="http://schemas.openxmlformats.org/officeDocument/2006/relationships/hyperlink" Target="http://www.blackrock.com/corporate/en-us/about-us/blackrock-history" TargetMode="External"/><Relationship Id="rId16" Type="http://schemas.openxmlformats.org/officeDocument/2006/relationships/hyperlink" Target="http://www.proshares.com/funds/prospectus.html?ticker=SDS" TargetMode="External"/><Relationship Id="rId1" Type="http://schemas.openxmlformats.org/officeDocument/2006/relationships/hyperlink" Target="http://www.blackrock.com/corporate/en-us/about-us" TargetMode="External"/><Relationship Id="rId6" Type="http://schemas.openxmlformats.org/officeDocument/2006/relationships/hyperlink" Target="http://www.blackrocklatam.com/content/groups/internationalsite/documents/literature/etfl_industryhilight_dec13.pdf" TargetMode="External"/><Relationship Id="rId11" Type="http://schemas.openxmlformats.org/officeDocument/2006/relationships/hyperlink" Target="http://www.slideshare.net/mesec/cyrrus-cenk-slueb" TargetMode="External"/><Relationship Id="rId5" Type="http://schemas.openxmlformats.org/officeDocument/2006/relationships/hyperlink" Target="http://www.statestreet.com/wps/wcm/connect/2fb29e004d64555eba21bf4329901229/14-21502_StrongFinancial_FIN.pdf?MOD=AJPERES&amp;CONVERT_TO=url&amp;CACHEID=2fb29e004d64555eba21bf4329901229" TargetMode="External"/><Relationship Id="rId15" Type="http://schemas.openxmlformats.org/officeDocument/2006/relationships/hyperlink" Target="https://multimediafiles.kbcgroup.eu/ng/feed/am/funds/FU/FU_BF009_EN.pdf" TargetMode="External"/><Relationship Id="rId10" Type="http://schemas.openxmlformats.org/officeDocument/2006/relationships/hyperlink" Target="http://www.cyrrus.cz/cyrrus/o-spolecnosti" TargetMode="External"/><Relationship Id="rId4" Type="http://schemas.openxmlformats.org/officeDocument/2006/relationships/hyperlink" Target="http://www.statestreet.com/wps/wcm/connect/0f1584004d796f7fa8f9bf4329901229/14-21501_STT_Advantage_FIN.pdf?MOD=AJPERES&amp;CONVERT_TO=url&amp;CACHEID=0f1584004d796f7fa8f9bf4329901229" TargetMode="External"/><Relationship Id="rId9" Type="http://schemas.openxmlformats.org/officeDocument/2006/relationships/hyperlink" Target="http://www.cyrrus.cz/cyrrus/historie" TargetMode="External"/><Relationship Id="rId14" Type="http://schemas.openxmlformats.org/officeDocument/2006/relationships/hyperlink" Target="http://www.fio.cz/o-nas/fio-banka/histori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aplikac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aplikac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aplikac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aplikac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aplikac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DTminipc\Local%20Settings\Temp\SP500.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DTminipc\Plocha\DP\kurzy_podilovy_fon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DTminipc\Plocha\DP\SP500\sp_data.xls" TargetMode="External"/></Relationships>
</file>

<file path=word/charts/_rels/chart14.xml.rels><?xml version="1.0" encoding="UTF-8" standalone="yes"?>
<Relationships xmlns="http://schemas.openxmlformats.org/package/2006/relationships"><Relationship Id="rId1" Type="http://schemas.openxmlformats.org/officeDocument/2006/relationships/package" Target="../embeddings/List_aplikace_Microsoft_Office_Excel10.xlsx"/></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DTminipc\Plocha\DP\SSO\Nov&#253;%20objekt%20-%20List%20aplikace%20Microsoft%20Office%20Excel.xlsx"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List_aplikace_Microsoft_Office_Excel11.xlsx"/></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DTminipc\Plocha\DP\SDS\SDS.xlsx" TargetMode="External"/></Relationships>
</file>

<file path=word/charts/_rels/chart18.xml.rels><?xml version="1.0" encoding="UTF-8" standalone="yes"?>
<Relationships xmlns="http://schemas.openxmlformats.org/package/2006/relationships"><Relationship Id="rId1" Type="http://schemas.openxmlformats.org/officeDocument/2006/relationships/package" Target="../embeddings/List_aplikace_Microsoft_Office_Excel12.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List_aplikace_Microsoft_Office_Excel13.xlsx"/></Relationships>
</file>

<file path=word/charts/_rels/chart20.xml.rels><?xml version="1.0" encoding="UTF-8" standalone="yes"?>
<Relationships xmlns="http://schemas.openxmlformats.org/package/2006/relationships"><Relationship Id="rId1" Type="http://schemas.openxmlformats.org/officeDocument/2006/relationships/oleObject" Target="file:///C:\Documents%20and%20Settings\DTminipc\Local%20Settings\Temp\BE0166769266_03012000_15042014.csv"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Documents%20and%20Settings\DTminipc\Local%20Settings\Temp\spy_historie200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chart>
    <c:autoTitleDeleted val="1"/>
    <c:plotArea>
      <c:layout/>
      <c:lineChart>
        <c:grouping val="standard"/>
        <c:ser>
          <c:idx val="0"/>
          <c:order val="0"/>
          <c:tx>
            <c:strRef>
              <c:f>List1!$B$1</c:f>
              <c:strCache>
                <c:ptCount val="1"/>
                <c:pt idx="0">
                  <c:v>počet ETP</c:v>
                </c:pt>
              </c:strCache>
            </c:strRef>
          </c:tx>
          <c:marker>
            <c:symbol val="none"/>
          </c:marker>
          <c:dLbls>
            <c:dLblPos val="ctr"/>
            <c:showVal val="1"/>
          </c:dLbls>
          <c:cat>
            <c:numRef>
              <c:f>List1!$A$2:$A$15</c:f>
              <c:numCache>
                <c:formatCode>General</c:formatCod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numCache>
            </c:numRef>
          </c:cat>
          <c:val>
            <c:numRef>
              <c:f>List1!$B$2:$B$15</c:f>
              <c:numCache>
                <c:formatCode>General</c:formatCode>
                <c:ptCount val="14"/>
                <c:pt idx="0">
                  <c:v>106</c:v>
                </c:pt>
                <c:pt idx="1">
                  <c:v>219</c:v>
                </c:pt>
                <c:pt idx="2">
                  <c:v>297</c:v>
                </c:pt>
                <c:pt idx="3">
                  <c:v>300</c:v>
                </c:pt>
                <c:pt idx="4">
                  <c:v>357</c:v>
                </c:pt>
                <c:pt idx="5">
                  <c:v>524</c:v>
                </c:pt>
                <c:pt idx="6">
                  <c:v>883</c:v>
                </c:pt>
                <c:pt idx="7">
                  <c:v>1541</c:v>
                </c:pt>
                <c:pt idx="8">
                  <c:v>2220</c:v>
                </c:pt>
                <c:pt idx="9">
                  <c:v>2694</c:v>
                </c:pt>
                <c:pt idx="10">
                  <c:v>3543</c:v>
                </c:pt>
                <c:pt idx="11">
                  <c:v>4311</c:v>
                </c:pt>
                <c:pt idx="12">
                  <c:v>4749</c:v>
                </c:pt>
                <c:pt idx="13">
                  <c:v>4988</c:v>
                </c:pt>
              </c:numCache>
            </c:numRef>
          </c:val>
        </c:ser>
        <c:dLbls>
          <c:showVal val="1"/>
        </c:dLbls>
        <c:marker val="1"/>
        <c:axId val="82174720"/>
        <c:axId val="82198912"/>
      </c:lineChart>
      <c:catAx>
        <c:axId val="82174720"/>
        <c:scaling>
          <c:orientation val="minMax"/>
        </c:scaling>
        <c:axPos val="b"/>
        <c:numFmt formatCode="General" sourceLinked="1"/>
        <c:tickLblPos val="nextTo"/>
        <c:crossAx val="82198912"/>
        <c:crosses val="autoZero"/>
        <c:auto val="1"/>
        <c:lblAlgn val="ctr"/>
        <c:lblOffset val="100"/>
      </c:catAx>
      <c:valAx>
        <c:axId val="82198912"/>
        <c:scaling>
          <c:orientation val="minMax"/>
        </c:scaling>
        <c:axPos val="l"/>
        <c:majorGridlines/>
        <c:numFmt formatCode="General" sourceLinked="1"/>
        <c:tickLblPos val="nextTo"/>
        <c:crossAx val="82174720"/>
        <c:crosses val="autoZero"/>
        <c:crossBetween val="between"/>
      </c:valAx>
      <c:spPr>
        <a:noFill/>
        <a:ln w="25400">
          <a:noFill/>
        </a:ln>
      </c:spPr>
    </c:plotArea>
    <c:legend>
      <c:legendPos val="b"/>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cs-CZ"/>
  <c:style val="3"/>
  <c:chart>
    <c:plotArea>
      <c:layout>
        <c:manualLayout>
          <c:layoutTarget val="inner"/>
          <c:xMode val="edge"/>
          <c:yMode val="edge"/>
          <c:x val="6.7814885405947323E-2"/>
          <c:y val="2.321673838706247E-2"/>
          <c:w val="0.89724680255125333"/>
          <c:h val="0.77083094306954181"/>
        </c:manualLayout>
      </c:layout>
      <c:barChart>
        <c:barDir val="col"/>
        <c:grouping val="clustered"/>
        <c:ser>
          <c:idx val="0"/>
          <c:order val="0"/>
          <c:tx>
            <c:strRef>
              <c:f>List1!$B$1</c:f>
              <c:strCache>
                <c:ptCount val="1"/>
                <c:pt idx="0">
                  <c:v>ETP Evropa</c:v>
                </c:pt>
              </c:strCache>
            </c:strRef>
          </c:tx>
          <c:cat>
            <c:numRef>
              <c:f>List1!$A$2:$A$15</c:f>
              <c:numCache>
                <c:formatCode>General</c:formatCod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numCache>
            </c:numRef>
          </c:cat>
          <c:val>
            <c:numRef>
              <c:f>List1!$B$2:$B$15</c:f>
              <c:numCache>
                <c:formatCode>General</c:formatCode>
                <c:ptCount val="14"/>
                <c:pt idx="0">
                  <c:v>6</c:v>
                </c:pt>
                <c:pt idx="1">
                  <c:v>71</c:v>
                </c:pt>
                <c:pt idx="2">
                  <c:v>118</c:v>
                </c:pt>
                <c:pt idx="3">
                  <c:v>104</c:v>
                </c:pt>
                <c:pt idx="4">
                  <c:v>115</c:v>
                </c:pt>
                <c:pt idx="5">
                  <c:v>167</c:v>
                </c:pt>
                <c:pt idx="6">
                  <c:v>305</c:v>
                </c:pt>
                <c:pt idx="7">
                  <c:v>503</c:v>
                </c:pt>
                <c:pt idx="8">
                  <c:v>854</c:v>
                </c:pt>
                <c:pt idx="9">
                  <c:v>1108</c:v>
                </c:pt>
                <c:pt idx="10">
                  <c:v>1593</c:v>
                </c:pt>
                <c:pt idx="11">
                  <c:v>1893</c:v>
                </c:pt>
                <c:pt idx="12">
                  <c:v>2105</c:v>
                </c:pt>
                <c:pt idx="13">
                  <c:v>2130</c:v>
                </c:pt>
              </c:numCache>
            </c:numRef>
          </c:val>
        </c:ser>
        <c:ser>
          <c:idx val="1"/>
          <c:order val="1"/>
          <c:tx>
            <c:strRef>
              <c:f>List1!$C$1</c:f>
              <c:strCache>
                <c:ptCount val="1"/>
                <c:pt idx="0">
                  <c:v>ETP US</c:v>
                </c:pt>
              </c:strCache>
            </c:strRef>
          </c:tx>
          <c:cat>
            <c:numRef>
              <c:f>List1!$A$2:$A$15</c:f>
              <c:numCache>
                <c:formatCode>General</c:formatCod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numCache>
            </c:numRef>
          </c:cat>
          <c:val>
            <c:numRef>
              <c:f>List1!$C$2:$C$15</c:f>
              <c:numCache>
                <c:formatCode>General</c:formatCode>
                <c:ptCount val="14"/>
                <c:pt idx="0">
                  <c:v>95</c:v>
                </c:pt>
                <c:pt idx="1">
                  <c:v>118</c:v>
                </c:pt>
                <c:pt idx="2">
                  <c:v>130</c:v>
                </c:pt>
                <c:pt idx="3">
                  <c:v>134</c:v>
                </c:pt>
                <c:pt idx="4">
                  <c:v>169</c:v>
                </c:pt>
                <c:pt idx="5">
                  <c:v>221</c:v>
                </c:pt>
                <c:pt idx="6">
                  <c:v>381</c:v>
                </c:pt>
                <c:pt idx="7">
                  <c:v>673</c:v>
                </c:pt>
                <c:pt idx="8">
                  <c:v>844</c:v>
                </c:pt>
                <c:pt idx="9">
                  <c:v>925</c:v>
                </c:pt>
                <c:pt idx="10">
                  <c:v>1099</c:v>
                </c:pt>
                <c:pt idx="11">
                  <c:v>1370</c:v>
                </c:pt>
                <c:pt idx="12">
                  <c:v>1445</c:v>
                </c:pt>
                <c:pt idx="13">
                  <c:v>1536</c:v>
                </c:pt>
              </c:numCache>
            </c:numRef>
          </c:val>
        </c:ser>
        <c:dLbls>
          <c:showVal val="1"/>
        </c:dLbls>
        <c:axId val="170726144"/>
        <c:axId val="170728064"/>
      </c:barChart>
      <c:catAx>
        <c:axId val="170726144"/>
        <c:scaling>
          <c:orientation val="minMax"/>
        </c:scaling>
        <c:axPos val="b"/>
        <c:numFmt formatCode="General" sourceLinked="1"/>
        <c:tickLblPos val="nextTo"/>
        <c:crossAx val="170728064"/>
        <c:crosses val="autoZero"/>
        <c:auto val="1"/>
        <c:lblAlgn val="ctr"/>
        <c:lblOffset val="100"/>
      </c:catAx>
      <c:valAx>
        <c:axId val="170728064"/>
        <c:scaling>
          <c:orientation val="minMax"/>
        </c:scaling>
        <c:axPos val="l"/>
        <c:majorGridlines/>
        <c:numFmt formatCode="General" sourceLinked="1"/>
        <c:tickLblPos val="nextTo"/>
        <c:crossAx val="170726144"/>
        <c:crosses val="autoZero"/>
        <c:crossBetween val="between"/>
      </c:valAx>
    </c:plotArea>
    <c:legend>
      <c:legendPos val="b"/>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Percent val="1"/>
            <c:showLeaderLines val="1"/>
          </c:dLbls>
          <c:cat>
            <c:strRef>
              <c:f>'List1'!$A$2:$A$6</c:f>
              <c:strCache>
                <c:ptCount val="5"/>
                <c:pt idx="0">
                  <c:v>Peněžní trh</c:v>
                </c:pt>
                <c:pt idx="1">
                  <c:v>Akcie</c:v>
                </c:pt>
                <c:pt idx="2">
                  <c:v>Dluhopisy</c:v>
                </c:pt>
                <c:pt idx="3">
                  <c:v>Smíšený</c:v>
                </c:pt>
                <c:pt idx="4">
                  <c:v>Ostatní</c:v>
                </c:pt>
              </c:strCache>
            </c:strRef>
          </c:cat>
          <c:val>
            <c:numRef>
              <c:f>'List1'!$B$2:$B$6</c:f>
              <c:numCache>
                <c:formatCode>General</c:formatCode>
                <c:ptCount val="5"/>
                <c:pt idx="0">
                  <c:v>4</c:v>
                </c:pt>
                <c:pt idx="1">
                  <c:v>37</c:v>
                </c:pt>
                <c:pt idx="2">
                  <c:v>18</c:v>
                </c:pt>
                <c:pt idx="3">
                  <c:v>24</c:v>
                </c:pt>
                <c:pt idx="4">
                  <c:v>17</c:v>
                </c:pt>
              </c:numCache>
            </c:numRef>
          </c:val>
        </c:ser>
        <c:dLbls>
          <c:showPercent val="1"/>
        </c:dLbls>
        <c:firstSliceAng val="0"/>
      </c:pieChart>
    </c:plotArea>
    <c:legend>
      <c:legendPos val="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Percent val="1"/>
            <c:showLeaderLines val="1"/>
          </c:dLbls>
          <c:cat>
            <c:strRef>
              <c:f>'List1'!$A$2:$A$6</c:f>
              <c:strCache>
                <c:ptCount val="5"/>
                <c:pt idx="0">
                  <c:v>Akcie</c:v>
                </c:pt>
                <c:pt idx="1">
                  <c:v>Dluhopisy</c:v>
                </c:pt>
                <c:pt idx="2">
                  <c:v>Komodity</c:v>
                </c:pt>
                <c:pt idx="3">
                  <c:v>Měna</c:v>
                </c:pt>
                <c:pt idx="4">
                  <c:v>Ostatní</c:v>
                </c:pt>
              </c:strCache>
            </c:strRef>
          </c:cat>
          <c:val>
            <c:numRef>
              <c:f>'List1'!$B$2:$B$6</c:f>
              <c:numCache>
                <c:formatCode>General</c:formatCode>
                <c:ptCount val="5"/>
                <c:pt idx="0">
                  <c:v>54.1</c:v>
                </c:pt>
                <c:pt idx="1">
                  <c:v>14</c:v>
                </c:pt>
                <c:pt idx="2">
                  <c:v>17.7</c:v>
                </c:pt>
                <c:pt idx="3">
                  <c:v>2.6</c:v>
                </c:pt>
                <c:pt idx="4">
                  <c:v>11.6</c:v>
                </c:pt>
              </c:numCache>
            </c:numRef>
          </c:val>
        </c:ser>
        <c:dLbls>
          <c:showPercent val="1"/>
        </c:dLbls>
        <c:firstSliceAng val="0"/>
      </c:pieChart>
    </c:plotArea>
    <c:legend>
      <c:legendPos val="r"/>
    </c:legend>
    <c:plotVisOnly val="1"/>
    <c:dispBlanksAs val="zero"/>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Val val="1"/>
            <c:showCatName val="1"/>
            <c:showLeaderLines val="1"/>
          </c:dLbls>
          <c:cat>
            <c:strRef>
              <c:f>List1!$A$2:$A$7</c:f>
              <c:strCache>
                <c:ptCount val="6"/>
                <c:pt idx="0">
                  <c:v>Americké akcie</c:v>
                </c:pt>
                <c:pt idx="1">
                  <c:v>Ostatní akcie rozvinutých trhů</c:v>
                </c:pt>
                <c:pt idx="2">
                  <c:v>Akcie Emerging markets</c:v>
                </c:pt>
                <c:pt idx="3">
                  <c:v>Dluhopisy</c:v>
                </c:pt>
                <c:pt idx="4">
                  <c:v>Komodity</c:v>
                </c:pt>
                <c:pt idx="5">
                  <c:v>Ostatní</c:v>
                </c:pt>
              </c:strCache>
            </c:strRef>
          </c:cat>
          <c:val>
            <c:numRef>
              <c:f>List1!$B$2:$B$7</c:f>
              <c:numCache>
                <c:formatCode>General</c:formatCode>
                <c:ptCount val="6"/>
                <c:pt idx="0">
                  <c:v>48.6</c:v>
                </c:pt>
                <c:pt idx="1">
                  <c:v>12.1</c:v>
                </c:pt>
                <c:pt idx="2">
                  <c:v>10.7</c:v>
                </c:pt>
                <c:pt idx="3">
                  <c:v>17.899999999999999</c:v>
                </c:pt>
                <c:pt idx="4">
                  <c:v>9.7000000000000011</c:v>
                </c:pt>
                <c:pt idx="5">
                  <c:v>0.9</c:v>
                </c:pt>
              </c:numCache>
            </c:numRef>
          </c:val>
        </c:ser>
        <c:dLbls>
          <c:showVal val="1"/>
          <c:showCatName val="1"/>
        </c:dLbls>
        <c:firstSliceAng val="0"/>
      </c:pieChart>
    </c:plotArea>
    <c:plotVisOnly val="1"/>
    <c:dispBlanksAs val="zero"/>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Val val="1"/>
            <c:showCatName val="1"/>
            <c:showLeaderLines val="1"/>
          </c:dLbls>
          <c:cat>
            <c:strRef>
              <c:f>List1!$A$2:$A$8</c:f>
              <c:strCache>
                <c:ptCount val="7"/>
                <c:pt idx="0">
                  <c:v>Evropské akcie</c:v>
                </c:pt>
                <c:pt idx="1">
                  <c:v>Akcie severní ameriky</c:v>
                </c:pt>
                <c:pt idx="2">
                  <c:v>Ostatní akcie rozvinutých trhů</c:v>
                </c:pt>
                <c:pt idx="3">
                  <c:v>Akcie emerging markets</c:v>
                </c:pt>
                <c:pt idx="4">
                  <c:v>Dluhopisy</c:v>
                </c:pt>
                <c:pt idx="5">
                  <c:v>Komodity</c:v>
                </c:pt>
                <c:pt idx="6">
                  <c:v>Ostatní</c:v>
                </c:pt>
              </c:strCache>
            </c:strRef>
          </c:cat>
          <c:val>
            <c:numRef>
              <c:f>List1!$B$2:$B$8</c:f>
              <c:numCache>
                <c:formatCode>General</c:formatCode>
                <c:ptCount val="7"/>
                <c:pt idx="0">
                  <c:v>33.1</c:v>
                </c:pt>
                <c:pt idx="1">
                  <c:v>8.9</c:v>
                </c:pt>
                <c:pt idx="2">
                  <c:v>8.3000000000000007</c:v>
                </c:pt>
                <c:pt idx="3">
                  <c:v>9.3000000000000007</c:v>
                </c:pt>
                <c:pt idx="4">
                  <c:v>18.5</c:v>
                </c:pt>
                <c:pt idx="5">
                  <c:v>21.3</c:v>
                </c:pt>
                <c:pt idx="6">
                  <c:v>0.70000000000000062</c:v>
                </c:pt>
              </c:numCache>
            </c:numRef>
          </c:val>
        </c:ser>
        <c:dLbls>
          <c:showVal val="1"/>
          <c:showCatName val="1"/>
        </c:dLbls>
        <c:firstSliceAng val="0"/>
      </c:pieChart>
    </c:plotArea>
    <c:plotVisOnly val="1"/>
    <c:dispBlanksAs val="zero"/>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Val val="1"/>
            <c:showCatName val="1"/>
            <c:showLeaderLines val="1"/>
          </c:dLbls>
          <c:cat>
            <c:strRef>
              <c:f>List1!$A$2:$A$7</c:f>
              <c:strCache>
                <c:ptCount val="6"/>
                <c:pt idx="0">
                  <c:v>Kanadské akcie</c:v>
                </c:pt>
                <c:pt idx="1">
                  <c:v>Ostatní akcie rozvinutých trhů</c:v>
                </c:pt>
                <c:pt idx="2">
                  <c:v>Akcie emerging markets</c:v>
                </c:pt>
                <c:pt idx="3">
                  <c:v>Dluhopisy</c:v>
                </c:pt>
                <c:pt idx="4">
                  <c:v>Komodity</c:v>
                </c:pt>
                <c:pt idx="5">
                  <c:v>Ostatní</c:v>
                </c:pt>
              </c:strCache>
            </c:strRef>
          </c:cat>
          <c:val>
            <c:numRef>
              <c:f>List1!$B$2:$B$7</c:f>
              <c:numCache>
                <c:formatCode>General</c:formatCode>
                <c:ptCount val="6"/>
                <c:pt idx="0">
                  <c:v>49.5</c:v>
                </c:pt>
                <c:pt idx="1">
                  <c:v>13.3</c:v>
                </c:pt>
                <c:pt idx="2">
                  <c:v>1.4</c:v>
                </c:pt>
                <c:pt idx="3">
                  <c:v>32.1</c:v>
                </c:pt>
                <c:pt idx="4">
                  <c:v>3.1</c:v>
                </c:pt>
                <c:pt idx="5">
                  <c:v>0.70000000000000062</c:v>
                </c:pt>
              </c:numCache>
            </c:numRef>
          </c:val>
        </c:ser>
        <c:dLbls>
          <c:showVal val="1"/>
          <c:showCatName val="1"/>
        </c:dLbls>
        <c:firstSliceAng val="0"/>
      </c:pieChart>
    </c:plotArea>
    <c:plotVisOnly val="1"/>
    <c:dispBlanksAs val="zero"/>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Val val="1"/>
            <c:showCatName val="1"/>
            <c:showLeaderLines val="1"/>
          </c:dLbls>
          <c:cat>
            <c:strRef>
              <c:f>List1!$A$2:$A$5</c:f>
              <c:strCache>
                <c:ptCount val="4"/>
                <c:pt idx="0">
                  <c:v>Mexické akcie</c:v>
                </c:pt>
                <c:pt idx="1">
                  <c:v>Brazilské akcie</c:v>
                </c:pt>
                <c:pt idx="2">
                  <c:v>Akcie emerging markets</c:v>
                </c:pt>
                <c:pt idx="3">
                  <c:v>Dluhopisy</c:v>
                </c:pt>
              </c:strCache>
            </c:strRef>
          </c:cat>
          <c:val>
            <c:numRef>
              <c:f>List1!$B$2:$B$5</c:f>
              <c:numCache>
                <c:formatCode>General</c:formatCode>
                <c:ptCount val="4"/>
                <c:pt idx="0">
                  <c:v>68.400000000000006</c:v>
                </c:pt>
                <c:pt idx="1">
                  <c:v>19.100000000000001</c:v>
                </c:pt>
                <c:pt idx="2">
                  <c:v>9.1</c:v>
                </c:pt>
                <c:pt idx="3">
                  <c:v>3.4</c:v>
                </c:pt>
              </c:numCache>
            </c:numRef>
          </c:val>
        </c:ser>
        <c:dLbls>
          <c:showVal val="1"/>
          <c:showCatName val="1"/>
        </c:dLbls>
        <c:firstSliceAng val="0"/>
      </c:pieChart>
    </c:plotArea>
    <c:plotVisOnly val="1"/>
    <c:dispBlanksAs val="zero"/>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cs-CZ"/>
  <c:style val="3"/>
  <c:chart>
    <c:autoTitleDeleted val="1"/>
    <c:plotArea>
      <c:layout/>
      <c:pieChart>
        <c:varyColors val="1"/>
        <c:ser>
          <c:idx val="0"/>
          <c:order val="0"/>
          <c:tx>
            <c:strRef>
              <c:f>List1!$B$1</c:f>
              <c:strCache>
                <c:ptCount val="1"/>
                <c:pt idx="0">
                  <c:v>Sloupec1</c:v>
                </c:pt>
              </c:strCache>
            </c:strRef>
          </c:tx>
          <c:dLbls>
            <c:showVal val="1"/>
            <c:showCatName val="1"/>
            <c:showLeaderLines val="1"/>
          </c:dLbls>
          <c:cat>
            <c:strRef>
              <c:f>List1!$A$2:$A$9</c:f>
              <c:strCache>
                <c:ptCount val="8"/>
                <c:pt idx="0">
                  <c:v>Japonské akcie</c:v>
                </c:pt>
                <c:pt idx="1">
                  <c:v>Ostatní akcie rozvinutých trhů</c:v>
                </c:pt>
                <c:pt idx="2">
                  <c:v>Akcie Jižní Korea</c:v>
                </c:pt>
                <c:pt idx="3">
                  <c:v>Čínské akcie</c:v>
                </c:pt>
                <c:pt idx="4">
                  <c:v>Akcie emerging markets</c:v>
                </c:pt>
                <c:pt idx="5">
                  <c:v>Dluhopisy</c:v>
                </c:pt>
                <c:pt idx="6">
                  <c:v>Komodity</c:v>
                </c:pt>
                <c:pt idx="7">
                  <c:v>Ostatní</c:v>
                </c:pt>
              </c:strCache>
            </c:strRef>
          </c:cat>
          <c:val>
            <c:numRef>
              <c:f>List1!$B$2:$B$9</c:f>
              <c:numCache>
                <c:formatCode>General</c:formatCode>
                <c:ptCount val="8"/>
                <c:pt idx="0">
                  <c:v>37.1</c:v>
                </c:pt>
                <c:pt idx="1">
                  <c:v>14</c:v>
                </c:pt>
                <c:pt idx="2">
                  <c:v>9.2000000000000011</c:v>
                </c:pt>
                <c:pt idx="3">
                  <c:v>28</c:v>
                </c:pt>
                <c:pt idx="4">
                  <c:v>4.7</c:v>
                </c:pt>
                <c:pt idx="5">
                  <c:v>5.4</c:v>
                </c:pt>
                <c:pt idx="6">
                  <c:v>1.5</c:v>
                </c:pt>
                <c:pt idx="7">
                  <c:v>0.2</c:v>
                </c:pt>
              </c:numCache>
            </c:numRef>
          </c:val>
        </c:ser>
        <c:dLbls>
          <c:showVal val="1"/>
          <c:showCatName val="1"/>
        </c:dLbls>
        <c:firstSliceAng val="0"/>
      </c:pieChart>
    </c:plotArea>
    <c:plotVisOnly val="1"/>
    <c:dispBlanksAs val="zero"/>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marker>
            <c:symbol val="none"/>
          </c:marker>
          <c:cat>
            <c:numRef>
              <c:f>'SP500'!$A$279:$A$1583</c:f>
              <c:numCache>
                <c:formatCode>yyyy\-mm\-dd</c:formatCode>
                <c:ptCount val="1305"/>
                <c:pt idx="0">
                  <c:v>39813</c:v>
                </c:pt>
                <c:pt idx="1">
                  <c:v>39814</c:v>
                </c:pt>
                <c:pt idx="2">
                  <c:v>39815</c:v>
                </c:pt>
                <c:pt idx="3">
                  <c:v>39818</c:v>
                </c:pt>
                <c:pt idx="4">
                  <c:v>39819</c:v>
                </c:pt>
                <c:pt idx="5">
                  <c:v>39820</c:v>
                </c:pt>
                <c:pt idx="6">
                  <c:v>39821</c:v>
                </c:pt>
                <c:pt idx="7">
                  <c:v>39822</c:v>
                </c:pt>
                <c:pt idx="8">
                  <c:v>39825</c:v>
                </c:pt>
                <c:pt idx="9">
                  <c:v>39826</c:v>
                </c:pt>
                <c:pt idx="10">
                  <c:v>39827</c:v>
                </c:pt>
                <c:pt idx="11">
                  <c:v>39828</c:v>
                </c:pt>
                <c:pt idx="12">
                  <c:v>39829</c:v>
                </c:pt>
                <c:pt idx="13">
                  <c:v>39832</c:v>
                </c:pt>
                <c:pt idx="14">
                  <c:v>39833</c:v>
                </c:pt>
                <c:pt idx="15">
                  <c:v>39834</c:v>
                </c:pt>
                <c:pt idx="16">
                  <c:v>39835</c:v>
                </c:pt>
                <c:pt idx="17">
                  <c:v>39836</c:v>
                </c:pt>
                <c:pt idx="18">
                  <c:v>39839</c:v>
                </c:pt>
                <c:pt idx="19">
                  <c:v>39840</c:v>
                </c:pt>
                <c:pt idx="20">
                  <c:v>39841</c:v>
                </c:pt>
                <c:pt idx="21">
                  <c:v>39842</c:v>
                </c:pt>
                <c:pt idx="22">
                  <c:v>39843</c:v>
                </c:pt>
                <c:pt idx="23">
                  <c:v>39846</c:v>
                </c:pt>
                <c:pt idx="24">
                  <c:v>39847</c:v>
                </c:pt>
                <c:pt idx="25">
                  <c:v>39848</c:v>
                </c:pt>
                <c:pt idx="26">
                  <c:v>39849</c:v>
                </c:pt>
                <c:pt idx="27">
                  <c:v>39850</c:v>
                </c:pt>
                <c:pt idx="28">
                  <c:v>39853</c:v>
                </c:pt>
                <c:pt idx="29">
                  <c:v>39854</c:v>
                </c:pt>
                <c:pt idx="30">
                  <c:v>39855</c:v>
                </c:pt>
                <c:pt idx="31">
                  <c:v>39856</c:v>
                </c:pt>
                <c:pt idx="32">
                  <c:v>39857</c:v>
                </c:pt>
                <c:pt idx="33">
                  <c:v>39860</c:v>
                </c:pt>
                <c:pt idx="34">
                  <c:v>39861</c:v>
                </c:pt>
                <c:pt idx="35">
                  <c:v>39862</c:v>
                </c:pt>
                <c:pt idx="36">
                  <c:v>39863</c:v>
                </c:pt>
                <c:pt idx="37">
                  <c:v>39864</c:v>
                </c:pt>
                <c:pt idx="38">
                  <c:v>39867</c:v>
                </c:pt>
                <c:pt idx="39">
                  <c:v>39868</c:v>
                </c:pt>
                <c:pt idx="40">
                  <c:v>39869</c:v>
                </c:pt>
                <c:pt idx="41">
                  <c:v>39870</c:v>
                </c:pt>
                <c:pt idx="42">
                  <c:v>39871</c:v>
                </c:pt>
                <c:pt idx="43">
                  <c:v>39874</c:v>
                </c:pt>
                <c:pt idx="44">
                  <c:v>39875</c:v>
                </c:pt>
                <c:pt idx="45">
                  <c:v>39876</c:v>
                </c:pt>
                <c:pt idx="46">
                  <c:v>39877</c:v>
                </c:pt>
                <c:pt idx="47">
                  <c:v>39878</c:v>
                </c:pt>
                <c:pt idx="48">
                  <c:v>39881</c:v>
                </c:pt>
                <c:pt idx="49">
                  <c:v>39882</c:v>
                </c:pt>
                <c:pt idx="50">
                  <c:v>39883</c:v>
                </c:pt>
                <c:pt idx="51">
                  <c:v>39884</c:v>
                </c:pt>
                <c:pt idx="52">
                  <c:v>39885</c:v>
                </c:pt>
                <c:pt idx="53">
                  <c:v>39888</c:v>
                </c:pt>
                <c:pt idx="54">
                  <c:v>39889</c:v>
                </c:pt>
                <c:pt idx="55">
                  <c:v>39890</c:v>
                </c:pt>
                <c:pt idx="56">
                  <c:v>39891</c:v>
                </c:pt>
                <c:pt idx="57">
                  <c:v>39892</c:v>
                </c:pt>
                <c:pt idx="58">
                  <c:v>39895</c:v>
                </c:pt>
                <c:pt idx="59">
                  <c:v>39896</c:v>
                </c:pt>
                <c:pt idx="60">
                  <c:v>39897</c:v>
                </c:pt>
                <c:pt idx="61">
                  <c:v>39898</c:v>
                </c:pt>
                <c:pt idx="62">
                  <c:v>39899</c:v>
                </c:pt>
                <c:pt idx="63">
                  <c:v>39902</c:v>
                </c:pt>
                <c:pt idx="64">
                  <c:v>39903</c:v>
                </c:pt>
                <c:pt idx="65">
                  <c:v>39904</c:v>
                </c:pt>
                <c:pt idx="66">
                  <c:v>39905</c:v>
                </c:pt>
                <c:pt idx="67">
                  <c:v>39906</c:v>
                </c:pt>
                <c:pt idx="68">
                  <c:v>39909</c:v>
                </c:pt>
                <c:pt idx="69">
                  <c:v>39910</c:v>
                </c:pt>
                <c:pt idx="70">
                  <c:v>39911</c:v>
                </c:pt>
                <c:pt idx="71">
                  <c:v>39912</c:v>
                </c:pt>
                <c:pt idx="72">
                  <c:v>39913</c:v>
                </c:pt>
                <c:pt idx="73">
                  <c:v>39916</c:v>
                </c:pt>
                <c:pt idx="74">
                  <c:v>39917</c:v>
                </c:pt>
                <c:pt idx="75">
                  <c:v>39918</c:v>
                </c:pt>
                <c:pt idx="76">
                  <c:v>39919</c:v>
                </c:pt>
                <c:pt idx="77">
                  <c:v>39920</c:v>
                </c:pt>
                <c:pt idx="78">
                  <c:v>39923</c:v>
                </c:pt>
                <c:pt idx="79">
                  <c:v>39924</c:v>
                </c:pt>
                <c:pt idx="80">
                  <c:v>39925</c:v>
                </c:pt>
                <c:pt idx="81">
                  <c:v>39926</c:v>
                </c:pt>
                <c:pt idx="82">
                  <c:v>39927</c:v>
                </c:pt>
                <c:pt idx="83">
                  <c:v>39930</c:v>
                </c:pt>
                <c:pt idx="84">
                  <c:v>39931</c:v>
                </c:pt>
                <c:pt idx="85">
                  <c:v>39932</c:v>
                </c:pt>
                <c:pt idx="86">
                  <c:v>39933</c:v>
                </c:pt>
                <c:pt idx="87">
                  <c:v>39934</c:v>
                </c:pt>
                <c:pt idx="88">
                  <c:v>39937</c:v>
                </c:pt>
                <c:pt idx="89">
                  <c:v>39938</c:v>
                </c:pt>
                <c:pt idx="90">
                  <c:v>39939</c:v>
                </c:pt>
                <c:pt idx="91">
                  <c:v>39940</c:v>
                </c:pt>
                <c:pt idx="92">
                  <c:v>39941</c:v>
                </c:pt>
                <c:pt idx="93">
                  <c:v>39944</c:v>
                </c:pt>
                <c:pt idx="94">
                  <c:v>39945</c:v>
                </c:pt>
                <c:pt idx="95">
                  <c:v>39946</c:v>
                </c:pt>
                <c:pt idx="96">
                  <c:v>39947</c:v>
                </c:pt>
                <c:pt idx="97">
                  <c:v>39948</c:v>
                </c:pt>
                <c:pt idx="98">
                  <c:v>39951</c:v>
                </c:pt>
                <c:pt idx="99">
                  <c:v>39952</c:v>
                </c:pt>
                <c:pt idx="100">
                  <c:v>39953</c:v>
                </c:pt>
                <c:pt idx="101">
                  <c:v>39954</c:v>
                </c:pt>
                <c:pt idx="102">
                  <c:v>39955</c:v>
                </c:pt>
                <c:pt idx="103">
                  <c:v>39958</c:v>
                </c:pt>
                <c:pt idx="104">
                  <c:v>39959</c:v>
                </c:pt>
                <c:pt idx="105">
                  <c:v>39960</c:v>
                </c:pt>
                <c:pt idx="106">
                  <c:v>39961</c:v>
                </c:pt>
                <c:pt idx="107">
                  <c:v>39962</c:v>
                </c:pt>
                <c:pt idx="108">
                  <c:v>39965</c:v>
                </c:pt>
                <c:pt idx="109">
                  <c:v>39966</c:v>
                </c:pt>
                <c:pt idx="110">
                  <c:v>39967</c:v>
                </c:pt>
                <c:pt idx="111">
                  <c:v>39968</c:v>
                </c:pt>
                <c:pt idx="112">
                  <c:v>39969</c:v>
                </c:pt>
                <c:pt idx="113">
                  <c:v>39972</c:v>
                </c:pt>
                <c:pt idx="114">
                  <c:v>39973</c:v>
                </c:pt>
                <c:pt idx="115">
                  <c:v>39974</c:v>
                </c:pt>
                <c:pt idx="116">
                  <c:v>39975</c:v>
                </c:pt>
                <c:pt idx="117">
                  <c:v>39976</c:v>
                </c:pt>
                <c:pt idx="118">
                  <c:v>39979</c:v>
                </c:pt>
                <c:pt idx="119">
                  <c:v>39980</c:v>
                </c:pt>
                <c:pt idx="120">
                  <c:v>39981</c:v>
                </c:pt>
                <c:pt idx="121">
                  <c:v>39982</c:v>
                </c:pt>
                <c:pt idx="122">
                  <c:v>39983</c:v>
                </c:pt>
                <c:pt idx="123">
                  <c:v>39986</c:v>
                </c:pt>
                <c:pt idx="124">
                  <c:v>39987</c:v>
                </c:pt>
                <c:pt idx="125">
                  <c:v>39988</c:v>
                </c:pt>
                <c:pt idx="126">
                  <c:v>39989</c:v>
                </c:pt>
                <c:pt idx="127">
                  <c:v>39990</c:v>
                </c:pt>
                <c:pt idx="128">
                  <c:v>39993</c:v>
                </c:pt>
                <c:pt idx="129">
                  <c:v>39994</c:v>
                </c:pt>
                <c:pt idx="130">
                  <c:v>39995</c:v>
                </c:pt>
                <c:pt idx="131">
                  <c:v>39996</c:v>
                </c:pt>
                <c:pt idx="132">
                  <c:v>39997</c:v>
                </c:pt>
                <c:pt idx="133">
                  <c:v>40000</c:v>
                </c:pt>
                <c:pt idx="134">
                  <c:v>40001</c:v>
                </c:pt>
                <c:pt idx="135">
                  <c:v>40002</c:v>
                </c:pt>
                <c:pt idx="136">
                  <c:v>40003</c:v>
                </c:pt>
                <c:pt idx="137">
                  <c:v>40004</c:v>
                </c:pt>
                <c:pt idx="138">
                  <c:v>40007</c:v>
                </c:pt>
                <c:pt idx="139">
                  <c:v>40008</c:v>
                </c:pt>
                <c:pt idx="140">
                  <c:v>40009</c:v>
                </c:pt>
                <c:pt idx="141">
                  <c:v>40010</c:v>
                </c:pt>
                <c:pt idx="142">
                  <c:v>40011</c:v>
                </c:pt>
                <c:pt idx="143">
                  <c:v>40014</c:v>
                </c:pt>
                <c:pt idx="144">
                  <c:v>40015</c:v>
                </c:pt>
                <c:pt idx="145">
                  <c:v>40016</c:v>
                </c:pt>
                <c:pt idx="146">
                  <c:v>40017</c:v>
                </c:pt>
                <c:pt idx="147">
                  <c:v>40018</c:v>
                </c:pt>
                <c:pt idx="148">
                  <c:v>40021</c:v>
                </c:pt>
                <c:pt idx="149">
                  <c:v>40022</c:v>
                </c:pt>
                <c:pt idx="150">
                  <c:v>40023</c:v>
                </c:pt>
                <c:pt idx="151">
                  <c:v>40024</c:v>
                </c:pt>
                <c:pt idx="152">
                  <c:v>40025</c:v>
                </c:pt>
                <c:pt idx="153">
                  <c:v>40028</c:v>
                </c:pt>
                <c:pt idx="154">
                  <c:v>40029</c:v>
                </c:pt>
                <c:pt idx="155">
                  <c:v>40030</c:v>
                </c:pt>
                <c:pt idx="156">
                  <c:v>40031</c:v>
                </c:pt>
                <c:pt idx="157">
                  <c:v>40032</c:v>
                </c:pt>
                <c:pt idx="158">
                  <c:v>40035</c:v>
                </c:pt>
                <c:pt idx="159">
                  <c:v>40036</c:v>
                </c:pt>
                <c:pt idx="160">
                  <c:v>40037</c:v>
                </c:pt>
                <c:pt idx="161">
                  <c:v>40038</c:v>
                </c:pt>
                <c:pt idx="162">
                  <c:v>40039</c:v>
                </c:pt>
                <c:pt idx="163">
                  <c:v>40042</c:v>
                </c:pt>
                <c:pt idx="164">
                  <c:v>40043</c:v>
                </c:pt>
                <c:pt idx="165">
                  <c:v>40044</c:v>
                </c:pt>
                <c:pt idx="166">
                  <c:v>40045</c:v>
                </c:pt>
                <c:pt idx="167">
                  <c:v>40046</c:v>
                </c:pt>
                <c:pt idx="168">
                  <c:v>40049</c:v>
                </c:pt>
                <c:pt idx="169">
                  <c:v>40050</c:v>
                </c:pt>
                <c:pt idx="170">
                  <c:v>40051</c:v>
                </c:pt>
                <c:pt idx="171">
                  <c:v>40052</c:v>
                </c:pt>
                <c:pt idx="172">
                  <c:v>40053</c:v>
                </c:pt>
                <c:pt idx="173">
                  <c:v>40056</c:v>
                </c:pt>
                <c:pt idx="174">
                  <c:v>40057</c:v>
                </c:pt>
                <c:pt idx="175">
                  <c:v>40058</c:v>
                </c:pt>
                <c:pt idx="176">
                  <c:v>40059</c:v>
                </c:pt>
                <c:pt idx="177">
                  <c:v>40060</c:v>
                </c:pt>
                <c:pt idx="178">
                  <c:v>40063</c:v>
                </c:pt>
                <c:pt idx="179">
                  <c:v>40064</c:v>
                </c:pt>
                <c:pt idx="180">
                  <c:v>40065</c:v>
                </c:pt>
                <c:pt idx="181">
                  <c:v>40066</c:v>
                </c:pt>
                <c:pt idx="182">
                  <c:v>40067</c:v>
                </c:pt>
                <c:pt idx="183">
                  <c:v>40070</c:v>
                </c:pt>
                <c:pt idx="184">
                  <c:v>40071</c:v>
                </c:pt>
                <c:pt idx="185">
                  <c:v>40072</c:v>
                </c:pt>
                <c:pt idx="186">
                  <c:v>40073</c:v>
                </c:pt>
                <c:pt idx="187">
                  <c:v>40074</c:v>
                </c:pt>
                <c:pt idx="188">
                  <c:v>40077</c:v>
                </c:pt>
                <c:pt idx="189">
                  <c:v>40078</c:v>
                </c:pt>
                <c:pt idx="190">
                  <c:v>40079</c:v>
                </c:pt>
                <c:pt idx="191">
                  <c:v>40080</c:v>
                </c:pt>
                <c:pt idx="192">
                  <c:v>40081</c:v>
                </c:pt>
                <c:pt idx="193">
                  <c:v>40084</c:v>
                </c:pt>
                <c:pt idx="194">
                  <c:v>40085</c:v>
                </c:pt>
                <c:pt idx="195">
                  <c:v>40086</c:v>
                </c:pt>
                <c:pt idx="196">
                  <c:v>40087</c:v>
                </c:pt>
                <c:pt idx="197">
                  <c:v>40088</c:v>
                </c:pt>
                <c:pt idx="198">
                  <c:v>40091</c:v>
                </c:pt>
                <c:pt idx="199">
                  <c:v>40092</c:v>
                </c:pt>
                <c:pt idx="200">
                  <c:v>40093</c:v>
                </c:pt>
                <c:pt idx="201">
                  <c:v>40094</c:v>
                </c:pt>
                <c:pt idx="202">
                  <c:v>40095</c:v>
                </c:pt>
                <c:pt idx="203">
                  <c:v>40098</c:v>
                </c:pt>
                <c:pt idx="204">
                  <c:v>40099</c:v>
                </c:pt>
                <c:pt idx="205">
                  <c:v>40100</c:v>
                </c:pt>
                <c:pt idx="206">
                  <c:v>40101</c:v>
                </c:pt>
                <c:pt idx="207">
                  <c:v>40102</c:v>
                </c:pt>
                <c:pt idx="208">
                  <c:v>40105</c:v>
                </c:pt>
                <c:pt idx="209">
                  <c:v>40106</c:v>
                </c:pt>
                <c:pt idx="210">
                  <c:v>40107</c:v>
                </c:pt>
                <c:pt idx="211">
                  <c:v>40108</c:v>
                </c:pt>
                <c:pt idx="212">
                  <c:v>40109</c:v>
                </c:pt>
                <c:pt idx="213">
                  <c:v>40112</c:v>
                </c:pt>
                <c:pt idx="214">
                  <c:v>40113</c:v>
                </c:pt>
                <c:pt idx="215">
                  <c:v>40114</c:v>
                </c:pt>
                <c:pt idx="216">
                  <c:v>40115</c:v>
                </c:pt>
                <c:pt idx="217">
                  <c:v>40116</c:v>
                </c:pt>
                <c:pt idx="218">
                  <c:v>40119</c:v>
                </c:pt>
                <c:pt idx="219">
                  <c:v>40120</c:v>
                </c:pt>
                <c:pt idx="220">
                  <c:v>40121</c:v>
                </c:pt>
                <c:pt idx="221">
                  <c:v>40122</c:v>
                </c:pt>
                <c:pt idx="222">
                  <c:v>40123</c:v>
                </c:pt>
                <c:pt idx="223">
                  <c:v>40126</c:v>
                </c:pt>
                <c:pt idx="224">
                  <c:v>40127</c:v>
                </c:pt>
                <c:pt idx="225">
                  <c:v>40128</c:v>
                </c:pt>
                <c:pt idx="226">
                  <c:v>40129</c:v>
                </c:pt>
                <c:pt idx="227">
                  <c:v>40130</c:v>
                </c:pt>
                <c:pt idx="228">
                  <c:v>40133</c:v>
                </c:pt>
                <c:pt idx="229">
                  <c:v>40134</c:v>
                </c:pt>
                <c:pt idx="230">
                  <c:v>40135</c:v>
                </c:pt>
                <c:pt idx="231">
                  <c:v>40136</c:v>
                </c:pt>
                <c:pt idx="232">
                  <c:v>40137</c:v>
                </c:pt>
                <c:pt idx="233">
                  <c:v>40140</c:v>
                </c:pt>
                <c:pt idx="234">
                  <c:v>40141</c:v>
                </c:pt>
                <c:pt idx="235">
                  <c:v>40142</c:v>
                </c:pt>
                <c:pt idx="236">
                  <c:v>40143</c:v>
                </c:pt>
                <c:pt idx="237">
                  <c:v>40144</c:v>
                </c:pt>
                <c:pt idx="238">
                  <c:v>40147</c:v>
                </c:pt>
                <c:pt idx="239">
                  <c:v>40148</c:v>
                </c:pt>
                <c:pt idx="240">
                  <c:v>40149</c:v>
                </c:pt>
                <c:pt idx="241">
                  <c:v>40150</c:v>
                </c:pt>
                <c:pt idx="242">
                  <c:v>40151</c:v>
                </c:pt>
                <c:pt idx="243">
                  <c:v>40154</c:v>
                </c:pt>
                <c:pt idx="244">
                  <c:v>40155</c:v>
                </c:pt>
                <c:pt idx="245">
                  <c:v>40156</c:v>
                </c:pt>
                <c:pt idx="246">
                  <c:v>40157</c:v>
                </c:pt>
                <c:pt idx="247">
                  <c:v>40158</c:v>
                </c:pt>
                <c:pt idx="248">
                  <c:v>40161</c:v>
                </c:pt>
                <c:pt idx="249">
                  <c:v>40162</c:v>
                </c:pt>
                <c:pt idx="250">
                  <c:v>40163</c:v>
                </c:pt>
                <c:pt idx="251">
                  <c:v>40164</c:v>
                </c:pt>
                <c:pt idx="252">
                  <c:v>40165</c:v>
                </c:pt>
                <c:pt idx="253">
                  <c:v>40168</c:v>
                </c:pt>
                <c:pt idx="254">
                  <c:v>40169</c:v>
                </c:pt>
                <c:pt idx="255">
                  <c:v>40170</c:v>
                </c:pt>
                <c:pt idx="256">
                  <c:v>40171</c:v>
                </c:pt>
                <c:pt idx="257">
                  <c:v>40172</c:v>
                </c:pt>
                <c:pt idx="258">
                  <c:v>40175</c:v>
                </c:pt>
                <c:pt idx="259">
                  <c:v>40176</c:v>
                </c:pt>
                <c:pt idx="260">
                  <c:v>40177</c:v>
                </c:pt>
                <c:pt idx="261">
                  <c:v>40178</c:v>
                </c:pt>
                <c:pt idx="262">
                  <c:v>40179</c:v>
                </c:pt>
                <c:pt idx="263">
                  <c:v>40182</c:v>
                </c:pt>
                <c:pt idx="264">
                  <c:v>40183</c:v>
                </c:pt>
                <c:pt idx="265">
                  <c:v>40184</c:v>
                </c:pt>
                <c:pt idx="266">
                  <c:v>40185</c:v>
                </c:pt>
                <c:pt idx="267">
                  <c:v>40186</c:v>
                </c:pt>
                <c:pt idx="268">
                  <c:v>40189</c:v>
                </c:pt>
                <c:pt idx="269">
                  <c:v>40190</c:v>
                </c:pt>
                <c:pt idx="270">
                  <c:v>40191</c:v>
                </c:pt>
                <c:pt idx="271">
                  <c:v>40192</c:v>
                </c:pt>
                <c:pt idx="272">
                  <c:v>40193</c:v>
                </c:pt>
                <c:pt idx="273">
                  <c:v>40196</c:v>
                </c:pt>
                <c:pt idx="274">
                  <c:v>40197</c:v>
                </c:pt>
                <c:pt idx="275">
                  <c:v>40198</c:v>
                </c:pt>
                <c:pt idx="276">
                  <c:v>40199</c:v>
                </c:pt>
                <c:pt idx="277">
                  <c:v>40200</c:v>
                </c:pt>
                <c:pt idx="278">
                  <c:v>40203</c:v>
                </c:pt>
                <c:pt idx="279">
                  <c:v>40204</c:v>
                </c:pt>
                <c:pt idx="280">
                  <c:v>40205</c:v>
                </c:pt>
                <c:pt idx="281">
                  <c:v>40206</c:v>
                </c:pt>
                <c:pt idx="282">
                  <c:v>40207</c:v>
                </c:pt>
                <c:pt idx="283">
                  <c:v>40210</c:v>
                </c:pt>
                <c:pt idx="284">
                  <c:v>40211</c:v>
                </c:pt>
                <c:pt idx="285">
                  <c:v>40212</c:v>
                </c:pt>
                <c:pt idx="286">
                  <c:v>40213</c:v>
                </c:pt>
                <c:pt idx="287">
                  <c:v>40214</c:v>
                </c:pt>
                <c:pt idx="288">
                  <c:v>40217</c:v>
                </c:pt>
                <c:pt idx="289">
                  <c:v>40218</c:v>
                </c:pt>
                <c:pt idx="290">
                  <c:v>40219</c:v>
                </c:pt>
                <c:pt idx="291">
                  <c:v>40220</c:v>
                </c:pt>
                <c:pt idx="292">
                  <c:v>40221</c:v>
                </c:pt>
                <c:pt idx="293">
                  <c:v>40224</c:v>
                </c:pt>
                <c:pt idx="294">
                  <c:v>40225</c:v>
                </c:pt>
                <c:pt idx="295">
                  <c:v>40226</c:v>
                </c:pt>
                <c:pt idx="296">
                  <c:v>40227</c:v>
                </c:pt>
                <c:pt idx="297">
                  <c:v>40228</c:v>
                </c:pt>
                <c:pt idx="298">
                  <c:v>40231</c:v>
                </c:pt>
                <c:pt idx="299">
                  <c:v>40232</c:v>
                </c:pt>
                <c:pt idx="300">
                  <c:v>40233</c:v>
                </c:pt>
                <c:pt idx="301">
                  <c:v>40234</c:v>
                </c:pt>
                <c:pt idx="302">
                  <c:v>40235</c:v>
                </c:pt>
                <c:pt idx="303">
                  <c:v>40238</c:v>
                </c:pt>
                <c:pt idx="304">
                  <c:v>40239</c:v>
                </c:pt>
                <c:pt idx="305">
                  <c:v>40240</c:v>
                </c:pt>
                <c:pt idx="306">
                  <c:v>40241</c:v>
                </c:pt>
                <c:pt idx="307">
                  <c:v>40242</c:v>
                </c:pt>
                <c:pt idx="308">
                  <c:v>40245</c:v>
                </c:pt>
                <c:pt idx="309">
                  <c:v>40246</c:v>
                </c:pt>
                <c:pt idx="310">
                  <c:v>40247</c:v>
                </c:pt>
                <c:pt idx="311">
                  <c:v>40248</c:v>
                </c:pt>
                <c:pt idx="312">
                  <c:v>40249</c:v>
                </c:pt>
                <c:pt idx="313">
                  <c:v>40252</c:v>
                </c:pt>
                <c:pt idx="314">
                  <c:v>40253</c:v>
                </c:pt>
                <c:pt idx="315">
                  <c:v>40254</c:v>
                </c:pt>
                <c:pt idx="316">
                  <c:v>40255</c:v>
                </c:pt>
                <c:pt idx="317">
                  <c:v>40256</c:v>
                </c:pt>
                <c:pt idx="318">
                  <c:v>40259</c:v>
                </c:pt>
                <c:pt idx="319">
                  <c:v>40260</c:v>
                </c:pt>
                <c:pt idx="320">
                  <c:v>40261</c:v>
                </c:pt>
                <c:pt idx="321">
                  <c:v>40262</c:v>
                </c:pt>
                <c:pt idx="322">
                  <c:v>40263</c:v>
                </c:pt>
                <c:pt idx="323">
                  <c:v>40266</c:v>
                </c:pt>
                <c:pt idx="324">
                  <c:v>40267</c:v>
                </c:pt>
                <c:pt idx="325">
                  <c:v>40268</c:v>
                </c:pt>
                <c:pt idx="326">
                  <c:v>40269</c:v>
                </c:pt>
                <c:pt idx="327">
                  <c:v>40270</c:v>
                </c:pt>
                <c:pt idx="328">
                  <c:v>40273</c:v>
                </c:pt>
                <c:pt idx="329">
                  <c:v>40274</c:v>
                </c:pt>
                <c:pt idx="330">
                  <c:v>40275</c:v>
                </c:pt>
                <c:pt idx="331">
                  <c:v>40276</c:v>
                </c:pt>
                <c:pt idx="332">
                  <c:v>40277</c:v>
                </c:pt>
                <c:pt idx="333">
                  <c:v>40280</c:v>
                </c:pt>
                <c:pt idx="334">
                  <c:v>40281</c:v>
                </c:pt>
                <c:pt idx="335">
                  <c:v>40282</c:v>
                </c:pt>
                <c:pt idx="336">
                  <c:v>40283</c:v>
                </c:pt>
                <c:pt idx="337">
                  <c:v>40284</c:v>
                </c:pt>
                <c:pt idx="338">
                  <c:v>40287</c:v>
                </c:pt>
                <c:pt idx="339">
                  <c:v>40288</c:v>
                </c:pt>
                <c:pt idx="340">
                  <c:v>40289</c:v>
                </c:pt>
                <c:pt idx="341">
                  <c:v>40290</c:v>
                </c:pt>
                <c:pt idx="342">
                  <c:v>40291</c:v>
                </c:pt>
                <c:pt idx="343">
                  <c:v>40294</c:v>
                </c:pt>
                <c:pt idx="344">
                  <c:v>40295</c:v>
                </c:pt>
                <c:pt idx="345">
                  <c:v>40296</c:v>
                </c:pt>
                <c:pt idx="346">
                  <c:v>40297</c:v>
                </c:pt>
                <c:pt idx="347">
                  <c:v>40298</c:v>
                </c:pt>
                <c:pt idx="348">
                  <c:v>40301</c:v>
                </c:pt>
                <c:pt idx="349">
                  <c:v>40302</c:v>
                </c:pt>
                <c:pt idx="350">
                  <c:v>40303</c:v>
                </c:pt>
                <c:pt idx="351">
                  <c:v>40304</c:v>
                </c:pt>
                <c:pt idx="352">
                  <c:v>40305</c:v>
                </c:pt>
                <c:pt idx="353">
                  <c:v>40308</c:v>
                </c:pt>
                <c:pt idx="354">
                  <c:v>40309</c:v>
                </c:pt>
                <c:pt idx="355">
                  <c:v>40310</c:v>
                </c:pt>
                <c:pt idx="356">
                  <c:v>40311</c:v>
                </c:pt>
                <c:pt idx="357">
                  <c:v>40312</c:v>
                </c:pt>
                <c:pt idx="358">
                  <c:v>40315</c:v>
                </c:pt>
                <c:pt idx="359">
                  <c:v>40316</c:v>
                </c:pt>
                <c:pt idx="360">
                  <c:v>40317</c:v>
                </c:pt>
                <c:pt idx="361">
                  <c:v>40318</c:v>
                </c:pt>
                <c:pt idx="362">
                  <c:v>40319</c:v>
                </c:pt>
                <c:pt idx="363">
                  <c:v>40322</c:v>
                </c:pt>
                <c:pt idx="364">
                  <c:v>40323</c:v>
                </c:pt>
                <c:pt idx="365">
                  <c:v>40324</c:v>
                </c:pt>
                <c:pt idx="366">
                  <c:v>40325</c:v>
                </c:pt>
                <c:pt idx="367">
                  <c:v>40326</c:v>
                </c:pt>
                <c:pt idx="368">
                  <c:v>40329</c:v>
                </c:pt>
                <c:pt idx="369">
                  <c:v>40330</c:v>
                </c:pt>
                <c:pt idx="370">
                  <c:v>40331</c:v>
                </c:pt>
                <c:pt idx="371">
                  <c:v>40332</c:v>
                </c:pt>
                <c:pt idx="372">
                  <c:v>40333</c:v>
                </c:pt>
                <c:pt idx="373">
                  <c:v>40336</c:v>
                </c:pt>
                <c:pt idx="374">
                  <c:v>40337</c:v>
                </c:pt>
                <c:pt idx="375">
                  <c:v>40338</c:v>
                </c:pt>
                <c:pt idx="376">
                  <c:v>40339</c:v>
                </c:pt>
                <c:pt idx="377">
                  <c:v>40340</c:v>
                </c:pt>
                <c:pt idx="378">
                  <c:v>40343</c:v>
                </c:pt>
                <c:pt idx="379">
                  <c:v>40344</c:v>
                </c:pt>
                <c:pt idx="380">
                  <c:v>40345</c:v>
                </c:pt>
                <c:pt idx="381">
                  <c:v>40346</c:v>
                </c:pt>
                <c:pt idx="382">
                  <c:v>40347</c:v>
                </c:pt>
                <c:pt idx="383">
                  <c:v>40350</c:v>
                </c:pt>
                <c:pt idx="384">
                  <c:v>40351</c:v>
                </c:pt>
                <c:pt idx="385">
                  <c:v>40352</c:v>
                </c:pt>
                <c:pt idx="386">
                  <c:v>40353</c:v>
                </c:pt>
                <c:pt idx="387">
                  <c:v>40354</c:v>
                </c:pt>
                <c:pt idx="388">
                  <c:v>40357</c:v>
                </c:pt>
                <c:pt idx="389">
                  <c:v>40358</c:v>
                </c:pt>
                <c:pt idx="390">
                  <c:v>40359</c:v>
                </c:pt>
                <c:pt idx="391">
                  <c:v>40360</c:v>
                </c:pt>
                <c:pt idx="392">
                  <c:v>40361</c:v>
                </c:pt>
                <c:pt idx="393">
                  <c:v>40364</c:v>
                </c:pt>
                <c:pt idx="394">
                  <c:v>40365</c:v>
                </c:pt>
                <c:pt idx="395">
                  <c:v>40366</c:v>
                </c:pt>
                <c:pt idx="396">
                  <c:v>40367</c:v>
                </c:pt>
                <c:pt idx="397">
                  <c:v>40368</c:v>
                </c:pt>
                <c:pt idx="398">
                  <c:v>40371</c:v>
                </c:pt>
                <c:pt idx="399">
                  <c:v>40372</c:v>
                </c:pt>
                <c:pt idx="400">
                  <c:v>40373</c:v>
                </c:pt>
                <c:pt idx="401">
                  <c:v>40374</c:v>
                </c:pt>
                <c:pt idx="402">
                  <c:v>40375</c:v>
                </c:pt>
                <c:pt idx="403">
                  <c:v>40378</c:v>
                </c:pt>
                <c:pt idx="404">
                  <c:v>40379</c:v>
                </c:pt>
                <c:pt idx="405">
                  <c:v>40380</c:v>
                </c:pt>
                <c:pt idx="406">
                  <c:v>40381</c:v>
                </c:pt>
                <c:pt idx="407">
                  <c:v>40382</c:v>
                </c:pt>
                <c:pt idx="408">
                  <c:v>40385</c:v>
                </c:pt>
                <c:pt idx="409">
                  <c:v>40386</c:v>
                </c:pt>
                <c:pt idx="410">
                  <c:v>40387</c:v>
                </c:pt>
                <c:pt idx="411">
                  <c:v>40388</c:v>
                </c:pt>
                <c:pt idx="412">
                  <c:v>40389</c:v>
                </c:pt>
                <c:pt idx="413">
                  <c:v>40392</c:v>
                </c:pt>
                <c:pt idx="414">
                  <c:v>40393</c:v>
                </c:pt>
                <c:pt idx="415">
                  <c:v>40394</c:v>
                </c:pt>
                <c:pt idx="416">
                  <c:v>40395</c:v>
                </c:pt>
                <c:pt idx="417">
                  <c:v>40396</c:v>
                </c:pt>
                <c:pt idx="418">
                  <c:v>40399</c:v>
                </c:pt>
                <c:pt idx="419">
                  <c:v>40400</c:v>
                </c:pt>
                <c:pt idx="420">
                  <c:v>40401</c:v>
                </c:pt>
                <c:pt idx="421">
                  <c:v>40402</c:v>
                </c:pt>
                <c:pt idx="422">
                  <c:v>40403</c:v>
                </c:pt>
                <c:pt idx="423">
                  <c:v>40406</c:v>
                </c:pt>
                <c:pt idx="424">
                  <c:v>40407</c:v>
                </c:pt>
                <c:pt idx="425">
                  <c:v>40408</c:v>
                </c:pt>
                <c:pt idx="426">
                  <c:v>40409</c:v>
                </c:pt>
                <c:pt idx="427">
                  <c:v>40410</c:v>
                </c:pt>
                <c:pt idx="428">
                  <c:v>40413</c:v>
                </c:pt>
                <c:pt idx="429">
                  <c:v>40414</c:v>
                </c:pt>
                <c:pt idx="430">
                  <c:v>40415</c:v>
                </c:pt>
                <c:pt idx="431">
                  <c:v>40416</c:v>
                </c:pt>
                <c:pt idx="432">
                  <c:v>40417</c:v>
                </c:pt>
                <c:pt idx="433">
                  <c:v>40420</c:v>
                </c:pt>
                <c:pt idx="434">
                  <c:v>40421</c:v>
                </c:pt>
                <c:pt idx="435">
                  <c:v>40422</c:v>
                </c:pt>
                <c:pt idx="436">
                  <c:v>40423</c:v>
                </c:pt>
                <c:pt idx="437">
                  <c:v>40424</c:v>
                </c:pt>
                <c:pt idx="438">
                  <c:v>40427</c:v>
                </c:pt>
                <c:pt idx="439">
                  <c:v>40428</c:v>
                </c:pt>
                <c:pt idx="440">
                  <c:v>40429</c:v>
                </c:pt>
                <c:pt idx="441">
                  <c:v>40430</c:v>
                </c:pt>
                <c:pt idx="442">
                  <c:v>40431</c:v>
                </c:pt>
                <c:pt idx="443">
                  <c:v>40434</c:v>
                </c:pt>
                <c:pt idx="444">
                  <c:v>40435</c:v>
                </c:pt>
                <c:pt idx="445">
                  <c:v>40436</c:v>
                </c:pt>
                <c:pt idx="446">
                  <c:v>40437</c:v>
                </c:pt>
                <c:pt idx="447">
                  <c:v>40438</c:v>
                </c:pt>
                <c:pt idx="448">
                  <c:v>40441</c:v>
                </c:pt>
                <c:pt idx="449">
                  <c:v>40442</c:v>
                </c:pt>
                <c:pt idx="450">
                  <c:v>40443</c:v>
                </c:pt>
                <c:pt idx="451">
                  <c:v>40444</c:v>
                </c:pt>
                <c:pt idx="452">
                  <c:v>40445</c:v>
                </c:pt>
                <c:pt idx="453">
                  <c:v>40448</c:v>
                </c:pt>
                <c:pt idx="454">
                  <c:v>40449</c:v>
                </c:pt>
                <c:pt idx="455">
                  <c:v>40450</c:v>
                </c:pt>
                <c:pt idx="456">
                  <c:v>40451</c:v>
                </c:pt>
                <c:pt idx="457">
                  <c:v>40452</c:v>
                </c:pt>
                <c:pt idx="458">
                  <c:v>40455</c:v>
                </c:pt>
                <c:pt idx="459">
                  <c:v>40456</c:v>
                </c:pt>
                <c:pt idx="460">
                  <c:v>40457</c:v>
                </c:pt>
                <c:pt idx="461">
                  <c:v>40458</c:v>
                </c:pt>
                <c:pt idx="462">
                  <c:v>40459</c:v>
                </c:pt>
                <c:pt idx="463">
                  <c:v>40462</c:v>
                </c:pt>
                <c:pt idx="464">
                  <c:v>40463</c:v>
                </c:pt>
                <c:pt idx="465">
                  <c:v>40464</c:v>
                </c:pt>
                <c:pt idx="466">
                  <c:v>40465</c:v>
                </c:pt>
                <c:pt idx="467">
                  <c:v>40466</c:v>
                </c:pt>
                <c:pt idx="468">
                  <c:v>40469</c:v>
                </c:pt>
                <c:pt idx="469">
                  <c:v>40470</c:v>
                </c:pt>
                <c:pt idx="470">
                  <c:v>40471</c:v>
                </c:pt>
                <c:pt idx="471">
                  <c:v>40472</c:v>
                </c:pt>
                <c:pt idx="472">
                  <c:v>40473</c:v>
                </c:pt>
                <c:pt idx="473">
                  <c:v>40476</c:v>
                </c:pt>
                <c:pt idx="474">
                  <c:v>40477</c:v>
                </c:pt>
                <c:pt idx="475">
                  <c:v>40478</c:v>
                </c:pt>
                <c:pt idx="476">
                  <c:v>40479</c:v>
                </c:pt>
                <c:pt idx="477">
                  <c:v>40480</c:v>
                </c:pt>
                <c:pt idx="478">
                  <c:v>40483</c:v>
                </c:pt>
                <c:pt idx="479">
                  <c:v>40484</c:v>
                </c:pt>
                <c:pt idx="480">
                  <c:v>40485</c:v>
                </c:pt>
                <c:pt idx="481">
                  <c:v>40486</c:v>
                </c:pt>
                <c:pt idx="482">
                  <c:v>40487</c:v>
                </c:pt>
                <c:pt idx="483">
                  <c:v>40490</c:v>
                </c:pt>
                <c:pt idx="484">
                  <c:v>40491</c:v>
                </c:pt>
                <c:pt idx="485">
                  <c:v>40492</c:v>
                </c:pt>
                <c:pt idx="486">
                  <c:v>40493</c:v>
                </c:pt>
                <c:pt idx="487">
                  <c:v>40494</c:v>
                </c:pt>
                <c:pt idx="488">
                  <c:v>40497</c:v>
                </c:pt>
                <c:pt idx="489">
                  <c:v>40498</c:v>
                </c:pt>
                <c:pt idx="490">
                  <c:v>40499</c:v>
                </c:pt>
                <c:pt idx="491">
                  <c:v>40500</c:v>
                </c:pt>
                <c:pt idx="492">
                  <c:v>40501</c:v>
                </c:pt>
                <c:pt idx="493">
                  <c:v>40504</c:v>
                </c:pt>
                <c:pt idx="494">
                  <c:v>40505</c:v>
                </c:pt>
                <c:pt idx="495">
                  <c:v>40506</c:v>
                </c:pt>
                <c:pt idx="496">
                  <c:v>40507</c:v>
                </c:pt>
                <c:pt idx="497">
                  <c:v>40508</c:v>
                </c:pt>
                <c:pt idx="498">
                  <c:v>40511</c:v>
                </c:pt>
                <c:pt idx="499">
                  <c:v>40512</c:v>
                </c:pt>
                <c:pt idx="500">
                  <c:v>40513</c:v>
                </c:pt>
                <c:pt idx="501">
                  <c:v>40514</c:v>
                </c:pt>
                <c:pt idx="502">
                  <c:v>40515</c:v>
                </c:pt>
                <c:pt idx="503">
                  <c:v>40518</c:v>
                </c:pt>
                <c:pt idx="504">
                  <c:v>40519</c:v>
                </c:pt>
                <c:pt idx="505">
                  <c:v>40520</c:v>
                </c:pt>
                <c:pt idx="506">
                  <c:v>40521</c:v>
                </c:pt>
                <c:pt idx="507">
                  <c:v>40522</c:v>
                </c:pt>
                <c:pt idx="508">
                  <c:v>40525</c:v>
                </c:pt>
                <c:pt idx="509">
                  <c:v>40526</c:v>
                </c:pt>
                <c:pt idx="510">
                  <c:v>40527</c:v>
                </c:pt>
                <c:pt idx="511">
                  <c:v>40528</c:v>
                </c:pt>
                <c:pt idx="512">
                  <c:v>40529</c:v>
                </c:pt>
                <c:pt idx="513">
                  <c:v>40532</c:v>
                </c:pt>
                <c:pt idx="514">
                  <c:v>40533</c:v>
                </c:pt>
                <c:pt idx="515">
                  <c:v>40534</c:v>
                </c:pt>
                <c:pt idx="516">
                  <c:v>40535</c:v>
                </c:pt>
                <c:pt idx="517">
                  <c:v>40536</c:v>
                </c:pt>
                <c:pt idx="518">
                  <c:v>40539</c:v>
                </c:pt>
                <c:pt idx="519">
                  <c:v>40540</c:v>
                </c:pt>
                <c:pt idx="520">
                  <c:v>40541</c:v>
                </c:pt>
                <c:pt idx="521">
                  <c:v>40542</c:v>
                </c:pt>
                <c:pt idx="522">
                  <c:v>40543</c:v>
                </c:pt>
                <c:pt idx="523">
                  <c:v>40546</c:v>
                </c:pt>
                <c:pt idx="524">
                  <c:v>40547</c:v>
                </c:pt>
                <c:pt idx="525">
                  <c:v>40548</c:v>
                </c:pt>
                <c:pt idx="526">
                  <c:v>40549</c:v>
                </c:pt>
                <c:pt idx="527">
                  <c:v>40550</c:v>
                </c:pt>
                <c:pt idx="528">
                  <c:v>40553</c:v>
                </c:pt>
                <c:pt idx="529">
                  <c:v>40554</c:v>
                </c:pt>
                <c:pt idx="530">
                  <c:v>40555</c:v>
                </c:pt>
                <c:pt idx="531">
                  <c:v>40556</c:v>
                </c:pt>
                <c:pt idx="532">
                  <c:v>40557</c:v>
                </c:pt>
                <c:pt idx="533">
                  <c:v>40560</c:v>
                </c:pt>
                <c:pt idx="534">
                  <c:v>40561</c:v>
                </c:pt>
                <c:pt idx="535">
                  <c:v>40562</c:v>
                </c:pt>
                <c:pt idx="536">
                  <c:v>40563</c:v>
                </c:pt>
                <c:pt idx="537">
                  <c:v>40564</c:v>
                </c:pt>
                <c:pt idx="538">
                  <c:v>40567</c:v>
                </c:pt>
                <c:pt idx="539">
                  <c:v>40568</c:v>
                </c:pt>
                <c:pt idx="540">
                  <c:v>40569</c:v>
                </c:pt>
                <c:pt idx="541">
                  <c:v>40570</c:v>
                </c:pt>
                <c:pt idx="542">
                  <c:v>40571</c:v>
                </c:pt>
                <c:pt idx="543">
                  <c:v>40574</c:v>
                </c:pt>
                <c:pt idx="544">
                  <c:v>40575</c:v>
                </c:pt>
                <c:pt idx="545">
                  <c:v>40576</c:v>
                </c:pt>
                <c:pt idx="546">
                  <c:v>40577</c:v>
                </c:pt>
                <c:pt idx="547">
                  <c:v>40578</c:v>
                </c:pt>
                <c:pt idx="548">
                  <c:v>40581</c:v>
                </c:pt>
                <c:pt idx="549">
                  <c:v>40582</c:v>
                </c:pt>
                <c:pt idx="550">
                  <c:v>40583</c:v>
                </c:pt>
                <c:pt idx="551">
                  <c:v>40584</c:v>
                </c:pt>
                <c:pt idx="552">
                  <c:v>40585</c:v>
                </c:pt>
                <c:pt idx="553">
                  <c:v>40588</c:v>
                </c:pt>
                <c:pt idx="554">
                  <c:v>40589</c:v>
                </c:pt>
                <c:pt idx="555">
                  <c:v>40590</c:v>
                </c:pt>
                <c:pt idx="556">
                  <c:v>40591</c:v>
                </c:pt>
                <c:pt idx="557">
                  <c:v>40592</c:v>
                </c:pt>
                <c:pt idx="558">
                  <c:v>40595</c:v>
                </c:pt>
                <c:pt idx="559">
                  <c:v>40596</c:v>
                </c:pt>
                <c:pt idx="560">
                  <c:v>40597</c:v>
                </c:pt>
                <c:pt idx="561">
                  <c:v>40598</c:v>
                </c:pt>
                <c:pt idx="562">
                  <c:v>40599</c:v>
                </c:pt>
                <c:pt idx="563">
                  <c:v>40602</c:v>
                </c:pt>
                <c:pt idx="564">
                  <c:v>40603</c:v>
                </c:pt>
                <c:pt idx="565">
                  <c:v>40604</c:v>
                </c:pt>
                <c:pt idx="566">
                  <c:v>40605</c:v>
                </c:pt>
                <c:pt idx="567">
                  <c:v>40606</c:v>
                </c:pt>
                <c:pt idx="568">
                  <c:v>40609</c:v>
                </c:pt>
                <c:pt idx="569">
                  <c:v>40610</c:v>
                </c:pt>
                <c:pt idx="570">
                  <c:v>40611</c:v>
                </c:pt>
                <c:pt idx="571">
                  <c:v>40612</c:v>
                </c:pt>
                <c:pt idx="572">
                  <c:v>40613</c:v>
                </c:pt>
                <c:pt idx="573">
                  <c:v>40616</c:v>
                </c:pt>
                <c:pt idx="574">
                  <c:v>40617</c:v>
                </c:pt>
                <c:pt idx="575">
                  <c:v>40618</c:v>
                </c:pt>
                <c:pt idx="576">
                  <c:v>40619</c:v>
                </c:pt>
                <c:pt idx="577">
                  <c:v>40620</c:v>
                </c:pt>
                <c:pt idx="578">
                  <c:v>40623</c:v>
                </c:pt>
                <c:pt idx="579">
                  <c:v>40624</c:v>
                </c:pt>
                <c:pt idx="580">
                  <c:v>40625</c:v>
                </c:pt>
                <c:pt idx="581">
                  <c:v>40626</c:v>
                </c:pt>
                <c:pt idx="582">
                  <c:v>40627</c:v>
                </c:pt>
                <c:pt idx="583">
                  <c:v>40630</c:v>
                </c:pt>
                <c:pt idx="584">
                  <c:v>40631</c:v>
                </c:pt>
                <c:pt idx="585">
                  <c:v>40632</c:v>
                </c:pt>
                <c:pt idx="586">
                  <c:v>40633</c:v>
                </c:pt>
                <c:pt idx="587">
                  <c:v>40634</c:v>
                </c:pt>
                <c:pt idx="588">
                  <c:v>40637</c:v>
                </c:pt>
                <c:pt idx="589">
                  <c:v>40638</c:v>
                </c:pt>
                <c:pt idx="590">
                  <c:v>40639</c:v>
                </c:pt>
                <c:pt idx="591">
                  <c:v>40640</c:v>
                </c:pt>
                <c:pt idx="592">
                  <c:v>40641</c:v>
                </c:pt>
                <c:pt idx="593">
                  <c:v>40644</c:v>
                </c:pt>
                <c:pt idx="594">
                  <c:v>40645</c:v>
                </c:pt>
                <c:pt idx="595">
                  <c:v>40646</c:v>
                </c:pt>
                <c:pt idx="596">
                  <c:v>40647</c:v>
                </c:pt>
                <c:pt idx="597">
                  <c:v>40648</c:v>
                </c:pt>
                <c:pt idx="598">
                  <c:v>40651</c:v>
                </c:pt>
                <c:pt idx="599">
                  <c:v>40652</c:v>
                </c:pt>
                <c:pt idx="600">
                  <c:v>40653</c:v>
                </c:pt>
                <c:pt idx="601">
                  <c:v>40654</c:v>
                </c:pt>
                <c:pt idx="602">
                  <c:v>40655</c:v>
                </c:pt>
                <c:pt idx="603">
                  <c:v>40658</c:v>
                </c:pt>
                <c:pt idx="604">
                  <c:v>40659</c:v>
                </c:pt>
                <c:pt idx="605">
                  <c:v>40660</c:v>
                </c:pt>
                <c:pt idx="606">
                  <c:v>40661</c:v>
                </c:pt>
                <c:pt idx="607">
                  <c:v>40662</c:v>
                </c:pt>
                <c:pt idx="608">
                  <c:v>40665</c:v>
                </c:pt>
                <c:pt idx="609">
                  <c:v>40666</c:v>
                </c:pt>
                <c:pt idx="610">
                  <c:v>40667</c:v>
                </c:pt>
                <c:pt idx="611">
                  <c:v>40668</c:v>
                </c:pt>
                <c:pt idx="612">
                  <c:v>40669</c:v>
                </c:pt>
                <c:pt idx="613">
                  <c:v>40672</c:v>
                </c:pt>
                <c:pt idx="614">
                  <c:v>40673</c:v>
                </c:pt>
                <c:pt idx="615">
                  <c:v>40674</c:v>
                </c:pt>
                <c:pt idx="616">
                  <c:v>40675</c:v>
                </c:pt>
                <c:pt idx="617">
                  <c:v>40676</c:v>
                </c:pt>
                <c:pt idx="618">
                  <c:v>40679</c:v>
                </c:pt>
                <c:pt idx="619">
                  <c:v>40680</c:v>
                </c:pt>
                <c:pt idx="620">
                  <c:v>40681</c:v>
                </c:pt>
                <c:pt idx="621">
                  <c:v>40682</c:v>
                </c:pt>
                <c:pt idx="622">
                  <c:v>40683</c:v>
                </c:pt>
                <c:pt idx="623">
                  <c:v>40686</c:v>
                </c:pt>
                <c:pt idx="624">
                  <c:v>40687</c:v>
                </c:pt>
                <c:pt idx="625">
                  <c:v>40688</c:v>
                </c:pt>
                <c:pt idx="626">
                  <c:v>40689</c:v>
                </c:pt>
                <c:pt idx="627">
                  <c:v>40690</c:v>
                </c:pt>
                <c:pt idx="628">
                  <c:v>40693</c:v>
                </c:pt>
                <c:pt idx="629">
                  <c:v>40694</c:v>
                </c:pt>
                <c:pt idx="630">
                  <c:v>40695</c:v>
                </c:pt>
                <c:pt idx="631">
                  <c:v>40696</c:v>
                </c:pt>
                <c:pt idx="632">
                  <c:v>40697</c:v>
                </c:pt>
                <c:pt idx="633">
                  <c:v>40700</c:v>
                </c:pt>
                <c:pt idx="634">
                  <c:v>40701</c:v>
                </c:pt>
                <c:pt idx="635">
                  <c:v>40702</c:v>
                </c:pt>
                <c:pt idx="636">
                  <c:v>40703</c:v>
                </c:pt>
                <c:pt idx="637">
                  <c:v>40704</c:v>
                </c:pt>
                <c:pt idx="638">
                  <c:v>40707</c:v>
                </c:pt>
                <c:pt idx="639">
                  <c:v>40708</c:v>
                </c:pt>
                <c:pt idx="640">
                  <c:v>40709</c:v>
                </c:pt>
                <c:pt idx="641">
                  <c:v>40710</c:v>
                </c:pt>
                <c:pt idx="642">
                  <c:v>40711</c:v>
                </c:pt>
                <c:pt idx="643">
                  <c:v>40714</c:v>
                </c:pt>
                <c:pt idx="644">
                  <c:v>40715</c:v>
                </c:pt>
                <c:pt idx="645">
                  <c:v>40716</c:v>
                </c:pt>
                <c:pt idx="646">
                  <c:v>40717</c:v>
                </c:pt>
                <c:pt idx="647">
                  <c:v>40718</c:v>
                </c:pt>
                <c:pt idx="648">
                  <c:v>40721</c:v>
                </c:pt>
                <c:pt idx="649">
                  <c:v>40722</c:v>
                </c:pt>
                <c:pt idx="650">
                  <c:v>40723</c:v>
                </c:pt>
                <c:pt idx="651">
                  <c:v>40724</c:v>
                </c:pt>
                <c:pt idx="652">
                  <c:v>40725</c:v>
                </c:pt>
                <c:pt idx="653">
                  <c:v>40728</c:v>
                </c:pt>
                <c:pt idx="654">
                  <c:v>40729</c:v>
                </c:pt>
                <c:pt idx="655">
                  <c:v>40730</c:v>
                </c:pt>
                <c:pt idx="656">
                  <c:v>40731</c:v>
                </c:pt>
                <c:pt idx="657">
                  <c:v>40732</c:v>
                </c:pt>
                <c:pt idx="658">
                  <c:v>40735</c:v>
                </c:pt>
                <c:pt idx="659">
                  <c:v>40736</c:v>
                </c:pt>
                <c:pt idx="660">
                  <c:v>40737</c:v>
                </c:pt>
                <c:pt idx="661">
                  <c:v>40738</c:v>
                </c:pt>
                <c:pt idx="662">
                  <c:v>40739</c:v>
                </c:pt>
                <c:pt idx="663">
                  <c:v>40742</c:v>
                </c:pt>
                <c:pt idx="664">
                  <c:v>40743</c:v>
                </c:pt>
                <c:pt idx="665">
                  <c:v>40744</c:v>
                </c:pt>
                <c:pt idx="666">
                  <c:v>40745</c:v>
                </c:pt>
                <c:pt idx="667">
                  <c:v>40746</c:v>
                </c:pt>
                <c:pt idx="668">
                  <c:v>40749</c:v>
                </c:pt>
                <c:pt idx="669">
                  <c:v>40750</c:v>
                </c:pt>
                <c:pt idx="670">
                  <c:v>40751</c:v>
                </c:pt>
                <c:pt idx="671">
                  <c:v>40752</c:v>
                </c:pt>
                <c:pt idx="672">
                  <c:v>40753</c:v>
                </c:pt>
                <c:pt idx="673">
                  <c:v>40756</c:v>
                </c:pt>
                <c:pt idx="674">
                  <c:v>40757</c:v>
                </c:pt>
                <c:pt idx="675">
                  <c:v>40758</c:v>
                </c:pt>
                <c:pt idx="676">
                  <c:v>40759</c:v>
                </c:pt>
                <c:pt idx="677">
                  <c:v>40760</c:v>
                </c:pt>
                <c:pt idx="678">
                  <c:v>40763</c:v>
                </c:pt>
                <c:pt idx="679">
                  <c:v>40764</c:v>
                </c:pt>
                <c:pt idx="680">
                  <c:v>40765</c:v>
                </c:pt>
                <c:pt idx="681">
                  <c:v>40766</c:v>
                </c:pt>
                <c:pt idx="682">
                  <c:v>40767</c:v>
                </c:pt>
                <c:pt idx="683">
                  <c:v>40770</c:v>
                </c:pt>
                <c:pt idx="684">
                  <c:v>40771</c:v>
                </c:pt>
                <c:pt idx="685">
                  <c:v>40772</c:v>
                </c:pt>
                <c:pt idx="686">
                  <c:v>40773</c:v>
                </c:pt>
                <c:pt idx="687">
                  <c:v>40774</c:v>
                </c:pt>
                <c:pt idx="688">
                  <c:v>40777</c:v>
                </c:pt>
                <c:pt idx="689">
                  <c:v>40778</c:v>
                </c:pt>
                <c:pt idx="690">
                  <c:v>40779</c:v>
                </c:pt>
                <c:pt idx="691">
                  <c:v>40780</c:v>
                </c:pt>
                <c:pt idx="692">
                  <c:v>40781</c:v>
                </c:pt>
                <c:pt idx="693">
                  <c:v>40784</c:v>
                </c:pt>
                <c:pt idx="694">
                  <c:v>40785</c:v>
                </c:pt>
                <c:pt idx="695">
                  <c:v>40786</c:v>
                </c:pt>
                <c:pt idx="696">
                  <c:v>40787</c:v>
                </c:pt>
                <c:pt idx="697">
                  <c:v>40788</c:v>
                </c:pt>
                <c:pt idx="698">
                  <c:v>40791</c:v>
                </c:pt>
                <c:pt idx="699">
                  <c:v>40792</c:v>
                </c:pt>
                <c:pt idx="700">
                  <c:v>40793</c:v>
                </c:pt>
                <c:pt idx="701">
                  <c:v>40794</c:v>
                </c:pt>
                <c:pt idx="702">
                  <c:v>40795</c:v>
                </c:pt>
                <c:pt idx="703">
                  <c:v>40798</c:v>
                </c:pt>
                <c:pt idx="704">
                  <c:v>40799</c:v>
                </c:pt>
                <c:pt idx="705">
                  <c:v>40800</c:v>
                </c:pt>
                <c:pt idx="706">
                  <c:v>40801</c:v>
                </c:pt>
                <c:pt idx="707">
                  <c:v>40802</c:v>
                </c:pt>
                <c:pt idx="708">
                  <c:v>40805</c:v>
                </c:pt>
                <c:pt idx="709">
                  <c:v>40806</c:v>
                </c:pt>
                <c:pt idx="710">
                  <c:v>40807</c:v>
                </c:pt>
                <c:pt idx="711">
                  <c:v>40808</c:v>
                </c:pt>
                <c:pt idx="712">
                  <c:v>40809</c:v>
                </c:pt>
                <c:pt idx="713">
                  <c:v>40812</c:v>
                </c:pt>
                <c:pt idx="714">
                  <c:v>40813</c:v>
                </c:pt>
                <c:pt idx="715">
                  <c:v>40814</c:v>
                </c:pt>
                <c:pt idx="716">
                  <c:v>40815</c:v>
                </c:pt>
                <c:pt idx="717">
                  <c:v>40816</c:v>
                </c:pt>
                <c:pt idx="718">
                  <c:v>40819</c:v>
                </c:pt>
                <c:pt idx="719">
                  <c:v>40820</c:v>
                </c:pt>
                <c:pt idx="720">
                  <c:v>40821</c:v>
                </c:pt>
                <c:pt idx="721">
                  <c:v>40822</c:v>
                </c:pt>
                <c:pt idx="722">
                  <c:v>40823</c:v>
                </c:pt>
                <c:pt idx="723">
                  <c:v>40826</c:v>
                </c:pt>
                <c:pt idx="724">
                  <c:v>40827</c:v>
                </c:pt>
                <c:pt idx="725">
                  <c:v>40828</c:v>
                </c:pt>
                <c:pt idx="726">
                  <c:v>40829</c:v>
                </c:pt>
                <c:pt idx="727">
                  <c:v>40830</c:v>
                </c:pt>
                <c:pt idx="728">
                  <c:v>40833</c:v>
                </c:pt>
                <c:pt idx="729">
                  <c:v>40834</c:v>
                </c:pt>
                <c:pt idx="730">
                  <c:v>40835</c:v>
                </c:pt>
                <c:pt idx="731">
                  <c:v>40836</c:v>
                </c:pt>
                <c:pt idx="732">
                  <c:v>40837</c:v>
                </c:pt>
                <c:pt idx="733">
                  <c:v>40840</c:v>
                </c:pt>
                <c:pt idx="734">
                  <c:v>40841</c:v>
                </c:pt>
                <c:pt idx="735">
                  <c:v>40842</c:v>
                </c:pt>
                <c:pt idx="736">
                  <c:v>40843</c:v>
                </c:pt>
                <c:pt idx="737">
                  <c:v>40844</c:v>
                </c:pt>
                <c:pt idx="738">
                  <c:v>40847</c:v>
                </c:pt>
                <c:pt idx="739">
                  <c:v>40848</c:v>
                </c:pt>
                <c:pt idx="740">
                  <c:v>40849</c:v>
                </c:pt>
                <c:pt idx="741">
                  <c:v>40850</c:v>
                </c:pt>
                <c:pt idx="742">
                  <c:v>40851</c:v>
                </c:pt>
                <c:pt idx="743">
                  <c:v>40854</c:v>
                </c:pt>
                <c:pt idx="744">
                  <c:v>40855</c:v>
                </c:pt>
                <c:pt idx="745">
                  <c:v>40856</c:v>
                </c:pt>
                <c:pt idx="746">
                  <c:v>40857</c:v>
                </c:pt>
                <c:pt idx="747">
                  <c:v>40858</c:v>
                </c:pt>
                <c:pt idx="748">
                  <c:v>40861</c:v>
                </c:pt>
                <c:pt idx="749">
                  <c:v>40862</c:v>
                </c:pt>
                <c:pt idx="750">
                  <c:v>40863</c:v>
                </c:pt>
                <c:pt idx="751">
                  <c:v>40864</c:v>
                </c:pt>
                <c:pt idx="752">
                  <c:v>40865</c:v>
                </c:pt>
                <c:pt idx="753">
                  <c:v>40868</c:v>
                </c:pt>
                <c:pt idx="754">
                  <c:v>40869</c:v>
                </c:pt>
                <c:pt idx="755">
                  <c:v>40870</c:v>
                </c:pt>
                <c:pt idx="756">
                  <c:v>40871</c:v>
                </c:pt>
                <c:pt idx="757">
                  <c:v>40872</c:v>
                </c:pt>
                <c:pt idx="758">
                  <c:v>40875</c:v>
                </c:pt>
                <c:pt idx="759">
                  <c:v>40876</c:v>
                </c:pt>
                <c:pt idx="760">
                  <c:v>40877</c:v>
                </c:pt>
                <c:pt idx="761">
                  <c:v>40878</c:v>
                </c:pt>
                <c:pt idx="762">
                  <c:v>40879</c:v>
                </c:pt>
                <c:pt idx="763">
                  <c:v>40882</c:v>
                </c:pt>
                <c:pt idx="764">
                  <c:v>40883</c:v>
                </c:pt>
                <c:pt idx="765">
                  <c:v>40884</c:v>
                </c:pt>
                <c:pt idx="766">
                  <c:v>40885</c:v>
                </c:pt>
                <c:pt idx="767">
                  <c:v>40886</c:v>
                </c:pt>
                <c:pt idx="768">
                  <c:v>40889</c:v>
                </c:pt>
                <c:pt idx="769">
                  <c:v>40890</c:v>
                </c:pt>
                <c:pt idx="770">
                  <c:v>40891</c:v>
                </c:pt>
                <c:pt idx="771">
                  <c:v>40892</c:v>
                </c:pt>
                <c:pt idx="772">
                  <c:v>40893</c:v>
                </c:pt>
                <c:pt idx="773">
                  <c:v>40896</c:v>
                </c:pt>
                <c:pt idx="774">
                  <c:v>40897</c:v>
                </c:pt>
                <c:pt idx="775">
                  <c:v>40898</c:v>
                </c:pt>
                <c:pt idx="776">
                  <c:v>40899</c:v>
                </c:pt>
                <c:pt idx="777">
                  <c:v>40900</c:v>
                </c:pt>
                <c:pt idx="778">
                  <c:v>40903</c:v>
                </c:pt>
                <c:pt idx="779">
                  <c:v>40904</c:v>
                </c:pt>
                <c:pt idx="780">
                  <c:v>40905</c:v>
                </c:pt>
                <c:pt idx="781">
                  <c:v>40906</c:v>
                </c:pt>
                <c:pt idx="782">
                  <c:v>40907</c:v>
                </c:pt>
                <c:pt idx="783">
                  <c:v>40910</c:v>
                </c:pt>
                <c:pt idx="784">
                  <c:v>40911</c:v>
                </c:pt>
                <c:pt idx="785">
                  <c:v>40912</c:v>
                </c:pt>
                <c:pt idx="786">
                  <c:v>40913</c:v>
                </c:pt>
                <c:pt idx="787">
                  <c:v>40914</c:v>
                </c:pt>
                <c:pt idx="788">
                  <c:v>40917</c:v>
                </c:pt>
                <c:pt idx="789">
                  <c:v>40918</c:v>
                </c:pt>
                <c:pt idx="790">
                  <c:v>40919</c:v>
                </c:pt>
                <c:pt idx="791">
                  <c:v>40920</c:v>
                </c:pt>
                <c:pt idx="792">
                  <c:v>40921</c:v>
                </c:pt>
                <c:pt idx="793">
                  <c:v>40924</c:v>
                </c:pt>
                <c:pt idx="794">
                  <c:v>40925</c:v>
                </c:pt>
                <c:pt idx="795">
                  <c:v>40926</c:v>
                </c:pt>
                <c:pt idx="796">
                  <c:v>40927</c:v>
                </c:pt>
                <c:pt idx="797">
                  <c:v>40928</c:v>
                </c:pt>
                <c:pt idx="798">
                  <c:v>40931</c:v>
                </c:pt>
                <c:pt idx="799">
                  <c:v>40932</c:v>
                </c:pt>
                <c:pt idx="800">
                  <c:v>40933</c:v>
                </c:pt>
                <c:pt idx="801">
                  <c:v>40934</c:v>
                </c:pt>
                <c:pt idx="802">
                  <c:v>40935</c:v>
                </c:pt>
                <c:pt idx="803">
                  <c:v>40938</c:v>
                </c:pt>
                <c:pt idx="804">
                  <c:v>40939</c:v>
                </c:pt>
                <c:pt idx="805">
                  <c:v>40940</c:v>
                </c:pt>
                <c:pt idx="806">
                  <c:v>40941</c:v>
                </c:pt>
                <c:pt idx="807">
                  <c:v>40942</c:v>
                </c:pt>
                <c:pt idx="808">
                  <c:v>40945</c:v>
                </c:pt>
                <c:pt idx="809">
                  <c:v>40946</c:v>
                </c:pt>
                <c:pt idx="810">
                  <c:v>40947</c:v>
                </c:pt>
                <c:pt idx="811">
                  <c:v>40948</c:v>
                </c:pt>
                <c:pt idx="812">
                  <c:v>40949</c:v>
                </c:pt>
                <c:pt idx="813">
                  <c:v>40952</c:v>
                </c:pt>
                <c:pt idx="814">
                  <c:v>40953</c:v>
                </c:pt>
                <c:pt idx="815">
                  <c:v>40954</c:v>
                </c:pt>
                <c:pt idx="816">
                  <c:v>40955</c:v>
                </c:pt>
                <c:pt idx="817">
                  <c:v>40956</c:v>
                </c:pt>
                <c:pt idx="818">
                  <c:v>40959</c:v>
                </c:pt>
                <c:pt idx="819">
                  <c:v>40960</c:v>
                </c:pt>
                <c:pt idx="820">
                  <c:v>40961</c:v>
                </c:pt>
                <c:pt idx="821">
                  <c:v>40962</c:v>
                </c:pt>
                <c:pt idx="822">
                  <c:v>40963</c:v>
                </c:pt>
                <c:pt idx="823">
                  <c:v>40966</c:v>
                </c:pt>
                <c:pt idx="824">
                  <c:v>40967</c:v>
                </c:pt>
                <c:pt idx="825">
                  <c:v>40968</c:v>
                </c:pt>
                <c:pt idx="826">
                  <c:v>40969</c:v>
                </c:pt>
                <c:pt idx="827">
                  <c:v>40970</c:v>
                </c:pt>
                <c:pt idx="828">
                  <c:v>40973</c:v>
                </c:pt>
                <c:pt idx="829">
                  <c:v>40974</c:v>
                </c:pt>
                <c:pt idx="830">
                  <c:v>40975</c:v>
                </c:pt>
                <c:pt idx="831">
                  <c:v>40976</c:v>
                </c:pt>
                <c:pt idx="832">
                  <c:v>40977</c:v>
                </c:pt>
                <c:pt idx="833">
                  <c:v>40980</c:v>
                </c:pt>
                <c:pt idx="834">
                  <c:v>40981</c:v>
                </c:pt>
                <c:pt idx="835">
                  <c:v>40982</c:v>
                </c:pt>
                <c:pt idx="836">
                  <c:v>40983</c:v>
                </c:pt>
                <c:pt idx="837">
                  <c:v>40984</c:v>
                </c:pt>
                <c:pt idx="838">
                  <c:v>40987</c:v>
                </c:pt>
                <c:pt idx="839">
                  <c:v>40988</c:v>
                </c:pt>
                <c:pt idx="840">
                  <c:v>40989</c:v>
                </c:pt>
                <c:pt idx="841">
                  <c:v>40990</c:v>
                </c:pt>
                <c:pt idx="842">
                  <c:v>40991</c:v>
                </c:pt>
                <c:pt idx="843">
                  <c:v>40994</c:v>
                </c:pt>
                <c:pt idx="844">
                  <c:v>40995</c:v>
                </c:pt>
                <c:pt idx="845">
                  <c:v>40996</c:v>
                </c:pt>
                <c:pt idx="846">
                  <c:v>40997</c:v>
                </c:pt>
                <c:pt idx="847">
                  <c:v>40998</c:v>
                </c:pt>
                <c:pt idx="848">
                  <c:v>41001</c:v>
                </c:pt>
                <c:pt idx="849">
                  <c:v>41002</c:v>
                </c:pt>
                <c:pt idx="850">
                  <c:v>41003</c:v>
                </c:pt>
                <c:pt idx="851">
                  <c:v>41004</c:v>
                </c:pt>
                <c:pt idx="852">
                  <c:v>41005</c:v>
                </c:pt>
                <c:pt idx="853">
                  <c:v>41008</c:v>
                </c:pt>
                <c:pt idx="854">
                  <c:v>41009</c:v>
                </c:pt>
                <c:pt idx="855">
                  <c:v>41010</c:v>
                </c:pt>
                <c:pt idx="856">
                  <c:v>41011</c:v>
                </c:pt>
                <c:pt idx="857">
                  <c:v>41012</c:v>
                </c:pt>
                <c:pt idx="858">
                  <c:v>41015</c:v>
                </c:pt>
                <c:pt idx="859">
                  <c:v>41016</c:v>
                </c:pt>
                <c:pt idx="860">
                  <c:v>41017</c:v>
                </c:pt>
                <c:pt idx="861">
                  <c:v>41018</c:v>
                </c:pt>
                <c:pt idx="862">
                  <c:v>41019</c:v>
                </c:pt>
                <c:pt idx="863">
                  <c:v>41022</c:v>
                </c:pt>
                <c:pt idx="864">
                  <c:v>41023</c:v>
                </c:pt>
                <c:pt idx="865">
                  <c:v>41024</c:v>
                </c:pt>
                <c:pt idx="866">
                  <c:v>41025</c:v>
                </c:pt>
                <c:pt idx="867">
                  <c:v>41026</c:v>
                </c:pt>
                <c:pt idx="868">
                  <c:v>41029</c:v>
                </c:pt>
                <c:pt idx="869">
                  <c:v>41030</c:v>
                </c:pt>
                <c:pt idx="870">
                  <c:v>41031</c:v>
                </c:pt>
                <c:pt idx="871">
                  <c:v>41032</c:v>
                </c:pt>
                <c:pt idx="872">
                  <c:v>41033</c:v>
                </c:pt>
                <c:pt idx="873">
                  <c:v>41036</c:v>
                </c:pt>
                <c:pt idx="874">
                  <c:v>41037</c:v>
                </c:pt>
                <c:pt idx="875">
                  <c:v>41038</c:v>
                </c:pt>
                <c:pt idx="876">
                  <c:v>41039</c:v>
                </c:pt>
                <c:pt idx="877">
                  <c:v>41040</c:v>
                </c:pt>
                <c:pt idx="878">
                  <c:v>41043</c:v>
                </c:pt>
                <c:pt idx="879">
                  <c:v>41044</c:v>
                </c:pt>
                <c:pt idx="880">
                  <c:v>41045</c:v>
                </c:pt>
                <c:pt idx="881">
                  <c:v>41046</c:v>
                </c:pt>
                <c:pt idx="882">
                  <c:v>41047</c:v>
                </c:pt>
                <c:pt idx="883">
                  <c:v>41050</c:v>
                </c:pt>
                <c:pt idx="884">
                  <c:v>41051</c:v>
                </c:pt>
                <c:pt idx="885">
                  <c:v>41052</c:v>
                </c:pt>
                <c:pt idx="886">
                  <c:v>41053</c:v>
                </c:pt>
                <c:pt idx="887">
                  <c:v>41054</c:v>
                </c:pt>
                <c:pt idx="888">
                  <c:v>41057</c:v>
                </c:pt>
                <c:pt idx="889">
                  <c:v>41058</c:v>
                </c:pt>
                <c:pt idx="890">
                  <c:v>41059</c:v>
                </c:pt>
                <c:pt idx="891">
                  <c:v>41060</c:v>
                </c:pt>
                <c:pt idx="892">
                  <c:v>41061</c:v>
                </c:pt>
                <c:pt idx="893">
                  <c:v>41064</c:v>
                </c:pt>
                <c:pt idx="894">
                  <c:v>41065</c:v>
                </c:pt>
                <c:pt idx="895">
                  <c:v>41066</c:v>
                </c:pt>
                <c:pt idx="896">
                  <c:v>41067</c:v>
                </c:pt>
                <c:pt idx="897">
                  <c:v>41068</c:v>
                </c:pt>
                <c:pt idx="898">
                  <c:v>41071</c:v>
                </c:pt>
                <c:pt idx="899">
                  <c:v>41072</c:v>
                </c:pt>
                <c:pt idx="900">
                  <c:v>41073</c:v>
                </c:pt>
                <c:pt idx="901">
                  <c:v>41074</c:v>
                </c:pt>
                <c:pt idx="902">
                  <c:v>41075</c:v>
                </c:pt>
                <c:pt idx="903">
                  <c:v>41078</c:v>
                </c:pt>
                <c:pt idx="904">
                  <c:v>41079</c:v>
                </c:pt>
                <c:pt idx="905">
                  <c:v>41080</c:v>
                </c:pt>
                <c:pt idx="906">
                  <c:v>41081</c:v>
                </c:pt>
                <c:pt idx="907">
                  <c:v>41082</c:v>
                </c:pt>
                <c:pt idx="908">
                  <c:v>41085</c:v>
                </c:pt>
                <c:pt idx="909">
                  <c:v>41086</c:v>
                </c:pt>
                <c:pt idx="910">
                  <c:v>41087</c:v>
                </c:pt>
                <c:pt idx="911">
                  <c:v>41088</c:v>
                </c:pt>
                <c:pt idx="912">
                  <c:v>41089</c:v>
                </c:pt>
                <c:pt idx="913">
                  <c:v>41092</c:v>
                </c:pt>
                <c:pt idx="914">
                  <c:v>41093</c:v>
                </c:pt>
                <c:pt idx="915">
                  <c:v>41094</c:v>
                </c:pt>
                <c:pt idx="916">
                  <c:v>41095</c:v>
                </c:pt>
                <c:pt idx="917">
                  <c:v>41096</c:v>
                </c:pt>
                <c:pt idx="918">
                  <c:v>41099</c:v>
                </c:pt>
                <c:pt idx="919">
                  <c:v>41100</c:v>
                </c:pt>
                <c:pt idx="920">
                  <c:v>41101</c:v>
                </c:pt>
                <c:pt idx="921">
                  <c:v>41102</c:v>
                </c:pt>
                <c:pt idx="922">
                  <c:v>41103</c:v>
                </c:pt>
                <c:pt idx="923">
                  <c:v>41106</c:v>
                </c:pt>
                <c:pt idx="924">
                  <c:v>41107</c:v>
                </c:pt>
                <c:pt idx="925">
                  <c:v>41108</c:v>
                </c:pt>
                <c:pt idx="926">
                  <c:v>41109</c:v>
                </c:pt>
                <c:pt idx="927">
                  <c:v>41110</c:v>
                </c:pt>
                <c:pt idx="928">
                  <c:v>41113</c:v>
                </c:pt>
                <c:pt idx="929">
                  <c:v>41114</c:v>
                </c:pt>
                <c:pt idx="930">
                  <c:v>41115</c:v>
                </c:pt>
                <c:pt idx="931">
                  <c:v>41116</c:v>
                </c:pt>
                <c:pt idx="932">
                  <c:v>41117</c:v>
                </c:pt>
                <c:pt idx="933">
                  <c:v>41120</c:v>
                </c:pt>
                <c:pt idx="934">
                  <c:v>41121</c:v>
                </c:pt>
                <c:pt idx="935">
                  <c:v>41122</c:v>
                </c:pt>
                <c:pt idx="936">
                  <c:v>41123</c:v>
                </c:pt>
                <c:pt idx="937">
                  <c:v>41124</c:v>
                </c:pt>
                <c:pt idx="938">
                  <c:v>41127</c:v>
                </c:pt>
                <c:pt idx="939">
                  <c:v>41128</c:v>
                </c:pt>
                <c:pt idx="940">
                  <c:v>41129</c:v>
                </c:pt>
                <c:pt idx="941">
                  <c:v>41130</c:v>
                </c:pt>
                <c:pt idx="942">
                  <c:v>41131</c:v>
                </c:pt>
                <c:pt idx="943">
                  <c:v>41134</c:v>
                </c:pt>
                <c:pt idx="944">
                  <c:v>41135</c:v>
                </c:pt>
                <c:pt idx="945">
                  <c:v>41136</c:v>
                </c:pt>
                <c:pt idx="946">
                  <c:v>41137</c:v>
                </c:pt>
                <c:pt idx="947">
                  <c:v>41138</c:v>
                </c:pt>
                <c:pt idx="948">
                  <c:v>41141</c:v>
                </c:pt>
                <c:pt idx="949">
                  <c:v>41142</c:v>
                </c:pt>
                <c:pt idx="950">
                  <c:v>41143</c:v>
                </c:pt>
                <c:pt idx="951">
                  <c:v>41144</c:v>
                </c:pt>
                <c:pt idx="952">
                  <c:v>41145</c:v>
                </c:pt>
                <c:pt idx="953">
                  <c:v>41148</c:v>
                </c:pt>
                <c:pt idx="954">
                  <c:v>41149</c:v>
                </c:pt>
                <c:pt idx="955">
                  <c:v>41150</c:v>
                </c:pt>
                <c:pt idx="956">
                  <c:v>41151</c:v>
                </c:pt>
                <c:pt idx="957">
                  <c:v>41152</c:v>
                </c:pt>
                <c:pt idx="958">
                  <c:v>41155</c:v>
                </c:pt>
                <c:pt idx="959">
                  <c:v>41156</c:v>
                </c:pt>
                <c:pt idx="960">
                  <c:v>41157</c:v>
                </c:pt>
                <c:pt idx="961">
                  <c:v>41158</c:v>
                </c:pt>
                <c:pt idx="962">
                  <c:v>41159</c:v>
                </c:pt>
                <c:pt idx="963">
                  <c:v>41162</c:v>
                </c:pt>
                <c:pt idx="964">
                  <c:v>41163</c:v>
                </c:pt>
                <c:pt idx="965">
                  <c:v>41164</c:v>
                </c:pt>
                <c:pt idx="966">
                  <c:v>41165</c:v>
                </c:pt>
                <c:pt idx="967">
                  <c:v>41166</c:v>
                </c:pt>
                <c:pt idx="968">
                  <c:v>41169</c:v>
                </c:pt>
                <c:pt idx="969">
                  <c:v>41170</c:v>
                </c:pt>
                <c:pt idx="970">
                  <c:v>41171</c:v>
                </c:pt>
                <c:pt idx="971">
                  <c:v>41172</c:v>
                </c:pt>
                <c:pt idx="972">
                  <c:v>41173</c:v>
                </c:pt>
                <c:pt idx="973">
                  <c:v>41176</c:v>
                </c:pt>
                <c:pt idx="974">
                  <c:v>41177</c:v>
                </c:pt>
                <c:pt idx="975">
                  <c:v>41178</c:v>
                </c:pt>
                <c:pt idx="976">
                  <c:v>41179</c:v>
                </c:pt>
                <c:pt idx="977">
                  <c:v>41180</c:v>
                </c:pt>
                <c:pt idx="978">
                  <c:v>41183</c:v>
                </c:pt>
                <c:pt idx="979">
                  <c:v>41184</c:v>
                </c:pt>
                <c:pt idx="980">
                  <c:v>41185</c:v>
                </c:pt>
                <c:pt idx="981">
                  <c:v>41186</c:v>
                </c:pt>
                <c:pt idx="982">
                  <c:v>41187</c:v>
                </c:pt>
                <c:pt idx="983">
                  <c:v>41190</c:v>
                </c:pt>
                <c:pt idx="984">
                  <c:v>41191</c:v>
                </c:pt>
                <c:pt idx="985">
                  <c:v>41192</c:v>
                </c:pt>
                <c:pt idx="986">
                  <c:v>41193</c:v>
                </c:pt>
                <c:pt idx="987">
                  <c:v>41194</c:v>
                </c:pt>
                <c:pt idx="988">
                  <c:v>41197</c:v>
                </c:pt>
                <c:pt idx="989">
                  <c:v>41198</c:v>
                </c:pt>
                <c:pt idx="990">
                  <c:v>41199</c:v>
                </c:pt>
                <c:pt idx="991">
                  <c:v>41200</c:v>
                </c:pt>
                <c:pt idx="992">
                  <c:v>41201</c:v>
                </c:pt>
                <c:pt idx="993">
                  <c:v>41204</c:v>
                </c:pt>
                <c:pt idx="994">
                  <c:v>41205</c:v>
                </c:pt>
                <c:pt idx="995">
                  <c:v>41206</c:v>
                </c:pt>
                <c:pt idx="996">
                  <c:v>41207</c:v>
                </c:pt>
                <c:pt idx="997">
                  <c:v>41208</c:v>
                </c:pt>
                <c:pt idx="998">
                  <c:v>41211</c:v>
                </c:pt>
                <c:pt idx="999">
                  <c:v>41212</c:v>
                </c:pt>
                <c:pt idx="1000">
                  <c:v>41213</c:v>
                </c:pt>
                <c:pt idx="1001">
                  <c:v>41214</c:v>
                </c:pt>
                <c:pt idx="1002">
                  <c:v>41215</c:v>
                </c:pt>
                <c:pt idx="1003">
                  <c:v>41218</c:v>
                </c:pt>
                <c:pt idx="1004">
                  <c:v>41219</c:v>
                </c:pt>
                <c:pt idx="1005">
                  <c:v>41220</c:v>
                </c:pt>
                <c:pt idx="1006">
                  <c:v>41221</c:v>
                </c:pt>
                <c:pt idx="1007">
                  <c:v>41222</c:v>
                </c:pt>
                <c:pt idx="1008">
                  <c:v>41225</c:v>
                </c:pt>
                <c:pt idx="1009">
                  <c:v>41226</c:v>
                </c:pt>
                <c:pt idx="1010">
                  <c:v>41227</c:v>
                </c:pt>
                <c:pt idx="1011">
                  <c:v>41228</c:v>
                </c:pt>
                <c:pt idx="1012">
                  <c:v>41229</c:v>
                </c:pt>
                <c:pt idx="1013">
                  <c:v>41232</c:v>
                </c:pt>
                <c:pt idx="1014">
                  <c:v>41233</c:v>
                </c:pt>
                <c:pt idx="1015">
                  <c:v>41234</c:v>
                </c:pt>
                <c:pt idx="1016">
                  <c:v>41235</c:v>
                </c:pt>
                <c:pt idx="1017">
                  <c:v>41236</c:v>
                </c:pt>
                <c:pt idx="1018">
                  <c:v>41239</c:v>
                </c:pt>
                <c:pt idx="1019">
                  <c:v>41240</c:v>
                </c:pt>
                <c:pt idx="1020">
                  <c:v>41241</c:v>
                </c:pt>
                <c:pt idx="1021">
                  <c:v>41242</c:v>
                </c:pt>
                <c:pt idx="1022">
                  <c:v>41243</c:v>
                </c:pt>
                <c:pt idx="1023">
                  <c:v>41246</c:v>
                </c:pt>
                <c:pt idx="1024">
                  <c:v>41247</c:v>
                </c:pt>
                <c:pt idx="1025">
                  <c:v>41248</c:v>
                </c:pt>
                <c:pt idx="1026">
                  <c:v>41249</c:v>
                </c:pt>
                <c:pt idx="1027">
                  <c:v>41250</c:v>
                </c:pt>
                <c:pt idx="1028">
                  <c:v>41253</c:v>
                </c:pt>
                <c:pt idx="1029">
                  <c:v>41254</c:v>
                </c:pt>
                <c:pt idx="1030">
                  <c:v>41255</c:v>
                </c:pt>
                <c:pt idx="1031">
                  <c:v>41256</c:v>
                </c:pt>
                <c:pt idx="1032">
                  <c:v>41257</c:v>
                </c:pt>
                <c:pt idx="1033">
                  <c:v>41260</c:v>
                </c:pt>
                <c:pt idx="1034">
                  <c:v>41261</c:v>
                </c:pt>
                <c:pt idx="1035">
                  <c:v>41262</c:v>
                </c:pt>
                <c:pt idx="1036">
                  <c:v>41263</c:v>
                </c:pt>
                <c:pt idx="1037">
                  <c:v>41264</c:v>
                </c:pt>
                <c:pt idx="1038">
                  <c:v>41267</c:v>
                </c:pt>
                <c:pt idx="1039">
                  <c:v>41268</c:v>
                </c:pt>
                <c:pt idx="1040">
                  <c:v>41269</c:v>
                </c:pt>
                <c:pt idx="1041">
                  <c:v>41270</c:v>
                </c:pt>
                <c:pt idx="1042">
                  <c:v>41271</c:v>
                </c:pt>
                <c:pt idx="1043">
                  <c:v>41274</c:v>
                </c:pt>
                <c:pt idx="1044">
                  <c:v>41275</c:v>
                </c:pt>
                <c:pt idx="1045">
                  <c:v>41276</c:v>
                </c:pt>
                <c:pt idx="1046">
                  <c:v>41277</c:v>
                </c:pt>
                <c:pt idx="1047">
                  <c:v>41278</c:v>
                </c:pt>
                <c:pt idx="1048">
                  <c:v>41281</c:v>
                </c:pt>
                <c:pt idx="1049">
                  <c:v>41282</c:v>
                </c:pt>
                <c:pt idx="1050">
                  <c:v>41283</c:v>
                </c:pt>
                <c:pt idx="1051">
                  <c:v>41284</c:v>
                </c:pt>
                <c:pt idx="1052">
                  <c:v>41285</c:v>
                </c:pt>
                <c:pt idx="1053">
                  <c:v>41288</c:v>
                </c:pt>
                <c:pt idx="1054">
                  <c:v>41289</c:v>
                </c:pt>
                <c:pt idx="1055">
                  <c:v>41290</c:v>
                </c:pt>
                <c:pt idx="1056">
                  <c:v>41291</c:v>
                </c:pt>
                <c:pt idx="1057">
                  <c:v>41292</c:v>
                </c:pt>
                <c:pt idx="1058">
                  <c:v>41295</c:v>
                </c:pt>
                <c:pt idx="1059">
                  <c:v>41296</c:v>
                </c:pt>
                <c:pt idx="1060">
                  <c:v>41297</c:v>
                </c:pt>
                <c:pt idx="1061">
                  <c:v>41298</c:v>
                </c:pt>
                <c:pt idx="1062">
                  <c:v>41299</c:v>
                </c:pt>
                <c:pt idx="1063">
                  <c:v>41302</c:v>
                </c:pt>
                <c:pt idx="1064">
                  <c:v>41303</c:v>
                </c:pt>
                <c:pt idx="1065">
                  <c:v>41304</c:v>
                </c:pt>
                <c:pt idx="1066">
                  <c:v>41305</c:v>
                </c:pt>
                <c:pt idx="1067">
                  <c:v>41306</c:v>
                </c:pt>
                <c:pt idx="1068">
                  <c:v>41309</c:v>
                </c:pt>
                <c:pt idx="1069">
                  <c:v>41310</c:v>
                </c:pt>
                <c:pt idx="1070">
                  <c:v>41311</c:v>
                </c:pt>
                <c:pt idx="1071">
                  <c:v>41312</c:v>
                </c:pt>
                <c:pt idx="1072">
                  <c:v>41313</c:v>
                </c:pt>
                <c:pt idx="1073">
                  <c:v>41316</c:v>
                </c:pt>
                <c:pt idx="1074">
                  <c:v>41317</c:v>
                </c:pt>
                <c:pt idx="1075">
                  <c:v>41318</c:v>
                </c:pt>
                <c:pt idx="1076">
                  <c:v>41319</c:v>
                </c:pt>
                <c:pt idx="1077">
                  <c:v>41320</c:v>
                </c:pt>
                <c:pt idx="1078">
                  <c:v>41323</c:v>
                </c:pt>
                <c:pt idx="1079">
                  <c:v>41324</c:v>
                </c:pt>
                <c:pt idx="1080">
                  <c:v>41325</c:v>
                </c:pt>
                <c:pt idx="1081">
                  <c:v>41326</c:v>
                </c:pt>
                <c:pt idx="1082">
                  <c:v>41327</c:v>
                </c:pt>
                <c:pt idx="1083">
                  <c:v>41330</c:v>
                </c:pt>
                <c:pt idx="1084">
                  <c:v>41331</c:v>
                </c:pt>
                <c:pt idx="1085">
                  <c:v>41332</c:v>
                </c:pt>
                <c:pt idx="1086">
                  <c:v>41333</c:v>
                </c:pt>
                <c:pt idx="1087">
                  <c:v>41334</c:v>
                </c:pt>
                <c:pt idx="1088">
                  <c:v>41337</c:v>
                </c:pt>
                <c:pt idx="1089">
                  <c:v>41338</c:v>
                </c:pt>
                <c:pt idx="1090">
                  <c:v>41339</c:v>
                </c:pt>
                <c:pt idx="1091">
                  <c:v>41340</c:v>
                </c:pt>
                <c:pt idx="1092">
                  <c:v>41341</c:v>
                </c:pt>
                <c:pt idx="1093">
                  <c:v>41344</c:v>
                </c:pt>
                <c:pt idx="1094">
                  <c:v>41345</c:v>
                </c:pt>
                <c:pt idx="1095">
                  <c:v>41346</c:v>
                </c:pt>
                <c:pt idx="1096">
                  <c:v>41347</c:v>
                </c:pt>
                <c:pt idx="1097">
                  <c:v>41348</c:v>
                </c:pt>
                <c:pt idx="1098">
                  <c:v>41351</c:v>
                </c:pt>
                <c:pt idx="1099">
                  <c:v>41352</c:v>
                </c:pt>
                <c:pt idx="1100">
                  <c:v>41353</c:v>
                </c:pt>
                <c:pt idx="1101">
                  <c:v>41354</c:v>
                </c:pt>
                <c:pt idx="1102">
                  <c:v>41355</c:v>
                </c:pt>
                <c:pt idx="1103">
                  <c:v>41358</c:v>
                </c:pt>
                <c:pt idx="1104">
                  <c:v>41359</c:v>
                </c:pt>
                <c:pt idx="1105">
                  <c:v>41360</c:v>
                </c:pt>
                <c:pt idx="1106">
                  <c:v>41361</c:v>
                </c:pt>
                <c:pt idx="1107">
                  <c:v>41362</c:v>
                </c:pt>
                <c:pt idx="1108">
                  <c:v>41365</c:v>
                </c:pt>
                <c:pt idx="1109">
                  <c:v>41366</c:v>
                </c:pt>
                <c:pt idx="1110">
                  <c:v>41367</c:v>
                </c:pt>
                <c:pt idx="1111">
                  <c:v>41368</c:v>
                </c:pt>
                <c:pt idx="1112">
                  <c:v>41369</c:v>
                </c:pt>
                <c:pt idx="1113">
                  <c:v>41372</c:v>
                </c:pt>
                <c:pt idx="1114">
                  <c:v>41373</c:v>
                </c:pt>
                <c:pt idx="1115">
                  <c:v>41374</c:v>
                </c:pt>
                <c:pt idx="1116">
                  <c:v>41375</c:v>
                </c:pt>
                <c:pt idx="1117">
                  <c:v>41376</c:v>
                </c:pt>
                <c:pt idx="1118">
                  <c:v>41379</c:v>
                </c:pt>
                <c:pt idx="1119">
                  <c:v>41380</c:v>
                </c:pt>
                <c:pt idx="1120">
                  <c:v>41381</c:v>
                </c:pt>
                <c:pt idx="1121">
                  <c:v>41382</c:v>
                </c:pt>
                <c:pt idx="1122">
                  <c:v>41383</c:v>
                </c:pt>
                <c:pt idx="1123">
                  <c:v>41386</c:v>
                </c:pt>
                <c:pt idx="1124">
                  <c:v>41387</c:v>
                </c:pt>
                <c:pt idx="1125">
                  <c:v>41388</c:v>
                </c:pt>
                <c:pt idx="1126">
                  <c:v>41389</c:v>
                </c:pt>
                <c:pt idx="1127">
                  <c:v>41390</c:v>
                </c:pt>
                <c:pt idx="1128">
                  <c:v>41393</c:v>
                </c:pt>
                <c:pt idx="1129">
                  <c:v>41394</c:v>
                </c:pt>
                <c:pt idx="1130">
                  <c:v>41395</c:v>
                </c:pt>
                <c:pt idx="1131">
                  <c:v>41396</c:v>
                </c:pt>
                <c:pt idx="1132">
                  <c:v>41397</c:v>
                </c:pt>
                <c:pt idx="1133">
                  <c:v>41400</c:v>
                </c:pt>
                <c:pt idx="1134">
                  <c:v>41401</c:v>
                </c:pt>
                <c:pt idx="1135">
                  <c:v>41402</c:v>
                </c:pt>
                <c:pt idx="1136">
                  <c:v>41403</c:v>
                </c:pt>
                <c:pt idx="1137">
                  <c:v>41404</c:v>
                </c:pt>
                <c:pt idx="1138">
                  <c:v>41407</c:v>
                </c:pt>
                <c:pt idx="1139">
                  <c:v>41408</c:v>
                </c:pt>
                <c:pt idx="1140">
                  <c:v>41409</c:v>
                </c:pt>
                <c:pt idx="1141">
                  <c:v>41410</c:v>
                </c:pt>
                <c:pt idx="1142">
                  <c:v>41411</c:v>
                </c:pt>
                <c:pt idx="1143">
                  <c:v>41414</c:v>
                </c:pt>
                <c:pt idx="1144">
                  <c:v>41415</c:v>
                </c:pt>
                <c:pt idx="1145">
                  <c:v>41416</c:v>
                </c:pt>
                <c:pt idx="1146">
                  <c:v>41417</c:v>
                </c:pt>
                <c:pt idx="1147">
                  <c:v>41418</c:v>
                </c:pt>
                <c:pt idx="1148">
                  <c:v>41421</c:v>
                </c:pt>
                <c:pt idx="1149">
                  <c:v>41422</c:v>
                </c:pt>
                <c:pt idx="1150">
                  <c:v>41423</c:v>
                </c:pt>
                <c:pt idx="1151">
                  <c:v>41424</c:v>
                </c:pt>
                <c:pt idx="1152">
                  <c:v>41425</c:v>
                </c:pt>
                <c:pt idx="1153">
                  <c:v>41428</c:v>
                </c:pt>
                <c:pt idx="1154">
                  <c:v>41429</c:v>
                </c:pt>
                <c:pt idx="1155">
                  <c:v>41430</c:v>
                </c:pt>
                <c:pt idx="1156">
                  <c:v>41431</c:v>
                </c:pt>
                <c:pt idx="1157">
                  <c:v>41432</c:v>
                </c:pt>
                <c:pt idx="1158">
                  <c:v>41435</c:v>
                </c:pt>
                <c:pt idx="1159">
                  <c:v>41436</c:v>
                </c:pt>
                <c:pt idx="1160">
                  <c:v>41437</c:v>
                </c:pt>
                <c:pt idx="1161">
                  <c:v>41438</c:v>
                </c:pt>
                <c:pt idx="1162">
                  <c:v>41439</c:v>
                </c:pt>
                <c:pt idx="1163">
                  <c:v>41442</c:v>
                </c:pt>
                <c:pt idx="1164">
                  <c:v>41443</c:v>
                </c:pt>
                <c:pt idx="1165">
                  <c:v>41444</c:v>
                </c:pt>
                <c:pt idx="1166">
                  <c:v>41445</c:v>
                </c:pt>
                <c:pt idx="1167">
                  <c:v>41446</c:v>
                </c:pt>
                <c:pt idx="1168">
                  <c:v>41449</c:v>
                </c:pt>
                <c:pt idx="1169">
                  <c:v>41450</c:v>
                </c:pt>
                <c:pt idx="1170">
                  <c:v>41451</c:v>
                </c:pt>
                <c:pt idx="1171">
                  <c:v>41452</c:v>
                </c:pt>
                <c:pt idx="1172">
                  <c:v>41453</c:v>
                </c:pt>
                <c:pt idx="1173">
                  <c:v>41456</c:v>
                </c:pt>
                <c:pt idx="1174">
                  <c:v>41457</c:v>
                </c:pt>
                <c:pt idx="1175">
                  <c:v>41458</c:v>
                </c:pt>
                <c:pt idx="1176">
                  <c:v>41459</c:v>
                </c:pt>
                <c:pt idx="1177">
                  <c:v>41460</c:v>
                </c:pt>
                <c:pt idx="1178">
                  <c:v>41463</c:v>
                </c:pt>
                <c:pt idx="1179">
                  <c:v>41464</c:v>
                </c:pt>
                <c:pt idx="1180">
                  <c:v>41465</c:v>
                </c:pt>
                <c:pt idx="1181">
                  <c:v>41466</c:v>
                </c:pt>
                <c:pt idx="1182">
                  <c:v>41467</c:v>
                </c:pt>
                <c:pt idx="1183">
                  <c:v>41470</c:v>
                </c:pt>
                <c:pt idx="1184">
                  <c:v>41471</c:v>
                </c:pt>
                <c:pt idx="1185">
                  <c:v>41472</c:v>
                </c:pt>
                <c:pt idx="1186">
                  <c:v>41473</c:v>
                </c:pt>
                <c:pt idx="1187">
                  <c:v>41474</c:v>
                </c:pt>
                <c:pt idx="1188">
                  <c:v>41477</c:v>
                </c:pt>
                <c:pt idx="1189">
                  <c:v>41478</c:v>
                </c:pt>
                <c:pt idx="1190">
                  <c:v>41479</c:v>
                </c:pt>
                <c:pt idx="1191">
                  <c:v>41480</c:v>
                </c:pt>
                <c:pt idx="1192">
                  <c:v>41481</c:v>
                </c:pt>
                <c:pt idx="1193">
                  <c:v>41484</c:v>
                </c:pt>
                <c:pt idx="1194">
                  <c:v>41485</c:v>
                </c:pt>
                <c:pt idx="1195">
                  <c:v>41486</c:v>
                </c:pt>
                <c:pt idx="1196">
                  <c:v>41487</c:v>
                </c:pt>
                <c:pt idx="1197">
                  <c:v>41488</c:v>
                </c:pt>
                <c:pt idx="1198">
                  <c:v>41491</c:v>
                </c:pt>
                <c:pt idx="1199">
                  <c:v>41492</c:v>
                </c:pt>
                <c:pt idx="1200">
                  <c:v>41493</c:v>
                </c:pt>
                <c:pt idx="1201">
                  <c:v>41494</c:v>
                </c:pt>
                <c:pt idx="1202">
                  <c:v>41495</c:v>
                </c:pt>
                <c:pt idx="1203">
                  <c:v>41498</c:v>
                </c:pt>
                <c:pt idx="1204">
                  <c:v>41499</c:v>
                </c:pt>
                <c:pt idx="1205">
                  <c:v>41500</c:v>
                </c:pt>
                <c:pt idx="1206">
                  <c:v>41501</c:v>
                </c:pt>
                <c:pt idx="1207">
                  <c:v>41502</c:v>
                </c:pt>
                <c:pt idx="1208">
                  <c:v>41505</c:v>
                </c:pt>
                <c:pt idx="1209">
                  <c:v>41506</c:v>
                </c:pt>
                <c:pt idx="1210">
                  <c:v>41507</c:v>
                </c:pt>
                <c:pt idx="1211">
                  <c:v>41508</c:v>
                </c:pt>
                <c:pt idx="1212">
                  <c:v>41509</c:v>
                </c:pt>
                <c:pt idx="1213">
                  <c:v>41512</c:v>
                </c:pt>
                <c:pt idx="1214">
                  <c:v>41513</c:v>
                </c:pt>
                <c:pt idx="1215">
                  <c:v>41514</c:v>
                </c:pt>
                <c:pt idx="1216">
                  <c:v>41515</c:v>
                </c:pt>
                <c:pt idx="1217">
                  <c:v>41516</c:v>
                </c:pt>
                <c:pt idx="1218">
                  <c:v>41519</c:v>
                </c:pt>
                <c:pt idx="1219">
                  <c:v>41520</c:v>
                </c:pt>
                <c:pt idx="1220">
                  <c:v>41521</c:v>
                </c:pt>
                <c:pt idx="1221">
                  <c:v>41522</c:v>
                </c:pt>
                <c:pt idx="1222">
                  <c:v>41523</c:v>
                </c:pt>
                <c:pt idx="1223">
                  <c:v>41526</c:v>
                </c:pt>
                <c:pt idx="1224">
                  <c:v>41527</c:v>
                </c:pt>
                <c:pt idx="1225">
                  <c:v>41528</c:v>
                </c:pt>
                <c:pt idx="1226">
                  <c:v>41529</c:v>
                </c:pt>
                <c:pt idx="1227">
                  <c:v>41530</c:v>
                </c:pt>
                <c:pt idx="1228">
                  <c:v>41533</c:v>
                </c:pt>
                <c:pt idx="1229">
                  <c:v>41534</c:v>
                </c:pt>
                <c:pt idx="1230">
                  <c:v>41535</c:v>
                </c:pt>
                <c:pt idx="1231">
                  <c:v>41536</c:v>
                </c:pt>
                <c:pt idx="1232">
                  <c:v>41537</c:v>
                </c:pt>
                <c:pt idx="1233">
                  <c:v>41540</c:v>
                </c:pt>
                <c:pt idx="1234">
                  <c:v>41541</c:v>
                </c:pt>
                <c:pt idx="1235">
                  <c:v>41542</c:v>
                </c:pt>
                <c:pt idx="1236">
                  <c:v>41543</c:v>
                </c:pt>
                <c:pt idx="1237">
                  <c:v>41544</c:v>
                </c:pt>
                <c:pt idx="1238">
                  <c:v>41547</c:v>
                </c:pt>
                <c:pt idx="1239">
                  <c:v>41548</c:v>
                </c:pt>
                <c:pt idx="1240">
                  <c:v>41549</c:v>
                </c:pt>
                <c:pt idx="1241">
                  <c:v>41550</c:v>
                </c:pt>
                <c:pt idx="1242">
                  <c:v>41551</c:v>
                </c:pt>
                <c:pt idx="1243">
                  <c:v>41554</c:v>
                </c:pt>
                <c:pt idx="1244">
                  <c:v>41555</c:v>
                </c:pt>
                <c:pt idx="1245">
                  <c:v>41556</c:v>
                </c:pt>
                <c:pt idx="1246">
                  <c:v>41557</c:v>
                </c:pt>
                <c:pt idx="1247">
                  <c:v>41558</c:v>
                </c:pt>
                <c:pt idx="1248">
                  <c:v>41561</c:v>
                </c:pt>
                <c:pt idx="1249">
                  <c:v>41562</c:v>
                </c:pt>
                <c:pt idx="1250">
                  <c:v>41563</c:v>
                </c:pt>
                <c:pt idx="1251">
                  <c:v>41564</c:v>
                </c:pt>
                <c:pt idx="1252">
                  <c:v>41565</c:v>
                </c:pt>
                <c:pt idx="1253">
                  <c:v>41568</c:v>
                </c:pt>
                <c:pt idx="1254">
                  <c:v>41569</c:v>
                </c:pt>
                <c:pt idx="1255">
                  <c:v>41570</c:v>
                </c:pt>
                <c:pt idx="1256">
                  <c:v>41571</c:v>
                </c:pt>
                <c:pt idx="1257">
                  <c:v>41572</c:v>
                </c:pt>
                <c:pt idx="1258">
                  <c:v>41575</c:v>
                </c:pt>
                <c:pt idx="1259">
                  <c:v>41576</c:v>
                </c:pt>
                <c:pt idx="1260">
                  <c:v>41577</c:v>
                </c:pt>
                <c:pt idx="1261">
                  <c:v>41578</c:v>
                </c:pt>
                <c:pt idx="1262">
                  <c:v>41579</c:v>
                </c:pt>
                <c:pt idx="1263">
                  <c:v>41582</c:v>
                </c:pt>
                <c:pt idx="1264">
                  <c:v>41583</c:v>
                </c:pt>
                <c:pt idx="1265">
                  <c:v>41584</c:v>
                </c:pt>
                <c:pt idx="1266">
                  <c:v>41585</c:v>
                </c:pt>
                <c:pt idx="1267">
                  <c:v>41586</c:v>
                </c:pt>
                <c:pt idx="1268">
                  <c:v>41589</c:v>
                </c:pt>
                <c:pt idx="1269">
                  <c:v>41590</c:v>
                </c:pt>
                <c:pt idx="1270">
                  <c:v>41591</c:v>
                </c:pt>
                <c:pt idx="1271">
                  <c:v>41592</c:v>
                </c:pt>
                <c:pt idx="1272">
                  <c:v>41593</c:v>
                </c:pt>
                <c:pt idx="1273">
                  <c:v>41596</c:v>
                </c:pt>
                <c:pt idx="1274">
                  <c:v>41597</c:v>
                </c:pt>
                <c:pt idx="1275">
                  <c:v>41598</c:v>
                </c:pt>
                <c:pt idx="1276">
                  <c:v>41599</c:v>
                </c:pt>
                <c:pt idx="1277">
                  <c:v>41600</c:v>
                </c:pt>
                <c:pt idx="1278">
                  <c:v>41603</c:v>
                </c:pt>
                <c:pt idx="1279">
                  <c:v>41604</c:v>
                </c:pt>
                <c:pt idx="1280">
                  <c:v>41605</c:v>
                </c:pt>
                <c:pt idx="1281">
                  <c:v>41606</c:v>
                </c:pt>
                <c:pt idx="1282">
                  <c:v>41607</c:v>
                </c:pt>
                <c:pt idx="1283">
                  <c:v>41610</c:v>
                </c:pt>
                <c:pt idx="1284">
                  <c:v>41611</c:v>
                </c:pt>
                <c:pt idx="1285">
                  <c:v>41612</c:v>
                </c:pt>
                <c:pt idx="1286">
                  <c:v>41613</c:v>
                </c:pt>
                <c:pt idx="1287">
                  <c:v>41614</c:v>
                </c:pt>
                <c:pt idx="1288">
                  <c:v>41617</c:v>
                </c:pt>
                <c:pt idx="1289">
                  <c:v>41618</c:v>
                </c:pt>
                <c:pt idx="1290">
                  <c:v>41619</c:v>
                </c:pt>
                <c:pt idx="1291">
                  <c:v>41620</c:v>
                </c:pt>
                <c:pt idx="1292">
                  <c:v>41621</c:v>
                </c:pt>
                <c:pt idx="1293">
                  <c:v>41624</c:v>
                </c:pt>
                <c:pt idx="1294">
                  <c:v>41625</c:v>
                </c:pt>
                <c:pt idx="1295">
                  <c:v>41626</c:v>
                </c:pt>
                <c:pt idx="1296">
                  <c:v>41627</c:v>
                </c:pt>
                <c:pt idx="1297">
                  <c:v>41628</c:v>
                </c:pt>
                <c:pt idx="1298">
                  <c:v>41631</c:v>
                </c:pt>
                <c:pt idx="1299">
                  <c:v>41632</c:v>
                </c:pt>
                <c:pt idx="1300">
                  <c:v>41633</c:v>
                </c:pt>
                <c:pt idx="1301">
                  <c:v>41634</c:v>
                </c:pt>
                <c:pt idx="1302">
                  <c:v>41635</c:v>
                </c:pt>
                <c:pt idx="1303">
                  <c:v>41638</c:v>
                </c:pt>
                <c:pt idx="1304">
                  <c:v>41639</c:v>
                </c:pt>
              </c:numCache>
            </c:numRef>
          </c:cat>
          <c:val>
            <c:numRef>
              <c:f>'SP500'!$B$279:$B$1583</c:f>
              <c:numCache>
                <c:formatCode>General</c:formatCode>
                <c:ptCount val="1305"/>
                <c:pt idx="0" formatCode="0.00">
                  <c:v>903.25</c:v>
                </c:pt>
                <c:pt idx="1">
                  <c:v>#N/A</c:v>
                </c:pt>
                <c:pt idx="2" formatCode="0.00">
                  <c:v>931.8</c:v>
                </c:pt>
                <c:pt idx="3" formatCode="0.00">
                  <c:v>927.44999999999948</c:v>
                </c:pt>
                <c:pt idx="4" formatCode="0.00">
                  <c:v>934.7</c:v>
                </c:pt>
                <c:pt idx="5" formatCode="0.00">
                  <c:v>906.65</c:v>
                </c:pt>
                <c:pt idx="6" formatCode="0.00">
                  <c:v>909.73</c:v>
                </c:pt>
                <c:pt idx="7" formatCode="0.00">
                  <c:v>890.34999999999798</c:v>
                </c:pt>
                <c:pt idx="8" formatCode="0.00">
                  <c:v>870.26</c:v>
                </c:pt>
                <c:pt idx="9" formatCode="0.00">
                  <c:v>871.79000000000053</c:v>
                </c:pt>
                <c:pt idx="10" formatCode="0.00">
                  <c:v>842.62</c:v>
                </c:pt>
                <c:pt idx="11" formatCode="0.00">
                  <c:v>843.74</c:v>
                </c:pt>
                <c:pt idx="12" formatCode="0.00">
                  <c:v>850.12</c:v>
                </c:pt>
                <c:pt idx="13">
                  <c:v>#N/A</c:v>
                </c:pt>
                <c:pt idx="14" formatCode="0.00">
                  <c:v>805.22</c:v>
                </c:pt>
                <c:pt idx="15" formatCode="0.00">
                  <c:v>840.24</c:v>
                </c:pt>
                <c:pt idx="16" formatCode="0.00">
                  <c:v>827.5</c:v>
                </c:pt>
                <c:pt idx="17" formatCode="0.00">
                  <c:v>831.94999999999948</c:v>
                </c:pt>
                <c:pt idx="18" formatCode="0.00">
                  <c:v>836.57</c:v>
                </c:pt>
                <c:pt idx="19" formatCode="0.00">
                  <c:v>845.71</c:v>
                </c:pt>
                <c:pt idx="20" formatCode="0.00">
                  <c:v>874.09</c:v>
                </c:pt>
                <c:pt idx="21" formatCode="0.00">
                  <c:v>845.14</c:v>
                </c:pt>
                <c:pt idx="22" formatCode="0.00">
                  <c:v>825.88</c:v>
                </c:pt>
                <c:pt idx="23" formatCode="0.00">
                  <c:v>825.43999999999949</c:v>
                </c:pt>
                <c:pt idx="24" formatCode="0.00">
                  <c:v>838.51</c:v>
                </c:pt>
                <c:pt idx="25" formatCode="0.00">
                  <c:v>832.23</c:v>
                </c:pt>
                <c:pt idx="26" formatCode="0.00">
                  <c:v>845.84999999999798</c:v>
                </c:pt>
                <c:pt idx="27" formatCode="0.00">
                  <c:v>868.6</c:v>
                </c:pt>
                <c:pt idx="28" formatCode="0.00">
                  <c:v>869.89</c:v>
                </c:pt>
                <c:pt idx="29" formatCode="0.00">
                  <c:v>827.16</c:v>
                </c:pt>
                <c:pt idx="30" formatCode="0.00">
                  <c:v>833.74</c:v>
                </c:pt>
                <c:pt idx="31" formatCode="0.00">
                  <c:v>835.19</c:v>
                </c:pt>
                <c:pt idx="32" formatCode="0.00">
                  <c:v>826.83999999999946</c:v>
                </c:pt>
                <c:pt idx="33">
                  <c:v>#N/A</c:v>
                </c:pt>
                <c:pt idx="34" formatCode="0.00">
                  <c:v>789.17000000000053</c:v>
                </c:pt>
                <c:pt idx="35" formatCode="0.00">
                  <c:v>788.42</c:v>
                </c:pt>
                <c:pt idx="36" formatCode="0.00">
                  <c:v>778.93999999999949</c:v>
                </c:pt>
                <c:pt idx="37" formatCode="0.00">
                  <c:v>770.05</c:v>
                </c:pt>
                <c:pt idx="38" formatCode="0.00">
                  <c:v>743.32999999999947</c:v>
                </c:pt>
                <c:pt idx="39" formatCode="0.00">
                  <c:v>773.14</c:v>
                </c:pt>
                <c:pt idx="40" formatCode="0.00">
                  <c:v>764.9</c:v>
                </c:pt>
                <c:pt idx="41" formatCode="0.00">
                  <c:v>752.82999999999947</c:v>
                </c:pt>
                <c:pt idx="42" formatCode="0.00">
                  <c:v>735.09</c:v>
                </c:pt>
                <c:pt idx="43" formatCode="0.00">
                  <c:v>700.81999999999948</c:v>
                </c:pt>
                <c:pt idx="44" formatCode="0.00">
                  <c:v>696.32999999999947</c:v>
                </c:pt>
                <c:pt idx="45" formatCode="0.00">
                  <c:v>712.87</c:v>
                </c:pt>
                <c:pt idx="46" formatCode="0.00">
                  <c:v>682.55</c:v>
                </c:pt>
                <c:pt idx="47" formatCode="0.00">
                  <c:v>683.38</c:v>
                </c:pt>
                <c:pt idx="48" formatCode="0.00">
                  <c:v>676.53</c:v>
                </c:pt>
                <c:pt idx="49" formatCode="0.00">
                  <c:v>719.6</c:v>
                </c:pt>
                <c:pt idx="50" formatCode="0.00">
                  <c:v>721.35999999999797</c:v>
                </c:pt>
                <c:pt idx="51" formatCode="0.00">
                  <c:v>750.74</c:v>
                </c:pt>
                <c:pt idx="52" formatCode="0.00">
                  <c:v>756.55</c:v>
                </c:pt>
                <c:pt idx="53" formatCode="0.00">
                  <c:v>753.89</c:v>
                </c:pt>
                <c:pt idx="54" formatCode="0.00">
                  <c:v>778.12</c:v>
                </c:pt>
                <c:pt idx="55" formatCode="0.00">
                  <c:v>794.34999999999798</c:v>
                </c:pt>
                <c:pt idx="56" formatCode="0.00">
                  <c:v>784.04</c:v>
                </c:pt>
                <c:pt idx="57" formatCode="0.00">
                  <c:v>768.54</c:v>
                </c:pt>
                <c:pt idx="58" formatCode="0.00">
                  <c:v>822.92</c:v>
                </c:pt>
                <c:pt idx="59" formatCode="0.00">
                  <c:v>806.12</c:v>
                </c:pt>
                <c:pt idx="60" formatCode="0.00">
                  <c:v>813.88</c:v>
                </c:pt>
                <c:pt idx="61" formatCode="0.00">
                  <c:v>832.85999999999797</c:v>
                </c:pt>
                <c:pt idx="62" formatCode="0.00">
                  <c:v>815.93999999999949</c:v>
                </c:pt>
                <c:pt idx="63" formatCode="0.00">
                  <c:v>787.53</c:v>
                </c:pt>
                <c:pt idx="64" formatCode="0.00">
                  <c:v>797.87</c:v>
                </c:pt>
                <c:pt idx="65" formatCode="0.00">
                  <c:v>811.08</c:v>
                </c:pt>
                <c:pt idx="66" formatCode="0.00">
                  <c:v>834.38</c:v>
                </c:pt>
                <c:pt idx="67" formatCode="0.00">
                  <c:v>842.5</c:v>
                </c:pt>
                <c:pt idx="68" formatCode="0.00">
                  <c:v>835.48</c:v>
                </c:pt>
                <c:pt idx="69" formatCode="0.00">
                  <c:v>815.55</c:v>
                </c:pt>
                <c:pt idx="70" formatCode="0.00">
                  <c:v>825.16</c:v>
                </c:pt>
                <c:pt idx="71" formatCode="0.00">
                  <c:v>856.56</c:v>
                </c:pt>
                <c:pt idx="72">
                  <c:v>#N/A</c:v>
                </c:pt>
                <c:pt idx="73" formatCode="0.00">
                  <c:v>858.73</c:v>
                </c:pt>
                <c:pt idx="74" formatCode="0.00">
                  <c:v>841.5</c:v>
                </c:pt>
                <c:pt idx="75" formatCode="0.00">
                  <c:v>852.06</c:v>
                </c:pt>
                <c:pt idx="76" formatCode="0.00">
                  <c:v>865.3</c:v>
                </c:pt>
                <c:pt idx="77" formatCode="0.00">
                  <c:v>869.6</c:v>
                </c:pt>
                <c:pt idx="78" formatCode="0.00">
                  <c:v>832.39</c:v>
                </c:pt>
                <c:pt idx="79" formatCode="0.00">
                  <c:v>850.08</c:v>
                </c:pt>
                <c:pt idx="80" formatCode="0.00">
                  <c:v>843.55</c:v>
                </c:pt>
                <c:pt idx="81" formatCode="0.00">
                  <c:v>851.92</c:v>
                </c:pt>
                <c:pt idx="82" formatCode="0.00">
                  <c:v>866.23</c:v>
                </c:pt>
                <c:pt idx="83" formatCode="0.00">
                  <c:v>857.51</c:v>
                </c:pt>
                <c:pt idx="84" formatCode="0.00">
                  <c:v>855.16</c:v>
                </c:pt>
                <c:pt idx="85" formatCode="0.00">
                  <c:v>873.64</c:v>
                </c:pt>
                <c:pt idx="86" formatCode="0.00">
                  <c:v>872.81</c:v>
                </c:pt>
                <c:pt idx="87" formatCode="0.00">
                  <c:v>877.52</c:v>
                </c:pt>
                <c:pt idx="88" formatCode="0.00">
                  <c:v>907.24</c:v>
                </c:pt>
                <c:pt idx="89" formatCode="0.00">
                  <c:v>903.8</c:v>
                </c:pt>
                <c:pt idx="90" formatCode="0.00">
                  <c:v>919.53</c:v>
                </c:pt>
                <c:pt idx="91" formatCode="0.00">
                  <c:v>907.39</c:v>
                </c:pt>
                <c:pt idx="92" formatCode="0.00">
                  <c:v>929.23</c:v>
                </c:pt>
                <c:pt idx="93" formatCode="0.00">
                  <c:v>909.24</c:v>
                </c:pt>
                <c:pt idx="94" formatCode="0.00">
                  <c:v>908.34999999999798</c:v>
                </c:pt>
                <c:pt idx="95" formatCode="0.00">
                  <c:v>883.92</c:v>
                </c:pt>
                <c:pt idx="96" formatCode="0.00">
                  <c:v>893.07</c:v>
                </c:pt>
                <c:pt idx="97" formatCode="0.00">
                  <c:v>882.88</c:v>
                </c:pt>
                <c:pt idx="98" formatCode="0.00">
                  <c:v>909.71</c:v>
                </c:pt>
                <c:pt idx="99" formatCode="0.00">
                  <c:v>908.13</c:v>
                </c:pt>
                <c:pt idx="100" formatCode="0.00">
                  <c:v>903.47</c:v>
                </c:pt>
                <c:pt idx="101" formatCode="0.00">
                  <c:v>888.32999999999947</c:v>
                </c:pt>
                <c:pt idx="102" formatCode="0.00">
                  <c:v>887</c:v>
                </c:pt>
                <c:pt idx="103">
                  <c:v>#N/A</c:v>
                </c:pt>
                <c:pt idx="104" formatCode="0.00">
                  <c:v>910.32999999999947</c:v>
                </c:pt>
                <c:pt idx="105" formatCode="0.00">
                  <c:v>893.06</c:v>
                </c:pt>
                <c:pt idx="106" formatCode="0.00">
                  <c:v>906.82999999999947</c:v>
                </c:pt>
                <c:pt idx="107" formatCode="0.00">
                  <c:v>919.14</c:v>
                </c:pt>
                <c:pt idx="108" formatCode="0.00">
                  <c:v>942.87</c:v>
                </c:pt>
                <c:pt idx="109" formatCode="0.00">
                  <c:v>944.74</c:v>
                </c:pt>
                <c:pt idx="110" formatCode="0.00">
                  <c:v>931.76</c:v>
                </c:pt>
                <c:pt idx="111" formatCode="0.00">
                  <c:v>942.45999999999947</c:v>
                </c:pt>
                <c:pt idx="112" formatCode="0.00">
                  <c:v>940.09</c:v>
                </c:pt>
                <c:pt idx="113" formatCode="0.00">
                  <c:v>939.14</c:v>
                </c:pt>
                <c:pt idx="114" formatCode="0.00">
                  <c:v>942.43</c:v>
                </c:pt>
                <c:pt idx="115" formatCode="0.00">
                  <c:v>939.15</c:v>
                </c:pt>
                <c:pt idx="116" formatCode="0.00">
                  <c:v>944.89</c:v>
                </c:pt>
                <c:pt idx="117" formatCode="0.00">
                  <c:v>946.21</c:v>
                </c:pt>
                <c:pt idx="118" formatCode="0.00">
                  <c:v>923.72</c:v>
                </c:pt>
                <c:pt idx="119" formatCode="0.00">
                  <c:v>911.97</c:v>
                </c:pt>
                <c:pt idx="120" formatCode="0.00">
                  <c:v>910.71</c:v>
                </c:pt>
                <c:pt idx="121" formatCode="0.00">
                  <c:v>918.37</c:v>
                </c:pt>
                <c:pt idx="122" formatCode="0.00">
                  <c:v>921.23</c:v>
                </c:pt>
                <c:pt idx="123" formatCode="0.00">
                  <c:v>893.04</c:v>
                </c:pt>
                <c:pt idx="124" formatCode="0.00">
                  <c:v>895.1</c:v>
                </c:pt>
                <c:pt idx="125" formatCode="0.00">
                  <c:v>900.93999999999949</c:v>
                </c:pt>
                <c:pt idx="126" formatCode="0.00">
                  <c:v>920.26</c:v>
                </c:pt>
                <c:pt idx="127" formatCode="0.00">
                  <c:v>918.9</c:v>
                </c:pt>
                <c:pt idx="128" formatCode="0.00">
                  <c:v>927.23</c:v>
                </c:pt>
                <c:pt idx="129" formatCode="0.00">
                  <c:v>919.31999999999948</c:v>
                </c:pt>
                <c:pt idx="130" formatCode="0.00">
                  <c:v>923.32999999999947</c:v>
                </c:pt>
                <c:pt idx="131" formatCode="0.00">
                  <c:v>896.42</c:v>
                </c:pt>
                <c:pt idx="132">
                  <c:v>#N/A</c:v>
                </c:pt>
                <c:pt idx="133" formatCode="0.00">
                  <c:v>898.72</c:v>
                </c:pt>
                <c:pt idx="134" formatCode="0.00">
                  <c:v>881.03</c:v>
                </c:pt>
                <c:pt idx="135" formatCode="0.00">
                  <c:v>879.56</c:v>
                </c:pt>
                <c:pt idx="136" formatCode="0.00">
                  <c:v>882.68000000000052</c:v>
                </c:pt>
                <c:pt idx="137" formatCode="0.00">
                  <c:v>879.13</c:v>
                </c:pt>
                <c:pt idx="138" formatCode="0.00">
                  <c:v>901.05</c:v>
                </c:pt>
                <c:pt idx="139" formatCode="0.00">
                  <c:v>905.83999999999946</c:v>
                </c:pt>
                <c:pt idx="140" formatCode="0.00">
                  <c:v>932.68000000000052</c:v>
                </c:pt>
                <c:pt idx="141" formatCode="0.00">
                  <c:v>940.74</c:v>
                </c:pt>
                <c:pt idx="142" formatCode="0.00">
                  <c:v>940.38</c:v>
                </c:pt>
                <c:pt idx="143" formatCode="0.00">
                  <c:v>951.13</c:v>
                </c:pt>
                <c:pt idx="144" formatCode="0.00">
                  <c:v>954.58</c:v>
                </c:pt>
                <c:pt idx="145" formatCode="0.00">
                  <c:v>954.07</c:v>
                </c:pt>
                <c:pt idx="146" formatCode="0.00">
                  <c:v>976.29000000000053</c:v>
                </c:pt>
                <c:pt idx="147" formatCode="0.00">
                  <c:v>979.26</c:v>
                </c:pt>
                <c:pt idx="148" formatCode="0.00">
                  <c:v>982.18000000000052</c:v>
                </c:pt>
                <c:pt idx="149" formatCode="0.00">
                  <c:v>979.62</c:v>
                </c:pt>
                <c:pt idx="150" formatCode="0.00">
                  <c:v>975.15</c:v>
                </c:pt>
                <c:pt idx="151" formatCode="0.00">
                  <c:v>986.75</c:v>
                </c:pt>
                <c:pt idx="152" formatCode="0.00">
                  <c:v>987.48</c:v>
                </c:pt>
                <c:pt idx="153" formatCode="0.00">
                  <c:v>1002.63</c:v>
                </c:pt>
                <c:pt idx="154" formatCode="0.00">
                  <c:v>1005.65</c:v>
                </c:pt>
                <c:pt idx="155" formatCode="0.00">
                  <c:v>1002.72</c:v>
                </c:pt>
                <c:pt idx="156" formatCode="0.00">
                  <c:v>997.08</c:v>
                </c:pt>
                <c:pt idx="157" formatCode="0.00">
                  <c:v>1010.48</c:v>
                </c:pt>
                <c:pt idx="158" formatCode="0.00">
                  <c:v>1007.1</c:v>
                </c:pt>
                <c:pt idx="159" formatCode="0.00">
                  <c:v>994.34999999999798</c:v>
                </c:pt>
                <c:pt idx="160" formatCode="0.00">
                  <c:v>1005.81</c:v>
                </c:pt>
                <c:pt idx="161" formatCode="0.00">
                  <c:v>1012.73</c:v>
                </c:pt>
                <c:pt idx="162" formatCode="0.00">
                  <c:v>1004.09</c:v>
                </c:pt>
                <c:pt idx="163" formatCode="0.00">
                  <c:v>979.73</c:v>
                </c:pt>
                <c:pt idx="164" formatCode="0.00">
                  <c:v>989.67000000000053</c:v>
                </c:pt>
                <c:pt idx="165" formatCode="0.00">
                  <c:v>996.45999999999947</c:v>
                </c:pt>
                <c:pt idx="166" formatCode="0.00">
                  <c:v>1007.37</c:v>
                </c:pt>
                <c:pt idx="167" formatCode="0.00">
                  <c:v>1026.1299999999999</c:v>
                </c:pt>
                <c:pt idx="168" formatCode="0.00">
                  <c:v>1025.57</c:v>
                </c:pt>
                <c:pt idx="169" formatCode="0.00">
                  <c:v>1028</c:v>
                </c:pt>
                <c:pt idx="170" formatCode="0.00">
                  <c:v>1028.1199999999999</c:v>
                </c:pt>
                <c:pt idx="171" formatCode="0.00">
                  <c:v>1030.98</c:v>
                </c:pt>
                <c:pt idx="172" formatCode="0.00">
                  <c:v>1028.93</c:v>
                </c:pt>
                <c:pt idx="173" formatCode="0.00">
                  <c:v>1020.62</c:v>
                </c:pt>
                <c:pt idx="174" formatCode="0.00">
                  <c:v>998.04</c:v>
                </c:pt>
                <c:pt idx="175" formatCode="0.00">
                  <c:v>994.75</c:v>
                </c:pt>
                <c:pt idx="176" formatCode="0.00">
                  <c:v>1003.24</c:v>
                </c:pt>
                <c:pt idx="177" formatCode="0.00">
                  <c:v>1016.4</c:v>
                </c:pt>
                <c:pt idx="178">
                  <c:v>#N/A</c:v>
                </c:pt>
                <c:pt idx="179" formatCode="0.00">
                  <c:v>1025.3899999999999</c:v>
                </c:pt>
                <c:pt idx="180" formatCode="0.00">
                  <c:v>1033.3699999999999</c:v>
                </c:pt>
                <c:pt idx="181" formatCode="0.00">
                  <c:v>1044.1399999999999</c:v>
                </c:pt>
                <c:pt idx="182" formatCode="0.00">
                  <c:v>1042.73</c:v>
                </c:pt>
                <c:pt idx="183" formatCode="0.00">
                  <c:v>1049.3399999999999</c:v>
                </c:pt>
                <c:pt idx="184" formatCode="0.00">
                  <c:v>1052.6299999999999</c:v>
                </c:pt>
                <c:pt idx="185" formatCode="0.00">
                  <c:v>1068.76</c:v>
                </c:pt>
                <c:pt idx="186" formatCode="0.00">
                  <c:v>1065.49</c:v>
                </c:pt>
                <c:pt idx="187" formatCode="0.00">
                  <c:v>1068.3</c:v>
                </c:pt>
                <c:pt idx="188" formatCode="0.00">
                  <c:v>1064.6599999999999</c:v>
                </c:pt>
                <c:pt idx="189" formatCode="0.00">
                  <c:v>1071.6599999999999</c:v>
                </c:pt>
                <c:pt idx="190" formatCode="0.00">
                  <c:v>1060.8699999999999</c:v>
                </c:pt>
                <c:pt idx="191" formatCode="0.00">
                  <c:v>1050.78</c:v>
                </c:pt>
                <c:pt idx="192" formatCode="0.00">
                  <c:v>1044.3799999999999</c:v>
                </c:pt>
                <c:pt idx="193" formatCode="0.00">
                  <c:v>1062.98</c:v>
                </c:pt>
                <c:pt idx="194" formatCode="0.00">
                  <c:v>1060.6099999999999</c:v>
                </c:pt>
                <c:pt idx="195" formatCode="0.00">
                  <c:v>1057.08</c:v>
                </c:pt>
                <c:pt idx="196" formatCode="0.00">
                  <c:v>1029.8499999999999</c:v>
                </c:pt>
                <c:pt idx="197" formatCode="0.00">
                  <c:v>1025.21</c:v>
                </c:pt>
                <c:pt idx="198" formatCode="0.00">
                  <c:v>1040.46</c:v>
                </c:pt>
                <c:pt idx="199" formatCode="0.00">
                  <c:v>1054.72</c:v>
                </c:pt>
                <c:pt idx="200" formatCode="0.00">
                  <c:v>1057.58</c:v>
                </c:pt>
                <c:pt idx="201" formatCode="0.00">
                  <c:v>1065.48</c:v>
                </c:pt>
                <c:pt idx="202" formatCode="0.00">
                  <c:v>1071.49</c:v>
                </c:pt>
                <c:pt idx="203" formatCode="0.00">
                  <c:v>1076.1899999999998</c:v>
                </c:pt>
                <c:pt idx="204" formatCode="0.00">
                  <c:v>1073.1899999999998</c:v>
                </c:pt>
                <c:pt idx="205" formatCode="0.00">
                  <c:v>1092.02</c:v>
                </c:pt>
                <c:pt idx="206" formatCode="0.00">
                  <c:v>1096.56</c:v>
                </c:pt>
                <c:pt idx="207" formatCode="0.00">
                  <c:v>1087.6799999999998</c:v>
                </c:pt>
                <c:pt idx="208" formatCode="0.00">
                  <c:v>1097.9100000000001</c:v>
                </c:pt>
                <c:pt idx="209" formatCode="0.00">
                  <c:v>1091.06</c:v>
                </c:pt>
                <c:pt idx="210" formatCode="0.00">
                  <c:v>1081.4000000000001</c:v>
                </c:pt>
                <c:pt idx="211" formatCode="0.00">
                  <c:v>1092.9100000000001</c:v>
                </c:pt>
                <c:pt idx="212" formatCode="0.00">
                  <c:v>1079.5999999999999</c:v>
                </c:pt>
                <c:pt idx="213" formatCode="0.00">
                  <c:v>1066.95</c:v>
                </c:pt>
                <c:pt idx="214" formatCode="0.00">
                  <c:v>1063.4100000000001</c:v>
                </c:pt>
                <c:pt idx="215" formatCode="0.00">
                  <c:v>1042.6299999999999</c:v>
                </c:pt>
                <c:pt idx="216" formatCode="0.00">
                  <c:v>1066.1099999999999</c:v>
                </c:pt>
                <c:pt idx="217" formatCode="0.00">
                  <c:v>1036.1899999999998</c:v>
                </c:pt>
                <c:pt idx="218" formatCode="0.00">
                  <c:v>1042.8799999999999</c:v>
                </c:pt>
                <c:pt idx="219" formatCode="0.00">
                  <c:v>1045.4100000000001</c:v>
                </c:pt>
                <c:pt idx="220" formatCode="0.00">
                  <c:v>1046.5</c:v>
                </c:pt>
                <c:pt idx="221" formatCode="0.00">
                  <c:v>1066.6299999999999</c:v>
                </c:pt>
                <c:pt idx="222" formatCode="0.00">
                  <c:v>1069.3</c:v>
                </c:pt>
                <c:pt idx="223" formatCode="0.00">
                  <c:v>1093.08</c:v>
                </c:pt>
                <c:pt idx="224" formatCode="0.00">
                  <c:v>1093.01</c:v>
                </c:pt>
                <c:pt idx="225" formatCode="0.00">
                  <c:v>1098.51</c:v>
                </c:pt>
                <c:pt idx="226" formatCode="0.00">
                  <c:v>1087.24</c:v>
                </c:pt>
                <c:pt idx="227" formatCode="0.00">
                  <c:v>1093.48</c:v>
                </c:pt>
                <c:pt idx="228" formatCode="0.00">
                  <c:v>1109.3</c:v>
                </c:pt>
                <c:pt idx="229" formatCode="0.00">
                  <c:v>1110.32</c:v>
                </c:pt>
                <c:pt idx="230" formatCode="0.00">
                  <c:v>1109.8</c:v>
                </c:pt>
                <c:pt idx="231" formatCode="0.00">
                  <c:v>1094.9000000000001</c:v>
                </c:pt>
                <c:pt idx="232" formatCode="0.00">
                  <c:v>1091.3799999999999</c:v>
                </c:pt>
                <c:pt idx="233" formatCode="0.00">
                  <c:v>1106.24</c:v>
                </c:pt>
                <c:pt idx="234" formatCode="0.00">
                  <c:v>1105.6499999999999</c:v>
                </c:pt>
                <c:pt idx="235" formatCode="0.00">
                  <c:v>1110.6299999999999</c:v>
                </c:pt>
                <c:pt idx="236">
                  <c:v>#N/A</c:v>
                </c:pt>
                <c:pt idx="237" formatCode="0.00">
                  <c:v>1091.49</c:v>
                </c:pt>
                <c:pt idx="238" formatCode="0.00">
                  <c:v>1095.6299999999999</c:v>
                </c:pt>
                <c:pt idx="239" formatCode="0.00">
                  <c:v>1108.8599999999999</c:v>
                </c:pt>
                <c:pt idx="240" formatCode="0.00">
                  <c:v>1109.24</c:v>
                </c:pt>
                <c:pt idx="241" formatCode="0.00">
                  <c:v>1099.92</c:v>
                </c:pt>
                <c:pt idx="242" formatCode="0.00">
                  <c:v>1105.98</c:v>
                </c:pt>
                <c:pt idx="243" formatCode="0.00">
                  <c:v>1103.25</c:v>
                </c:pt>
                <c:pt idx="244" formatCode="0.00">
                  <c:v>1091.94</c:v>
                </c:pt>
                <c:pt idx="245" formatCode="0.00">
                  <c:v>1095.95</c:v>
                </c:pt>
                <c:pt idx="246" formatCode="0.00">
                  <c:v>1102.3499999999999</c:v>
                </c:pt>
                <c:pt idx="247" formatCode="0.00">
                  <c:v>1106.4100000000001</c:v>
                </c:pt>
                <c:pt idx="248" formatCode="0.00">
                  <c:v>1114.1099999999999</c:v>
                </c:pt>
                <c:pt idx="249" formatCode="0.00">
                  <c:v>1107.93</c:v>
                </c:pt>
                <c:pt idx="250" formatCode="0.00">
                  <c:v>1109.1799999999998</c:v>
                </c:pt>
                <c:pt idx="251" formatCode="0.00">
                  <c:v>1096.08</c:v>
                </c:pt>
                <c:pt idx="252" formatCode="0.00">
                  <c:v>1102.47</c:v>
                </c:pt>
                <c:pt idx="253" formatCode="0.00">
                  <c:v>1114.05</c:v>
                </c:pt>
                <c:pt idx="254" formatCode="0.00">
                  <c:v>1118.02</c:v>
                </c:pt>
                <c:pt idx="255" formatCode="0.00">
                  <c:v>1120.5899999999999</c:v>
                </c:pt>
                <c:pt idx="256" formatCode="0.00">
                  <c:v>1126.48</c:v>
                </c:pt>
                <c:pt idx="257">
                  <c:v>#N/A</c:v>
                </c:pt>
                <c:pt idx="258" formatCode="0.00">
                  <c:v>1127.78</c:v>
                </c:pt>
                <c:pt idx="259" formatCode="0.00">
                  <c:v>1126.2</c:v>
                </c:pt>
                <c:pt idx="260" formatCode="0.00">
                  <c:v>1126.42</c:v>
                </c:pt>
                <c:pt idx="261" formatCode="0.00">
                  <c:v>1115.0999999999999</c:v>
                </c:pt>
                <c:pt idx="262">
                  <c:v>#N/A</c:v>
                </c:pt>
                <c:pt idx="263" formatCode="0.00">
                  <c:v>1132.99</c:v>
                </c:pt>
                <c:pt idx="264" formatCode="0.00">
                  <c:v>1136.52</c:v>
                </c:pt>
                <c:pt idx="265" formatCode="0.00">
                  <c:v>1137.1399999999999</c:v>
                </c:pt>
                <c:pt idx="266" formatCode="0.00">
                  <c:v>1141.6899999999998</c:v>
                </c:pt>
                <c:pt idx="267" formatCode="0.00">
                  <c:v>1144.98</c:v>
                </c:pt>
                <c:pt idx="268" formatCode="0.00">
                  <c:v>1146.98</c:v>
                </c:pt>
                <c:pt idx="269" formatCode="0.00">
                  <c:v>1136.22</c:v>
                </c:pt>
                <c:pt idx="270" formatCode="0.00">
                  <c:v>1145.6799999999998</c:v>
                </c:pt>
                <c:pt idx="271" formatCode="0.00">
                  <c:v>1148.46</c:v>
                </c:pt>
                <c:pt idx="272" formatCode="0.00">
                  <c:v>1136.03</c:v>
                </c:pt>
                <c:pt idx="273">
                  <c:v>#N/A</c:v>
                </c:pt>
                <c:pt idx="274" formatCode="0.00">
                  <c:v>1150.23</c:v>
                </c:pt>
                <c:pt idx="275" formatCode="0.00">
                  <c:v>1138.04</c:v>
                </c:pt>
                <c:pt idx="276" formatCode="0.00">
                  <c:v>1116.48</c:v>
                </c:pt>
                <c:pt idx="277" formatCode="0.00">
                  <c:v>1091.76</c:v>
                </c:pt>
                <c:pt idx="278" formatCode="0.00">
                  <c:v>1096.78</c:v>
                </c:pt>
                <c:pt idx="279" formatCode="0.00">
                  <c:v>1092.1699999999998</c:v>
                </c:pt>
                <c:pt idx="280" formatCode="0.00">
                  <c:v>1097.5</c:v>
                </c:pt>
                <c:pt idx="281" formatCode="0.00">
                  <c:v>1084.53</c:v>
                </c:pt>
                <c:pt idx="282" formatCode="0.00">
                  <c:v>1073.8699999999999</c:v>
                </c:pt>
                <c:pt idx="283" formatCode="0.00">
                  <c:v>1089.1899999999998</c:v>
                </c:pt>
                <c:pt idx="284" formatCode="0.00">
                  <c:v>1103.32</c:v>
                </c:pt>
                <c:pt idx="285" formatCode="0.00">
                  <c:v>1097.28</c:v>
                </c:pt>
                <c:pt idx="286" formatCode="0.00">
                  <c:v>1063.1099999999999</c:v>
                </c:pt>
                <c:pt idx="287" formatCode="0.00">
                  <c:v>1066.1899999999998</c:v>
                </c:pt>
                <c:pt idx="288" formatCode="0.00">
                  <c:v>1056.74</c:v>
                </c:pt>
                <c:pt idx="289" formatCode="0.00">
                  <c:v>1070.52</c:v>
                </c:pt>
                <c:pt idx="290" formatCode="0.00">
                  <c:v>1068.1299999999999</c:v>
                </c:pt>
                <c:pt idx="291" formatCode="0.00">
                  <c:v>1078.47</c:v>
                </c:pt>
                <c:pt idx="292" formatCode="0.00">
                  <c:v>1075.51</c:v>
                </c:pt>
                <c:pt idx="293">
                  <c:v>#N/A</c:v>
                </c:pt>
                <c:pt idx="294" formatCode="0.00">
                  <c:v>1094.8699999999999</c:v>
                </c:pt>
                <c:pt idx="295" formatCode="0.00">
                  <c:v>1099.51</c:v>
                </c:pt>
                <c:pt idx="296" formatCode="0.00">
                  <c:v>1106.75</c:v>
                </c:pt>
                <c:pt idx="297" formatCode="0.00">
                  <c:v>1109.1699999999998</c:v>
                </c:pt>
                <c:pt idx="298" formatCode="0.00">
                  <c:v>1108.01</c:v>
                </c:pt>
                <c:pt idx="299" formatCode="0.00">
                  <c:v>1094.5999999999999</c:v>
                </c:pt>
                <c:pt idx="300" formatCode="0.00">
                  <c:v>1105.24</c:v>
                </c:pt>
                <c:pt idx="301" formatCode="0.00">
                  <c:v>1102.94</c:v>
                </c:pt>
                <c:pt idx="302" formatCode="0.00">
                  <c:v>1104.49</c:v>
                </c:pt>
                <c:pt idx="303" formatCode="0.00">
                  <c:v>1115.71</c:v>
                </c:pt>
                <c:pt idx="304" formatCode="0.00">
                  <c:v>1118.31</c:v>
                </c:pt>
                <c:pt idx="305" formatCode="0.00">
                  <c:v>1118.79</c:v>
                </c:pt>
                <c:pt idx="306" formatCode="0.00">
                  <c:v>1122.97</c:v>
                </c:pt>
                <c:pt idx="307" formatCode="0.00">
                  <c:v>1138.7</c:v>
                </c:pt>
                <c:pt idx="308" formatCode="0.00">
                  <c:v>1138.5</c:v>
                </c:pt>
                <c:pt idx="309" formatCode="0.00">
                  <c:v>1140.45</c:v>
                </c:pt>
                <c:pt idx="310" formatCode="0.00">
                  <c:v>1145.6099999999999</c:v>
                </c:pt>
                <c:pt idx="311" formatCode="0.00">
                  <c:v>1150.24</c:v>
                </c:pt>
                <c:pt idx="312" formatCode="0.00">
                  <c:v>1149.99</c:v>
                </c:pt>
                <c:pt idx="313" formatCode="0.00">
                  <c:v>1150.51</c:v>
                </c:pt>
                <c:pt idx="314" formatCode="0.00">
                  <c:v>1159.46</c:v>
                </c:pt>
                <c:pt idx="315" formatCode="0.00">
                  <c:v>1166.21</c:v>
                </c:pt>
                <c:pt idx="316" formatCode="0.00">
                  <c:v>1165.83</c:v>
                </c:pt>
                <c:pt idx="317" formatCode="0.00">
                  <c:v>1159.9000000000001</c:v>
                </c:pt>
                <c:pt idx="318" formatCode="0.00">
                  <c:v>1165.81</c:v>
                </c:pt>
                <c:pt idx="319" formatCode="0.00">
                  <c:v>1174.1699999999998</c:v>
                </c:pt>
                <c:pt idx="320" formatCode="0.00">
                  <c:v>1167.72</c:v>
                </c:pt>
                <c:pt idx="321" formatCode="0.00">
                  <c:v>1165.73</c:v>
                </c:pt>
                <c:pt idx="322" formatCode="0.00">
                  <c:v>1166.5899999999999</c:v>
                </c:pt>
                <c:pt idx="323" formatCode="0.00">
                  <c:v>1173.22</c:v>
                </c:pt>
                <c:pt idx="324" formatCode="0.00">
                  <c:v>1173.27</c:v>
                </c:pt>
                <c:pt idx="325" formatCode="0.00">
                  <c:v>1169.43</c:v>
                </c:pt>
                <c:pt idx="326" formatCode="0.00">
                  <c:v>1178.0999999999999</c:v>
                </c:pt>
                <c:pt idx="327">
                  <c:v>#N/A</c:v>
                </c:pt>
                <c:pt idx="328" formatCode="0.00">
                  <c:v>1187.44</c:v>
                </c:pt>
                <c:pt idx="329" formatCode="0.00">
                  <c:v>1189.44</c:v>
                </c:pt>
                <c:pt idx="330" formatCode="0.00">
                  <c:v>1182.45</c:v>
                </c:pt>
                <c:pt idx="331" formatCode="0.00">
                  <c:v>1186.44</c:v>
                </c:pt>
                <c:pt idx="332" formatCode="0.00">
                  <c:v>1194.3699999999999</c:v>
                </c:pt>
                <c:pt idx="333" formatCode="0.00">
                  <c:v>1196.48</c:v>
                </c:pt>
                <c:pt idx="334" formatCode="0.00">
                  <c:v>1197.3</c:v>
                </c:pt>
                <c:pt idx="335" formatCode="0.00">
                  <c:v>1210.6499999999999</c:v>
                </c:pt>
                <c:pt idx="336" formatCode="0.00">
                  <c:v>1211.6699999999998</c:v>
                </c:pt>
                <c:pt idx="337" formatCode="0.00">
                  <c:v>1192.1299999999999</c:v>
                </c:pt>
                <c:pt idx="338" formatCode="0.00">
                  <c:v>1197.52</c:v>
                </c:pt>
                <c:pt idx="339" formatCode="0.00">
                  <c:v>1207.1699999999998</c:v>
                </c:pt>
                <c:pt idx="340" formatCode="0.00">
                  <c:v>1205.94</c:v>
                </c:pt>
                <c:pt idx="341" formatCode="0.00">
                  <c:v>1208.6699999999998</c:v>
                </c:pt>
                <c:pt idx="342" formatCode="0.00">
                  <c:v>1217.28</c:v>
                </c:pt>
                <c:pt idx="343" formatCode="0.00">
                  <c:v>1212.05</c:v>
                </c:pt>
                <c:pt idx="344" formatCode="0.00">
                  <c:v>1183.71</c:v>
                </c:pt>
                <c:pt idx="345" formatCode="0.00">
                  <c:v>1191.3599999999999</c:v>
                </c:pt>
                <c:pt idx="346" formatCode="0.00">
                  <c:v>1206.78</c:v>
                </c:pt>
                <c:pt idx="347" formatCode="0.00">
                  <c:v>1186.6899999999998</c:v>
                </c:pt>
                <c:pt idx="348" formatCode="0.00">
                  <c:v>1202.26</c:v>
                </c:pt>
                <c:pt idx="349" formatCode="0.00">
                  <c:v>1173.5999999999999</c:v>
                </c:pt>
                <c:pt idx="350" formatCode="0.00">
                  <c:v>1165.9000000000001</c:v>
                </c:pt>
                <c:pt idx="351" formatCode="0.00">
                  <c:v>1128.1499999999999</c:v>
                </c:pt>
                <c:pt idx="352" formatCode="0.00">
                  <c:v>1110.8799999999999</c:v>
                </c:pt>
                <c:pt idx="353" formatCode="0.00">
                  <c:v>1159.73</c:v>
                </c:pt>
                <c:pt idx="354" formatCode="0.00">
                  <c:v>1155.79</c:v>
                </c:pt>
                <c:pt idx="355" formatCode="0.00">
                  <c:v>1171.6699999999998</c:v>
                </c:pt>
                <c:pt idx="356" formatCode="0.00">
                  <c:v>1157.44</c:v>
                </c:pt>
                <c:pt idx="357" formatCode="0.00">
                  <c:v>1135.6799999999998</c:v>
                </c:pt>
                <c:pt idx="358" formatCode="0.00">
                  <c:v>1136.94</c:v>
                </c:pt>
                <c:pt idx="359" formatCode="0.00">
                  <c:v>1120.8</c:v>
                </c:pt>
                <c:pt idx="360" formatCode="0.00">
                  <c:v>1115.05</c:v>
                </c:pt>
                <c:pt idx="361" formatCode="0.00">
                  <c:v>1071.5899999999999</c:v>
                </c:pt>
                <c:pt idx="362" formatCode="0.00">
                  <c:v>1087.6899999999998</c:v>
                </c:pt>
                <c:pt idx="363" formatCode="0.00">
                  <c:v>1073.6499999999999</c:v>
                </c:pt>
                <c:pt idx="364" formatCode="0.00">
                  <c:v>1074.03</c:v>
                </c:pt>
                <c:pt idx="365" formatCode="0.00">
                  <c:v>1067.95</c:v>
                </c:pt>
                <c:pt idx="366" formatCode="0.00">
                  <c:v>1103.06</c:v>
                </c:pt>
                <c:pt idx="367" formatCode="0.00">
                  <c:v>1089.4100000000001</c:v>
                </c:pt>
                <c:pt idx="368">
                  <c:v>#N/A</c:v>
                </c:pt>
                <c:pt idx="369" formatCode="0.00">
                  <c:v>1070.71</c:v>
                </c:pt>
                <c:pt idx="370" formatCode="0.00">
                  <c:v>1098.3799999999999</c:v>
                </c:pt>
                <c:pt idx="371" formatCode="0.00">
                  <c:v>1102.83</c:v>
                </c:pt>
                <c:pt idx="372" formatCode="0.00">
                  <c:v>1064.8799999999999</c:v>
                </c:pt>
                <c:pt idx="373" formatCode="0.00">
                  <c:v>1050.47</c:v>
                </c:pt>
                <c:pt idx="374" formatCode="0.00">
                  <c:v>1062</c:v>
                </c:pt>
                <c:pt idx="375" formatCode="0.00">
                  <c:v>1055.6899999999998</c:v>
                </c:pt>
                <c:pt idx="376" formatCode="0.00">
                  <c:v>1086.8399999999999</c:v>
                </c:pt>
                <c:pt idx="377" formatCode="0.00">
                  <c:v>1091.5999999999999</c:v>
                </c:pt>
                <c:pt idx="378" formatCode="0.00">
                  <c:v>1089.6299999999999</c:v>
                </c:pt>
                <c:pt idx="379" formatCode="0.00">
                  <c:v>1115.23</c:v>
                </c:pt>
                <c:pt idx="380" formatCode="0.00">
                  <c:v>1114.6099999999999</c:v>
                </c:pt>
                <c:pt idx="381" formatCode="0.00">
                  <c:v>1116.04</c:v>
                </c:pt>
                <c:pt idx="382" formatCode="0.00">
                  <c:v>1117.51</c:v>
                </c:pt>
                <c:pt idx="383" formatCode="0.00">
                  <c:v>1113.2</c:v>
                </c:pt>
                <c:pt idx="384" formatCode="0.00">
                  <c:v>1095.31</c:v>
                </c:pt>
                <c:pt idx="385" formatCode="0.00">
                  <c:v>1092.04</c:v>
                </c:pt>
                <c:pt idx="386" formatCode="0.00">
                  <c:v>1073.6899999999998</c:v>
                </c:pt>
                <c:pt idx="387" formatCode="0.00">
                  <c:v>1076.76</c:v>
                </c:pt>
                <c:pt idx="388" formatCode="0.00">
                  <c:v>1074.57</c:v>
                </c:pt>
                <c:pt idx="389" formatCode="0.00">
                  <c:v>1041.24</c:v>
                </c:pt>
                <c:pt idx="390" formatCode="0.00">
                  <c:v>1030.71</c:v>
                </c:pt>
                <c:pt idx="391" formatCode="0.00">
                  <c:v>1027.3699999999999</c:v>
                </c:pt>
                <c:pt idx="392" formatCode="0.00">
                  <c:v>1022.58</c:v>
                </c:pt>
                <c:pt idx="393">
                  <c:v>#N/A</c:v>
                </c:pt>
                <c:pt idx="394" formatCode="0.00">
                  <c:v>1028.06</c:v>
                </c:pt>
                <c:pt idx="395" formatCode="0.00">
                  <c:v>1060.27</c:v>
                </c:pt>
                <c:pt idx="396" formatCode="0.00">
                  <c:v>1070.25</c:v>
                </c:pt>
                <c:pt idx="397" formatCode="0.00">
                  <c:v>1077.96</c:v>
                </c:pt>
                <c:pt idx="398" formatCode="0.00">
                  <c:v>1078.75</c:v>
                </c:pt>
                <c:pt idx="399" formatCode="0.00">
                  <c:v>1095.3399999999999</c:v>
                </c:pt>
                <c:pt idx="400" formatCode="0.00">
                  <c:v>1095.1699999999998</c:v>
                </c:pt>
                <c:pt idx="401" formatCode="0.00">
                  <c:v>1096.48</c:v>
                </c:pt>
                <c:pt idx="402" formatCode="0.00">
                  <c:v>1064.8799999999999</c:v>
                </c:pt>
                <c:pt idx="403" formatCode="0.00">
                  <c:v>1071.25</c:v>
                </c:pt>
                <c:pt idx="404" formatCode="0.00">
                  <c:v>1083.48</c:v>
                </c:pt>
                <c:pt idx="405" formatCode="0.00">
                  <c:v>1069.5899999999999</c:v>
                </c:pt>
                <c:pt idx="406" formatCode="0.00">
                  <c:v>1093.6699999999998</c:v>
                </c:pt>
                <c:pt idx="407" formatCode="0.00">
                  <c:v>1102.6599999999999</c:v>
                </c:pt>
                <c:pt idx="408" formatCode="0.00">
                  <c:v>1115.01</c:v>
                </c:pt>
                <c:pt idx="409" formatCode="0.00">
                  <c:v>1113.8399999999999</c:v>
                </c:pt>
                <c:pt idx="410" formatCode="0.00">
                  <c:v>1106.1299999999999</c:v>
                </c:pt>
                <c:pt idx="411" formatCode="0.00">
                  <c:v>1101.53</c:v>
                </c:pt>
                <c:pt idx="412" formatCode="0.00">
                  <c:v>1101.5999999999999</c:v>
                </c:pt>
                <c:pt idx="413" formatCode="0.00">
                  <c:v>1125.8599999999999</c:v>
                </c:pt>
                <c:pt idx="414" formatCode="0.00">
                  <c:v>1120.46</c:v>
                </c:pt>
                <c:pt idx="415" formatCode="0.00">
                  <c:v>1127.24</c:v>
                </c:pt>
                <c:pt idx="416" formatCode="0.00">
                  <c:v>1125.81</c:v>
                </c:pt>
                <c:pt idx="417" formatCode="0.00">
                  <c:v>1121.6399999999999</c:v>
                </c:pt>
                <c:pt idx="418" formatCode="0.00">
                  <c:v>1127.79</c:v>
                </c:pt>
                <c:pt idx="419" formatCode="0.00">
                  <c:v>1121.06</c:v>
                </c:pt>
                <c:pt idx="420" formatCode="0.00">
                  <c:v>1089.47</c:v>
                </c:pt>
                <c:pt idx="421" formatCode="0.00">
                  <c:v>1083.6099999999999</c:v>
                </c:pt>
                <c:pt idx="422" formatCode="0.00">
                  <c:v>1079.25</c:v>
                </c:pt>
                <c:pt idx="423" formatCode="0.00">
                  <c:v>1079.3799999999999</c:v>
                </c:pt>
                <c:pt idx="424" formatCode="0.00">
                  <c:v>1092.54</c:v>
                </c:pt>
                <c:pt idx="425" formatCode="0.00">
                  <c:v>1094.1599999999999</c:v>
                </c:pt>
                <c:pt idx="426" formatCode="0.00">
                  <c:v>1075.6299999999999</c:v>
                </c:pt>
                <c:pt idx="427" formatCode="0.00">
                  <c:v>1071.6899999999998</c:v>
                </c:pt>
                <c:pt idx="428" formatCode="0.00">
                  <c:v>1067.3599999999999</c:v>
                </c:pt>
                <c:pt idx="429" formatCode="0.00">
                  <c:v>1051.8699999999999</c:v>
                </c:pt>
                <c:pt idx="430" formatCode="0.00">
                  <c:v>1055.33</c:v>
                </c:pt>
                <c:pt idx="431" formatCode="0.00">
                  <c:v>1047.22</c:v>
                </c:pt>
                <c:pt idx="432" formatCode="0.00">
                  <c:v>1064.5899999999999</c:v>
                </c:pt>
                <c:pt idx="433" formatCode="0.00">
                  <c:v>1048.92</c:v>
                </c:pt>
                <c:pt idx="434" formatCode="0.00">
                  <c:v>1049.33</c:v>
                </c:pt>
                <c:pt idx="435" formatCode="0.00">
                  <c:v>1080.29</c:v>
                </c:pt>
                <c:pt idx="436" formatCode="0.00">
                  <c:v>1090.0999999999999</c:v>
                </c:pt>
                <c:pt idx="437" formatCode="0.00">
                  <c:v>1104.51</c:v>
                </c:pt>
                <c:pt idx="438">
                  <c:v>#N/A</c:v>
                </c:pt>
                <c:pt idx="439" formatCode="0.00">
                  <c:v>1091.8399999999999</c:v>
                </c:pt>
                <c:pt idx="440" formatCode="0.00">
                  <c:v>1098.8699999999999</c:v>
                </c:pt>
                <c:pt idx="441" formatCode="0.00">
                  <c:v>1104.1799999999998</c:v>
                </c:pt>
                <c:pt idx="442" formatCode="0.00">
                  <c:v>1109.55</c:v>
                </c:pt>
                <c:pt idx="443" formatCode="0.00">
                  <c:v>1121.9000000000001</c:v>
                </c:pt>
                <c:pt idx="444" formatCode="0.00">
                  <c:v>1121.0999999999999</c:v>
                </c:pt>
                <c:pt idx="445" formatCode="0.00">
                  <c:v>1125.07</c:v>
                </c:pt>
                <c:pt idx="446" formatCode="0.00">
                  <c:v>1124.6599999999999</c:v>
                </c:pt>
                <c:pt idx="447" formatCode="0.00">
                  <c:v>1125.5899999999999</c:v>
                </c:pt>
                <c:pt idx="448" formatCode="0.00">
                  <c:v>1142.71</c:v>
                </c:pt>
                <c:pt idx="449" formatCode="0.00">
                  <c:v>1139.78</c:v>
                </c:pt>
                <c:pt idx="450" formatCode="0.00">
                  <c:v>1134.28</c:v>
                </c:pt>
                <c:pt idx="451" formatCode="0.00">
                  <c:v>1124.83</c:v>
                </c:pt>
                <c:pt idx="452" formatCode="0.00">
                  <c:v>1148.6699999999998</c:v>
                </c:pt>
                <c:pt idx="453" formatCode="0.00">
                  <c:v>1142.1599999999999</c:v>
                </c:pt>
                <c:pt idx="454" formatCode="0.00">
                  <c:v>1147.7</c:v>
                </c:pt>
                <c:pt idx="455" formatCode="0.00">
                  <c:v>1144.73</c:v>
                </c:pt>
                <c:pt idx="456" formatCode="0.00">
                  <c:v>1141.2</c:v>
                </c:pt>
                <c:pt idx="457" formatCode="0.00">
                  <c:v>1146.24</c:v>
                </c:pt>
                <c:pt idx="458" formatCode="0.00">
                  <c:v>1137.03</c:v>
                </c:pt>
                <c:pt idx="459" formatCode="0.00">
                  <c:v>1160.75</c:v>
                </c:pt>
                <c:pt idx="460" formatCode="0.00">
                  <c:v>1159.97</c:v>
                </c:pt>
                <c:pt idx="461" formatCode="0.00">
                  <c:v>1158.06</c:v>
                </c:pt>
                <c:pt idx="462" formatCode="0.00">
                  <c:v>1165.1499999999999</c:v>
                </c:pt>
                <c:pt idx="463" formatCode="0.00">
                  <c:v>1165.32</c:v>
                </c:pt>
                <c:pt idx="464" formatCode="0.00">
                  <c:v>1169.77</c:v>
                </c:pt>
                <c:pt idx="465" formatCode="0.00">
                  <c:v>1178.0999999999999</c:v>
                </c:pt>
                <c:pt idx="466" formatCode="0.00">
                  <c:v>1173.81</c:v>
                </c:pt>
                <c:pt idx="467" formatCode="0.00">
                  <c:v>1176.1899999999998</c:v>
                </c:pt>
                <c:pt idx="468" formatCode="0.00">
                  <c:v>1184.71</c:v>
                </c:pt>
                <c:pt idx="469" formatCode="0.00">
                  <c:v>1165.9000000000001</c:v>
                </c:pt>
                <c:pt idx="470" formatCode="0.00">
                  <c:v>1178.1699999999998</c:v>
                </c:pt>
                <c:pt idx="471" formatCode="0.00">
                  <c:v>1180.26</c:v>
                </c:pt>
                <c:pt idx="472" formatCode="0.00">
                  <c:v>1183.08</c:v>
                </c:pt>
                <c:pt idx="473" formatCode="0.00">
                  <c:v>1185.6199999999999</c:v>
                </c:pt>
                <c:pt idx="474" formatCode="0.00">
                  <c:v>1185.6399999999999</c:v>
                </c:pt>
                <c:pt idx="475" formatCode="0.00">
                  <c:v>1182.45</c:v>
                </c:pt>
                <c:pt idx="476" formatCode="0.00">
                  <c:v>1183.78</c:v>
                </c:pt>
                <c:pt idx="477" formatCode="0.00">
                  <c:v>1183.26</c:v>
                </c:pt>
                <c:pt idx="478" formatCode="0.00">
                  <c:v>1184.3799999999999</c:v>
                </c:pt>
                <c:pt idx="479" formatCode="0.00">
                  <c:v>1193.57</c:v>
                </c:pt>
                <c:pt idx="480" formatCode="0.00">
                  <c:v>1197.96</c:v>
                </c:pt>
                <c:pt idx="481" formatCode="0.00">
                  <c:v>1221.06</c:v>
                </c:pt>
                <c:pt idx="482" formatCode="0.00">
                  <c:v>1225.8499999999999</c:v>
                </c:pt>
                <c:pt idx="483" formatCode="0.00">
                  <c:v>1223.25</c:v>
                </c:pt>
                <c:pt idx="484" formatCode="0.00">
                  <c:v>1213.4000000000001</c:v>
                </c:pt>
                <c:pt idx="485" formatCode="0.00">
                  <c:v>1218.71</c:v>
                </c:pt>
                <c:pt idx="486" formatCode="0.00">
                  <c:v>1213.54</c:v>
                </c:pt>
                <c:pt idx="487" formatCode="0.00">
                  <c:v>1199.21</c:v>
                </c:pt>
                <c:pt idx="488" formatCode="0.00">
                  <c:v>1197.75</c:v>
                </c:pt>
                <c:pt idx="489" formatCode="0.00">
                  <c:v>1178.3399999999999</c:v>
                </c:pt>
                <c:pt idx="490" formatCode="0.00">
                  <c:v>1178.5899999999999</c:v>
                </c:pt>
                <c:pt idx="491" formatCode="0.00">
                  <c:v>1196.6899999999998</c:v>
                </c:pt>
                <c:pt idx="492" formatCode="0.00">
                  <c:v>1199.73</c:v>
                </c:pt>
                <c:pt idx="493" formatCode="0.00">
                  <c:v>1197.8399999999999</c:v>
                </c:pt>
                <c:pt idx="494" formatCode="0.00">
                  <c:v>1180.73</c:v>
                </c:pt>
                <c:pt idx="495" formatCode="0.00">
                  <c:v>1198.3499999999999</c:v>
                </c:pt>
                <c:pt idx="496">
                  <c:v>#N/A</c:v>
                </c:pt>
                <c:pt idx="497" formatCode="0.00">
                  <c:v>1189.4000000000001</c:v>
                </c:pt>
                <c:pt idx="498" formatCode="0.00">
                  <c:v>1187.76</c:v>
                </c:pt>
                <c:pt idx="499" formatCode="0.00">
                  <c:v>1180.55</c:v>
                </c:pt>
                <c:pt idx="500" formatCode="0.00">
                  <c:v>1206.07</c:v>
                </c:pt>
                <c:pt idx="501" formatCode="0.00">
                  <c:v>1221.53</c:v>
                </c:pt>
                <c:pt idx="502" formatCode="0.00">
                  <c:v>1224.71</c:v>
                </c:pt>
                <c:pt idx="503" formatCode="0.00">
                  <c:v>1223.1199999999999</c:v>
                </c:pt>
                <c:pt idx="504" formatCode="0.00">
                  <c:v>1223.75</c:v>
                </c:pt>
                <c:pt idx="505" formatCode="0.00">
                  <c:v>1228.28</c:v>
                </c:pt>
                <c:pt idx="506" formatCode="0.00">
                  <c:v>1233</c:v>
                </c:pt>
                <c:pt idx="507" formatCode="0.00">
                  <c:v>1240.4000000000001</c:v>
                </c:pt>
                <c:pt idx="508" formatCode="0.00">
                  <c:v>1240.46</c:v>
                </c:pt>
                <c:pt idx="509" formatCode="0.00">
                  <c:v>1241.5899999999999</c:v>
                </c:pt>
                <c:pt idx="510" formatCode="0.00">
                  <c:v>1235.23</c:v>
                </c:pt>
                <c:pt idx="511" formatCode="0.00">
                  <c:v>1242.8699999999999</c:v>
                </c:pt>
                <c:pt idx="512" formatCode="0.00">
                  <c:v>1243.9100000000001</c:v>
                </c:pt>
                <c:pt idx="513" formatCode="0.00">
                  <c:v>1247.08</c:v>
                </c:pt>
                <c:pt idx="514" formatCode="0.00">
                  <c:v>1254.5999999999999</c:v>
                </c:pt>
                <c:pt idx="515" formatCode="0.00">
                  <c:v>1258.8399999999999</c:v>
                </c:pt>
                <c:pt idx="516" formatCode="0.00">
                  <c:v>1256.77</c:v>
                </c:pt>
                <c:pt idx="517">
                  <c:v>#N/A</c:v>
                </c:pt>
                <c:pt idx="518" formatCode="0.00">
                  <c:v>1257.54</c:v>
                </c:pt>
                <c:pt idx="519" formatCode="0.00">
                  <c:v>1258.51</c:v>
                </c:pt>
                <c:pt idx="520" formatCode="0.00">
                  <c:v>1259.78</c:v>
                </c:pt>
                <c:pt idx="521" formatCode="0.00">
                  <c:v>1257.8799999999999</c:v>
                </c:pt>
                <c:pt idx="522" formatCode="0.00">
                  <c:v>1257.6399999999999</c:v>
                </c:pt>
                <c:pt idx="523" formatCode="0.00">
                  <c:v>1271.8699999999999</c:v>
                </c:pt>
                <c:pt idx="524" formatCode="0.00">
                  <c:v>1270.2</c:v>
                </c:pt>
                <c:pt idx="525" formatCode="0.00">
                  <c:v>1276.56</c:v>
                </c:pt>
                <c:pt idx="526" formatCode="0.00">
                  <c:v>1273.8499999999999</c:v>
                </c:pt>
                <c:pt idx="527" formatCode="0.00">
                  <c:v>1271.5</c:v>
                </c:pt>
                <c:pt idx="528" formatCode="0.00">
                  <c:v>1269.75</c:v>
                </c:pt>
                <c:pt idx="529" formatCode="0.00">
                  <c:v>1274.48</c:v>
                </c:pt>
                <c:pt idx="530" formatCode="0.00">
                  <c:v>1285.96</c:v>
                </c:pt>
                <c:pt idx="531" formatCode="0.00">
                  <c:v>1283.76</c:v>
                </c:pt>
                <c:pt idx="532" formatCode="0.00">
                  <c:v>1293.24</c:v>
                </c:pt>
                <c:pt idx="533">
                  <c:v>#N/A</c:v>
                </c:pt>
                <c:pt idx="534" formatCode="0.00">
                  <c:v>1295.02</c:v>
                </c:pt>
                <c:pt idx="535" formatCode="0.00">
                  <c:v>1281.92</c:v>
                </c:pt>
                <c:pt idx="536" formatCode="0.00">
                  <c:v>1280.26</c:v>
                </c:pt>
                <c:pt idx="537" formatCode="0.00">
                  <c:v>1283.3499999999999</c:v>
                </c:pt>
                <c:pt idx="538" formatCode="0.00">
                  <c:v>1290.8399999999999</c:v>
                </c:pt>
                <c:pt idx="539" formatCode="0.00">
                  <c:v>1291.1799999999998</c:v>
                </c:pt>
                <c:pt idx="540" formatCode="0.00">
                  <c:v>1296.6299999999999</c:v>
                </c:pt>
                <c:pt idx="541" formatCode="0.00">
                  <c:v>1299.54</c:v>
                </c:pt>
                <c:pt idx="542" formatCode="0.00">
                  <c:v>1276.3399999999999</c:v>
                </c:pt>
                <c:pt idx="543" formatCode="0.00">
                  <c:v>1286.1199999999999</c:v>
                </c:pt>
                <c:pt idx="544" formatCode="0.00">
                  <c:v>1307.5899999999999</c:v>
                </c:pt>
                <c:pt idx="545" formatCode="0.00">
                  <c:v>1304.03</c:v>
                </c:pt>
                <c:pt idx="546" formatCode="0.00">
                  <c:v>1307.0999999999999</c:v>
                </c:pt>
                <c:pt idx="547" formatCode="0.00">
                  <c:v>1310.87</c:v>
                </c:pt>
                <c:pt idx="548" formatCode="0.00">
                  <c:v>1319.05</c:v>
                </c:pt>
                <c:pt idx="549" formatCode="0.00">
                  <c:v>1324.57</c:v>
                </c:pt>
                <c:pt idx="550" formatCode="0.00">
                  <c:v>1320.8799999999999</c:v>
                </c:pt>
                <c:pt idx="551" formatCode="0.00">
                  <c:v>1321.87</c:v>
                </c:pt>
                <c:pt idx="552" formatCode="0.00">
                  <c:v>1329.1499999999999</c:v>
                </c:pt>
                <c:pt idx="553" formatCode="0.00">
                  <c:v>1332.32</c:v>
                </c:pt>
                <c:pt idx="554" formatCode="0.00">
                  <c:v>1328.01</c:v>
                </c:pt>
                <c:pt idx="555" formatCode="0.00">
                  <c:v>1336.32</c:v>
                </c:pt>
                <c:pt idx="556" formatCode="0.00">
                  <c:v>1340.43</c:v>
                </c:pt>
                <c:pt idx="557" formatCode="0.00">
                  <c:v>1343.01</c:v>
                </c:pt>
                <c:pt idx="558">
                  <c:v>#N/A</c:v>
                </c:pt>
                <c:pt idx="559" formatCode="0.00">
                  <c:v>1315.44</c:v>
                </c:pt>
                <c:pt idx="560" formatCode="0.00">
                  <c:v>1307.4000000000001</c:v>
                </c:pt>
                <c:pt idx="561" formatCode="0.00">
                  <c:v>1306.0999999999999</c:v>
                </c:pt>
                <c:pt idx="562" formatCode="0.00">
                  <c:v>1319.8799999999999</c:v>
                </c:pt>
                <c:pt idx="563" formatCode="0.00">
                  <c:v>1327.22</c:v>
                </c:pt>
                <c:pt idx="564" formatCode="0.00">
                  <c:v>1306.33</c:v>
                </c:pt>
                <c:pt idx="565" formatCode="0.00">
                  <c:v>1308.44</c:v>
                </c:pt>
                <c:pt idx="566" formatCode="0.00">
                  <c:v>1330.97</c:v>
                </c:pt>
                <c:pt idx="567" formatCode="0.00">
                  <c:v>1321.1499999999999</c:v>
                </c:pt>
                <c:pt idx="568" formatCode="0.00">
                  <c:v>1310.1299999999999</c:v>
                </c:pt>
                <c:pt idx="569" formatCode="0.00">
                  <c:v>1321.82</c:v>
                </c:pt>
                <c:pt idx="570" formatCode="0.00">
                  <c:v>1320.02</c:v>
                </c:pt>
                <c:pt idx="571" formatCode="0.00">
                  <c:v>1295.1099999999999</c:v>
                </c:pt>
                <c:pt idx="572" formatCode="0.00">
                  <c:v>1304.28</c:v>
                </c:pt>
                <c:pt idx="573" formatCode="0.00">
                  <c:v>1296.3899999999999</c:v>
                </c:pt>
                <c:pt idx="574" formatCode="0.00">
                  <c:v>1281.8699999999999</c:v>
                </c:pt>
                <c:pt idx="575" formatCode="0.00">
                  <c:v>1256.8799999999999</c:v>
                </c:pt>
                <c:pt idx="576" formatCode="0.00">
                  <c:v>1273.72</c:v>
                </c:pt>
                <c:pt idx="577" formatCode="0.00">
                  <c:v>1279.2</c:v>
                </c:pt>
                <c:pt idx="578" formatCode="0.00">
                  <c:v>1298.3799999999999</c:v>
                </c:pt>
                <c:pt idx="579" formatCode="0.00">
                  <c:v>1293.77</c:v>
                </c:pt>
                <c:pt idx="580" formatCode="0.00">
                  <c:v>1297.54</c:v>
                </c:pt>
                <c:pt idx="581" formatCode="0.00">
                  <c:v>1309.6599999999999</c:v>
                </c:pt>
                <c:pt idx="582" formatCode="0.00">
                  <c:v>1313.8</c:v>
                </c:pt>
                <c:pt idx="583" formatCode="0.00">
                  <c:v>1310.1899999999998</c:v>
                </c:pt>
                <c:pt idx="584" formatCode="0.00">
                  <c:v>1319.44</c:v>
                </c:pt>
                <c:pt idx="585" formatCode="0.00">
                  <c:v>1328.26</c:v>
                </c:pt>
                <c:pt idx="586" formatCode="0.00">
                  <c:v>1325.83</c:v>
                </c:pt>
                <c:pt idx="587" formatCode="0.00">
                  <c:v>1332.41</c:v>
                </c:pt>
                <c:pt idx="588" formatCode="0.00">
                  <c:v>1332.87</c:v>
                </c:pt>
                <c:pt idx="589" formatCode="0.00">
                  <c:v>1332.6299999999999</c:v>
                </c:pt>
                <c:pt idx="590" formatCode="0.00">
                  <c:v>1335.54</c:v>
                </c:pt>
                <c:pt idx="591" formatCode="0.00">
                  <c:v>1333.51</c:v>
                </c:pt>
                <c:pt idx="592" formatCode="0.00">
                  <c:v>1328.1699999999998</c:v>
                </c:pt>
                <c:pt idx="593" formatCode="0.00">
                  <c:v>1324.46</c:v>
                </c:pt>
                <c:pt idx="594" formatCode="0.00">
                  <c:v>1314.1599999999999</c:v>
                </c:pt>
                <c:pt idx="595" formatCode="0.00">
                  <c:v>1314.41</c:v>
                </c:pt>
                <c:pt idx="596" formatCode="0.00">
                  <c:v>1314.52</c:v>
                </c:pt>
                <c:pt idx="597" formatCode="0.00">
                  <c:v>1319.6799999999998</c:v>
                </c:pt>
                <c:pt idx="598" formatCode="0.00">
                  <c:v>1305.1399999999999</c:v>
                </c:pt>
                <c:pt idx="599" formatCode="0.00">
                  <c:v>1312.62</c:v>
                </c:pt>
                <c:pt idx="600" formatCode="0.00">
                  <c:v>1330.36</c:v>
                </c:pt>
                <c:pt idx="601" formatCode="0.00">
                  <c:v>1337.3799999999999</c:v>
                </c:pt>
                <c:pt idx="602">
                  <c:v>#N/A</c:v>
                </c:pt>
                <c:pt idx="603" formatCode="0.00">
                  <c:v>1335.25</c:v>
                </c:pt>
                <c:pt idx="604" formatCode="0.00">
                  <c:v>1347.24</c:v>
                </c:pt>
                <c:pt idx="605" formatCode="0.00">
                  <c:v>1355.6599999999999</c:v>
                </c:pt>
                <c:pt idx="606" formatCode="0.00">
                  <c:v>1360.48</c:v>
                </c:pt>
                <c:pt idx="607" formatCode="0.00">
                  <c:v>1363.61</c:v>
                </c:pt>
                <c:pt idx="608" formatCode="0.00">
                  <c:v>1361.22</c:v>
                </c:pt>
                <c:pt idx="609" formatCode="0.00">
                  <c:v>1356.62</c:v>
                </c:pt>
                <c:pt idx="610" formatCode="0.00">
                  <c:v>1347.32</c:v>
                </c:pt>
                <c:pt idx="611" formatCode="0.00">
                  <c:v>1335.1</c:v>
                </c:pt>
                <c:pt idx="612" formatCode="0.00">
                  <c:v>1340.2</c:v>
                </c:pt>
                <c:pt idx="613" formatCode="0.00">
                  <c:v>1346.29</c:v>
                </c:pt>
                <c:pt idx="614" formatCode="0.00">
                  <c:v>1357.1599999999999</c:v>
                </c:pt>
                <c:pt idx="615" formatCode="0.00">
                  <c:v>1342.08</c:v>
                </c:pt>
                <c:pt idx="616" formatCode="0.00">
                  <c:v>1348.6499999999999</c:v>
                </c:pt>
                <c:pt idx="617" formatCode="0.00">
                  <c:v>1337.77</c:v>
                </c:pt>
                <c:pt idx="618" formatCode="0.00">
                  <c:v>1329.47</c:v>
                </c:pt>
                <c:pt idx="619" formatCode="0.00">
                  <c:v>1328.98</c:v>
                </c:pt>
                <c:pt idx="620" formatCode="0.00">
                  <c:v>1340.6799999999998</c:v>
                </c:pt>
                <c:pt idx="621" formatCode="0.00">
                  <c:v>1343.6</c:v>
                </c:pt>
                <c:pt idx="622" formatCode="0.00">
                  <c:v>1333.27</c:v>
                </c:pt>
                <c:pt idx="623" formatCode="0.00">
                  <c:v>1317.37</c:v>
                </c:pt>
                <c:pt idx="624" formatCode="0.00">
                  <c:v>1316.28</c:v>
                </c:pt>
                <c:pt idx="625" formatCode="0.00">
                  <c:v>1320.47</c:v>
                </c:pt>
                <c:pt idx="626" formatCode="0.00">
                  <c:v>1325.6899999999998</c:v>
                </c:pt>
                <c:pt idx="627" formatCode="0.00">
                  <c:v>1331.1</c:v>
                </c:pt>
                <c:pt idx="628">
                  <c:v>#N/A</c:v>
                </c:pt>
                <c:pt idx="629" formatCode="0.00">
                  <c:v>1345.2</c:v>
                </c:pt>
                <c:pt idx="630" formatCode="0.00">
                  <c:v>1314.55</c:v>
                </c:pt>
                <c:pt idx="631" formatCode="0.00">
                  <c:v>1312.94</c:v>
                </c:pt>
                <c:pt idx="632" formatCode="0.00">
                  <c:v>1300.1599999999999</c:v>
                </c:pt>
                <c:pt idx="633" formatCode="0.00">
                  <c:v>1286.1699999999998</c:v>
                </c:pt>
                <c:pt idx="634" formatCode="0.00">
                  <c:v>1284.94</c:v>
                </c:pt>
                <c:pt idx="635" formatCode="0.00">
                  <c:v>1279.56</c:v>
                </c:pt>
                <c:pt idx="636" formatCode="0.00">
                  <c:v>1289</c:v>
                </c:pt>
                <c:pt idx="637" formatCode="0.00">
                  <c:v>1270.98</c:v>
                </c:pt>
                <c:pt idx="638" formatCode="0.00">
                  <c:v>1271.83</c:v>
                </c:pt>
                <c:pt idx="639" formatCode="0.00">
                  <c:v>1287.8699999999999</c:v>
                </c:pt>
                <c:pt idx="640" formatCode="0.00">
                  <c:v>1265.42</c:v>
                </c:pt>
                <c:pt idx="641" formatCode="0.00">
                  <c:v>1267.6399999999999</c:v>
                </c:pt>
                <c:pt idx="642" formatCode="0.00">
                  <c:v>1271.5</c:v>
                </c:pt>
                <c:pt idx="643" formatCode="0.00">
                  <c:v>1278.3599999999999</c:v>
                </c:pt>
                <c:pt idx="644" formatCode="0.00">
                  <c:v>1295.52</c:v>
                </c:pt>
                <c:pt idx="645" formatCode="0.00">
                  <c:v>1287.1399999999999</c:v>
                </c:pt>
                <c:pt idx="646" formatCode="0.00">
                  <c:v>1283.5</c:v>
                </c:pt>
                <c:pt idx="647" formatCode="0.00">
                  <c:v>1268.45</c:v>
                </c:pt>
                <c:pt idx="648" formatCode="0.00">
                  <c:v>1280.0999999999999</c:v>
                </c:pt>
                <c:pt idx="649" formatCode="0.00">
                  <c:v>1296.6699999999998</c:v>
                </c:pt>
                <c:pt idx="650" formatCode="0.00">
                  <c:v>1307.4100000000001</c:v>
                </c:pt>
                <c:pt idx="651" formatCode="0.00">
                  <c:v>1320.6399999999999</c:v>
                </c:pt>
                <c:pt idx="652" formatCode="0.00">
                  <c:v>1339.6699999999998</c:v>
                </c:pt>
                <c:pt idx="653">
                  <c:v>#N/A</c:v>
                </c:pt>
                <c:pt idx="654" formatCode="0.00">
                  <c:v>1337.8799999999999</c:v>
                </c:pt>
                <c:pt idx="655" formatCode="0.00">
                  <c:v>1339.22</c:v>
                </c:pt>
                <c:pt idx="656" formatCode="0.00">
                  <c:v>1353.22</c:v>
                </c:pt>
                <c:pt idx="657" formatCode="0.00">
                  <c:v>1343.8</c:v>
                </c:pt>
                <c:pt idx="658" formatCode="0.00">
                  <c:v>1319.49</c:v>
                </c:pt>
                <c:pt idx="659" formatCode="0.00">
                  <c:v>1313.6399999999999</c:v>
                </c:pt>
                <c:pt idx="660" formatCode="0.00">
                  <c:v>1317.72</c:v>
                </c:pt>
                <c:pt idx="661" formatCode="0.00">
                  <c:v>1308.8699999999999</c:v>
                </c:pt>
                <c:pt idx="662" formatCode="0.00">
                  <c:v>1316.1399999999999</c:v>
                </c:pt>
                <c:pt idx="663" formatCode="0.00">
                  <c:v>1305.44</c:v>
                </c:pt>
                <c:pt idx="664" formatCode="0.00">
                  <c:v>1326.73</c:v>
                </c:pt>
                <c:pt idx="665" formatCode="0.00">
                  <c:v>1325.84</c:v>
                </c:pt>
                <c:pt idx="666" formatCode="0.00">
                  <c:v>1343.8</c:v>
                </c:pt>
                <c:pt idx="667" formatCode="0.00">
                  <c:v>1345.02</c:v>
                </c:pt>
                <c:pt idx="668" formatCode="0.00">
                  <c:v>1337.43</c:v>
                </c:pt>
                <c:pt idx="669" formatCode="0.00">
                  <c:v>1331.94</c:v>
                </c:pt>
                <c:pt idx="670" formatCode="0.00">
                  <c:v>1304.8899999999999</c:v>
                </c:pt>
                <c:pt idx="671" formatCode="0.00">
                  <c:v>1300.6699999999998</c:v>
                </c:pt>
                <c:pt idx="672" formatCode="0.00">
                  <c:v>1292.28</c:v>
                </c:pt>
                <c:pt idx="673" formatCode="0.00">
                  <c:v>1286.94</c:v>
                </c:pt>
                <c:pt idx="674" formatCode="0.00">
                  <c:v>1254.05</c:v>
                </c:pt>
                <c:pt idx="675" formatCode="0.00">
                  <c:v>1260.3399999999999</c:v>
                </c:pt>
                <c:pt idx="676" formatCode="0.00">
                  <c:v>1200.07</c:v>
                </c:pt>
                <c:pt idx="677" formatCode="0.00">
                  <c:v>1199.3799999999999</c:v>
                </c:pt>
                <c:pt idx="678" formatCode="0.00">
                  <c:v>1119.46</c:v>
                </c:pt>
                <c:pt idx="679" formatCode="0.00">
                  <c:v>1172.53</c:v>
                </c:pt>
                <c:pt idx="680" formatCode="0.00">
                  <c:v>1120.76</c:v>
                </c:pt>
                <c:pt idx="681" formatCode="0.00">
                  <c:v>1172.6399999999999</c:v>
                </c:pt>
                <c:pt idx="682" formatCode="0.00">
                  <c:v>1178.81</c:v>
                </c:pt>
                <c:pt idx="683" formatCode="0.00">
                  <c:v>1204.49</c:v>
                </c:pt>
                <c:pt idx="684" formatCode="0.00">
                  <c:v>1192.76</c:v>
                </c:pt>
                <c:pt idx="685" formatCode="0.00">
                  <c:v>1193.8899999999999</c:v>
                </c:pt>
                <c:pt idx="686" formatCode="0.00">
                  <c:v>1140.6499999999999</c:v>
                </c:pt>
                <c:pt idx="687" formatCode="0.00">
                  <c:v>1123.53</c:v>
                </c:pt>
                <c:pt idx="688" formatCode="0.00">
                  <c:v>1123.82</c:v>
                </c:pt>
                <c:pt idx="689" formatCode="0.00">
                  <c:v>1162.3499999999999</c:v>
                </c:pt>
                <c:pt idx="690" formatCode="0.00">
                  <c:v>1177.5999999999999</c:v>
                </c:pt>
                <c:pt idx="691" formatCode="0.00">
                  <c:v>1159.27</c:v>
                </c:pt>
                <c:pt idx="692" formatCode="0.00">
                  <c:v>1176.8</c:v>
                </c:pt>
                <c:pt idx="693" formatCode="0.00">
                  <c:v>1210.08</c:v>
                </c:pt>
                <c:pt idx="694" formatCode="0.00">
                  <c:v>1212.92</c:v>
                </c:pt>
                <c:pt idx="695" formatCode="0.00">
                  <c:v>1218.8899999999999</c:v>
                </c:pt>
                <c:pt idx="696" formatCode="0.00">
                  <c:v>1204.42</c:v>
                </c:pt>
                <c:pt idx="697" formatCode="0.00">
                  <c:v>1173.97</c:v>
                </c:pt>
                <c:pt idx="698">
                  <c:v>#N/A</c:v>
                </c:pt>
                <c:pt idx="699" formatCode="0.00">
                  <c:v>1165.24</c:v>
                </c:pt>
                <c:pt idx="700" formatCode="0.00">
                  <c:v>1198.6199999999999</c:v>
                </c:pt>
                <c:pt idx="701" formatCode="0.00">
                  <c:v>1185.9000000000001</c:v>
                </c:pt>
                <c:pt idx="702" formatCode="0.00">
                  <c:v>1154.23</c:v>
                </c:pt>
                <c:pt idx="703" formatCode="0.00">
                  <c:v>1162.27</c:v>
                </c:pt>
                <c:pt idx="704" formatCode="0.00">
                  <c:v>1172.8699999999999</c:v>
                </c:pt>
                <c:pt idx="705" formatCode="0.00">
                  <c:v>1188.6799999999998</c:v>
                </c:pt>
                <c:pt idx="706" formatCode="0.00">
                  <c:v>1209.1099999999999</c:v>
                </c:pt>
                <c:pt idx="707" formatCode="0.00">
                  <c:v>1216.01</c:v>
                </c:pt>
                <c:pt idx="708" formatCode="0.00">
                  <c:v>1204.0899999999999</c:v>
                </c:pt>
                <c:pt idx="709" formatCode="0.00">
                  <c:v>1202.0899999999999</c:v>
                </c:pt>
                <c:pt idx="710" formatCode="0.00">
                  <c:v>1166.76</c:v>
                </c:pt>
                <c:pt idx="711" formatCode="0.00">
                  <c:v>1129.56</c:v>
                </c:pt>
                <c:pt idx="712" formatCode="0.00">
                  <c:v>1136.43</c:v>
                </c:pt>
                <c:pt idx="713" formatCode="0.00">
                  <c:v>1162.95</c:v>
                </c:pt>
                <c:pt idx="714" formatCode="0.00">
                  <c:v>1175.3799999999999</c:v>
                </c:pt>
                <c:pt idx="715" formatCode="0.00">
                  <c:v>1151.06</c:v>
                </c:pt>
                <c:pt idx="716" formatCode="0.00">
                  <c:v>1160.4000000000001</c:v>
                </c:pt>
                <c:pt idx="717" formatCode="0.00">
                  <c:v>1131.42</c:v>
                </c:pt>
                <c:pt idx="718" formatCode="0.00">
                  <c:v>1099.23</c:v>
                </c:pt>
                <c:pt idx="719" formatCode="0.00">
                  <c:v>1123.95</c:v>
                </c:pt>
                <c:pt idx="720" formatCode="0.00">
                  <c:v>1144.03</c:v>
                </c:pt>
                <c:pt idx="721" formatCode="0.00">
                  <c:v>1164.97</c:v>
                </c:pt>
                <c:pt idx="722" formatCode="0.00">
                  <c:v>1155.46</c:v>
                </c:pt>
                <c:pt idx="723" formatCode="0.00">
                  <c:v>1194.8899999999999</c:v>
                </c:pt>
                <c:pt idx="724" formatCode="0.00">
                  <c:v>1195.54</c:v>
                </c:pt>
                <c:pt idx="725" formatCode="0.00">
                  <c:v>1207.25</c:v>
                </c:pt>
                <c:pt idx="726" formatCode="0.00">
                  <c:v>1203.6599999999999</c:v>
                </c:pt>
                <c:pt idx="727" formatCode="0.00">
                  <c:v>1224.58</c:v>
                </c:pt>
                <c:pt idx="728" formatCode="0.00">
                  <c:v>1200.8599999999999</c:v>
                </c:pt>
                <c:pt idx="729" formatCode="0.00">
                  <c:v>1225.3799999999999</c:v>
                </c:pt>
                <c:pt idx="730" formatCode="0.00">
                  <c:v>1209.8799999999999</c:v>
                </c:pt>
                <c:pt idx="731" formatCode="0.00">
                  <c:v>1215.3899999999999</c:v>
                </c:pt>
                <c:pt idx="732" formatCode="0.00">
                  <c:v>1238.25</c:v>
                </c:pt>
                <c:pt idx="733" formatCode="0.00">
                  <c:v>1254.1899999999998</c:v>
                </c:pt>
                <c:pt idx="734" formatCode="0.00">
                  <c:v>1229.05</c:v>
                </c:pt>
                <c:pt idx="735" formatCode="0.00">
                  <c:v>1242</c:v>
                </c:pt>
                <c:pt idx="736" formatCode="0.00">
                  <c:v>1284.5899999999999</c:v>
                </c:pt>
                <c:pt idx="737" formatCode="0.00">
                  <c:v>1285.0899999999999</c:v>
                </c:pt>
                <c:pt idx="738" formatCode="0.00">
                  <c:v>1253.3</c:v>
                </c:pt>
                <c:pt idx="739" formatCode="0.00">
                  <c:v>1218.28</c:v>
                </c:pt>
                <c:pt idx="740" formatCode="0.00">
                  <c:v>1237.9000000000001</c:v>
                </c:pt>
                <c:pt idx="741" formatCode="0.00">
                  <c:v>1261.1499999999999</c:v>
                </c:pt>
                <c:pt idx="742" formatCode="0.00">
                  <c:v>1253.23</c:v>
                </c:pt>
                <c:pt idx="743" formatCode="0.00">
                  <c:v>1261.1199999999999</c:v>
                </c:pt>
                <c:pt idx="744" formatCode="0.00">
                  <c:v>1275.92</c:v>
                </c:pt>
                <c:pt idx="745" formatCode="0.00">
                  <c:v>1229.0999999999999</c:v>
                </c:pt>
                <c:pt idx="746" formatCode="0.00">
                  <c:v>1239.6899999999998</c:v>
                </c:pt>
                <c:pt idx="747" formatCode="0.00">
                  <c:v>1263.8499999999999</c:v>
                </c:pt>
                <c:pt idx="748" formatCode="0.00">
                  <c:v>1251.78</c:v>
                </c:pt>
                <c:pt idx="749" formatCode="0.00">
                  <c:v>1257.81</c:v>
                </c:pt>
                <c:pt idx="750" formatCode="0.00">
                  <c:v>1236.9100000000001</c:v>
                </c:pt>
                <c:pt idx="751" formatCode="0.00">
                  <c:v>1216.1299999999999</c:v>
                </c:pt>
                <c:pt idx="752" formatCode="0.00">
                  <c:v>1215.6499999999999</c:v>
                </c:pt>
                <c:pt idx="753" formatCode="0.00">
                  <c:v>1192.98</c:v>
                </c:pt>
                <c:pt idx="754" formatCode="0.00">
                  <c:v>1188.04</c:v>
                </c:pt>
                <c:pt idx="755" formatCode="0.00">
                  <c:v>1161.79</c:v>
                </c:pt>
                <c:pt idx="756">
                  <c:v>#N/A</c:v>
                </c:pt>
                <c:pt idx="757" formatCode="0.00">
                  <c:v>1158.6699999999998</c:v>
                </c:pt>
                <c:pt idx="758" formatCode="0.00">
                  <c:v>1192.55</c:v>
                </c:pt>
                <c:pt idx="759" formatCode="0.00">
                  <c:v>1195.1899999999998</c:v>
                </c:pt>
                <c:pt idx="760" formatCode="0.00">
                  <c:v>1246.96</c:v>
                </c:pt>
                <c:pt idx="761" formatCode="0.00">
                  <c:v>1244.58</c:v>
                </c:pt>
                <c:pt idx="762" formatCode="0.00">
                  <c:v>1244.28</c:v>
                </c:pt>
                <c:pt idx="763" formatCode="0.00">
                  <c:v>1257.08</c:v>
                </c:pt>
                <c:pt idx="764" formatCode="0.00">
                  <c:v>1258.47</c:v>
                </c:pt>
                <c:pt idx="765" formatCode="0.00">
                  <c:v>1261.01</c:v>
                </c:pt>
                <c:pt idx="766" formatCode="0.00">
                  <c:v>1234.3499999999999</c:v>
                </c:pt>
                <c:pt idx="767" formatCode="0.00">
                  <c:v>1255.1899999999998</c:v>
                </c:pt>
                <c:pt idx="768" formatCode="0.00">
                  <c:v>1236.47</c:v>
                </c:pt>
                <c:pt idx="769" formatCode="0.00">
                  <c:v>1225.73</c:v>
                </c:pt>
                <c:pt idx="770" formatCode="0.00">
                  <c:v>1211.82</c:v>
                </c:pt>
                <c:pt idx="771" formatCode="0.00">
                  <c:v>1215.75</c:v>
                </c:pt>
                <c:pt idx="772" formatCode="0.00">
                  <c:v>1219.6599999999999</c:v>
                </c:pt>
                <c:pt idx="773" formatCode="0.00">
                  <c:v>1205.3499999999999</c:v>
                </c:pt>
                <c:pt idx="774" formatCode="0.00">
                  <c:v>1241.3</c:v>
                </c:pt>
                <c:pt idx="775" formatCode="0.00">
                  <c:v>1243.72</c:v>
                </c:pt>
                <c:pt idx="776" formatCode="0.00">
                  <c:v>1254</c:v>
                </c:pt>
                <c:pt idx="777" formatCode="0.00">
                  <c:v>1265.33</c:v>
                </c:pt>
                <c:pt idx="778">
                  <c:v>#N/A</c:v>
                </c:pt>
                <c:pt idx="779" formatCode="0.00">
                  <c:v>1265.43</c:v>
                </c:pt>
                <c:pt idx="780" formatCode="0.00">
                  <c:v>1249.6399999999999</c:v>
                </c:pt>
                <c:pt idx="781" formatCode="0.00">
                  <c:v>1263.02</c:v>
                </c:pt>
                <c:pt idx="782" formatCode="0.00">
                  <c:v>1257.5999999999999</c:v>
                </c:pt>
                <c:pt idx="783">
                  <c:v>#N/A</c:v>
                </c:pt>
                <c:pt idx="784" formatCode="0.00">
                  <c:v>1277.06</c:v>
                </c:pt>
                <c:pt idx="785" formatCode="0.00">
                  <c:v>1277.3</c:v>
                </c:pt>
                <c:pt idx="786" formatCode="0.00">
                  <c:v>1281.06</c:v>
                </c:pt>
                <c:pt idx="787" formatCode="0.00">
                  <c:v>1277.81</c:v>
                </c:pt>
                <c:pt idx="788" formatCode="0.00">
                  <c:v>1280.7</c:v>
                </c:pt>
                <c:pt idx="789" formatCode="0.00">
                  <c:v>1292.08</c:v>
                </c:pt>
                <c:pt idx="790" formatCode="0.00">
                  <c:v>1292.48</c:v>
                </c:pt>
                <c:pt idx="791" formatCode="0.00">
                  <c:v>1295.5</c:v>
                </c:pt>
                <c:pt idx="792" formatCode="0.00">
                  <c:v>1289.0899999999999</c:v>
                </c:pt>
                <c:pt idx="793">
                  <c:v>#N/A</c:v>
                </c:pt>
                <c:pt idx="794" formatCode="0.00">
                  <c:v>1293.6699999999998</c:v>
                </c:pt>
                <c:pt idx="795" formatCode="0.00">
                  <c:v>1308.04</c:v>
                </c:pt>
                <c:pt idx="796" formatCode="0.00">
                  <c:v>1314.5</c:v>
                </c:pt>
                <c:pt idx="797" formatCode="0.00">
                  <c:v>1315.3799999999999</c:v>
                </c:pt>
                <c:pt idx="798" formatCode="0.00">
                  <c:v>1316</c:v>
                </c:pt>
                <c:pt idx="799" formatCode="0.00">
                  <c:v>1314.6499999999999</c:v>
                </c:pt>
                <c:pt idx="800" formatCode="0.00">
                  <c:v>1326.05</c:v>
                </c:pt>
                <c:pt idx="801" formatCode="0.00">
                  <c:v>1318.43</c:v>
                </c:pt>
                <c:pt idx="802" formatCode="0.00">
                  <c:v>1316.33</c:v>
                </c:pt>
                <c:pt idx="803" formatCode="0.00">
                  <c:v>1313.01</c:v>
                </c:pt>
                <c:pt idx="804" formatCode="0.00">
                  <c:v>1312.41</c:v>
                </c:pt>
                <c:pt idx="805" formatCode="0.00">
                  <c:v>1324.09</c:v>
                </c:pt>
                <c:pt idx="806" formatCode="0.00">
                  <c:v>1325.54</c:v>
                </c:pt>
                <c:pt idx="807" formatCode="0.00">
                  <c:v>1344.9</c:v>
                </c:pt>
                <c:pt idx="808" formatCode="0.00">
                  <c:v>1344.33</c:v>
                </c:pt>
                <c:pt idx="809" formatCode="0.00">
                  <c:v>1347.05</c:v>
                </c:pt>
                <c:pt idx="810" formatCode="0.00">
                  <c:v>1349.96</c:v>
                </c:pt>
                <c:pt idx="811" formatCode="0.00">
                  <c:v>1351.95</c:v>
                </c:pt>
                <c:pt idx="812" formatCode="0.00">
                  <c:v>1342.6399999999999</c:v>
                </c:pt>
                <c:pt idx="813" formatCode="0.00">
                  <c:v>1351.77</c:v>
                </c:pt>
                <c:pt idx="814" formatCode="0.00">
                  <c:v>1350.5</c:v>
                </c:pt>
                <c:pt idx="815" formatCode="0.00">
                  <c:v>1343.23</c:v>
                </c:pt>
                <c:pt idx="816" formatCode="0.00">
                  <c:v>1358.04</c:v>
                </c:pt>
                <c:pt idx="817" formatCode="0.00">
                  <c:v>1361.23</c:v>
                </c:pt>
                <c:pt idx="818">
                  <c:v>#N/A</c:v>
                </c:pt>
                <c:pt idx="819" formatCode="0.00">
                  <c:v>1362.21</c:v>
                </c:pt>
                <c:pt idx="820" formatCode="0.00">
                  <c:v>1357.6599999999999</c:v>
                </c:pt>
                <c:pt idx="821" formatCode="0.00">
                  <c:v>1363.46</c:v>
                </c:pt>
                <c:pt idx="822" formatCode="0.00">
                  <c:v>1365.74</c:v>
                </c:pt>
                <c:pt idx="823" formatCode="0.00">
                  <c:v>1367.59</c:v>
                </c:pt>
                <c:pt idx="824" formatCode="0.00">
                  <c:v>1372.1799999999998</c:v>
                </c:pt>
                <c:pt idx="825" formatCode="0.00">
                  <c:v>1365.6799999999998</c:v>
                </c:pt>
                <c:pt idx="826" formatCode="0.00">
                  <c:v>1374.09</c:v>
                </c:pt>
                <c:pt idx="827" formatCode="0.00">
                  <c:v>1369.6299999999999</c:v>
                </c:pt>
                <c:pt idx="828" formatCode="0.00">
                  <c:v>1364.33</c:v>
                </c:pt>
                <c:pt idx="829" formatCode="0.00">
                  <c:v>1343.36</c:v>
                </c:pt>
                <c:pt idx="830" formatCode="0.00">
                  <c:v>1352.6299999999999</c:v>
                </c:pt>
                <c:pt idx="831" formatCode="0.00">
                  <c:v>1365.91</c:v>
                </c:pt>
                <c:pt idx="832" formatCode="0.00">
                  <c:v>1370.87</c:v>
                </c:pt>
                <c:pt idx="833" formatCode="0.00">
                  <c:v>1371.09</c:v>
                </c:pt>
                <c:pt idx="834" formatCode="0.00">
                  <c:v>1395.95</c:v>
                </c:pt>
                <c:pt idx="835" formatCode="0.00">
                  <c:v>1394.28</c:v>
                </c:pt>
                <c:pt idx="836" formatCode="0.00">
                  <c:v>1402.6</c:v>
                </c:pt>
                <c:pt idx="837" formatCode="0.00">
                  <c:v>1404.1699999999998</c:v>
                </c:pt>
                <c:pt idx="838" formatCode="0.00">
                  <c:v>1409.75</c:v>
                </c:pt>
                <c:pt idx="839" formatCode="0.00">
                  <c:v>1405.52</c:v>
                </c:pt>
                <c:pt idx="840" formatCode="0.00">
                  <c:v>1402.8899999999999</c:v>
                </c:pt>
                <c:pt idx="841" formatCode="0.00">
                  <c:v>1392.78</c:v>
                </c:pt>
                <c:pt idx="842" formatCode="0.00">
                  <c:v>1397.11</c:v>
                </c:pt>
                <c:pt idx="843" formatCode="0.00">
                  <c:v>1416.51</c:v>
                </c:pt>
                <c:pt idx="844" formatCode="0.00">
                  <c:v>1412.52</c:v>
                </c:pt>
                <c:pt idx="845" formatCode="0.00">
                  <c:v>1405.54</c:v>
                </c:pt>
                <c:pt idx="846" formatCode="0.00">
                  <c:v>1403.28</c:v>
                </c:pt>
                <c:pt idx="847" formatCode="0.00">
                  <c:v>1408.47</c:v>
                </c:pt>
                <c:pt idx="848" formatCode="0.00">
                  <c:v>1419.04</c:v>
                </c:pt>
                <c:pt idx="849" formatCode="0.00">
                  <c:v>1413.3799999999999</c:v>
                </c:pt>
                <c:pt idx="850" formatCode="0.00">
                  <c:v>1398.96</c:v>
                </c:pt>
                <c:pt idx="851" formatCode="0.00">
                  <c:v>1398.08</c:v>
                </c:pt>
                <c:pt idx="852">
                  <c:v>#N/A</c:v>
                </c:pt>
                <c:pt idx="853" formatCode="0.00">
                  <c:v>1382.2</c:v>
                </c:pt>
                <c:pt idx="854" formatCode="0.00">
                  <c:v>1358.59</c:v>
                </c:pt>
                <c:pt idx="855" formatCode="0.00">
                  <c:v>1368.71</c:v>
                </c:pt>
                <c:pt idx="856" formatCode="0.00">
                  <c:v>1387.57</c:v>
                </c:pt>
                <c:pt idx="857" formatCode="0.00">
                  <c:v>1370.26</c:v>
                </c:pt>
                <c:pt idx="858" formatCode="0.00">
                  <c:v>1369.57</c:v>
                </c:pt>
                <c:pt idx="859" formatCode="0.00">
                  <c:v>1390.78</c:v>
                </c:pt>
                <c:pt idx="860" formatCode="0.00">
                  <c:v>1385.1399999999999</c:v>
                </c:pt>
                <c:pt idx="861" formatCode="0.00">
                  <c:v>1376.92</c:v>
                </c:pt>
                <c:pt idx="862" formatCode="0.00">
                  <c:v>1378.53</c:v>
                </c:pt>
                <c:pt idx="863" formatCode="0.00">
                  <c:v>1366.94</c:v>
                </c:pt>
                <c:pt idx="864" formatCode="0.00">
                  <c:v>1371.97</c:v>
                </c:pt>
                <c:pt idx="865" formatCode="0.00">
                  <c:v>1390.6899999999998</c:v>
                </c:pt>
                <c:pt idx="866" formatCode="0.00">
                  <c:v>1399.98</c:v>
                </c:pt>
                <c:pt idx="867" formatCode="0.00">
                  <c:v>1403.36</c:v>
                </c:pt>
                <c:pt idx="868" formatCode="0.00">
                  <c:v>1397.91</c:v>
                </c:pt>
                <c:pt idx="869" formatCode="0.00">
                  <c:v>1405.82</c:v>
                </c:pt>
                <c:pt idx="870" formatCode="0.00">
                  <c:v>1402.31</c:v>
                </c:pt>
                <c:pt idx="871" formatCode="0.00">
                  <c:v>1391.57</c:v>
                </c:pt>
                <c:pt idx="872" formatCode="0.00">
                  <c:v>1369.1</c:v>
                </c:pt>
                <c:pt idx="873" formatCode="0.00">
                  <c:v>1369.58</c:v>
                </c:pt>
                <c:pt idx="874" formatCode="0.00">
                  <c:v>1363.72</c:v>
                </c:pt>
                <c:pt idx="875" formatCode="0.00">
                  <c:v>1354.58</c:v>
                </c:pt>
                <c:pt idx="876" formatCode="0.00">
                  <c:v>1357.99</c:v>
                </c:pt>
                <c:pt idx="877" formatCode="0.00">
                  <c:v>1353.3899999999999</c:v>
                </c:pt>
                <c:pt idx="878" formatCode="0.00">
                  <c:v>1338.35</c:v>
                </c:pt>
                <c:pt idx="879" formatCode="0.00">
                  <c:v>1330.6599999999999</c:v>
                </c:pt>
                <c:pt idx="880" formatCode="0.00">
                  <c:v>1324.8</c:v>
                </c:pt>
                <c:pt idx="881" formatCode="0.00">
                  <c:v>1304.8599999999999</c:v>
                </c:pt>
                <c:pt idx="882" formatCode="0.00">
                  <c:v>1295.22</c:v>
                </c:pt>
                <c:pt idx="883" formatCode="0.00">
                  <c:v>1315.99</c:v>
                </c:pt>
                <c:pt idx="884" formatCode="0.00">
                  <c:v>1316.6299999999999</c:v>
                </c:pt>
                <c:pt idx="885" formatCode="0.00">
                  <c:v>1318.86</c:v>
                </c:pt>
                <c:pt idx="886" formatCode="0.00">
                  <c:v>1320.6799999999998</c:v>
                </c:pt>
                <c:pt idx="887" formatCode="0.00">
                  <c:v>1317.82</c:v>
                </c:pt>
                <c:pt idx="888">
                  <c:v>#N/A</c:v>
                </c:pt>
                <c:pt idx="889" formatCode="0.00">
                  <c:v>1332.42</c:v>
                </c:pt>
                <c:pt idx="890" formatCode="0.00">
                  <c:v>1313.32</c:v>
                </c:pt>
                <c:pt idx="891" formatCode="0.00">
                  <c:v>1310.33</c:v>
                </c:pt>
                <c:pt idx="892" formatCode="0.00">
                  <c:v>1278.04</c:v>
                </c:pt>
                <c:pt idx="893" formatCode="0.00">
                  <c:v>1278.1799999999998</c:v>
                </c:pt>
                <c:pt idx="894" formatCode="0.00">
                  <c:v>1285.5</c:v>
                </c:pt>
                <c:pt idx="895" formatCode="0.00">
                  <c:v>1315.1299999999999</c:v>
                </c:pt>
                <c:pt idx="896" formatCode="0.00">
                  <c:v>1314.99</c:v>
                </c:pt>
                <c:pt idx="897" formatCode="0.00">
                  <c:v>1325.6599999999999</c:v>
                </c:pt>
                <c:pt idx="898" formatCode="0.00">
                  <c:v>1308.93</c:v>
                </c:pt>
                <c:pt idx="899" formatCode="0.00">
                  <c:v>1324.1799999999998</c:v>
                </c:pt>
                <c:pt idx="900" formatCode="0.00">
                  <c:v>1314.8799999999999</c:v>
                </c:pt>
                <c:pt idx="901" formatCode="0.00">
                  <c:v>1329.1</c:v>
                </c:pt>
                <c:pt idx="902" formatCode="0.00">
                  <c:v>1342.84</c:v>
                </c:pt>
                <c:pt idx="903" formatCode="0.00">
                  <c:v>1344.78</c:v>
                </c:pt>
                <c:pt idx="904" formatCode="0.00">
                  <c:v>1357.98</c:v>
                </c:pt>
                <c:pt idx="905" formatCode="0.00">
                  <c:v>1355.6899999999998</c:v>
                </c:pt>
                <c:pt idx="906" formatCode="0.00">
                  <c:v>1325.51</c:v>
                </c:pt>
                <c:pt idx="907" formatCode="0.00">
                  <c:v>1335.02</c:v>
                </c:pt>
                <c:pt idx="908" formatCode="0.00">
                  <c:v>1313.72</c:v>
                </c:pt>
                <c:pt idx="909" formatCode="0.00">
                  <c:v>1319.99</c:v>
                </c:pt>
                <c:pt idx="910" formatCode="0.00">
                  <c:v>1331.85</c:v>
                </c:pt>
                <c:pt idx="911" formatCode="0.00">
                  <c:v>1329.04</c:v>
                </c:pt>
                <c:pt idx="912" formatCode="0.00">
                  <c:v>1362.1599999999999</c:v>
                </c:pt>
                <c:pt idx="913" formatCode="0.00">
                  <c:v>1365.51</c:v>
                </c:pt>
                <c:pt idx="914" formatCode="0.00">
                  <c:v>1374.02</c:v>
                </c:pt>
                <c:pt idx="915">
                  <c:v>#N/A</c:v>
                </c:pt>
                <c:pt idx="916" formatCode="0.00">
                  <c:v>1367.58</c:v>
                </c:pt>
                <c:pt idx="917" formatCode="0.00">
                  <c:v>1354.6799999999998</c:v>
                </c:pt>
                <c:pt idx="918" formatCode="0.00">
                  <c:v>1352.46</c:v>
                </c:pt>
                <c:pt idx="919" formatCode="0.00">
                  <c:v>1341.47</c:v>
                </c:pt>
                <c:pt idx="920" formatCode="0.00">
                  <c:v>1341.45</c:v>
                </c:pt>
                <c:pt idx="921" formatCode="0.00">
                  <c:v>1334.76</c:v>
                </c:pt>
                <c:pt idx="922" formatCode="0.00">
                  <c:v>1356.78</c:v>
                </c:pt>
                <c:pt idx="923" formatCode="0.00">
                  <c:v>1353.6399999999999</c:v>
                </c:pt>
                <c:pt idx="924" formatCode="0.00">
                  <c:v>1363.6699999999998</c:v>
                </c:pt>
                <c:pt idx="925" formatCode="0.00">
                  <c:v>1372.78</c:v>
                </c:pt>
                <c:pt idx="926" formatCode="0.00">
                  <c:v>1376.51</c:v>
                </c:pt>
                <c:pt idx="927" formatCode="0.00">
                  <c:v>1362.6599999999999</c:v>
                </c:pt>
                <c:pt idx="928" formatCode="0.00">
                  <c:v>1350.52</c:v>
                </c:pt>
                <c:pt idx="929" formatCode="0.00">
                  <c:v>1338.31</c:v>
                </c:pt>
                <c:pt idx="930" formatCode="0.00">
                  <c:v>1337.8899999999999</c:v>
                </c:pt>
                <c:pt idx="931" formatCode="0.00">
                  <c:v>1360.02</c:v>
                </c:pt>
                <c:pt idx="932" formatCode="0.00">
                  <c:v>1385.97</c:v>
                </c:pt>
                <c:pt idx="933" formatCode="0.00">
                  <c:v>1385.3</c:v>
                </c:pt>
                <c:pt idx="934" formatCode="0.00">
                  <c:v>1379.32</c:v>
                </c:pt>
                <c:pt idx="935" formatCode="0.00">
                  <c:v>1375.1399999999999</c:v>
                </c:pt>
                <c:pt idx="936" formatCode="0.00">
                  <c:v>1365</c:v>
                </c:pt>
                <c:pt idx="937" formatCode="0.00">
                  <c:v>1390.99</c:v>
                </c:pt>
                <c:pt idx="938" formatCode="0.00">
                  <c:v>1394.23</c:v>
                </c:pt>
                <c:pt idx="939" formatCode="0.00">
                  <c:v>1401.35</c:v>
                </c:pt>
                <c:pt idx="940" formatCode="0.00">
                  <c:v>1402.22</c:v>
                </c:pt>
                <c:pt idx="941" formatCode="0.00">
                  <c:v>1402.8</c:v>
                </c:pt>
                <c:pt idx="942" formatCode="0.00">
                  <c:v>1405.87</c:v>
                </c:pt>
                <c:pt idx="943" formatCode="0.00">
                  <c:v>1404.11</c:v>
                </c:pt>
                <c:pt idx="944" formatCode="0.00">
                  <c:v>1403.93</c:v>
                </c:pt>
                <c:pt idx="945" formatCode="0.00">
                  <c:v>1405.53</c:v>
                </c:pt>
                <c:pt idx="946" formatCode="0.00">
                  <c:v>1415.51</c:v>
                </c:pt>
                <c:pt idx="947" formatCode="0.00">
                  <c:v>1418.1599999999999</c:v>
                </c:pt>
                <c:pt idx="948" formatCode="0.00">
                  <c:v>1418.1299999999999</c:v>
                </c:pt>
                <c:pt idx="949" formatCode="0.00">
                  <c:v>1413.1699999999998</c:v>
                </c:pt>
                <c:pt idx="950" formatCode="0.00">
                  <c:v>1413.49</c:v>
                </c:pt>
                <c:pt idx="951" formatCode="0.00">
                  <c:v>1402.08</c:v>
                </c:pt>
                <c:pt idx="952" formatCode="0.00">
                  <c:v>1411.1299999999999</c:v>
                </c:pt>
                <c:pt idx="953" formatCode="0.00">
                  <c:v>1410.44</c:v>
                </c:pt>
                <c:pt idx="954" formatCode="0.00">
                  <c:v>1409.3</c:v>
                </c:pt>
                <c:pt idx="955" formatCode="0.00">
                  <c:v>1410.49</c:v>
                </c:pt>
                <c:pt idx="956" formatCode="0.00">
                  <c:v>1399.48</c:v>
                </c:pt>
                <c:pt idx="957" formatCode="0.00">
                  <c:v>1406.58</c:v>
                </c:pt>
                <c:pt idx="958">
                  <c:v>#N/A</c:v>
                </c:pt>
                <c:pt idx="959" formatCode="0.00">
                  <c:v>1404.94</c:v>
                </c:pt>
                <c:pt idx="960" formatCode="0.00">
                  <c:v>1403.44</c:v>
                </c:pt>
                <c:pt idx="961" formatCode="0.00">
                  <c:v>1432.12</c:v>
                </c:pt>
                <c:pt idx="962" formatCode="0.00">
                  <c:v>1437.92</c:v>
                </c:pt>
                <c:pt idx="963" formatCode="0.00">
                  <c:v>1429.08</c:v>
                </c:pt>
                <c:pt idx="964" formatCode="0.00">
                  <c:v>1433.56</c:v>
                </c:pt>
                <c:pt idx="965" formatCode="0.00">
                  <c:v>1436.56</c:v>
                </c:pt>
                <c:pt idx="966" formatCode="0.00">
                  <c:v>1459.99</c:v>
                </c:pt>
                <c:pt idx="967" formatCode="0.00">
                  <c:v>1465.77</c:v>
                </c:pt>
                <c:pt idx="968" formatCode="0.00">
                  <c:v>1461.1899999999998</c:v>
                </c:pt>
                <c:pt idx="969" formatCode="0.00">
                  <c:v>1459.32</c:v>
                </c:pt>
                <c:pt idx="970" formatCode="0.00">
                  <c:v>1461.05</c:v>
                </c:pt>
                <c:pt idx="971" formatCode="0.00">
                  <c:v>1460.26</c:v>
                </c:pt>
                <c:pt idx="972" formatCode="0.00">
                  <c:v>1460.1499999999999</c:v>
                </c:pt>
                <c:pt idx="973" formatCode="0.00">
                  <c:v>1456.8899999999999</c:v>
                </c:pt>
                <c:pt idx="974" formatCode="0.00">
                  <c:v>1441.59</c:v>
                </c:pt>
                <c:pt idx="975" formatCode="0.00">
                  <c:v>1433.32</c:v>
                </c:pt>
                <c:pt idx="976" formatCode="0.00">
                  <c:v>1447.1499999999999</c:v>
                </c:pt>
                <c:pt idx="977" formatCode="0.00">
                  <c:v>1440.6699999999998</c:v>
                </c:pt>
                <c:pt idx="978" formatCode="0.00">
                  <c:v>1444.49</c:v>
                </c:pt>
                <c:pt idx="979" formatCode="0.00">
                  <c:v>1445.75</c:v>
                </c:pt>
                <c:pt idx="980" formatCode="0.00">
                  <c:v>1450.99</c:v>
                </c:pt>
                <c:pt idx="981" formatCode="0.00">
                  <c:v>1461.4</c:v>
                </c:pt>
                <c:pt idx="982" formatCode="0.00">
                  <c:v>1460.93</c:v>
                </c:pt>
                <c:pt idx="983" formatCode="0.00">
                  <c:v>1455.8799999999999</c:v>
                </c:pt>
                <c:pt idx="984" formatCode="0.00">
                  <c:v>1441.48</c:v>
                </c:pt>
                <c:pt idx="985" formatCode="0.00">
                  <c:v>1432.56</c:v>
                </c:pt>
                <c:pt idx="986" formatCode="0.00">
                  <c:v>1432.84</c:v>
                </c:pt>
                <c:pt idx="987" formatCode="0.00">
                  <c:v>1428.59</c:v>
                </c:pt>
                <c:pt idx="988" formatCode="0.00">
                  <c:v>1440.1299999999999</c:v>
                </c:pt>
                <c:pt idx="989" formatCode="0.00">
                  <c:v>1454.92</c:v>
                </c:pt>
                <c:pt idx="990" formatCode="0.00">
                  <c:v>1460.91</c:v>
                </c:pt>
                <c:pt idx="991" formatCode="0.00">
                  <c:v>1457.34</c:v>
                </c:pt>
                <c:pt idx="992" formatCode="0.00">
                  <c:v>1433.1899999999998</c:v>
                </c:pt>
                <c:pt idx="993" formatCode="0.00">
                  <c:v>1433.82</c:v>
                </c:pt>
                <c:pt idx="994" formatCode="0.00">
                  <c:v>1413.11</c:v>
                </c:pt>
                <c:pt idx="995" formatCode="0.00">
                  <c:v>1408.75</c:v>
                </c:pt>
                <c:pt idx="996" formatCode="0.00">
                  <c:v>1412.97</c:v>
                </c:pt>
                <c:pt idx="997" formatCode="0.00">
                  <c:v>1411.94</c:v>
                </c:pt>
                <c:pt idx="998">
                  <c:v>#N/A</c:v>
                </c:pt>
                <c:pt idx="999">
                  <c:v>#N/A</c:v>
                </c:pt>
                <c:pt idx="1000" formatCode="0.00">
                  <c:v>1412.1599999999999</c:v>
                </c:pt>
                <c:pt idx="1001" formatCode="0.00">
                  <c:v>1427.59</c:v>
                </c:pt>
                <c:pt idx="1002" formatCode="0.00">
                  <c:v>1414.2</c:v>
                </c:pt>
                <c:pt idx="1003" formatCode="0.00">
                  <c:v>1417.26</c:v>
                </c:pt>
                <c:pt idx="1004" formatCode="0.00">
                  <c:v>1428.3899999999999</c:v>
                </c:pt>
                <c:pt idx="1005" formatCode="0.00">
                  <c:v>1394.53</c:v>
                </c:pt>
                <c:pt idx="1006" formatCode="0.00">
                  <c:v>1377.51</c:v>
                </c:pt>
                <c:pt idx="1007" formatCode="0.00">
                  <c:v>1379.85</c:v>
                </c:pt>
                <c:pt idx="1008" formatCode="0.00">
                  <c:v>1380.03</c:v>
                </c:pt>
                <c:pt idx="1009" formatCode="0.00">
                  <c:v>1374.53</c:v>
                </c:pt>
                <c:pt idx="1010" formatCode="0.00">
                  <c:v>1355.49</c:v>
                </c:pt>
                <c:pt idx="1011" formatCode="0.00">
                  <c:v>1353.33</c:v>
                </c:pt>
                <c:pt idx="1012" formatCode="0.00">
                  <c:v>1359.8799999999999</c:v>
                </c:pt>
                <c:pt idx="1013" formatCode="0.00">
                  <c:v>1386.8899999999999</c:v>
                </c:pt>
                <c:pt idx="1014" formatCode="0.00">
                  <c:v>1387.81</c:v>
                </c:pt>
                <c:pt idx="1015" formatCode="0.00">
                  <c:v>1391.03</c:v>
                </c:pt>
                <c:pt idx="1016">
                  <c:v>#N/A</c:v>
                </c:pt>
                <c:pt idx="1017" formatCode="0.00">
                  <c:v>1409.1499999999999</c:v>
                </c:pt>
                <c:pt idx="1018" formatCode="0.00">
                  <c:v>1406.29</c:v>
                </c:pt>
                <c:pt idx="1019" formatCode="0.00">
                  <c:v>1398.94</c:v>
                </c:pt>
                <c:pt idx="1020" formatCode="0.00">
                  <c:v>1409.93</c:v>
                </c:pt>
                <c:pt idx="1021" formatCode="0.00">
                  <c:v>1415.95</c:v>
                </c:pt>
                <c:pt idx="1022" formatCode="0.00">
                  <c:v>1416.1799999999998</c:v>
                </c:pt>
                <c:pt idx="1023" formatCode="0.00">
                  <c:v>1409.46</c:v>
                </c:pt>
                <c:pt idx="1024" formatCode="0.00">
                  <c:v>1407.05</c:v>
                </c:pt>
                <c:pt idx="1025" formatCode="0.00">
                  <c:v>1409.28</c:v>
                </c:pt>
                <c:pt idx="1026" formatCode="0.00">
                  <c:v>1413.94</c:v>
                </c:pt>
                <c:pt idx="1027" formatCode="0.00">
                  <c:v>1418.07</c:v>
                </c:pt>
                <c:pt idx="1028" formatCode="0.00">
                  <c:v>1418.55</c:v>
                </c:pt>
                <c:pt idx="1029" formatCode="0.00">
                  <c:v>1427.84</c:v>
                </c:pt>
                <c:pt idx="1030" formatCode="0.00">
                  <c:v>1428.48</c:v>
                </c:pt>
                <c:pt idx="1031" formatCode="0.00">
                  <c:v>1419.45</c:v>
                </c:pt>
                <c:pt idx="1032" formatCode="0.00">
                  <c:v>1413.58</c:v>
                </c:pt>
                <c:pt idx="1033" formatCode="0.00">
                  <c:v>1430.36</c:v>
                </c:pt>
                <c:pt idx="1034" formatCode="0.00">
                  <c:v>1446.79</c:v>
                </c:pt>
                <c:pt idx="1035" formatCode="0.00">
                  <c:v>1435.81</c:v>
                </c:pt>
                <c:pt idx="1036" formatCode="0.00">
                  <c:v>1443.6899999999998</c:v>
                </c:pt>
                <c:pt idx="1037" formatCode="0.00">
                  <c:v>1430.1499999999999</c:v>
                </c:pt>
                <c:pt idx="1038" formatCode="0.00">
                  <c:v>1426.6599999999999</c:v>
                </c:pt>
                <c:pt idx="1039">
                  <c:v>#N/A</c:v>
                </c:pt>
                <c:pt idx="1040" formatCode="0.00">
                  <c:v>1419.83</c:v>
                </c:pt>
                <c:pt idx="1041" formatCode="0.00">
                  <c:v>1418.1</c:v>
                </c:pt>
                <c:pt idx="1042" formatCode="0.00">
                  <c:v>1402.43</c:v>
                </c:pt>
                <c:pt idx="1043" formatCode="0.00">
                  <c:v>1426.1899999999998</c:v>
                </c:pt>
                <c:pt idx="1044">
                  <c:v>#N/A</c:v>
                </c:pt>
                <c:pt idx="1045" formatCode="0.00">
                  <c:v>1462.42</c:v>
                </c:pt>
                <c:pt idx="1046" formatCode="0.00">
                  <c:v>1459.37</c:v>
                </c:pt>
                <c:pt idx="1047" formatCode="0.00">
                  <c:v>1466.47</c:v>
                </c:pt>
                <c:pt idx="1048" formatCode="0.00">
                  <c:v>1461.8899999999999</c:v>
                </c:pt>
                <c:pt idx="1049" formatCode="0.00">
                  <c:v>1457.1499999999999</c:v>
                </c:pt>
                <c:pt idx="1050" formatCode="0.00">
                  <c:v>1461.02</c:v>
                </c:pt>
                <c:pt idx="1051" formatCode="0.00">
                  <c:v>1472.12</c:v>
                </c:pt>
                <c:pt idx="1052" formatCode="0.00">
                  <c:v>1472.05</c:v>
                </c:pt>
                <c:pt idx="1053" formatCode="0.00">
                  <c:v>1470.6799999999998</c:v>
                </c:pt>
                <c:pt idx="1054" formatCode="0.00">
                  <c:v>1472.34</c:v>
                </c:pt>
                <c:pt idx="1055" formatCode="0.00">
                  <c:v>1472.6299999999999</c:v>
                </c:pt>
                <c:pt idx="1056" formatCode="0.00">
                  <c:v>1480.94</c:v>
                </c:pt>
                <c:pt idx="1057" formatCode="0.00">
                  <c:v>1485.98</c:v>
                </c:pt>
                <c:pt idx="1058">
                  <c:v>#N/A</c:v>
                </c:pt>
                <c:pt idx="1059" formatCode="0.00">
                  <c:v>1492.56</c:v>
                </c:pt>
                <c:pt idx="1060" formatCode="0.00">
                  <c:v>1494.81</c:v>
                </c:pt>
                <c:pt idx="1061" formatCode="0.00">
                  <c:v>1494.82</c:v>
                </c:pt>
                <c:pt idx="1062" formatCode="0.00">
                  <c:v>1502.96</c:v>
                </c:pt>
                <c:pt idx="1063" formatCode="0.00">
                  <c:v>1500.1799999999998</c:v>
                </c:pt>
                <c:pt idx="1064" formatCode="0.00">
                  <c:v>1507.84</c:v>
                </c:pt>
                <c:pt idx="1065" formatCode="0.00">
                  <c:v>1501.96</c:v>
                </c:pt>
                <c:pt idx="1066" formatCode="0.00">
                  <c:v>1498.11</c:v>
                </c:pt>
                <c:pt idx="1067" formatCode="0.00">
                  <c:v>1513.1699999999998</c:v>
                </c:pt>
                <c:pt idx="1068" formatCode="0.00">
                  <c:v>1495.71</c:v>
                </c:pt>
                <c:pt idx="1069" formatCode="0.00">
                  <c:v>1511.29</c:v>
                </c:pt>
                <c:pt idx="1070" formatCode="0.00">
                  <c:v>1512.12</c:v>
                </c:pt>
                <c:pt idx="1071" formatCode="0.00">
                  <c:v>1509.3899999999999</c:v>
                </c:pt>
                <c:pt idx="1072" formatCode="0.00">
                  <c:v>1517.93</c:v>
                </c:pt>
                <c:pt idx="1073" formatCode="0.00">
                  <c:v>1517.01</c:v>
                </c:pt>
                <c:pt idx="1074" formatCode="0.00">
                  <c:v>1519.43</c:v>
                </c:pt>
                <c:pt idx="1075" formatCode="0.00">
                  <c:v>1520.33</c:v>
                </c:pt>
                <c:pt idx="1076" formatCode="0.00">
                  <c:v>1521.3799999999999</c:v>
                </c:pt>
                <c:pt idx="1077" formatCode="0.00">
                  <c:v>1519.79</c:v>
                </c:pt>
                <c:pt idx="1078">
                  <c:v>#N/A</c:v>
                </c:pt>
                <c:pt idx="1079" formatCode="0.00">
                  <c:v>1530.94</c:v>
                </c:pt>
                <c:pt idx="1080" formatCode="0.00">
                  <c:v>1511.95</c:v>
                </c:pt>
                <c:pt idx="1081" formatCode="0.00">
                  <c:v>1502.42</c:v>
                </c:pt>
                <c:pt idx="1082" formatCode="0.00">
                  <c:v>1515.6</c:v>
                </c:pt>
                <c:pt idx="1083" formatCode="0.00">
                  <c:v>1487.85</c:v>
                </c:pt>
                <c:pt idx="1084" formatCode="0.00">
                  <c:v>1496.94</c:v>
                </c:pt>
                <c:pt idx="1085" formatCode="0.00">
                  <c:v>1515.99</c:v>
                </c:pt>
                <c:pt idx="1086" formatCode="0.00">
                  <c:v>1514.6799999999998</c:v>
                </c:pt>
                <c:pt idx="1087" formatCode="0.00">
                  <c:v>1518.2</c:v>
                </c:pt>
                <c:pt idx="1088" formatCode="0.00">
                  <c:v>1525.2</c:v>
                </c:pt>
                <c:pt idx="1089" formatCode="0.00">
                  <c:v>1539.79</c:v>
                </c:pt>
                <c:pt idx="1090" formatCode="0.00">
                  <c:v>1541.46</c:v>
                </c:pt>
                <c:pt idx="1091" formatCode="0.00">
                  <c:v>1544.26</c:v>
                </c:pt>
                <c:pt idx="1092" formatCode="0.00">
                  <c:v>1551.1799999999998</c:v>
                </c:pt>
                <c:pt idx="1093" formatCode="0.00">
                  <c:v>1556.22</c:v>
                </c:pt>
                <c:pt idx="1094" formatCode="0.00">
                  <c:v>1552.48</c:v>
                </c:pt>
                <c:pt idx="1095" formatCode="0.00">
                  <c:v>1554.52</c:v>
                </c:pt>
                <c:pt idx="1096" formatCode="0.00">
                  <c:v>1563.23</c:v>
                </c:pt>
                <c:pt idx="1097" formatCode="0.00">
                  <c:v>1560.7</c:v>
                </c:pt>
                <c:pt idx="1098" formatCode="0.00">
                  <c:v>1552.1</c:v>
                </c:pt>
                <c:pt idx="1099" formatCode="0.00">
                  <c:v>1548.34</c:v>
                </c:pt>
                <c:pt idx="1100" formatCode="0.00">
                  <c:v>1558.71</c:v>
                </c:pt>
                <c:pt idx="1101" formatCode="0.00">
                  <c:v>1545.8</c:v>
                </c:pt>
                <c:pt idx="1102" formatCode="0.00">
                  <c:v>1556.8899999999999</c:v>
                </c:pt>
                <c:pt idx="1103" formatCode="0.00">
                  <c:v>1551.6899999999998</c:v>
                </c:pt>
                <c:pt idx="1104" formatCode="0.00">
                  <c:v>1563.77</c:v>
                </c:pt>
                <c:pt idx="1105" formatCode="0.00">
                  <c:v>1562.85</c:v>
                </c:pt>
                <c:pt idx="1106" formatCode="0.00">
                  <c:v>1569.1899999999998</c:v>
                </c:pt>
                <c:pt idx="1107">
                  <c:v>#N/A</c:v>
                </c:pt>
                <c:pt idx="1108" formatCode="0.00">
                  <c:v>1562.1699999999998</c:v>
                </c:pt>
                <c:pt idx="1109" formatCode="0.00">
                  <c:v>1570.25</c:v>
                </c:pt>
                <c:pt idx="1110" formatCode="0.00">
                  <c:v>1553.6899999999998</c:v>
                </c:pt>
                <c:pt idx="1111" formatCode="0.00">
                  <c:v>1559.98</c:v>
                </c:pt>
                <c:pt idx="1112" formatCode="0.00">
                  <c:v>1553.28</c:v>
                </c:pt>
                <c:pt idx="1113" formatCode="0.00">
                  <c:v>1563.07</c:v>
                </c:pt>
                <c:pt idx="1114" formatCode="0.00">
                  <c:v>1568.61</c:v>
                </c:pt>
                <c:pt idx="1115" formatCode="0.00">
                  <c:v>1587.73</c:v>
                </c:pt>
                <c:pt idx="1116" formatCode="0.00">
                  <c:v>1593.37</c:v>
                </c:pt>
                <c:pt idx="1117" formatCode="0.00">
                  <c:v>1588.85</c:v>
                </c:pt>
                <c:pt idx="1118" formatCode="0.00">
                  <c:v>1552.36</c:v>
                </c:pt>
                <c:pt idx="1119" formatCode="0.00">
                  <c:v>1574.57</c:v>
                </c:pt>
                <c:pt idx="1120" formatCode="0.00">
                  <c:v>1552.01</c:v>
                </c:pt>
                <c:pt idx="1121" formatCode="0.00">
                  <c:v>1541.61</c:v>
                </c:pt>
                <c:pt idx="1122" formatCode="0.00">
                  <c:v>1555.25</c:v>
                </c:pt>
                <c:pt idx="1123" formatCode="0.00">
                  <c:v>1562.5</c:v>
                </c:pt>
                <c:pt idx="1124" formatCode="0.00">
                  <c:v>1578.78</c:v>
                </c:pt>
                <c:pt idx="1125" formatCode="0.00">
                  <c:v>1578.79</c:v>
                </c:pt>
                <c:pt idx="1126" formatCode="0.00">
                  <c:v>1585.1599999999999</c:v>
                </c:pt>
                <c:pt idx="1127" formatCode="0.00">
                  <c:v>1582.24</c:v>
                </c:pt>
                <c:pt idx="1128" formatCode="0.00">
                  <c:v>1593.61</c:v>
                </c:pt>
                <c:pt idx="1129" formatCode="0.00">
                  <c:v>1597.57</c:v>
                </c:pt>
                <c:pt idx="1130" formatCode="0.00">
                  <c:v>1582.7</c:v>
                </c:pt>
                <c:pt idx="1131" formatCode="0.00">
                  <c:v>1597.59</c:v>
                </c:pt>
                <c:pt idx="1132" formatCode="0.00">
                  <c:v>1614.42</c:v>
                </c:pt>
                <c:pt idx="1133" formatCode="0.00">
                  <c:v>1617.5</c:v>
                </c:pt>
                <c:pt idx="1134" formatCode="0.00">
                  <c:v>1625.96</c:v>
                </c:pt>
                <c:pt idx="1135" formatCode="0.00">
                  <c:v>1632.6899999999998</c:v>
                </c:pt>
                <c:pt idx="1136" formatCode="0.00">
                  <c:v>1626.6699999999998</c:v>
                </c:pt>
                <c:pt idx="1137" formatCode="0.00">
                  <c:v>1633.7</c:v>
                </c:pt>
                <c:pt idx="1138" formatCode="0.00">
                  <c:v>1633.77</c:v>
                </c:pt>
                <c:pt idx="1139" formatCode="0.00">
                  <c:v>1650.34</c:v>
                </c:pt>
                <c:pt idx="1140" formatCode="0.00">
                  <c:v>1658.78</c:v>
                </c:pt>
                <c:pt idx="1141" formatCode="0.00">
                  <c:v>1650.47</c:v>
                </c:pt>
                <c:pt idx="1142" formatCode="0.00">
                  <c:v>1667.47</c:v>
                </c:pt>
                <c:pt idx="1143" formatCode="0.00">
                  <c:v>1666.29</c:v>
                </c:pt>
                <c:pt idx="1144" formatCode="0.00">
                  <c:v>1669.1599999999999</c:v>
                </c:pt>
                <c:pt idx="1145" formatCode="0.00">
                  <c:v>1655.35</c:v>
                </c:pt>
                <c:pt idx="1146" formatCode="0.00">
                  <c:v>1650.51</c:v>
                </c:pt>
                <c:pt idx="1147" formatCode="0.00">
                  <c:v>1649.6</c:v>
                </c:pt>
                <c:pt idx="1148">
                  <c:v>#N/A</c:v>
                </c:pt>
                <c:pt idx="1149" formatCode="0.00">
                  <c:v>1660.06</c:v>
                </c:pt>
                <c:pt idx="1150" formatCode="0.00">
                  <c:v>1648.36</c:v>
                </c:pt>
                <c:pt idx="1151" formatCode="0.00">
                  <c:v>1654.41</c:v>
                </c:pt>
                <c:pt idx="1152" formatCode="0.00">
                  <c:v>1630.74</c:v>
                </c:pt>
                <c:pt idx="1153" formatCode="0.00">
                  <c:v>1640.42</c:v>
                </c:pt>
                <c:pt idx="1154" formatCode="0.00">
                  <c:v>1631.3799999999999</c:v>
                </c:pt>
                <c:pt idx="1155" formatCode="0.00">
                  <c:v>1608.9</c:v>
                </c:pt>
                <c:pt idx="1156" formatCode="0.00">
                  <c:v>1622.56</c:v>
                </c:pt>
                <c:pt idx="1157" formatCode="0.00">
                  <c:v>1643.3799999999999</c:v>
                </c:pt>
                <c:pt idx="1158" formatCode="0.00">
                  <c:v>1642.81</c:v>
                </c:pt>
                <c:pt idx="1159" formatCode="0.00">
                  <c:v>1626.1299999999999</c:v>
                </c:pt>
                <c:pt idx="1160" formatCode="0.00">
                  <c:v>1612.52</c:v>
                </c:pt>
                <c:pt idx="1161" formatCode="0.00">
                  <c:v>1636.36</c:v>
                </c:pt>
                <c:pt idx="1162" formatCode="0.00">
                  <c:v>1626.73</c:v>
                </c:pt>
                <c:pt idx="1163" formatCode="0.00">
                  <c:v>1639.04</c:v>
                </c:pt>
                <c:pt idx="1164" formatCode="0.00">
                  <c:v>1651.81</c:v>
                </c:pt>
                <c:pt idx="1165" formatCode="0.00">
                  <c:v>1628.93</c:v>
                </c:pt>
                <c:pt idx="1166" formatCode="0.00">
                  <c:v>1588.1899999999998</c:v>
                </c:pt>
                <c:pt idx="1167" formatCode="0.00">
                  <c:v>1592.43</c:v>
                </c:pt>
                <c:pt idx="1168" formatCode="0.00">
                  <c:v>1573.09</c:v>
                </c:pt>
                <c:pt idx="1169" formatCode="0.00">
                  <c:v>1588.03</c:v>
                </c:pt>
                <c:pt idx="1170" formatCode="0.00">
                  <c:v>1603.26</c:v>
                </c:pt>
                <c:pt idx="1171" formatCode="0.00">
                  <c:v>1613.2</c:v>
                </c:pt>
                <c:pt idx="1172" formatCode="0.00">
                  <c:v>1606.28</c:v>
                </c:pt>
                <c:pt idx="1173" formatCode="0.00">
                  <c:v>1614.96</c:v>
                </c:pt>
                <c:pt idx="1174" formatCode="0.00">
                  <c:v>1614.08</c:v>
                </c:pt>
                <c:pt idx="1175" formatCode="0.00">
                  <c:v>1615.41</c:v>
                </c:pt>
                <c:pt idx="1176">
                  <c:v>#N/A</c:v>
                </c:pt>
                <c:pt idx="1177" formatCode="0.00">
                  <c:v>1631.8899999999999</c:v>
                </c:pt>
                <c:pt idx="1178" formatCode="0.00">
                  <c:v>1640.46</c:v>
                </c:pt>
                <c:pt idx="1179" formatCode="0.00">
                  <c:v>1652.32</c:v>
                </c:pt>
                <c:pt idx="1180" formatCode="0.00">
                  <c:v>1652.62</c:v>
                </c:pt>
                <c:pt idx="1181" formatCode="0.00">
                  <c:v>1675.02</c:v>
                </c:pt>
                <c:pt idx="1182" formatCode="0.00">
                  <c:v>1680.1899999999998</c:v>
                </c:pt>
                <c:pt idx="1183" formatCode="0.00">
                  <c:v>1682.5</c:v>
                </c:pt>
                <c:pt idx="1184" formatCode="0.00">
                  <c:v>1676.26</c:v>
                </c:pt>
                <c:pt idx="1185" formatCode="0.00">
                  <c:v>1680.91</c:v>
                </c:pt>
                <c:pt idx="1186" formatCode="0.00">
                  <c:v>1689.37</c:v>
                </c:pt>
                <c:pt idx="1187" formatCode="0.00">
                  <c:v>1692.09</c:v>
                </c:pt>
                <c:pt idx="1188" formatCode="0.00">
                  <c:v>1695.53</c:v>
                </c:pt>
                <c:pt idx="1189" formatCode="0.00">
                  <c:v>1692.3899999999999</c:v>
                </c:pt>
                <c:pt idx="1190" formatCode="0.00">
                  <c:v>1685.94</c:v>
                </c:pt>
                <c:pt idx="1191" formatCode="0.00">
                  <c:v>1690.25</c:v>
                </c:pt>
                <c:pt idx="1192" formatCode="0.00">
                  <c:v>1691.6499999999999</c:v>
                </c:pt>
                <c:pt idx="1193" formatCode="0.00">
                  <c:v>1685.33</c:v>
                </c:pt>
                <c:pt idx="1194" formatCode="0.00">
                  <c:v>1685.96</c:v>
                </c:pt>
                <c:pt idx="1195" formatCode="0.00">
                  <c:v>1685.73</c:v>
                </c:pt>
                <c:pt idx="1196" formatCode="0.00">
                  <c:v>1706.87</c:v>
                </c:pt>
                <c:pt idx="1197" formatCode="0.00">
                  <c:v>1709.6699999999998</c:v>
                </c:pt>
                <c:pt idx="1198" formatCode="0.00">
                  <c:v>1707.1399999999999</c:v>
                </c:pt>
                <c:pt idx="1199" formatCode="0.00">
                  <c:v>1697.37</c:v>
                </c:pt>
                <c:pt idx="1200" formatCode="0.00">
                  <c:v>1690.91</c:v>
                </c:pt>
                <c:pt idx="1201" formatCode="0.00">
                  <c:v>1697.48</c:v>
                </c:pt>
                <c:pt idx="1202" formatCode="0.00">
                  <c:v>1691.42</c:v>
                </c:pt>
                <c:pt idx="1203" formatCode="0.00">
                  <c:v>1689.47</c:v>
                </c:pt>
                <c:pt idx="1204" formatCode="0.00">
                  <c:v>1694.1599999999999</c:v>
                </c:pt>
                <c:pt idx="1205" formatCode="0.00">
                  <c:v>1685.3899999999999</c:v>
                </c:pt>
                <c:pt idx="1206" formatCode="0.00">
                  <c:v>1661.32</c:v>
                </c:pt>
                <c:pt idx="1207" formatCode="0.00">
                  <c:v>1655.83</c:v>
                </c:pt>
                <c:pt idx="1208" formatCode="0.00">
                  <c:v>1646.06</c:v>
                </c:pt>
                <c:pt idx="1209" formatCode="0.00">
                  <c:v>1652.35</c:v>
                </c:pt>
                <c:pt idx="1210" formatCode="0.00">
                  <c:v>1642.8</c:v>
                </c:pt>
                <c:pt idx="1211" formatCode="0.00">
                  <c:v>1656.96</c:v>
                </c:pt>
                <c:pt idx="1212" formatCode="0.00">
                  <c:v>1663.5</c:v>
                </c:pt>
                <c:pt idx="1213" formatCode="0.00">
                  <c:v>1656.78</c:v>
                </c:pt>
                <c:pt idx="1214" formatCode="0.00">
                  <c:v>1630.48</c:v>
                </c:pt>
                <c:pt idx="1215" formatCode="0.00">
                  <c:v>1634.96</c:v>
                </c:pt>
                <c:pt idx="1216" formatCode="0.00">
                  <c:v>1638.1699999999998</c:v>
                </c:pt>
                <c:pt idx="1217" formatCode="0.00">
                  <c:v>1632.97</c:v>
                </c:pt>
                <c:pt idx="1218">
                  <c:v>#N/A</c:v>
                </c:pt>
                <c:pt idx="1219" formatCode="0.00">
                  <c:v>1639.77</c:v>
                </c:pt>
                <c:pt idx="1220" formatCode="0.00">
                  <c:v>1653.08</c:v>
                </c:pt>
                <c:pt idx="1221" formatCode="0.00">
                  <c:v>1655.08</c:v>
                </c:pt>
                <c:pt idx="1222" formatCode="0.00">
                  <c:v>1655.1699999999998</c:v>
                </c:pt>
                <c:pt idx="1223" formatCode="0.00">
                  <c:v>1671.71</c:v>
                </c:pt>
                <c:pt idx="1224" formatCode="0.00">
                  <c:v>1683.99</c:v>
                </c:pt>
                <c:pt idx="1225" formatCode="0.00">
                  <c:v>1689.1299999999999</c:v>
                </c:pt>
                <c:pt idx="1226" formatCode="0.00">
                  <c:v>1683.42</c:v>
                </c:pt>
                <c:pt idx="1227" formatCode="0.00">
                  <c:v>1687.99</c:v>
                </c:pt>
                <c:pt idx="1228" formatCode="0.00">
                  <c:v>1697.6</c:v>
                </c:pt>
                <c:pt idx="1229" formatCode="0.00">
                  <c:v>1704.76</c:v>
                </c:pt>
                <c:pt idx="1230" formatCode="0.00">
                  <c:v>1725.52</c:v>
                </c:pt>
                <c:pt idx="1231" formatCode="0.00">
                  <c:v>1722.34</c:v>
                </c:pt>
                <c:pt idx="1232" formatCode="0.00">
                  <c:v>1709.91</c:v>
                </c:pt>
                <c:pt idx="1233" formatCode="0.00">
                  <c:v>1701.84</c:v>
                </c:pt>
                <c:pt idx="1234" formatCode="0.00">
                  <c:v>1697.42</c:v>
                </c:pt>
                <c:pt idx="1235" formatCode="0.00">
                  <c:v>1692.77</c:v>
                </c:pt>
                <c:pt idx="1236" formatCode="0.00">
                  <c:v>1698.6699999999998</c:v>
                </c:pt>
                <c:pt idx="1237" formatCode="0.00">
                  <c:v>1691.75</c:v>
                </c:pt>
                <c:pt idx="1238" formatCode="0.00">
                  <c:v>1681.55</c:v>
                </c:pt>
                <c:pt idx="1239" formatCode="0.00">
                  <c:v>1695</c:v>
                </c:pt>
                <c:pt idx="1240" formatCode="0.00">
                  <c:v>1693.87</c:v>
                </c:pt>
                <c:pt idx="1241" formatCode="0.00">
                  <c:v>1678.6599999999999</c:v>
                </c:pt>
                <c:pt idx="1242" formatCode="0.00">
                  <c:v>1690.5</c:v>
                </c:pt>
                <c:pt idx="1243" formatCode="0.00">
                  <c:v>1676.12</c:v>
                </c:pt>
                <c:pt idx="1244" formatCode="0.00">
                  <c:v>1655.45</c:v>
                </c:pt>
                <c:pt idx="1245" formatCode="0.00">
                  <c:v>1656.4</c:v>
                </c:pt>
                <c:pt idx="1246" formatCode="0.00">
                  <c:v>1692.56</c:v>
                </c:pt>
                <c:pt idx="1247" formatCode="0.00">
                  <c:v>1703.2</c:v>
                </c:pt>
                <c:pt idx="1248" formatCode="0.00">
                  <c:v>1710.1399999999999</c:v>
                </c:pt>
                <c:pt idx="1249" formatCode="0.00">
                  <c:v>1698.06</c:v>
                </c:pt>
                <c:pt idx="1250" formatCode="0.00">
                  <c:v>1721.54</c:v>
                </c:pt>
                <c:pt idx="1251" formatCode="0.00">
                  <c:v>1733.1499999999999</c:v>
                </c:pt>
                <c:pt idx="1252" formatCode="0.00">
                  <c:v>1744.5</c:v>
                </c:pt>
                <c:pt idx="1253" formatCode="0.00">
                  <c:v>1744.6599999999999</c:v>
                </c:pt>
                <c:pt idx="1254" formatCode="0.00">
                  <c:v>1754.6699999999998</c:v>
                </c:pt>
                <c:pt idx="1255" formatCode="0.00">
                  <c:v>1746.3799999999999</c:v>
                </c:pt>
                <c:pt idx="1256" formatCode="0.00">
                  <c:v>1752.07</c:v>
                </c:pt>
                <c:pt idx="1257" formatCode="0.00">
                  <c:v>1759.77</c:v>
                </c:pt>
                <c:pt idx="1258" formatCode="0.00">
                  <c:v>1762.11</c:v>
                </c:pt>
                <c:pt idx="1259" formatCode="0.00">
                  <c:v>1771.95</c:v>
                </c:pt>
                <c:pt idx="1260" formatCode="0.00">
                  <c:v>1763.31</c:v>
                </c:pt>
                <c:pt idx="1261" formatCode="0.00">
                  <c:v>1756.54</c:v>
                </c:pt>
                <c:pt idx="1262" formatCode="0.00">
                  <c:v>1761.6399999999999</c:v>
                </c:pt>
                <c:pt idx="1263" formatCode="0.00">
                  <c:v>1767.93</c:v>
                </c:pt>
                <c:pt idx="1264" formatCode="0.00">
                  <c:v>1762.97</c:v>
                </c:pt>
                <c:pt idx="1265" formatCode="0.00">
                  <c:v>1770.49</c:v>
                </c:pt>
                <c:pt idx="1266" formatCode="0.00">
                  <c:v>1747.1499999999999</c:v>
                </c:pt>
                <c:pt idx="1267" formatCode="0.00">
                  <c:v>1770.61</c:v>
                </c:pt>
                <c:pt idx="1268" formatCode="0.00">
                  <c:v>1771.8899999999999</c:v>
                </c:pt>
                <c:pt idx="1269" formatCode="0.00">
                  <c:v>1767.6899999999998</c:v>
                </c:pt>
                <c:pt idx="1270" formatCode="0.00">
                  <c:v>1782</c:v>
                </c:pt>
                <c:pt idx="1271" formatCode="0.00">
                  <c:v>1790.62</c:v>
                </c:pt>
                <c:pt idx="1272" formatCode="0.00">
                  <c:v>1798.1799999999998</c:v>
                </c:pt>
                <c:pt idx="1273" formatCode="0.00">
                  <c:v>1791.53</c:v>
                </c:pt>
                <c:pt idx="1274" formatCode="0.00">
                  <c:v>1787.87</c:v>
                </c:pt>
                <c:pt idx="1275" formatCode="0.00">
                  <c:v>1781.37</c:v>
                </c:pt>
                <c:pt idx="1276" formatCode="0.00">
                  <c:v>1795.85</c:v>
                </c:pt>
                <c:pt idx="1277" formatCode="0.00">
                  <c:v>1804.76</c:v>
                </c:pt>
                <c:pt idx="1278" formatCode="0.00">
                  <c:v>1802.48</c:v>
                </c:pt>
                <c:pt idx="1279" formatCode="0.00">
                  <c:v>1802.75</c:v>
                </c:pt>
                <c:pt idx="1280" formatCode="0.00">
                  <c:v>1807.23</c:v>
                </c:pt>
                <c:pt idx="1281">
                  <c:v>#N/A</c:v>
                </c:pt>
                <c:pt idx="1282" formatCode="0.00">
                  <c:v>1805.81</c:v>
                </c:pt>
                <c:pt idx="1283" formatCode="0.00">
                  <c:v>1800.9</c:v>
                </c:pt>
                <c:pt idx="1284" formatCode="0.00">
                  <c:v>1795.1499999999999</c:v>
                </c:pt>
                <c:pt idx="1285" formatCode="0.00">
                  <c:v>1792.81</c:v>
                </c:pt>
                <c:pt idx="1286" formatCode="0.00">
                  <c:v>1785.03</c:v>
                </c:pt>
                <c:pt idx="1287" formatCode="0.00">
                  <c:v>1805.09</c:v>
                </c:pt>
                <c:pt idx="1288" formatCode="0.00">
                  <c:v>1808.37</c:v>
                </c:pt>
                <c:pt idx="1289" formatCode="0.00">
                  <c:v>1802.62</c:v>
                </c:pt>
                <c:pt idx="1290" formatCode="0.00">
                  <c:v>1782.22</c:v>
                </c:pt>
                <c:pt idx="1291" formatCode="0.00">
                  <c:v>1775.5</c:v>
                </c:pt>
                <c:pt idx="1292" formatCode="0.00">
                  <c:v>1775.32</c:v>
                </c:pt>
                <c:pt idx="1293" formatCode="0.00">
                  <c:v>1786.54</c:v>
                </c:pt>
                <c:pt idx="1294" formatCode="0.00">
                  <c:v>1781</c:v>
                </c:pt>
                <c:pt idx="1295" formatCode="0.00">
                  <c:v>1810.6499999999999</c:v>
                </c:pt>
                <c:pt idx="1296" formatCode="0.00">
                  <c:v>1809.6</c:v>
                </c:pt>
                <c:pt idx="1297" formatCode="0.00">
                  <c:v>1818.32</c:v>
                </c:pt>
                <c:pt idx="1298" formatCode="0.00">
                  <c:v>1827.99</c:v>
                </c:pt>
                <c:pt idx="1299" formatCode="0.00">
                  <c:v>1833.32</c:v>
                </c:pt>
                <c:pt idx="1300">
                  <c:v>#N/A</c:v>
                </c:pt>
                <c:pt idx="1301" formatCode="0.00">
                  <c:v>1842.02</c:v>
                </c:pt>
                <c:pt idx="1302" formatCode="0.00">
                  <c:v>1841.4</c:v>
                </c:pt>
                <c:pt idx="1303" formatCode="0.00">
                  <c:v>1841.07</c:v>
                </c:pt>
                <c:pt idx="1304" formatCode="0.00">
                  <c:v>1848.36</c:v>
                </c:pt>
              </c:numCache>
            </c:numRef>
          </c:val>
        </c:ser>
        <c:marker val="1"/>
        <c:axId val="169636608"/>
        <c:axId val="169638144"/>
      </c:lineChart>
      <c:dateAx>
        <c:axId val="169636608"/>
        <c:scaling>
          <c:orientation val="minMax"/>
        </c:scaling>
        <c:axPos val="b"/>
        <c:numFmt formatCode="yyyy\-mm\-dd" sourceLinked="1"/>
        <c:tickLblPos val="nextTo"/>
        <c:crossAx val="169638144"/>
        <c:crosses val="autoZero"/>
        <c:auto val="1"/>
        <c:lblOffset val="100"/>
        <c:baseTimeUnit val="days"/>
      </c:dateAx>
      <c:valAx>
        <c:axId val="169638144"/>
        <c:scaling>
          <c:orientation val="minMax"/>
        </c:scaling>
        <c:axPos val="l"/>
        <c:majorGridlines/>
        <c:numFmt formatCode="0.00" sourceLinked="1"/>
        <c:tickLblPos val="nextTo"/>
        <c:crossAx val="169636608"/>
        <c:crosses val="autoZero"/>
        <c:crossBetween val="between"/>
      </c:valAx>
    </c:plotArea>
    <c:plotVisOnly val="1"/>
    <c:dispBlanksAs val="gap"/>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cs-CZ"/>
  <c:chart>
    <c:plotArea>
      <c:layout>
        <c:manualLayout>
          <c:layoutTarget val="inner"/>
          <c:xMode val="edge"/>
          <c:yMode val="edge"/>
          <c:x val="8.6406369383707243E-2"/>
          <c:y val="3.7820998561842255E-2"/>
          <c:w val="0.88855218822080573"/>
          <c:h val="0.84579154093262332"/>
        </c:manualLayout>
      </c:layout>
      <c:lineChart>
        <c:grouping val="standard"/>
        <c:ser>
          <c:idx val="0"/>
          <c:order val="0"/>
          <c:spPr>
            <a:ln w="25400"/>
          </c:spPr>
          <c:marker>
            <c:symbol val="none"/>
          </c:marker>
          <c:cat>
            <c:numRef>
              <c:f>BE0166769266_05012009_19022014!$A$2:$A$1248</c:f>
              <c:numCache>
                <c:formatCode>General</c:formatCode>
                <c:ptCount val="1247"/>
                <c:pt idx="0" formatCode="d/m/yyyy">
                  <c:v>39818</c:v>
                </c:pt>
                <c:pt idx="2" formatCode="d/m/yyyy">
                  <c:v>39820</c:v>
                </c:pt>
                <c:pt idx="3" formatCode="d/m/yyyy">
                  <c:v>39821</c:v>
                </c:pt>
                <c:pt idx="4" formatCode="d/m/yyyy">
                  <c:v>39822</c:v>
                </c:pt>
                <c:pt idx="5" formatCode="d/m/yyyy">
                  <c:v>39825</c:v>
                </c:pt>
                <c:pt idx="6" formatCode="d/m/yyyy">
                  <c:v>39826</c:v>
                </c:pt>
                <c:pt idx="7" formatCode="d/m/yyyy">
                  <c:v>39827</c:v>
                </c:pt>
                <c:pt idx="8" formatCode="d/m/yyyy">
                  <c:v>39828</c:v>
                </c:pt>
                <c:pt idx="9" formatCode="d/m/yyyy">
                  <c:v>39829</c:v>
                </c:pt>
                <c:pt idx="10" formatCode="d/m/yyyy">
                  <c:v>39833</c:v>
                </c:pt>
                <c:pt idx="11" formatCode="d/m/yyyy">
                  <c:v>39834</c:v>
                </c:pt>
                <c:pt idx="12" formatCode="d/m/yyyy">
                  <c:v>39835</c:v>
                </c:pt>
                <c:pt idx="13" formatCode="d/m/yyyy">
                  <c:v>39836</c:v>
                </c:pt>
                <c:pt idx="14" formatCode="d/m/yyyy">
                  <c:v>39839</c:v>
                </c:pt>
                <c:pt idx="15" formatCode="d/m/yyyy">
                  <c:v>39840</c:v>
                </c:pt>
                <c:pt idx="16" formatCode="d/m/yyyy">
                  <c:v>39841</c:v>
                </c:pt>
                <c:pt idx="17" formatCode="d/m/yyyy">
                  <c:v>39842</c:v>
                </c:pt>
                <c:pt idx="18" formatCode="d/m/yyyy">
                  <c:v>39843</c:v>
                </c:pt>
                <c:pt idx="19" formatCode="d/m/yyyy">
                  <c:v>39846</c:v>
                </c:pt>
                <c:pt idx="20" formatCode="d/m/yyyy">
                  <c:v>39847</c:v>
                </c:pt>
                <c:pt idx="21" formatCode="d/m/yyyy">
                  <c:v>39848</c:v>
                </c:pt>
                <c:pt idx="22" formatCode="d/m/yyyy">
                  <c:v>39849</c:v>
                </c:pt>
                <c:pt idx="23" formatCode="d/m/yyyy">
                  <c:v>39850</c:v>
                </c:pt>
                <c:pt idx="24" formatCode="d/m/yyyy">
                  <c:v>39853</c:v>
                </c:pt>
                <c:pt idx="25" formatCode="d/m/yyyy">
                  <c:v>39854</c:v>
                </c:pt>
                <c:pt idx="26" formatCode="d/m/yyyy">
                  <c:v>39855</c:v>
                </c:pt>
                <c:pt idx="27" formatCode="d/m/yyyy">
                  <c:v>39856</c:v>
                </c:pt>
                <c:pt idx="28" formatCode="d/m/yyyy">
                  <c:v>39857</c:v>
                </c:pt>
                <c:pt idx="29" formatCode="d/m/yyyy">
                  <c:v>39861</c:v>
                </c:pt>
                <c:pt idx="30" formatCode="d/m/yyyy">
                  <c:v>39862</c:v>
                </c:pt>
                <c:pt idx="31" formatCode="d/m/yyyy">
                  <c:v>39863</c:v>
                </c:pt>
                <c:pt idx="32" formatCode="d/m/yyyy">
                  <c:v>39864</c:v>
                </c:pt>
                <c:pt idx="33" formatCode="d/m/yyyy">
                  <c:v>39867</c:v>
                </c:pt>
                <c:pt idx="34" formatCode="d/m/yyyy">
                  <c:v>39868</c:v>
                </c:pt>
                <c:pt idx="35" formatCode="d/m/yyyy">
                  <c:v>39869</c:v>
                </c:pt>
                <c:pt idx="36" formatCode="d/m/yyyy">
                  <c:v>39870</c:v>
                </c:pt>
                <c:pt idx="37" formatCode="d/m/yyyy">
                  <c:v>39871</c:v>
                </c:pt>
                <c:pt idx="38" formatCode="d/m/yyyy">
                  <c:v>39874</c:v>
                </c:pt>
                <c:pt idx="39" formatCode="d/m/yyyy">
                  <c:v>39875</c:v>
                </c:pt>
                <c:pt idx="40" formatCode="d/m/yyyy">
                  <c:v>39876</c:v>
                </c:pt>
                <c:pt idx="41" formatCode="d/m/yyyy">
                  <c:v>39877</c:v>
                </c:pt>
                <c:pt idx="42" formatCode="d/m/yyyy">
                  <c:v>39878</c:v>
                </c:pt>
                <c:pt idx="43" formatCode="d/m/yyyy">
                  <c:v>39881</c:v>
                </c:pt>
                <c:pt idx="44" formatCode="d/m/yyyy">
                  <c:v>39882</c:v>
                </c:pt>
                <c:pt idx="45" formatCode="d/m/yyyy">
                  <c:v>39883</c:v>
                </c:pt>
                <c:pt idx="46" formatCode="d/m/yyyy">
                  <c:v>39884</c:v>
                </c:pt>
                <c:pt idx="47" formatCode="d/m/yyyy">
                  <c:v>39885</c:v>
                </c:pt>
                <c:pt idx="48" formatCode="d/m/yyyy">
                  <c:v>39888</c:v>
                </c:pt>
                <c:pt idx="49" formatCode="d/m/yyyy">
                  <c:v>39889</c:v>
                </c:pt>
                <c:pt idx="50" formatCode="d/m/yyyy">
                  <c:v>39890</c:v>
                </c:pt>
                <c:pt idx="51" formatCode="d/m/yyyy">
                  <c:v>39891</c:v>
                </c:pt>
                <c:pt idx="52" formatCode="d/m/yyyy">
                  <c:v>39892</c:v>
                </c:pt>
                <c:pt idx="53" formatCode="d/m/yyyy">
                  <c:v>39895</c:v>
                </c:pt>
                <c:pt idx="54" formatCode="d/m/yyyy">
                  <c:v>39896</c:v>
                </c:pt>
                <c:pt idx="55" formatCode="d/m/yyyy">
                  <c:v>39897</c:v>
                </c:pt>
                <c:pt idx="56" formatCode="d/m/yyyy">
                  <c:v>39898</c:v>
                </c:pt>
                <c:pt idx="57" formatCode="d/m/yyyy">
                  <c:v>39899</c:v>
                </c:pt>
                <c:pt idx="58" formatCode="d/m/yyyy">
                  <c:v>39902</c:v>
                </c:pt>
                <c:pt idx="59" formatCode="d/m/yyyy">
                  <c:v>39903</c:v>
                </c:pt>
                <c:pt idx="60" formatCode="d/m/yyyy">
                  <c:v>39904</c:v>
                </c:pt>
                <c:pt idx="61" formatCode="d/m/yyyy">
                  <c:v>39905</c:v>
                </c:pt>
                <c:pt idx="62" formatCode="d/m/yyyy">
                  <c:v>39906</c:v>
                </c:pt>
                <c:pt idx="63" formatCode="d/m/yyyy">
                  <c:v>39909</c:v>
                </c:pt>
                <c:pt idx="64" formatCode="d/m/yyyy">
                  <c:v>39910</c:v>
                </c:pt>
                <c:pt idx="65" formatCode="d/m/yyyy">
                  <c:v>39911</c:v>
                </c:pt>
                <c:pt idx="66" formatCode="d/m/yyyy">
                  <c:v>39912</c:v>
                </c:pt>
                <c:pt idx="67" formatCode="d/m/yyyy">
                  <c:v>39917</c:v>
                </c:pt>
                <c:pt idx="68" formatCode="d/m/yyyy">
                  <c:v>39918</c:v>
                </c:pt>
                <c:pt idx="69" formatCode="d/m/yyyy">
                  <c:v>39919</c:v>
                </c:pt>
                <c:pt idx="70" formatCode="d/m/yyyy">
                  <c:v>39920</c:v>
                </c:pt>
                <c:pt idx="71" formatCode="d/m/yyyy">
                  <c:v>39923</c:v>
                </c:pt>
                <c:pt idx="72" formatCode="d/m/yyyy">
                  <c:v>39924</c:v>
                </c:pt>
                <c:pt idx="73" formatCode="d/m/yyyy">
                  <c:v>39925</c:v>
                </c:pt>
                <c:pt idx="74" formatCode="d/m/yyyy">
                  <c:v>39926</c:v>
                </c:pt>
                <c:pt idx="75" formatCode="d/m/yyyy">
                  <c:v>39927</c:v>
                </c:pt>
                <c:pt idx="76" formatCode="d/m/yyyy">
                  <c:v>39930</c:v>
                </c:pt>
                <c:pt idx="77" formatCode="d/m/yyyy">
                  <c:v>39931</c:v>
                </c:pt>
                <c:pt idx="78" formatCode="d/m/yyyy">
                  <c:v>39932</c:v>
                </c:pt>
                <c:pt idx="79" formatCode="d/m/yyyy">
                  <c:v>39933</c:v>
                </c:pt>
                <c:pt idx="80" formatCode="d/m/yyyy">
                  <c:v>39937</c:v>
                </c:pt>
                <c:pt idx="81" formatCode="d/m/yyyy">
                  <c:v>39938</c:v>
                </c:pt>
                <c:pt idx="82" formatCode="d/m/yyyy">
                  <c:v>39939</c:v>
                </c:pt>
                <c:pt idx="83" formatCode="d/m/yyyy">
                  <c:v>39940</c:v>
                </c:pt>
                <c:pt idx="84" formatCode="d/m/yyyy">
                  <c:v>39941</c:v>
                </c:pt>
                <c:pt idx="85" formatCode="d/m/yyyy">
                  <c:v>39944</c:v>
                </c:pt>
                <c:pt idx="86" formatCode="d/m/yyyy">
                  <c:v>39945</c:v>
                </c:pt>
                <c:pt idx="87" formatCode="d/m/yyyy">
                  <c:v>39946</c:v>
                </c:pt>
                <c:pt idx="88" formatCode="d/m/yyyy">
                  <c:v>39947</c:v>
                </c:pt>
                <c:pt idx="89" formatCode="d/m/yyyy">
                  <c:v>39948</c:v>
                </c:pt>
                <c:pt idx="90" formatCode="d/m/yyyy">
                  <c:v>39951</c:v>
                </c:pt>
                <c:pt idx="91" formatCode="d/m/yyyy">
                  <c:v>39952</c:v>
                </c:pt>
                <c:pt idx="92" formatCode="d/m/yyyy">
                  <c:v>39953</c:v>
                </c:pt>
                <c:pt idx="93" formatCode="d/m/yyyy">
                  <c:v>39959</c:v>
                </c:pt>
                <c:pt idx="94" formatCode="d/m/yyyy">
                  <c:v>39960</c:v>
                </c:pt>
                <c:pt idx="95" formatCode="d/m/yyyy">
                  <c:v>39961</c:v>
                </c:pt>
                <c:pt idx="96" formatCode="d/m/yyyy">
                  <c:v>39962</c:v>
                </c:pt>
                <c:pt idx="97" formatCode="d/m/yyyy">
                  <c:v>39966</c:v>
                </c:pt>
                <c:pt idx="98" formatCode="d/m/yyyy">
                  <c:v>39967</c:v>
                </c:pt>
                <c:pt idx="99" formatCode="d/m/yyyy">
                  <c:v>39968</c:v>
                </c:pt>
                <c:pt idx="100" formatCode="d/m/yyyy">
                  <c:v>39969</c:v>
                </c:pt>
                <c:pt idx="101" formatCode="d/m/yyyy">
                  <c:v>39972</c:v>
                </c:pt>
                <c:pt idx="102" formatCode="d/m/yyyy">
                  <c:v>39973</c:v>
                </c:pt>
                <c:pt idx="103" formatCode="d/m/yyyy">
                  <c:v>39974</c:v>
                </c:pt>
                <c:pt idx="104" formatCode="d/m/yyyy">
                  <c:v>39975</c:v>
                </c:pt>
                <c:pt idx="105" formatCode="d/m/yyyy">
                  <c:v>39976</c:v>
                </c:pt>
                <c:pt idx="106" formatCode="d/m/yyyy">
                  <c:v>39979</c:v>
                </c:pt>
                <c:pt idx="107" formatCode="d/m/yyyy">
                  <c:v>39980</c:v>
                </c:pt>
                <c:pt idx="108" formatCode="d/m/yyyy">
                  <c:v>39981</c:v>
                </c:pt>
                <c:pt idx="109" formatCode="d/m/yyyy">
                  <c:v>39982</c:v>
                </c:pt>
                <c:pt idx="110" formatCode="d/m/yyyy">
                  <c:v>39983</c:v>
                </c:pt>
                <c:pt idx="111" formatCode="d/m/yyyy">
                  <c:v>39986</c:v>
                </c:pt>
                <c:pt idx="112" formatCode="d/m/yyyy">
                  <c:v>39987</c:v>
                </c:pt>
                <c:pt idx="113" formatCode="d/m/yyyy">
                  <c:v>39988</c:v>
                </c:pt>
                <c:pt idx="114" formatCode="d/m/yyyy">
                  <c:v>39989</c:v>
                </c:pt>
                <c:pt idx="115" formatCode="d/m/yyyy">
                  <c:v>39990</c:v>
                </c:pt>
                <c:pt idx="116" formatCode="d/m/yyyy">
                  <c:v>39993</c:v>
                </c:pt>
                <c:pt idx="117" formatCode="d/m/yyyy">
                  <c:v>39994</c:v>
                </c:pt>
                <c:pt idx="118" formatCode="d/m/yyyy">
                  <c:v>39995</c:v>
                </c:pt>
                <c:pt idx="119" formatCode="d/m/yyyy">
                  <c:v>39996</c:v>
                </c:pt>
                <c:pt idx="120" formatCode="d/m/yyyy">
                  <c:v>40000</c:v>
                </c:pt>
                <c:pt idx="121" formatCode="d/m/yyyy">
                  <c:v>40001</c:v>
                </c:pt>
                <c:pt idx="122" formatCode="d/m/yyyy">
                  <c:v>40002</c:v>
                </c:pt>
                <c:pt idx="123" formatCode="d/m/yyyy">
                  <c:v>40003</c:v>
                </c:pt>
                <c:pt idx="124" formatCode="d/m/yyyy">
                  <c:v>40004</c:v>
                </c:pt>
                <c:pt idx="125" formatCode="d/m/yyyy">
                  <c:v>40007</c:v>
                </c:pt>
                <c:pt idx="126" formatCode="d/m/yyyy">
                  <c:v>40008</c:v>
                </c:pt>
                <c:pt idx="127" formatCode="d/m/yyyy">
                  <c:v>40009</c:v>
                </c:pt>
                <c:pt idx="128" formatCode="d/m/yyyy">
                  <c:v>40010</c:v>
                </c:pt>
                <c:pt idx="129" formatCode="d/m/yyyy">
                  <c:v>40011</c:v>
                </c:pt>
                <c:pt idx="130" formatCode="d/m/yyyy">
                  <c:v>40014</c:v>
                </c:pt>
                <c:pt idx="131" formatCode="d/m/yyyy">
                  <c:v>40016</c:v>
                </c:pt>
                <c:pt idx="132" formatCode="d/m/yyyy">
                  <c:v>40017</c:v>
                </c:pt>
                <c:pt idx="133" formatCode="d/m/yyyy">
                  <c:v>40018</c:v>
                </c:pt>
                <c:pt idx="134" formatCode="d/m/yyyy">
                  <c:v>40021</c:v>
                </c:pt>
                <c:pt idx="135" formatCode="d/m/yyyy">
                  <c:v>40022</c:v>
                </c:pt>
                <c:pt idx="136" formatCode="d/m/yyyy">
                  <c:v>40023</c:v>
                </c:pt>
                <c:pt idx="137" formatCode="d/m/yyyy">
                  <c:v>40024</c:v>
                </c:pt>
                <c:pt idx="138" formatCode="d/m/yyyy">
                  <c:v>40025</c:v>
                </c:pt>
                <c:pt idx="139" formatCode="d/m/yyyy">
                  <c:v>40028</c:v>
                </c:pt>
                <c:pt idx="140" formatCode="d/m/yyyy">
                  <c:v>40029</c:v>
                </c:pt>
                <c:pt idx="141" formatCode="d/m/yyyy">
                  <c:v>40030</c:v>
                </c:pt>
                <c:pt idx="142" formatCode="d/m/yyyy">
                  <c:v>40031</c:v>
                </c:pt>
                <c:pt idx="143" formatCode="d/m/yyyy">
                  <c:v>40032</c:v>
                </c:pt>
                <c:pt idx="144" formatCode="d/m/yyyy">
                  <c:v>40035</c:v>
                </c:pt>
                <c:pt idx="145" formatCode="d/m/yyyy">
                  <c:v>40036</c:v>
                </c:pt>
                <c:pt idx="146" formatCode="d/m/yyyy">
                  <c:v>40037</c:v>
                </c:pt>
                <c:pt idx="147" formatCode="d/m/yyyy">
                  <c:v>40038</c:v>
                </c:pt>
                <c:pt idx="148" formatCode="d/m/yyyy">
                  <c:v>40039</c:v>
                </c:pt>
                <c:pt idx="149" formatCode="d/m/yyyy">
                  <c:v>40042</c:v>
                </c:pt>
                <c:pt idx="150" formatCode="d/m/yyyy">
                  <c:v>40043</c:v>
                </c:pt>
                <c:pt idx="151" formatCode="d/m/yyyy">
                  <c:v>40044</c:v>
                </c:pt>
                <c:pt idx="152" formatCode="d/m/yyyy">
                  <c:v>40045</c:v>
                </c:pt>
                <c:pt idx="153" formatCode="d/m/yyyy">
                  <c:v>40046</c:v>
                </c:pt>
                <c:pt idx="154" formatCode="d/m/yyyy">
                  <c:v>40049</c:v>
                </c:pt>
                <c:pt idx="155" formatCode="d/m/yyyy">
                  <c:v>40050</c:v>
                </c:pt>
                <c:pt idx="156" formatCode="d/m/yyyy">
                  <c:v>40051</c:v>
                </c:pt>
                <c:pt idx="157" formatCode="d/m/yyyy">
                  <c:v>40052</c:v>
                </c:pt>
                <c:pt idx="158" formatCode="d/m/yyyy">
                  <c:v>40053</c:v>
                </c:pt>
                <c:pt idx="159" formatCode="d/m/yyyy">
                  <c:v>40056</c:v>
                </c:pt>
                <c:pt idx="160" formatCode="d/m/yyyy">
                  <c:v>40057</c:v>
                </c:pt>
                <c:pt idx="161" formatCode="d/m/yyyy">
                  <c:v>40058</c:v>
                </c:pt>
                <c:pt idx="162" formatCode="d/m/yyyy">
                  <c:v>40059</c:v>
                </c:pt>
                <c:pt idx="163" formatCode="d/m/yyyy">
                  <c:v>40060</c:v>
                </c:pt>
                <c:pt idx="164" formatCode="d/m/yyyy">
                  <c:v>40064</c:v>
                </c:pt>
                <c:pt idx="165" formatCode="d/m/yyyy">
                  <c:v>40065</c:v>
                </c:pt>
                <c:pt idx="166" formatCode="d/m/yyyy">
                  <c:v>40066</c:v>
                </c:pt>
                <c:pt idx="167" formatCode="d/m/yyyy">
                  <c:v>40067</c:v>
                </c:pt>
                <c:pt idx="168" formatCode="d/m/yyyy">
                  <c:v>40070</c:v>
                </c:pt>
                <c:pt idx="169" formatCode="d/m/yyyy">
                  <c:v>40071</c:v>
                </c:pt>
                <c:pt idx="170" formatCode="d/m/yyyy">
                  <c:v>40072</c:v>
                </c:pt>
                <c:pt idx="171" formatCode="d/m/yyyy">
                  <c:v>40073</c:v>
                </c:pt>
                <c:pt idx="172" formatCode="d/m/yyyy">
                  <c:v>40074</c:v>
                </c:pt>
                <c:pt idx="173" formatCode="d/m/yyyy">
                  <c:v>40077</c:v>
                </c:pt>
                <c:pt idx="174" formatCode="d/m/yyyy">
                  <c:v>40078</c:v>
                </c:pt>
                <c:pt idx="175" formatCode="d/m/yyyy">
                  <c:v>40079</c:v>
                </c:pt>
                <c:pt idx="176" formatCode="d/m/yyyy">
                  <c:v>40080</c:v>
                </c:pt>
                <c:pt idx="177" formatCode="d/m/yyyy">
                  <c:v>40081</c:v>
                </c:pt>
                <c:pt idx="178" formatCode="d/m/yyyy">
                  <c:v>40084</c:v>
                </c:pt>
                <c:pt idx="179" formatCode="d/m/yyyy">
                  <c:v>40085</c:v>
                </c:pt>
                <c:pt idx="180" formatCode="d/m/yyyy">
                  <c:v>40086</c:v>
                </c:pt>
                <c:pt idx="181" formatCode="d/m/yyyy">
                  <c:v>40087</c:v>
                </c:pt>
                <c:pt idx="182" formatCode="d/m/yyyy">
                  <c:v>40088</c:v>
                </c:pt>
                <c:pt idx="183" formatCode="d/m/yyyy">
                  <c:v>40091</c:v>
                </c:pt>
                <c:pt idx="184" formatCode="d/m/yyyy">
                  <c:v>40092</c:v>
                </c:pt>
                <c:pt idx="185" formatCode="d/m/yyyy">
                  <c:v>40093</c:v>
                </c:pt>
                <c:pt idx="186" formatCode="d/m/yyyy">
                  <c:v>40094</c:v>
                </c:pt>
                <c:pt idx="187" formatCode="d/m/yyyy">
                  <c:v>40095</c:v>
                </c:pt>
                <c:pt idx="188" formatCode="d/m/yyyy">
                  <c:v>40098</c:v>
                </c:pt>
                <c:pt idx="189" formatCode="d/m/yyyy">
                  <c:v>40099</c:v>
                </c:pt>
                <c:pt idx="190" formatCode="d/m/yyyy">
                  <c:v>40100</c:v>
                </c:pt>
                <c:pt idx="191" formatCode="d/m/yyyy">
                  <c:v>40101</c:v>
                </c:pt>
                <c:pt idx="192" formatCode="d/m/yyyy">
                  <c:v>40102</c:v>
                </c:pt>
                <c:pt idx="193" formatCode="d/m/yyyy">
                  <c:v>40105</c:v>
                </c:pt>
                <c:pt idx="194" formatCode="d/m/yyyy">
                  <c:v>40106</c:v>
                </c:pt>
                <c:pt idx="195" formatCode="d/m/yyyy">
                  <c:v>40107</c:v>
                </c:pt>
                <c:pt idx="196" formatCode="d/m/yyyy">
                  <c:v>40108</c:v>
                </c:pt>
                <c:pt idx="197" formatCode="d/m/yyyy">
                  <c:v>40109</c:v>
                </c:pt>
                <c:pt idx="198" formatCode="d/m/yyyy">
                  <c:v>40112</c:v>
                </c:pt>
                <c:pt idx="199" formatCode="d/m/yyyy">
                  <c:v>40113</c:v>
                </c:pt>
                <c:pt idx="200" formatCode="d/m/yyyy">
                  <c:v>40114</c:v>
                </c:pt>
                <c:pt idx="201" formatCode="d/m/yyyy">
                  <c:v>40115</c:v>
                </c:pt>
                <c:pt idx="202" formatCode="d/m/yyyy">
                  <c:v>40116</c:v>
                </c:pt>
                <c:pt idx="203" formatCode="d/m/yyyy">
                  <c:v>40119</c:v>
                </c:pt>
                <c:pt idx="204" formatCode="d/m/yyyy">
                  <c:v>40120</c:v>
                </c:pt>
                <c:pt idx="205" formatCode="d/m/yyyy">
                  <c:v>40121</c:v>
                </c:pt>
                <c:pt idx="206" formatCode="d/m/yyyy">
                  <c:v>40122</c:v>
                </c:pt>
                <c:pt idx="207" formatCode="d/m/yyyy">
                  <c:v>40123</c:v>
                </c:pt>
                <c:pt idx="208" formatCode="d/m/yyyy">
                  <c:v>40126</c:v>
                </c:pt>
                <c:pt idx="209" formatCode="d/m/yyyy">
                  <c:v>40127</c:v>
                </c:pt>
                <c:pt idx="210" formatCode="d/m/yyyy">
                  <c:v>40129</c:v>
                </c:pt>
                <c:pt idx="211" formatCode="d/m/yyyy">
                  <c:v>40130</c:v>
                </c:pt>
                <c:pt idx="212" formatCode="d/m/yyyy">
                  <c:v>40133</c:v>
                </c:pt>
                <c:pt idx="213" formatCode="d/m/yyyy">
                  <c:v>40134</c:v>
                </c:pt>
                <c:pt idx="214" formatCode="d/m/yyyy">
                  <c:v>40135</c:v>
                </c:pt>
                <c:pt idx="215" formatCode="d/m/yyyy">
                  <c:v>40136</c:v>
                </c:pt>
                <c:pt idx="216" formatCode="d/m/yyyy">
                  <c:v>40137</c:v>
                </c:pt>
                <c:pt idx="217" formatCode="d/m/yyyy">
                  <c:v>40140</c:v>
                </c:pt>
                <c:pt idx="218" formatCode="d/m/yyyy">
                  <c:v>40141</c:v>
                </c:pt>
                <c:pt idx="219" formatCode="d/m/yyyy">
                  <c:v>40142</c:v>
                </c:pt>
                <c:pt idx="220" formatCode="d/m/yyyy">
                  <c:v>40144</c:v>
                </c:pt>
                <c:pt idx="221" formatCode="d/m/yyyy">
                  <c:v>40147</c:v>
                </c:pt>
                <c:pt idx="222" formatCode="d/m/yyyy">
                  <c:v>40148</c:v>
                </c:pt>
                <c:pt idx="223" formatCode="d/m/yyyy">
                  <c:v>40149</c:v>
                </c:pt>
                <c:pt idx="224" formatCode="d/m/yyyy">
                  <c:v>40150</c:v>
                </c:pt>
                <c:pt idx="225" formatCode="d/m/yyyy">
                  <c:v>40151</c:v>
                </c:pt>
                <c:pt idx="226" formatCode="d/m/yyyy">
                  <c:v>40154</c:v>
                </c:pt>
                <c:pt idx="227" formatCode="d/m/yyyy">
                  <c:v>40155</c:v>
                </c:pt>
                <c:pt idx="228" formatCode="d/m/yyyy">
                  <c:v>40156</c:v>
                </c:pt>
                <c:pt idx="229" formatCode="d/m/yyyy">
                  <c:v>40157</c:v>
                </c:pt>
                <c:pt idx="230" formatCode="d/m/yyyy">
                  <c:v>40158</c:v>
                </c:pt>
                <c:pt idx="231" formatCode="d/m/yyyy">
                  <c:v>40161</c:v>
                </c:pt>
                <c:pt idx="232" formatCode="d/m/yyyy">
                  <c:v>40162</c:v>
                </c:pt>
                <c:pt idx="233" formatCode="d/m/yyyy">
                  <c:v>40163</c:v>
                </c:pt>
                <c:pt idx="234" formatCode="d/m/yyyy">
                  <c:v>40164</c:v>
                </c:pt>
                <c:pt idx="235" formatCode="d/m/yyyy">
                  <c:v>40165</c:v>
                </c:pt>
                <c:pt idx="236" formatCode="d/m/yyyy">
                  <c:v>40168</c:v>
                </c:pt>
                <c:pt idx="237" formatCode="d/m/yyyy">
                  <c:v>40169</c:v>
                </c:pt>
                <c:pt idx="238" formatCode="d/m/yyyy">
                  <c:v>40170</c:v>
                </c:pt>
                <c:pt idx="239" formatCode="d/m/yyyy">
                  <c:v>40171</c:v>
                </c:pt>
                <c:pt idx="240" formatCode="d/m/yyyy">
                  <c:v>40175</c:v>
                </c:pt>
                <c:pt idx="241" formatCode="d/m/yyyy">
                  <c:v>40176</c:v>
                </c:pt>
                <c:pt idx="242" formatCode="d/m/yyyy">
                  <c:v>40177</c:v>
                </c:pt>
                <c:pt idx="243" formatCode="d/m/yyyy">
                  <c:v>40178</c:v>
                </c:pt>
                <c:pt idx="244" formatCode="d/m/yyyy">
                  <c:v>40182</c:v>
                </c:pt>
                <c:pt idx="245" formatCode="d/m/yyyy">
                  <c:v>40183</c:v>
                </c:pt>
                <c:pt idx="246" formatCode="d/m/yyyy">
                  <c:v>40184</c:v>
                </c:pt>
                <c:pt idx="247" formatCode="d/m/yyyy">
                  <c:v>40185</c:v>
                </c:pt>
                <c:pt idx="248" formatCode="d/m/yyyy">
                  <c:v>40186</c:v>
                </c:pt>
                <c:pt idx="249" formatCode="d/m/yyyy">
                  <c:v>40189</c:v>
                </c:pt>
                <c:pt idx="250" formatCode="d/m/yyyy">
                  <c:v>40190</c:v>
                </c:pt>
                <c:pt idx="251" formatCode="d/m/yyyy">
                  <c:v>40191</c:v>
                </c:pt>
                <c:pt idx="252" formatCode="d/m/yyyy">
                  <c:v>40192</c:v>
                </c:pt>
                <c:pt idx="253" formatCode="d/m/yyyy">
                  <c:v>40193</c:v>
                </c:pt>
                <c:pt idx="254" formatCode="d/m/yyyy">
                  <c:v>40197</c:v>
                </c:pt>
                <c:pt idx="255" formatCode="d/m/yyyy">
                  <c:v>40198</c:v>
                </c:pt>
                <c:pt idx="256" formatCode="d/m/yyyy">
                  <c:v>40199</c:v>
                </c:pt>
                <c:pt idx="257" formatCode="d/m/yyyy">
                  <c:v>40200</c:v>
                </c:pt>
                <c:pt idx="258" formatCode="d/m/yyyy">
                  <c:v>40203</c:v>
                </c:pt>
                <c:pt idx="259" formatCode="d/m/yyyy">
                  <c:v>40204</c:v>
                </c:pt>
                <c:pt idx="260" formatCode="d/m/yyyy">
                  <c:v>40205</c:v>
                </c:pt>
                <c:pt idx="261" formatCode="d/m/yyyy">
                  <c:v>40206</c:v>
                </c:pt>
                <c:pt idx="262" formatCode="d/m/yyyy">
                  <c:v>40207</c:v>
                </c:pt>
                <c:pt idx="263" formatCode="d/m/yyyy">
                  <c:v>40210</c:v>
                </c:pt>
                <c:pt idx="264" formatCode="d/m/yyyy">
                  <c:v>40211</c:v>
                </c:pt>
                <c:pt idx="265" formatCode="d/m/yyyy">
                  <c:v>40212</c:v>
                </c:pt>
                <c:pt idx="266" formatCode="d/m/yyyy">
                  <c:v>40213</c:v>
                </c:pt>
                <c:pt idx="267" formatCode="d/m/yyyy">
                  <c:v>40214</c:v>
                </c:pt>
                <c:pt idx="268" formatCode="d/m/yyyy">
                  <c:v>40217</c:v>
                </c:pt>
                <c:pt idx="269" formatCode="d/m/yyyy">
                  <c:v>40218</c:v>
                </c:pt>
                <c:pt idx="270" formatCode="d/m/yyyy">
                  <c:v>40219</c:v>
                </c:pt>
                <c:pt idx="271" formatCode="d/m/yyyy">
                  <c:v>40220</c:v>
                </c:pt>
                <c:pt idx="272" formatCode="d/m/yyyy">
                  <c:v>40221</c:v>
                </c:pt>
                <c:pt idx="273" formatCode="d/m/yyyy">
                  <c:v>40225</c:v>
                </c:pt>
                <c:pt idx="274" formatCode="d/m/yyyy">
                  <c:v>40226</c:v>
                </c:pt>
                <c:pt idx="275" formatCode="d/m/yyyy">
                  <c:v>40227</c:v>
                </c:pt>
                <c:pt idx="276" formatCode="d/m/yyyy">
                  <c:v>40228</c:v>
                </c:pt>
                <c:pt idx="277" formatCode="d/m/yyyy">
                  <c:v>40231</c:v>
                </c:pt>
                <c:pt idx="278" formatCode="d/m/yyyy">
                  <c:v>40232</c:v>
                </c:pt>
                <c:pt idx="279" formatCode="d/m/yyyy">
                  <c:v>40233</c:v>
                </c:pt>
                <c:pt idx="280" formatCode="d/m/yyyy">
                  <c:v>40234</c:v>
                </c:pt>
                <c:pt idx="281" formatCode="d/m/yyyy">
                  <c:v>40235</c:v>
                </c:pt>
                <c:pt idx="282" formatCode="d/m/yyyy">
                  <c:v>40238</c:v>
                </c:pt>
                <c:pt idx="283" formatCode="d/m/yyyy">
                  <c:v>40239</c:v>
                </c:pt>
                <c:pt idx="284" formatCode="d/m/yyyy">
                  <c:v>40240</c:v>
                </c:pt>
                <c:pt idx="285" formatCode="d/m/yyyy">
                  <c:v>40241</c:v>
                </c:pt>
                <c:pt idx="286" formatCode="d/m/yyyy">
                  <c:v>40242</c:v>
                </c:pt>
                <c:pt idx="287" formatCode="d/m/yyyy">
                  <c:v>40245</c:v>
                </c:pt>
                <c:pt idx="288" formatCode="d/m/yyyy">
                  <c:v>40246</c:v>
                </c:pt>
                <c:pt idx="289" formatCode="d/m/yyyy">
                  <c:v>40247</c:v>
                </c:pt>
                <c:pt idx="290" formatCode="d/m/yyyy">
                  <c:v>40248</c:v>
                </c:pt>
                <c:pt idx="291" formatCode="d/m/yyyy">
                  <c:v>40249</c:v>
                </c:pt>
                <c:pt idx="292" formatCode="d/m/yyyy">
                  <c:v>40252</c:v>
                </c:pt>
                <c:pt idx="293" formatCode="d/m/yyyy">
                  <c:v>40253</c:v>
                </c:pt>
                <c:pt idx="294" formatCode="d/m/yyyy">
                  <c:v>40254</c:v>
                </c:pt>
                <c:pt idx="295" formatCode="d/m/yyyy">
                  <c:v>40255</c:v>
                </c:pt>
                <c:pt idx="296" formatCode="d/m/yyyy">
                  <c:v>40256</c:v>
                </c:pt>
                <c:pt idx="297" formatCode="d/m/yyyy">
                  <c:v>40259</c:v>
                </c:pt>
                <c:pt idx="298" formatCode="d/m/yyyy">
                  <c:v>40260</c:v>
                </c:pt>
                <c:pt idx="299" formatCode="d/m/yyyy">
                  <c:v>40261</c:v>
                </c:pt>
                <c:pt idx="300" formatCode="d/m/yyyy">
                  <c:v>40262</c:v>
                </c:pt>
                <c:pt idx="301" formatCode="d/m/yyyy">
                  <c:v>40263</c:v>
                </c:pt>
                <c:pt idx="302" formatCode="d/m/yyyy">
                  <c:v>40266</c:v>
                </c:pt>
                <c:pt idx="303" formatCode="d/m/yyyy">
                  <c:v>40267</c:v>
                </c:pt>
                <c:pt idx="304" formatCode="d/m/yyyy">
                  <c:v>40268</c:v>
                </c:pt>
                <c:pt idx="305" formatCode="d/m/yyyy">
                  <c:v>40269</c:v>
                </c:pt>
                <c:pt idx="306" formatCode="d/m/yyyy">
                  <c:v>40274</c:v>
                </c:pt>
                <c:pt idx="307" formatCode="d/m/yyyy">
                  <c:v>40275</c:v>
                </c:pt>
                <c:pt idx="308" formatCode="d/m/yyyy">
                  <c:v>40276</c:v>
                </c:pt>
                <c:pt idx="309" formatCode="d/m/yyyy">
                  <c:v>40277</c:v>
                </c:pt>
                <c:pt idx="310" formatCode="d/m/yyyy">
                  <c:v>40280</c:v>
                </c:pt>
                <c:pt idx="311" formatCode="d/m/yyyy">
                  <c:v>40281</c:v>
                </c:pt>
                <c:pt idx="312" formatCode="d/m/yyyy">
                  <c:v>40282</c:v>
                </c:pt>
                <c:pt idx="313" formatCode="d/m/yyyy">
                  <c:v>40283</c:v>
                </c:pt>
                <c:pt idx="314" formatCode="d/m/yyyy">
                  <c:v>40284</c:v>
                </c:pt>
                <c:pt idx="315" formatCode="d/m/yyyy">
                  <c:v>40287</c:v>
                </c:pt>
                <c:pt idx="316" formatCode="d/m/yyyy">
                  <c:v>40288</c:v>
                </c:pt>
                <c:pt idx="317" formatCode="d/m/yyyy">
                  <c:v>40289</c:v>
                </c:pt>
                <c:pt idx="318" formatCode="d/m/yyyy">
                  <c:v>40290</c:v>
                </c:pt>
                <c:pt idx="319" formatCode="d/m/yyyy">
                  <c:v>40291</c:v>
                </c:pt>
                <c:pt idx="320" formatCode="d/m/yyyy">
                  <c:v>40294</c:v>
                </c:pt>
                <c:pt idx="321" formatCode="d/m/yyyy">
                  <c:v>40295</c:v>
                </c:pt>
                <c:pt idx="322" formatCode="d/m/yyyy">
                  <c:v>40296</c:v>
                </c:pt>
                <c:pt idx="323" formatCode="d/m/yyyy">
                  <c:v>40297</c:v>
                </c:pt>
                <c:pt idx="324" formatCode="d/m/yyyy">
                  <c:v>40298</c:v>
                </c:pt>
                <c:pt idx="325" formatCode="d/m/yyyy">
                  <c:v>40301</c:v>
                </c:pt>
                <c:pt idx="326" formatCode="d/m/yyyy">
                  <c:v>40303</c:v>
                </c:pt>
                <c:pt idx="327" formatCode="d/m/yyyy">
                  <c:v>40304</c:v>
                </c:pt>
                <c:pt idx="328" formatCode="d/m/yyyy">
                  <c:v>40305</c:v>
                </c:pt>
                <c:pt idx="329" formatCode="d/m/yyyy">
                  <c:v>40308</c:v>
                </c:pt>
                <c:pt idx="330" formatCode="d/m/yyyy">
                  <c:v>40309</c:v>
                </c:pt>
                <c:pt idx="331" formatCode="d/m/yyyy">
                  <c:v>40310</c:v>
                </c:pt>
                <c:pt idx="332" formatCode="d/m/yyyy">
                  <c:v>40315</c:v>
                </c:pt>
                <c:pt idx="333" formatCode="d/m/yyyy">
                  <c:v>40316</c:v>
                </c:pt>
                <c:pt idx="334" formatCode="d/m/yyyy">
                  <c:v>40317</c:v>
                </c:pt>
                <c:pt idx="335" formatCode="d/m/yyyy">
                  <c:v>40318</c:v>
                </c:pt>
                <c:pt idx="336" formatCode="d/m/yyyy">
                  <c:v>40319</c:v>
                </c:pt>
                <c:pt idx="337" formatCode="d/m/yyyy">
                  <c:v>40323</c:v>
                </c:pt>
                <c:pt idx="338" formatCode="d/m/yyyy">
                  <c:v>40324</c:v>
                </c:pt>
                <c:pt idx="339" formatCode="d/m/yyyy">
                  <c:v>40325</c:v>
                </c:pt>
                <c:pt idx="340" formatCode="d/m/yyyy">
                  <c:v>40326</c:v>
                </c:pt>
                <c:pt idx="341" formatCode="d/m/yyyy">
                  <c:v>40330</c:v>
                </c:pt>
                <c:pt idx="342" formatCode="d/m/yyyy">
                  <c:v>40331</c:v>
                </c:pt>
                <c:pt idx="343" formatCode="d/m/yyyy">
                  <c:v>40332</c:v>
                </c:pt>
                <c:pt idx="344" formatCode="d/m/yyyy">
                  <c:v>40333</c:v>
                </c:pt>
                <c:pt idx="345" formatCode="d/m/yyyy">
                  <c:v>40336</c:v>
                </c:pt>
                <c:pt idx="346" formatCode="d/m/yyyy">
                  <c:v>40337</c:v>
                </c:pt>
                <c:pt idx="347" formatCode="d/m/yyyy">
                  <c:v>40338</c:v>
                </c:pt>
                <c:pt idx="348" formatCode="d/m/yyyy">
                  <c:v>40339</c:v>
                </c:pt>
                <c:pt idx="349" formatCode="d/m/yyyy">
                  <c:v>40340</c:v>
                </c:pt>
                <c:pt idx="350" formatCode="d/m/yyyy">
                  <c:v>40343</c:v>
                </c:pt>
                <c:pt idx="351" formatCode="d/m/yyyy">
                  <c:v>40344</c:v>
                </c:pt>
                <c:pt idx="352" formatCode="d/m/yyyy">
                  <c:v>40345</c:v>
                </c:pt>
                <c:pt idx="353" formatCode="d/m/yyyy">
                  <c:v>40346</c:v>
                </c:pt>
                <c:pt idx="354" formatCode="d/m/yyyy">
                  <c:v>40347</c:v>
                </c:pt>
                <c:pt idx="355" formatCode="d/m/yyyy">
                  <c:v>40350</c:v>
                </c:pt>
                <c:pt idx="356" formatCode="d/m/yyyy">
                  <c:v>40351</c:v>
                </c:pt>
                <c:pt idx="357" formatCode="d/m/yyyy">
                  <c:v>40352</c:v>
                </c:pt>
                <c:pt idx="358" formatCode="d/m/yyyy">
                  <c:v>40353</c:v>
                </c:pt>
                <c:pt idx="359" formatCode="d/m/yyyy">
                  <c:v>40354</c:v>
                </c:pt>
                <c:pt idx="360" formatCode="d/m/yyyy">
                  <c:v>40357</c:v>
                </c:pt>
                <c:pt idx="361" formatCode="d/m/yyyy">
                  <c:v>40358</c:v>
                </c:pt>
                <c:pt idx="362" formatCode="d/m/yyyy">
                  <c:v>40359</c:v>
                </c:pt>
                <c:pt idx="363" formatCode="d/m/yyyy">
                  <c:v>40360</c:v>
                </c:pt>
                <c:pt idx="364" formatCode="d/m/yyyy">
                  <c:v>40361</c:v>
                </c:pt>
                <c:pt idx="365" formatCode="d/m/yyyy">
                  <c:v>40365</c:v>
                </c:pt>
                <c:pt idx="366" formatCode="d/m/yyyy">
                  <c:v>40366</c:v>
                </c:pt>
                <c:pt idx="367" formatCode="d/m/yyyy">
                  <c:v>40367</c:v>
                </c:pt>
                <c:pt idx="368" formatCode="d/m/yyyy">
                  <c:v>40368</c:v>
                </c:pt>
                <c:pt idx="369" formatCode="d/m/yyyy">
                  <c:v>40371</c:v>
                </c:pt>
                <c:pt idx="370" formatCode="d/m/yyyy">
                  <c:v>40372</c:v>
                </c:pt>
                <c:pt idx="371" formatCode="d/m/yyyy">
                  <c:v>40373</c:v>
                </c:pt>
                <c:pt idx="372" formatCode="d/m/yyyy">
                  <c:v>40374</c:v>
                </c:pt>
                <c:pt idx="373" formatCode="d/m/yyyy">
                  <c:v>40375</c:v>
                </c:pt>
                <c:pt idx="374" formatCode="d/m/yyyy">
                  <c:v>40378</c:v>
                </c:pt>
                <c:pt idx="375" formatCode="d/m/yyyy">
                  <c:v>40379</c:v>
                </c:pt>
                <c:pt idx="376" formatCode="d/m/yyyy">
                  <c:v>40381</c:v>
                </c:pt>
                <c:pt idx="377" formatCode="d/m/yyyy">
                  <c:v>40382</c:v>
                </c:pt>
                <c:pt idx="378" formatCode="d/m/yyyy">
                  <c:v>40385</c:v>
                </c:pt>
                <c:pt idx="379" formatCode="d/m/yyyy">
                  <c:v>40386</c:v>
                </c:pt>
                <c:pt idx="380" formatCode="d/m/yyyy">
                  <c:v>40387</c:v>
                </c:pt>
                <c:pt idx="381" formatCode="d/m/yyyy">
                  <c:v>40388</c:v>
                </c:pt>
                <c:pt idx="382" formatCode="d/m/yyyy">
                  <c:v>40389</c:v>
                </c:pt>
                <c:pt idx="383" formatCode="d/m/yyyy">
                  <c:v>40392</c:v>
                </c:pt>
                <c:pt idx="384" formatCode="d/m/yyyy">
                  <c:v>40393</c:v>
                </c:pt>
                <c:pt idx="385" formatCode="d/m/yyyy">
                  <c:v>40394</c:v>
                </c:pt>
                <c:pt idx="386" formatCode="d/m/yyyy">
                  <c:v>40395</c:v>
                </c:pt>
                <c:pt idx="387" formatCode="d/m/yyyy">
                  <c:v>40396</c:v>
                </c:pt>
                <c:pt idx="388" formatCode="d/m/yyyy">
                  <c:v>40399</c:v>
                </c:pt>
                <c:pt idx="389" formatCode="d/m/yyyy">
                  <c:v>40400</c:v>
                </c:pt>
                <c:pt idx="390" formatCode="d/m/yyyy">
                  <c:v>40401</c:v>
                </c:pt>
                <c:pt idx="391" formatCode="d/m/yyyy">
                  <c:v>40402</c:v>
                </c:pt>
                <c:pt idx="392" formatCode="d/m/yyyy">
                  <c:v>40403</c:v>
                </c:pt>
                <c:pt idx="393" formatCode="d/m/yyyy">
                  <c:v>40406</c:v>
                </c:pt>
                <c:pt idx="394" formatCode="d/m/yyyy">
                  <c:v>40407</c:v>
                </c:pt>
                <c:pt idx="395" formatCode="d/m/yyyy">
                  <c:v>40408</c:v>
                </c:pt>
                <c:pt idx="396" formatCode="d/m/yyyy">
                  <c:v>40409</c:v>
                </c:pt>
                <c:pt idx="397" formatCode="d/m/yyyy">
                  <c:v>40410</c:v>
                </c:pt>
                <c:pt idx="398" formatCode="d/m/yyyy">
                  <c:v>40413</c:v>
                </c:pt>
                <c:pt idx="399" formatCode="d/m/yyyy">
                  <c:v>40414</c:v>
                </c:pt>
                <c:pt idx="400" formatCode="d/m/yyyy">
                  <c:v>40415</c:v>
                </c:pt>
                <c:pt idx="401" formatCode="d/m/yyyy">
                  <c:v>40416</c:v>
                </c:pt>
                <c:pt idx="402" formatCode="d/m/yyyy">
                  <c:v>40417</c:v>
                </c:pt>
                <c:pt idx="403" formatCode="d/m/yyyy">
                  <c:v>40420</c:v>
                </c:pt>
                <c:pt idx="404" formatCode="d/m/yyyy">
                  <c:v>40421</c:v>
                </c:pt>
                <c:pt idx="405" formatCode="d/m/yyyy">
                  <c:v>40422</c:v>
                </c:pt>
                <c:pt idx="406" formatCode="d/m/yyyy">
                  <c:v>40423</c:v>
                </c:pt>
                <c:pt idx="407" formatCode="d/m/yyyy">
                  <c:v>40424</c:v>
                </c:pt>
                <c:pt idx="408" formatCode="d/m/yyyy">
                  <c:v>40428</c:v>
                </c:pt>
                <c:pt idx="409" formatCode="d/m/yyyy">
                  <c:v>40429</c:v>
                </c:pt>
                <c:pt idx="410" formatCode="d/m/yyyy">
                  <c:v>40430</c:v>
                </c:pt>
                <c:pt idx="411" formatCode="d/m/yyyy">
                  <c:v>40431</c:v>
                </c:pt>
                <c:pt idx="412" formatCode="d/m/yyyy">
                  <c:v>40434</c:v>
                </c:pt>
                <c:pt idx="413" formatCode="d/m/yyyy">
                  <c:v>40435</c:v>
                </c:pt>
                <c:pt idx="414" formatCode="d/m/yyyy">
                  <c:v>40436</c:v>
                </c:pt>
                <c:pt idx="415" formatCode="d/m/yyyy">
                  <c:v>40437</c:v>
                </c:pt>
                <c:pt idx="416" formatCode="d/m/yyyy">
                  <c:v>40438</c:v>
                </c:pt>
                <c:pt idx="417" formatCode="d/m/yyyy">
                  <c:v>40441</c:v>
                </c:pt>
                <c:pt idx="418" formatCode="d/m/yyyy">
                  <c:v>40442</c:v>
                </c:pt>
                <c:pt idx="419" formatCode="d/m/yyyy">
                  <c:v>40443</c:v>
                </c:pt>
                <c:pt idx="420" formatCode="d/m/yyyy">
                  <c:v>40444</c:v>
                </c:pt>
                <c:pt idx="421" formatCode="d/m/yyyy">
                  <c:v>40445</c:v>
                </c:pt>
                <c:pt idx="422" formatCode="d/m/yyyy">
                  <c:v>40448</c:v>
                </c:pt>
                <c:pt idx="423" formatCode="d/m/yyyy">
                  <c:v>40449</c:v>
                </c:pt>
                <c:pt idx="424" formatCode="d/m/yyyy">
                  <c:v>40450</c:v>
                </c:pt>
                <c:pt idx="425" formatCode="d/m/yyyy">
                  <c:v>40451</c:v>
                </c:pt>
                <c:pt idx="426" formatCode="d/m/yyyy">
                  <c:v>40452</c:v>
                </c:pt>
                <c:pt idx="427" formatCode="d/m/yyyy">
                  <c:v>40455</c:v>
                </c:pt>
                <c:pt idx="428" formatCode="d/m/yyyy">
                  <c:v>40456</c:v>
                </c:pt>
                <c:pt idx="429" formatCode="d/m/yyyy">
                  <c:v>40457</c:v>
                </c:pt>
                <c:pt idx="430" formatCode="d/m/yyyy">
                  <c:v>40458</c:v>
                </c:pt>
                <c:pt idx="431" formatCode="d/m/yyyy">
                  <c:v>40459</c:v>
                </c:pt>
                <c:pt idx="432" formatCode="d/m/yyyy">
                  <c:v>40462</c:v>
                </c:pt>
                <c:pt idx="433" formatCode="d/m/yyyy">
                  <c:v>40463</c:v>
                </c:pt>
                <c:pt idx="434" formatCode="d/m/yyyy">
                  <c:v>40464</c:v>
                </c:pt>
                <c:pt idx="435" formatCode="d/m/yyyy">
                  <c:v>40465</c:v>
                </c:pt>
                <c:pt idx="436" formatCode="d/m/yyyy">
                  <c:v>40466</c:v>
                </c:pt>
                <c:pt idx="437" formatCode="d/m/yyyy">
                  <c:v>40470</c:v>
                </c:pt>
                <c:pt idx="438" formatCode="d/m/yyyy">
                  <c:v>40471</c:v>
                </c:pt>
                <c:pt idx="439" formatCode="d/m/yyyy">
                  <c:v>40472</c:v>
                </c:pt>
                <c:pt idx="440" formatCode="d/m/yyyy">
                  <c:v>40473</c:v>
                </c:pt>
                <c:pt idx="441" formatCode="d/m/yyyy">
                  <c:v>40476</c:v>
                </c:pt>
                <c:pt idx="442" formatCode="d/m/yyyy">
                  <c:v>40477</c:v>
                </c:pt>
                <c:pt idx="443" formatCode="d/m/yyyy">
                  <c:v>40478</c:v>
                </c:pt>
                <c:pt idx="444" formatCode="d/m/yyyy">
                  <c:v>40479</c:v>
                </c:pt>
                <c:pt idx="445" formatCode="d/m/yyyy">
                  <c:v>40480</c:v>
                </c:pt>
                <c:pt idx="446" formatCode="d/m/yyyy">
                  <c:v>40484</c:v>
                </c:pt>
                <c:pt idx="447" formatCode="d/m/yyyy">
                  <c:v>40485</c:v>
                </c:pt>
                <c:pt idx="448" formatCode="d/m/yyyy">
                  <c:v>40486</c:v>
                </c:pt>
                <c:pt idx="449" formatCode="d/m/yyyy">
                  <c:v>40487</c:v>
                </c:pt>
                <c:pt idx="450" formatCode="d/m/yyyy">
                  <c:v>40490</c:v>
                </c:pt>
                <c:pt idx="451" formatCode="d/m/yyyy">
                  <c:v>40491</c:v>
                </c:pt>
                <c:pt idx="452" formatCode="d/m/yyyy">
                  <c:v>40492</c:v>
                </c:pt>
                <c:pt idx="453" formatCode="d/m/yyyy">
                  <c:v>40494</c:v>
                </c:pt>
                <c:pt idx="454" formatCode="d/m/yyyy">
                  <c:v>40497</c:v>
                </c:pt>
                <c:pt idx="455" formatCode="d/m/yyyy">
                  <c:v>40498</c:v>
                </c:pt>
                <c:pt idx="456" formatCode="d/m/yyyy">
                  <c:v>40499</c:v>
                </c:pt>
                <c:pt idx="457" formatCode="d/m/yyyy">
                  <c:v>40500</c:v>
                </c:pt>
                <c:pt idx="458" formatCode="d/m/yyyy">
                  <c:v>40501</c:v>
                </c:pt>
                <c:pt idx="459" formatCode="d/m/yyyy">
                  <c:v>40504</c:v>
                </c:pt>
                <c:pt idx="460" formatCode="d/m/yyyy">
                  <c:v>40505</c:v>
                </c:pt>
                <c:pt idx="461" formatCode="d/m/yyyy">
                  <c:v>40506</c:v>
                </c:pt>
                <c:pt idx="462" formatCode="d/m/yyyy">
                  <c:v>40508</c:v>
                </c:pt>
                <c:pt idx="463" formatCode="d/m/yyyy">
                  <c:v>40511</c:v>
                </c:pt>
                <c:pt idx="464" formatCode="d/m/yyyy">
                  <c:v>40512</c:v>
                </c:pt>
                <c:pt idx="465" formatCode="d/m/yyyy">
                  <c:v>40513</c:v>
                </c:pt>
                <c:pt idx="466" formatCode="d/m/yyyy">
                  <c:v>40514</c:v>
                </c:pt>
                <c:pt idx="467" formatCode="d/m/yyyy">
                  <c:v>40515</c:v>
                </c:pt>
                <c:pt idx="468" formatCode="d/m/yyyy">
                  <c:v>40518</c:v>
                </c:pt>
                <c:pt idx="469" formatCode="d/m/yyyy">
                  <c:v>40519</c:v>
                </c:pt>
                <c:pt idx="470" formatCode="d/m/yyyy">
                  <c:v>40520</c:v>
                </c:pt>
                <c:pt idx="471" formatCode="d/m/yyyy">
                  <c:v>40521</c:v>
                </c:pt>
                <c:pt idx="472" formatCode="d/m/yyyy">
                  <c:v>40522</c:v>
                </c:pt>
                <c:pt idx="473" formatCode="d/m/yyyy">
                  <c:v>40525</c:v>
                </c:pt>
                <c:pt idx="474" formatCode="d/m/yyyy">
                  <c:v>40526</c:v>
                </c:pt>
                <c:pt idx="475" formatCode="d/m/yyyy">
                  <c:v>40527</c:v>
                </c:pt>
                <c:pt idx="476" formatCode="d/m/yyyy">
                  <c:v>40528</c:v>
                </c:pt>
                <c:pt idx="477" formatCode="d/m/yyyy">
                  <c:v>40529</c:v>
                </c:pt>
                <c:pt idx="478" formatCode="d/m/yyyy">
                  <c:v>40532</c:v>
                </c:pt>
                <c:pt idx="479" formatCode="d/m/yyyy">
                  <c:v>40533</c:v>
                </c:pt>
                <c:pt idx="480" formatCode="d/m/yyyy">
                  <c:v>40534</c:v>
                </c:pt>
                <c:pt idx="481" formatCode="d/m/yyyy">
                  <c:v>40535</c:v>
                </c:pt>
                <c:pt idx="482" formatCode="d/m/yyyy">
                  <c:v>40539</c:v>
                </c:pt>
                <c:pt idx="483" formatCode="d/m/yyyy">
                  <c:v>40540</c:v>
                </c:pt>
                <c:pt idx="484" formatCode="d/m/yyyy">
                  <c:v>40541</c:v>
                </c:pt>
                <c:pt idx="485" formatCode="d/m/yyyy">
                  <c:v>40542</c:v>
                </c:pt>
                <c:pt idx="486" formatCode="d/m/yyyy">
                  <c:v>40543</c:v>
                </c:pt>
                <c:pt idx="487" formatCode="d/m/yyyy">
                  <c:v>40546</c:v>
                </c:pt>
                <c:pt idx="488" formatCode="d/m/yyyy">
                  <c:v>40547</c:v>
                </c:pt>
                <c:pt idx="489" formatCode="d/m/yyyy">
                  <c:v>40548</c:v>
                </c:pt>
                <c:pt idx="490" formatCode="d/m/yyyy">
                  <c:v>40549</c:v>
                </c:pt>
                <c:pt idx="491" formatCode="d/m/yyyy">
                  <c:v>40550</c:v>
                </c:pt>
                <c:pt idx="492" formatCode="d/m/yyyy">
                  <c:v>40553</c:v>
                </c:pt>
                <c:pt idx="493" formatCode="d/m/yyyy">
                  <c:v>40554</c:v>
                </c:pt>
                <c:pt idx="494" formatCode="d/m/yyyy">
                  <c:v>40555</c:v>
                </c:pt>
                <c:pt idx="495" formatCode="d/m/yyyy">
                  <c:v>40556</c:v>
                </c:pt>
                <c:pt idx="496" formatCode="d/m/yyyy">
                  <c:v>40557</c:v>
                </c:pt>
                <c:pt idx="497" formatCode="d/m/yyyy">
                  <c:v>40561</c:v>
                </c:pt>
                <c:pt idx="498" formatCode="d/m/yyyy">
                  <c:v>40562</c:v>
                </c:pt>
                <c:pt idx="499" formatCode="d/m/yyyy">
                  <c:v>40563</c:v>
                </c:pt>
                <c:pt idx="500" formatCode="d/m/yyyy">
                  <c:v>40564</c:v>
                </c:pt>
                <c:pt idx="501" formatCode="d/m/yyyy">
                  <c:v>40567</c:v>
                </c:pt>
                <c:pt idx="502" formatCode="d/m/yyyy">
                  <c:v>40568</c:v>
                </c:pt>
                <c:pt idx="503" formatCode="d/m/yyyy">
                  <c:v>40569</c:v>
                </c:pt>
                <c:pt idx="504" formatCode="d/m/yyyy">
                  <c:v>40570</c:v>
                </c:pt>
                <c:pt idx="505" formatCode="d/m/yyyy">
                  <c:v>40571</c:v>
                </c:pt>
                <c:pt idx="506" formatCode="d/m/yyyy">
                  <c:v>40574</c:v>
                </c:pt>
                <c:pt idx="507" formatCode="d/m/yyyy">
                  <c:v>40575</c:v>
                </c:pt>
                <c:pt idx="508" formatCode="d/m/yyyy">
                  <c:v>40576</c:v>
                </c:pt>
                <c:pt idx="509" formatCode="d/m/yyyy">
                  <c:v>40577</c:v>
                </c:pt>
                <c:pt idx="510" formatCode="d/m/yyyy">
                  <c:v>40578</c:v>
                </c:pt>
                <c:pt idx="511" formatCode="d/m/yyyy">
                  <c:v>40581</c:v>
                </c:pt>
                <c:pt idx="512" formatCode="d/m/yyyy">
                  <c:v>40582</c:v>
                </c:pt>
                <c:pt idx="513" formatCode="d/m/yyyy">
                  <c:v>40583</c:v>
                </c:pt>
                <c:pt idx="514" formatCode="d/m/yyyy">
                  <c:v>40584</c:v>
                </c:pt>
                <c:pt idx="515" formatCode="d/m/yyyy">
                  <c:v>40585</c:v>
                </c:pt>
                <c:pt idx="516" formatCode="d/m/yyyy">
                  <c:v>40588</c:v>
                </c:pt>
                <c:pt idx="517" formatCode="d/m/yyyy">
                  <c:v>40589</c:v>
                </c:pt>
                <c:pt idx="518" formatCode="d/m/yyyy">
                  <c:v>40590</c:v>
                </c:pt>
                <c:pt idx="519" formatCode="d/m/yyyy">
                  <c:v>40591</c:v>
                </c:pt>
                <c:pt idx="520" formatCode="d/m/yyyy">
                  <c:v>40592</c:v>
                </c:pt>
                <c:pt idx="521" formatCode="d/m/yyyy">
                  <c:v>40596</c:v>
                </c:pt>
                <c:pt idx="522" formatCode="d/m/yyyy">
                  <c:v>40597</c:v>
                </c:pt>
                <c:pt idx="523" formatCode="d/m/yyyy">
                  <c:v>40598</c:v>
                </c:pt>
                <c:pt idx="524" formatCode="d/m/yyyy">
                  <c:v>40599</c:v>
                </c:pt>
                <c:pt idx="525" formatCode="d/m/yyyy">
                  <c:v>40602</c:v>
                </c:pt>
                <c:pt idx="526" formatCode="d/m/yyyy">
                  <c:v>40603</c:v>
                </c:pt>
                <c:pt idx="527" formatCode="d/m/yyyy">
                  <c:v>40604</c:v>
                </c:pt>
                <c:pt idx="528" formatCode="d/m/yyyy">
                  <c:v>40605</c:v>
                </c:pt>
                <c:pt idx="529" formatCode="d/m/yyyy">
                  <c:v>40606</c:v>
                </c:pt>
                <c:pt idx="530" formatCode="d/m/yyyy">
                  <c:v>40609</c:v>
                </c:pt>
                <c:pt idx="531" formatCode="d/m/yyyy">
                  <c:v>40610</c:v>
                </c:pt>
                <c:pt idx="532" formatCode="d/m/yyyy">
                  <c:v>40611</c:v>
                </c:pt>
                <c:pt idx="533" formatCode="d/m/yyyy">
                  <c:v>40612</c:v>
                </c:pt>
                <c:pt idx="534" formatCode="d/m/yyyy">
                  <c:v>40613</c:v>
                </c:pt>
                <c:pt idx="535" formatCode="d/m/yyyy">
                  <c:v>40616</c:v>
                </c:pt>
                <c:pt idx="536" formatCode="d/m/yyyy">
                  <c:v>40617</c:v>
                </c:pt>
                <c:pt idx="537" formatCode="d/m/yyyy">
                  <c:v>40618</c:v>
                </c:pt>
                <c:pt idx="538" formatCode="d/m/yyyy">
                  <c:v>40619</c:v>
                </c:pt>
                <c:pt idx="539" formatCode="d/m/yyyy">
                  <c:v>40620</c:v>
                </c:pt>
                <c:pt idx="540" formatCode="d/m/yyyy">
                  <c:v>40623</c:v>
                </c:pt>
                <c:pt idx="541" formatCode="d/m/yyyy">
                  <c:v>40624</c:v>
                </c:pt>
                <c:pt idx="542" formatCode="d/m/yyyy">
                  <c:v>40625</c:v>
                </c:pt>
                <c:pt idx="543" formatCode="d/m/yyyy">
                  <c:v>40626</c:v>
                </c:pt>
                <c:pt idx="544" formatCode="d/m/yyyy">
                  <c:v>40627</c:v>
                </c:pt>
                <c:pt idx="545" formatCode="d/m/yyyy">
                  <c:v>40630</c:v>
                </c:pt>
                <c:pt idx="546" formatCode="d/m/yyyy">
                  <c:v>40631</c:v>
                </c:pt>
                <c:pt idx="547" formatCode="d/m/yyyy">
                  <c:v>40632</c:v>
                </c:pt>
                <c:pt idx="548" formatCode="d/m/yyyy">
                  <c:v>40633</c:v>
                </c:pt>
                <c:pt idx="549" formatCode="d/m/yyyy">
                  <c:v>40634</c:v>
                </c:pt>
                <c:pt idx="550" formatCode="d/m/yyyy">
                  <c:v>40637</c:v>
                </c:pt>
                <c:pt idx="551" formatCode="d/m/yyyy">
                  <c:v>40638</c:v>
                </c:pt>
                <c:pt idx="552" formatCode="d/m/yyyy">
                  <c:v>40639</c:v>
                </c:pt>
                <c:pt idx="553" formatCode="d/m/yyyy">
                  <c:v>40640</c:v>
                </c:pt>
                <c:pt idx="554" formatCode="d/m/yyyy">
                  <c:v>40641</c:v>
                </c:pt>
                <c:pt idx="555" formatCode="d/m/yyyy">
                  <c:v>40644</c:v>
                </c:pt>
                <c:pt idx="556" formatCode="d/m/yyyy">
                  <c:v>40645</c:v>
                </c:pt>
                <c:pt idx="557" formatCode="d/m/yyyy">
                  <c:v>40646</c:v>
                </c:pt>
                <c:pt idx="558" formatCode="d/m/yyyy">
                  <c:v>40647</c:v>
                </c:pt>
                <c:pt idx="559" formatCode="d/m/yyyy">
                  <c:v>40648</c:v>
                </c:pt>
                <c:pt idx="560" formatCode="d/m/yyyy">
                  <c:v>40651</c:v>
                </c:pt>
                <c:pt idx="561" formatCode="d/m/yyyy">
                  <c:v>40652</c:v>
                </c:pt>
                <c:pt idx="562" formatCode="d/m/yyyy">
                  <c:v>40653</c:v>
                </c:pt>
                <c:pt idx="563" formatCode="d/m/yyyy">
                  <c:v>40654</c:v>
                </c:pt>
                <c:pt idx="564" formatCode="d/m/yyyy">
                  <c:v>40659</c:v>
                </c:pt>
                <c:pt idx="565" formatCode="d/m/yyyy">
                  <c:v>40660</c:v>
                </c:pt>
                <c:pt idx="566" formatCode="d/m/yyyy">
                  <c:v>40661</c:v>
                </c:pt>
                <c:pt idx="567" formatCode="d/m/yyyy">
                  <c:v>40662</c:v>
                </c:pt>
                <c:pt idx="568" formatCode="d/m/yyyy">
                  <c:v>40665</c:v>
                </c:pt>
                <c:pt idx="569" formatCode="d/m/yyyy">
                  <c:v>40666</c:v>
                </c:pt>
                <c:pt idx="570" formatCode="d/m/yyyy">
                  <c:v>40667</c:v>
                </c:pt>
                <c:pt idx="571" formatCode="d/m/yyyy">
                  <c:v>40668</c:v>
                </c:pt>
                <c:pt idx="572" formatCode="d/m/yyyy">
                  <c:v>40669</c:v>
                </c:pt>
                <c:pt idx="573" formatCode="d/m/yyyy">
                  <c:v>40672</c:v>
                </c:pt>
                <c:pt idx="574" formatCode="d/m/yyyy">
                  <c:v>40673</c:v>
                </c:pt>
                <c:pt idx="575" formatCode="d/m/yyyy">
                  <c:v>40674</c:v>
                </c:pt>
                <c:pt idx="576" formatCode="d/m/yyyy">
                  <c:v>40675</c:v>
                </c:pt>
                <c:pt idx="577" formatCode="d/m/yyyy">
                  <c:v>40676</c:v>
                </c:pt>
                <c:pt idx="578" formatCode="d/m/yyyy">
                  <c:v>40679</c:v>
                </c:pt>
                <c:pt idx="579" formatCode="d/m/yyyy">
                  <c:v>40680</c:v>
                </c:pt>
                <c:pt idx="580" formatCode="d/m/yyyy">
                  <c:v>40681</c:v>
                </c:pt>
                <c:pt idx="581" formatCode="d/m/yyyy">
                  <c:v>40682</c:v>
                </c:pt>
                <c:pt idx="582" formatCode="d/m/yyyy">
                  <c:v>40683</c:v>
                </c:pt>
                <c:pt idx="583" formatCode="d/m/yyyy">
                  <c:v>40686</c:v>
                </c:pt>
                <c:pt idx="584" formatCode="d/m/yyyy">
                  <c:v>40687</c:v>
                </c:pt>
                <c:pt idx="585" formatCode="d/m/yyyy">
                  <c:v>40688</c:v>
                </c:pt>
                <c:pt idx="586" formatCode="d/m/yyyy">
                  <c:v>40689</c:v>
                </c:pt>
                <c:pt idx="587" formatCode="d/m/yyyy">
                  <c:v>40690</c:v>
                </c:pt>
                <c:pt idx="588" formatCode="d/m/yyyy">
                  <c:v>40694</c:v>
                </c:pt>
                <c:pt idx="589" formatCode="d/m/yyyy">
                  <c:v>40695</c:v>
                </c:pt>
                <c:pt idx="590" formatCode="d/m/yyyy">
                  <c:v>40700</c:v>
                </c:pt>
                <c:pt idx="591" formatCode="d/m/yyyy">
                  <c:v>40701</c:v>
                </c:pt>
                <c:pt idx="592" formatCode="d/m/yyyy">
                  <c:v>40702</c:v>
                </c:pt>
                <c:pt idx="593" formatCode="d/m/yyyy">
                  <c:v>40703</c:v>
                </c:pt>
                <c:pt idx="594" formatCode="d/m/yyyy">
                  <c:v>40704</c:v>
                </c:pt>
                <c:pt idx="595" formatCode="d/m/yyyy">
                  <c:v>40708</c:v>
                </c:pt>
                <c:pt idx="596" formatCode="d/m/yyyy">
                  <c:v>40709</c:v>
                </c:pt>
                <c:pt idx="597" formatCode="d/m/yyyy">
                  <c:v>40710</c:v>
                </c:pt>
                <c:pt idx="598" formatCode="d/m/yyyy">
                  <c:v>40711</c:v>
                </c:pt>
                <c:pt idx="599" formatCode="d/m/yyyy">
                  <c:v>40714</c:v>
                </c:pt>
                <c:pt idx="600" formatCode="d/m/yyyy">
                  <c:v>40715</c:v>
                </c:pt>
                <c:pt idx="601" formatCode="d/m/yyyy">
                  <c:v>40716</c:v>
                </c:pt>
                <c:pt idx="602" formatCode="d/m/yyyy">
                  <c:v>40717</c:v>
                </c:pt>
                <c:pt idx="603" formatCode="d/m/yyyy">
                  <c:v>40718</c:v>
                </c:pt>
                <c:pt idx="604" formatCode="d/m/yyyy">
                  <c:v>40721</c:v>
                </c:pt>
                <c:pt idx="605" formatCode="d/m/yyyy">
                  <c:v>40722</c:v>
                </c:pt>
                <c:pt idx="606" formatCode="d/m/yyyy">
                  <c:v>40723</c:v>
                </c:pt>
                <c:pt idx="607" formatCode="d/m/yyyy">
                  <c:v>40724</c:v>
                </c:pt>
                <c:pt idx="608" formatCode="d/m/yyyy">
                  <c:v>40725</c:v>
                </c:pt>
                <c:pt idx="609" formatCode="d/m/yyyy">
                  <c:v>40729</c:v>
                </c:pt>
                <c:pt idx="610" formatCode="d/m/yyyy">
                  <c:v>40730</c:v>
                </c:pt>
                <c:pt idx="611" formatCode="d/m/yyyy">
                  <c:v>40731</c:v>
                </c:pt>
                <c:pt idx="612" formatCode="d/m/yyyy">
                  <c:v>40732</c:v>
                </c:pt>
                <c:pt idx="613" formatCode="d/m/yyyy">
                  <c:v>40735</c:v>
                </c:pt>
                <c:pt idx="614" formatCode="d/m/yyyy">
                  <c:v>40736</c:v>
                </c:pt>
                <c:pt idx="615" formatCode="d/m/yyyy">
                  <c:v>40737</c:v>
                </c:pt>
                <c:pt idx="616" formatCode="d/m/yyyy">
                  <c:v>40738</c:v>
                </c:pt>
                <c:pt idx="617" formatCode="d/m/yyyy">
                  <c:v>40739</c:v>
                </c:pt>
                <c:pt idx="618" formatCode="d/m/yyyy">
                  <c:v>40742</c:v>
                </c:pt>
                <c:pt idx="619" formatCode="d/m/yyyy">
                  <c:v>40743</c:v>
                </c:pt>
                <c:pt idx="620" formatCode="d/m/yyyy">
                  <c:v>40744</c:v>
                </c:pt>
                <c:pt idx="621" formatCode="d/m/yyyy">
                  <c:v>40746</c:v>
                </c:pt>
                <c:pt idx="622" formatCode="d/m/yyyy">
                  <c:v>40749</c:v>
                </c:pt>
                <c:pt idx="623" formatCode="d/m/yyyy">
                  <c:v>40750</c:v>
                </c:pt>
                <c:pt idx="624" formatCode="d/m/yyyy">
                  <c:v>40751</c:v>
                </c:pt>
                <c:pt idx="625" formatCode="d/m/yyyy">
                  <c:v>40752</c:v>
                </c:pt>
                <c:pt idx="626" formatCode="d/m/yyyy">
                  <c:v>40753</c:v>
                </c:pt>
                <c:pt idx="627" formatCode="d/m/yyyy">
                  <c:v>40756</c:v>
                </c:pt>
                <c:pt idx="628" formatCode="d/m/yyyy">
                  <c:v>40757</c:v>
                </c:pt>
                <c:pt idx="629" formatCode="d/m/yyyy">
                  <c:v>40758</c:v>
                </c:pt>
                <c:pt idx="630" formatCode="d/m/yyyy">
                  <c:v>40759</c:v>
                </c:pt>
                <c:pt idx="631" formatCode="d/m/yyyy">
                  <c:v>40760</c:v>
                </c:pt>
                <c:pt idx="632" formatCode="d/m/yyyy">
                  <c:v>40763</c:v>
                </c:pt>
                <c:pt idx="633" formatCode="d/m/yyyy">
                  <c:v>40764</c:v>
                </c:pt>
                <c:pt idx="634" formatCode="d/m/yyyy">
                  <c:v>40765</c:v>
                </c:pt>
                <c:pt idx="635" formatCode="d/m/yyyy">
                  <c:v>40766</c:v>
                </c:pt>
                <c:pt idx="636" formatCode="d/m/yyyy">
                  <c:v>40767</c:v>
                </c:pt>
                <c:pt idx="637" formatCode="d/m/yyyy">
                  <c:v>40771</c:v>
                </c:pt>
                <c:pt idx="638" formatCode="d/m/yyyy">
                  <c:v>40772</c:v>
                </c:pt>
                <c:pt idx="639" formatCode="d/m/yyyy">
                  <c:v>40773</c:v>
                </c:pt>
                <c:pt idx="640" formatCode="d/m/yyyy">
                  <c:v>40774</c:v>
                </c:pt>
                <c:pt idx="641" formatCode="d/m/yyyy">
                  <c:v>40777</c:v>
                </c:pt>
                <c:pt idx="642" formatCode="d/m/yyyy">
                  <c:v>40778</c:v>
                </c:pt>
                <c:pt idx="643" formatCode="d/m/yyyy">
                  <c:v>40779</c:v>
                </c:pt>
                <c:pt idx="644" formatCode="d/m/yyyy">
                  <c:v>40780</c:v>
                </c:pt>
                <c:pt idx="645" formatCode="d/m/yyyy">
                  <c:v>40781</c:v>
                </c:pt>
                <c:pt idx="646" formatCode="d/m/yyyy">
                  <c:v>40784</c:v>
                </c:pt>
                <c:pt idx="647" formatCode="d/m/yyyy">
                  <c:v>40785</c:v>
                </c:pt>
                <c:pt idx="648" formatCode="d/m/yyyy">
                  <c:v>40786</c:v>
                </c:pt>
                <c:pt idx="649" formatCode="d/m/yyyy">
                  <c:v>40787</c:v>
                </c:pt>
                <c:pt idx="650" formatCode="d/m/yyyy">
                  <c:v>40788</c:v>
                </c:pt>
                <c:pt idx="651" formatCode="d/m/yyyy">
                  <c:v>40792</c:v>
                </c:pt>
                <c:pt idx="652" formatCode="d/m/yyyy">
                  <c:v>40793</c:v>
                </c:pt>
                <c:pt idx="653" formatCode="d/m/yyyy">
                  <c:v>40794</c:v>
                </c:pt>
                <c:pt idx="654" formatCode="d/m/yyyy">
                  <c:v>40795</c:v>
                </c:pt>
                <c:pt idx="655" formatCode="d/m/yyyy">
                  <c:v>40798</c:v>
                </c:pt>
                <c:pt idx="656" formatCode="d/m/yyyy">
                  <c:v>40799</c:v>
                </c:pt>
                <c:pt idx="657" formatCode="d/m/yyyy">
                  <c:v>40800</c:v>
                </c:pt>
                <c:pt idx="658" formatCode="d/m/yyyy">
                  <c:v>40801</c:v>
                </c:pt>
                <c:pt idx="659" formatCode="d/m/yyyy">
                  <c:v>40802</c:v>
                </c:pt>
                <c:pt idx="660" formatCode="d/m/yyyy">
                  <c:v>40805</c:v>
                </c:pt>
                <c:pt idx="661" formatCode="d/m/yyyy">
                  <c:v>40806</c:v>
                </c:pt>
                <c:pt idx="662" formatCode="d/m/yyyy">
                  <c:v>40807</c:v>
                </c:pt>
                <c:pt idx="663" formatCode="d/m/yyyy">
                  <c:v>40808</c:v>
                </c:pt>
                <c:pt idx="664" formatCode="d/m/yyyy">
                  <c:v>40809</c:v>
                </c:pt>
                <c:pt idx="665" formatCode="d/m/yyyy">
                  <c:v>40812</c:v>
                </c:pt>
                <c:pt idx="666" formatCode="d/m/yyyy">
                  <c:v>40813</c:v>
                </c:pt>
                <c:pt idx="667" formatCode="d/m/yyyy">
                  <c:v>40814</c:v>
                </c:pt>
                <c:pt idx="668" formatCode="d/m/yyyy">
                  <c:v>40815</c:v>
                </c:pt>
                <c:pt idx="669" formatCode="d/m/yyyy">
                  <c:v>40816</c:v>
                </c:pt>
                <c:pt idx="670" formatCode="d/m/yyyy">
                  <c:v>40819</c:v>
                </c:pt>
                <c:pt idx="671" formatCode="d/m/yyyy">
                  <c:v>40820</c:v>
                </c:pt>
                <c:pt idx="672" formatCode="d/m/yyyy">
                  <c:v>40821</c:v>
                </c:pt>
                <c:pt idx="673" formatCode="d/m/yyyy">
                  <c:v>40822</c:v>
                </c:pt>
                <c:pt idx="674" formatCode="d/m/yyyy">
                  <c:v>40823</c:v>
                </c:pt>
                <c:pt idx="675" formatCode="d/m/yyyy">
                  <c:v>40826</c:v>
                </c:pt>
                <c:pt idx="676" formatCode="d/m/yyyy">
                  <c:v>40827</c:v>
                </c:pt>
                <c:pt idx="677" formatCode="d/m/yyyy">
                  <c:v>40828</c:v>
                </c:pt>
                <c:pt idx="678" formatCode="d/m/yyyy">
                  <c:v>40829</c:v>
                </c:pt>
                <c:pt idx="679" formatCode="d/m/yyyy">
                  <c:v>40830</c:v>
                </c:pt>
                <c:pt idx="680" formatCode="d/m/yyyy">
                  <c:v>40833</c:v>
                </c:pt>
                <c:pt idx="681" formatCode="d/m/yyyy">
                  <c:v>40834</c:v>
                </c:pt>
                <c:pt idx="682" formatCode="d/m/yyyy">
                  <c:v>40835</c:v>
                </c:pt>
                <c:pt idx="683" formatCode="d/m/yyyy">
                  <c:v>40836</c:v>
                </c:pt>
                <c:pt idx="684" formatCode="d/m/yyyy">
                  <c:v>40837</c:v>
                </c:pt>
                <c:pt idx="685" formatCode="d/m/yyyy">
                  <c:v>40840</c:v>
                </c:pt>
                <c:pt idx="686" formatCode="d/m/yyyy">
                  <c:v>40841</c:v>
                </c:pt>
                <c:pt idx="687" formatCode="d/m/yyyy">
                  <c:v>40842</c:v>
                </c:pt>
                <c:pt idx="688" formatCode="d/m/yyyy">
                  <c:v>40843</c:v>
                </c:pt>
                <c:pt idx="689" formatCode="d/m/yyyy">
                  <c:v>40844</c:v>
                </c:pt>
                <c:pt idx="690" formatCode="d/m/yyyy">
                  <c:v>40847</c:v>
                </c:pt>
                <c:pt idx="691" formatCode="d/m/yyyy">
                  <c:v>40849</c:v>
                </c:pt>
                <c:pt idx="692" formatCode="d/m/yyyy">
                  <c:v>40850</c:v>
                </c:pt>
                <c:pt idx="693" formatCode="d/m/yyyy">
                  <c:v>40851</c:v>
                </c:pt>
                <c:pt idx="694" formatCode="d/m/yyyy">
                  <c:v>40854</c:v>
                </c:pt>
                <c:pt idx="695" formatCode="d/m/yyyy">
                  <c:v>40855</c:v>
                </c:pt>
                <c:pt idx="696" formatCode="d/m/yyyy">
                  <c:v>40856</c:v>
                </c:pt>
                <c:pt idx="697" formatCode="d/m/yyyy">
                  <c:v>40857</c:v>
                </c:pt>
                <c:pt idx="698" formatCode="d/m/yyyy">
                  <c:v>40861</c:v>
                </c:pt>
                <c:pt idx="699" formatCode="d/m/yyyy">
                  <c:v>40862</c:v>
                </c:pt>
                <c:pt idx="700" formatCode="d/m/yyyy">
                  <c:v>40863</c:v>
                </c:pt>
                <c:pt idx="701" formatCode="d/m/yyyy">
                  <c:v>40864</c:v>
                </c:pt>
                <c:pt idx="702" formatCode="d/m/yyyy">
                  <c:v>40865</c:v>
                </c:pt>
                <c:pt idx="703" formatCode="d/m/yyyy">
                  <c:v>40868</c:v>
                </c:pt>
                <c:pt idx="704" formatCode="d/m/yyyy">
                  <c:v>40869</c:v>
                </c:pt>
                <c:pt idx="705" formatCode="d/m/yyyy">
                  <c:v>40870</c:v>
                </c:pt>
                <c:pt idx="706" formatCode="d/m/yyyy">
                  <c:v>40872</c:v>
                </c:pt>
                <c:pt idx="707" formatCode="d/m/yyyy">
                  <c:v>40875</c:v>
                </c:pt>
                <c:pt idx="708" formatCode="d/m/yyyy">
                  <c:v>40876</c:v>
                </c:pt>
                <c:pt idx="709" formatCode="d/m/yyyy">
                  <c:v>40877</c:v>
                </c:pt>
                <c:pt idx="710" formatCode="d/m/yyyy">
                  <c:v>40878</c:v>
                </c:pt>
                <c:pt idx="711" formatCode="d/m/yyyy">
                  <c:v>40879</c:v>
                </c:pt>
                <c:pt idx="712" formatCode="d/m/yyyy">
                  <c:v>40882</c:v>
                </c:pt>
                <c:pt idx="713" formatCode="d/m/yyyy">
                  <c:v>40883</c:v>
                </c:pt>
                <c:pt idx="714" formatCode="d/m/yyyy">
                  <c:v>40884</c:v>
                </c:pt>
                <c:pt idx="715" formatCode="d/m/yyyy">
                  <c:v>40885</c:v>
                </c:pt>
                <c:pt idx="716" formatCode="d/m/yyyy">
                  <c:v>40886</c:v>
                </c:pt>
                <c:pt idx="717" formatCode="d/m/yyyy">
                  <c:v>40889</c:v>
                </c:pt>
                <c:pt idx="718" formatCode="d/m/yyyy">
                  <c:v>40890</c:v>
                </c:pt>
                <c:pt idx="719" formatCode="d/m/yyyy">
                  <c:v>40891</c:v>
                </c:pt>
                <c:pt idx="720" formatCode="d/m/yyyy">
                  <c:v>40892</c:v>
                </c:pt>
                <c:pt idx="721" formatCode="d/m/yyyy">
                  <c:v>40893</c:v>
                </c:pt>
                <c:pt idx="722" formatCode="d/m/yyyy">
                  <c:v>40896</c:v>
                </c:pt>
                <c:pt idx="723" formatCode="d/m/yyyy">
                  <c:v>40897</c:v>
                </c:pt>
                <c:pt idx="724" formatCode="d/m/yyyy">
                  <c:v>40898</c:v>
                </c:pt>
                <c:pt idx="725" formatCode="d/m/yyyy">
                  <c:v>40899</c:v>
                </c:pt>
                <c:pt idx="726" formatCode="d/m/yyyy">
                  <c:v>40900</c:v>
                </c:pt>
                <c:pt idx="727" formatCode="d/m/yyyy">
                  <c:v>40904</c:v>
                </c:pt>
                <c:pt idx="728" formatCode="d/m/yyyy">
                  <c:v>40905</c:v>
                </c:pt>
                <c:pt idx="729" formatCode="d/m/yyyy">
                  <c:v>40906</c:v>
                </c:pt>
                <c:pt idx="730" formatCode="d/m/yyyy">
                  <c:v>40907</c:v>
                </c:pt>
                <c:pt idx="731" formatCode="d/m/yyyy">
                  <c:v>40911</c:v>
                </c:pt>
                <c:pt idx="732" formatCode="d/m/yyyy">
                  <c:v>40912</c:v>
                </c:pt>
                <c:pt idx="733" formatCode="d/m/yyyy">
                  <c:v>40913</c:v>
                </c:pt>
                <c:pt idx="734" formatCode="d/m/yyyy">
                  <c:v>40914</c:v>
                </c:pt>
                <c:pt idx="735" formatCode="d/m/yyyy">
                  <c:v>40917</c:v>
                </c:pt>
                <c:pt idx="736" formatCode="d/m/yyyy">
                  <c:v>40918</c:v>
                </c:pt>
                <c:pt idx="737" formatCode="d/m/yyyy">
                  <c:v>40919</c:v>
                </c:pt>
                <c:pt idx="738" formatCode="d/m/yyyy">
                  <c:v>40920</c:v>
                </c:pt>
                <c:pt idx="739" formatCode="d/m/yyyy">
                  <c:v>40921</c:v>
                </c:pt>
                <c:pt idx="740" formatCode="d/m/yyyy">
                  <c:v>40925</c:v>
                </c:pt>
                <c:pt idx="741" formatCode="d/m/yyyy">
                  <c:v>40926</c:v>
                </c:pt>
                <c:pt idx="742" formatCode="d/m/yyyy">
                  <c:v>40927</c:v>
                </c:pt>
                <c:pt idx="743" formatCode="d/m/yyyy">
                  <c:v>40928</c:v>
                </c:pt>
                <c:pt idx="744" formatCode="d/m/yyyy">
                  <c:v>40931</c:v>
                </c:pt>
                <c:pt idx="745" formatCode="d/m/yyyy">
                  <c:v>40932</c:v>
                </c:pt>
                <c:pt idx="746" formatCode="d/m/yyyy">
                  <c:v>40933</c:v>
                </c:pt>
                <c:pt idx="747" formatCode="d/m/yyyy">
                  <c:v>40934</c:v>
                </c:pt>
                <c:pt idx="748" formatCode="d/m/yyyy">
                  <c:v>40935</c:v>
                </c:pt>
                <c:pt idx="749" formatCode="d/m/yyyy">
                  <c:v>40938</c:v>
                </c:pt>
                <c:pt idx="750" formatCode="d/m/yyyy">
                  <c:v>40939</c:v>
                </c:pt>
                <c:pt idx="751" formatCode="d/m/yyyy">
                  <c:v>40940</c:v>
                </c:pt>
                <c:pt idx="752" formatCode="d/m/yyyy">
                  <c:v>40941</c:v>
                </c:pt>
                <c:pt idx="753" formatCode="d/m/yyyy">
                  <c:v>40942</c:v>
                </c:pt>
                <c:pt idx="754" formatCode="d/m/yyyy">
                  <c:v>40945</c:v>
                </c:pt>
                <c:pt idx="755" formatCode="d/m/yyyy">
                  <c:v>40946</c:v>
                </c:pt>
                <c:pt idx="756" formatCode="d/m/yyyy">
                  <c:v>40947</c:v>
                </c:pt>
                <c:pt idx="757" formatCode="d/m/yyyy">
                  <c:v>40948</c:v>
                </c:pt>
                <c:pt idx="758" formatCode="d/m/yyyy">
                  <c:v>40949</c:v>
                </c:pt>
                <c:pt idx="759" formatCode="d/m/yyyy">
                  <c:v>40952</c:v>
                </c:pt>
                <c:pt idx="760" formatCode="d/m/yyyy">
                  <c:v>40953</c:v>
                </c:pt>
                <c:pt idx="761" formatCode="d/m/yyyy">
                  <c:v>40954</c:v>
                </c:pt>
                <c:pt idx="762" formatCode="d/m/yyyy">
                  <c:v>40955</c:v>
                </c:pt>
                <c:pt idx="763" formatCode="d/m/yyyy">
                  <c:v>40956</c:v>
                </c:pt>
                <c:pt idx="764" formatCode="d/m/yyyy">
                  <c:v>40960</c:v>
                </c:pt>
                <c:pt idx="765" formatCode="d/m/yyyy">
                  <c:v>40961</c:v>
                </c:pt>
                <c:pt idx="766" formatCode="d/m/yyyy">
                  <c:v>40962</c:v>
                </c:pt>
                <c:pt idx="767" formatCode="d/m/yyyy">
                  <c:v>40963</c:v>
                </c:pt>
                <c:pt idx="768" formatCode="d/m/yyyy">
                  <c:v>40966</c:v>
                </c:pt>
                <c:pt idx="769" formatCode="d/m/yyyy">
                  <c:v>40967</c:v>
                </c:pt>
                <c:pt idx="770" formatCode="d/m/yyyy">
                  <c:v>40968</c:v>
                </c:pt>
                <c:pt idx="771" formatCode="d/m/yyyy">
                  <c:v>40969</c:v>
                </c:pt>
                <c:pt idx="772" formatCode="d/m/yyyy">
                  <c:v>40970</c:v>
                </c:pt>
                <c:pt idx="773" formatCode="d/m/yyyy">
                  <c:v>40973</c:v>
                </c:pt>
                <c:pt idx="774" formatCode="d/m/yyyy">
                  <c:v>40974</c:v>
                </c:pt>
                <c:pt idx="775" formatCode="d/m/yyyy">
                  <c:v>40975</c:v>
                </c:pt>
                <c:pt idx="776" formatCode="d/m/yyyy">
                  <c:v>40976</c:v>
                </c:pt>
                <c:pt idx="777" formatCode="d/m/yyyy">
                  <c:v>40977</c:v>
                </c:pt>
                <c:pt idx="778" formatCode="d/m/yyyy">
                  <c:v>40980</c:v>
                </c:pt>
                <c:pt idx="779" formatCode="d/m/yyyy">
                  <c:v>40981</c:v>
                </c:pt>
                <c:pt idx="780" formatCode="d/m/yyyy">
                  <c:v>40982</c:v>
                </c:pt>
                <c:pt idx="781" formatCode="d/m/yyyy">
                  <c:v>40983</c:v>
                </c:pt>
                <c:pt idx="782" formatCode="d/m/yyyy">
                  <c:v>40984</c:v>
                </c:pt>
                <c:pt idx="783" formatCode="d/m/yyyy">
                  <c:v>40987</c:v>
                </c:pt>
                <c:pt idx="784" formatCode="d/m/yyyy">
                  <c:v>40988</c:v>
                </c:pt>
                <c:pt idx="785" formatCode="d/m/yyyy">
                  <c:v>40989</c:v>
                </c:pt>
                <c:pt idx="786" formatCode="d/m/yyyy">
                  <c:v>40990</c:v>
                </c:pt>
                <c:pt idx="787" formatCode="d/m/yyyy">
                  <c:v>40991</c:v>
                </c:pt>
                <c:pt idx="788" formatCode="d/m/yyyy">
                  <c:v>40994</c:v>
                </c:pt>
                <c:pt idx="789" formatCode="d/m/yyyy">
                  <c:v>40995</c:v>
                </c:pt>
                <c:pt idx="790" formatCode="d/m/yyyy">
                  <c:v>40996</c:v>
                </c:pt>
                <c:pt idx="791" formatCode="d/m/yyyy">
                  <c:v>40997</c:v>
                </c:pt>
                <c:pt idx="792" formatCode="d/m/yyyy">
                  <c:v>40998</c:v>
                </c:pt>
                <c:pt idx="793" formatCode="d/m/yyyy">
                  <c:v>41001</c:v>
                </c:pt>
                <c:pt idx="794" formatCode="d/m/yyyy">
                  <c:v>41002</c:v>
                </c:pt>
                <c:pt idx="795" formatCode="d/m/yyyy">
                  <c:v>41003</c:v>
                </c:pt>
                <c:pt idx="796" formatCode="d/m/yyyy">
                  <c:v>41004</c:v>
                </c:pt>
                <c:pt idx="797" formatCode="d/m/yyyy">
                  <c:v>41009</c:v>
                </c:pt>
                <c:pt idx="798" formatCode="d/m/yyyy">
                  <c:v>41010</c:v>
                </c:pt>
                <c:pt idx="799" formatCode="d/m/yyyy">
                  <c:v>41011</c:v>
                </c:pt>
                <c:pt idx="800" formatCode="d/m/yyyy">
                  <c:v>41012</c:v>
                </c:pt>
                <c:pt idx="801" formatCode="d/m/yyyy">
                  <c:v>41015</c:v>
                </c:pt>
                <c:pt idx="802" formatCode="d/m/yyyy">
                  <c:v>41016</c:v>
                </c:pt>
                <c:pt idx="803" formatCode="d/m/yyyy">
                  <c:v>41017</c:v>
                </c:pt>
                <c:pt idx="804" formatCode="d/m/yyyy">
                  <c:v>41018</c:v>
                </c:pt>
                <c:pt idx="805" formatCode="d/m/yyyy">
                  <c:v>41019</c:v>
                </c:pt>
                <c:pt idx="806" formatCode="d/m/yyyy">
                  <c:v>41022</c:v>
                </c:pt>
                <c:pt idx="807" formatCode="d/m/yyyy">
                  <c:v>41023</c:v>
                </c:pt>
                <c:pt idx="808" formatCode="d/m/yyyy">
                  <c:v>41024</c:v>
                </c:pt>
                <c:pt idx="809" formatCode="d/m/yyyy">
                  <c:v>41025</c:v>
                </c:pt>
                <c:pt idx="810" formatCode="d/m/yyyy">
                  <c:v>41026</c:v>
                </c:pt>
                <c:pt idx="811" formatCode="d/m/yyyy">
                  <c:v>41029</c:v>
                </c:pt>
                <c:pt idx="812" formatCode="d/m/yyyy">
                  <c:v>41031</c:v>
                </c:pt>
                <c:pt idx="813" formatCode="d/m/yyyy">
                  <c:v>41032</c:v>
                </c:pt>
                <c:pt idx="814" formatCode="d/m/yyyy">
                  <c:v>41033</c:v>
                </c:pt>
                <c:pt idx="815" formatCode="d/m/yyyy">
                  <c:v>41036</c:v>
                </c:pt>
                <c:pt idx="816" formatCode="d/m/yyyy">
                  <c:v>41037</c:v>
                </c:pt>
                <c:pt idx="817" formatCode="d/m/yyyy">
                  <c:v>41038</c:v>
                </c:pt>
                <c:pt idx="818" formatCode="d/m/yyyy">
                  <c:v>41039</c:v>
                </c:pt>
                <c:pt idx="819" formatCode="d/m/yyyy">
                  <c:v>41040</c:v>
                </c:pt>
                <c:pt idx="820" formatCode="d/m/yyyy">
                  <c:v>41043</c:v>
                </c:pt>
                <c:pt idx="821" formatCode="d/m/yyyy">
                  <c:v>41044</c:v>
                </c:pt>
                <c:pt idx="822" formatCode="d/m/yyyy">
                  <c:v>41045</c:v>
                </c:pt>
                <c:pt idx="823" formatCode="d/m/yyyy">
                  <c:v>41050</c:v>
                </c:pt>
                <c:pt idx="824" formatCode="d/m/yyyy">
                  <c:v>41051</c:v>
                </c:pt>
                <c:pt idx="825" formatCode="d/m/yyyy">
                  <c:v>41052</c:v>
                </c:pt>
                <c:pt idx="826" formatCode="d/m/yyyy">
                  <c:v>41053</c:v>
                </c:pt>
                <c:pt idx="827" formatCode="d/m/yyyy">
                  <c:v>41054</c:v>
                </c:pt>
                <c:pt idx="828" formatCode="d/m/yyyy">
                  <c:v>41058</c:v>
                </c:pt>
                <c:pt idx="829" formatCode="d/m/yyyy">
                  <c:v>41059</c:v>
                </c:pt>
                <c:pt idx="830" formatCode="d/m/yyyy">
                  <c:v>41060</c:v>
                </c:pt>
                <c:pt idx="831" formatCode="d/m/yyyy">
                  <c:v>41061</c:v>
                </c:pt>
                <c:pt idx="832" formatCode="d/m/yyyy">
                  <c:v>41064</c:v>
                </c:pt>
                <c:pt idx="833" formatCode="d/m/yyyy">
                  <c:v>41065</c:v>
                </c:pt>
                <c:pt idx="834" formatCode="d/m/yyyy">
                  <c:v>41066</c:v>
                </c:pt>
                <c:pt idx="835" formatCode="d/m/yyyy">
                  <c:v>41067</c:v>
                </c:pt>
                <c:pt idx="836" formatCode="d/m/yyyy">
                  <c:v>41068</c:v>
                </c:pt>
                <c:pt idx="837" formatCode="d/m/yyyy">
                  <c:v>41071</c:v>
                </c:pt>
                <c:pt idx="838" formatCode="d/m/yyyy">
                  <c:v>41072</c:v>
                </c:pt>
                <c:pt idx="839" formatCode="d/m/yyyy">
                  <c:v>41073</c:v>
                </c:pt>
                <c:pt idx="840" formatCode="d/m/yyyy">
                  <c:v>41074</c:v>
                </c:pt>
                <c:pt idx="841" formatCode="d/m/yyyy">
                  <c:v>41075</c:v>
                </c:pt>
                <c:pt idx="842" formatCode="d/m/yyyy">
                  <c:v>41078</c:v>
                </c:pt>
                <c:pt idx="843" formatCode="d/m/yyyy">
                  <c:v>41079</c:v>
                </c:pt>
                <c:pt idx="844" formatCode="d/m/yyyy">
                  <c:v>41080</c:v>
                </c:pt>
                <c:pt idx="845" formatCode="d/m/yyyy">
                  <c:v>41081</c:v>
                </c:pt>
                <c:pt idx="846" formatCode="d/m/yyyy">
                  <c:v>41082</c:v>
                </c:pt>
                <c:pt idx="847" formatCode="d/m/yyyy">
                  <c:v>41085</c:v>
                </c:pt>
                <c:pt idx="848" formatCode="d/m/yyyy">
                  <c:v>41086</c:v>
                </c:pt>
                <c:pt idx="849" formatCode="d/m/yyyy">
                  <c:v>41087</c:v>
                </c:pt>
                <c:pt idx="850" formatCode="d/m/yyyy">
                  <c:v>41088</c:v>
                </c:pt>
                <c:pt idx="851" formatCode="d/m/yyyy">
                  <c:v>41089</c:v>
                </c:pt>
                <c:pt idx="852" formatCode="d/m/yyyy">
                  <c:v>41092</c:v>
                </c:pt>
                <c:pt idx="853" formatCode="d/m/yyyy">
                  <c:v>41093</c:v>
                </c:pt>
                <c:pt idx="854" formatCode="d/m/yyyy">
                  <c:v>41095</c:v>
                </c:pt>
                <c:pt idx="855" formatCode="d/m/yyyy">
                  <c:v>41096</c:v>
                </c:pt>
                <c:pt idx="856" formatCode="d/m/yyyy">
                  <c:v>41099</c:v>
                </c:pt>
                <c:pt idx="857" formatCode="d/m/yyyy">
                  <c:v>41100</c:v>
                </c:pt>
                <c:pt idx="858" formatCode="d/m/yyyy">
                  <c:v>41101</c:v>
                </c:pt>
                <c:pt idx="859" formatCode="d/m/yyyy">
                  <c:v>41102</c:v>
                </c:pt>
                <c:pt idx="860" formatCode="d/m/yyyy">
                  <c:v>41103</c:v>
                </c:pt>
                <c:pt idx="861" formatCode="d/m/yyyy">
                  <c:v>41106</c:v>
                </c:pt>
                <c:pt idx="862" formatCode="d/m/yyyy">
                  <c:v>41107</c:v>
                </c:pt>
                <c:pt idx="863" formatCode="d/m/yyyy">
                  <c:v>41108</c:v>
                </c:pt>
                <c:pt idx="864" formatCode="d/m/yyyy">
                  <c:v>41109</c:v>
                </c:pt>
                <c:pt idx="865" formatCode="d/m/yyyy">
                  <c:v>41110</c:v>
                </c:pt>
                <c:pt idx="866" formatCode="d/m/yyyy">
                  <c:v>41113</c:v>
                </c:pt>
                <c:pt idx="867" formatCode="d/m/yyyy">
                  <c:v>41114</c:v>
                </c:pt>
                <c:pt idx="868" formatCode="d/m/yyyy">
                  <c:v>41115</c:v>
                </c:pt>
                <c:pt idx="869" formatCode="d/m/yyyy">
                  <c:v>41116</c:v>
                </c:pt>
                <c:pt idx="870" formatCode="d/m/yyyy">
                  <c:v>41117</c:v>
                </c:pt>
                <c:pt idx="871" formatCode="d/m/yyyy">
                  <c:v>41120</c:v>
                </c:pt>
                <c:pt idx="872" formatCode="d/m/yyyy">
                  <c:v>41121</c:v>
                </c:pt>
                <c:pt idx="873" formatCode="d/m/yyyy">
                  <c:v>41122</c:v>
                </c:pt>
                <c:pt idx="874" formatCode="d/m/yyyy">
                  <c:v>41123</c:v>
                </c:pt>
                <c:pt idx="875" formatCode="d/m/yyyy">
                  <c:v>41124</c:v>
                </c:pt>
                <c:pt idx="876" formatCode="d/m/yyyy">
                  <c:v>41127</c:v>
                </c:pt>
                <c:pt idx="877" formatCode="d/m/yyyy">
                  <c:v>41128</c:v>
                </c:pt>
                <c:pt idx="878" formatCode="d/m/yyyy">
                  <c:v>41129</c:v>
                </c:pt>
                <c:pt idx="879" formatCode="d/m/yyyy">
                  <c:v>41130</c:v>
                </c:pt>
                <c:pt idx="880" formatCode="d/m/yyyy">
                  <c:v>41131</c:v>
                </c:pt>
                <c:pt idx="881" formatCode="d/m/yyyy">
                  <c:v>41134</c:v>
                </c:pt>
                <c:pt idx="882" formatCode="d/m/yyyy">
                  <c:v>41135</c:v>
                </c:pt>
                <c:pt idx="883" formatCode="d/m/yyyy">
                  <c:v>41137</c:v>
                </c:pt>
                <c:pt idx="884" formatCode="d/m/yyyy">
                  <c:v>41138</c:v>
                </c:pt>
                <c:pt idx="885" formatCode="d/m/yyyy">
                  <c:v>41141</c:v>
                </c:pt>
                <c:pt idx="886" formatCode="d/m/yyyy">
                  <c:v>41142</c:v>
                </c:pt>
                <c:pt idx="887" formatCode="d/m/yyyy">
                  <c:v>41143</c:v>
                </c:pt>
                <c:pt idx="888" formatCode="d/m/yyyy">
                  <c:v>41144</c:v>
                </c:pt>
                <c:pt idx="889" formatCode="d/m/yyyy">
                  <c:v>41145</c:v>
                </c:pt>
                <c:pt idx="890" formatCode="d/m/yyyy">
                  <c:v>41148</c:v>
                </c:pt>
                <c:pt idx="891" formatCode="d/m/yyyy">
                  <c:v>41149</c:v>
                </c:pt>
                <c:pt idx="892" formatCode="d/m/yyyy">
                  <c:v>41150</c:v>
                </c:pt>
                <c:pt idx="893" formatCode="d/m/yyyy">
                  <c:v>41151</c:v>
                </c:pt>
                <c:pt idx="894" formatCode="d/m/yyyy">
                  <c:v>41152</c:v>
                </c:pt>
                <c:pt idx="895" formatCode="d/m/yyyy">
                  <c:v>41156</c:v>
                </c:pt>
                <c:pt idx="896" formatCode="d/m/yyyy">
                  <c:v>41157</c:v>
                </c:pt>
                <c:pt idx="897" formatCode="d/m/yyyy">
                  <c:v>41158</c:v>
                </c:pt>
                <c:pt idx="898" formatCode="d/m/yyyy">
                  <c:v>41159</c:v>
                </c:pt>
                <c:pt idx="899" formatCode="d/m/yyyy">
                  <c:v>41162</c:v>
                </c:pt>
                <c:pt idx="900" formatCode="d/m/yyyy">
                  <c:v>41163</c:v>
                </c:pt>
                <c:pt idx="901" formatCode="d/m/yyyy">
                  <c:v>41164</c:v>
                </c:pt>
                <c:pt idx="902" formatCode="d/m/yyyy">
                  <c:v>41165</c:v>
                </c:pt>
                <c:pt idx="903" formatCode="d/m/yyyy">
                  <c:v>41166</c:v>
                </c:pt>
                <c:pt idx="904" formatCode="d/m/yyyy">
                  <c:v>41169</c:v>
                </c:pt>
                <c:pt idx="905" formatCode="d/m/yyyy">
                  <c:v>41170</c:v>
                </c:pt>
                <c:pt idx="906" formatCode="d/m/yyyy">
                  <c:v>41171</c:v>
                </c:pt>
                <c:pt idx="907" formatCode="d/m/yyyy">
                  <c:v>41172</c:v>
                </c:pt>
                <c:pt idx="908" formatCode="d/m/yyyy">
                  <c:v>41173</c:v>
                </c:pt>
                <c:pt idx="909" formatCode="d/m/yyyy">
                  <c:v>41176</c:v>
                </c:pt>
                <c:pt idx="910" formatCode="d/m/yyyy">
                  <c:v>41177</c:v>
                </c:pt>
                <c:pt idx="911" formatCode="d/m/yyyy">
                  <c:v>41178</c:v>
                </c:pt>
                <c:pt idx="912" formatCode="d/m/yyyy">
                  <c:v>41179</c:v>
                </c:pt>
                <c:pt idx="913" formatCode="d/m/yyyy">
                  <c:v>41180</c:v>
                </c:pt>
                <c:pt idx="914" formatCode="d/m/yyyy">
                  <c:v>41183</c:v>
                </c:pt>
                <c:pt idx="915" formatCode="d/m/yyyy">
                  <c:v>41184</c:v>
                </c:pt>
                <c:pt idx="916" formatCode="d/m/yyyy">
                  <c:v>41185</c:v>
                </c:pt>
                <c:pt idx="917" formatCode="d/m/yyyy">
                  <c:v>41186</c:v>
                </c:pt>
                <c:pt idx="918" formatCode="d/m/yyyy">
                  <c:v>41187</c:v>
                </c:pt>
                <c:pt idx="919" formatCode="d/m/yyyy">
                  <c:v>41190</c:v>
                </c:pt>
                <c:pt idx="920" formatCode="d/m/yyyy">
                  <c:v>41191</c:v>
                </c:pt>
                <c:pt idx="921" formatCode="d/m/yyyy">
                  <c:v>41192</c:v>
                </c:pt>
                <c:pt idx="922" formatCode="d/m/yyyy">
                  <c:v>41193</c:v>
                </c:pt>
                <c:pt idx="923" formatCode="d/m/yyyy">
                  <c:v>41194</c:v>
                </c:pt>
                <c:pt idx="924" formatCode="d/m/yyyy">
                  <c:v>41197</c:v>
                </c:pt>
                <c:pt idx="925" formatCode="d/m/yyyy">
                  <c:v>41198</c:v>
                </c:pt>
                <c:pt idx="926" formatCode="d/m/yyyy">
                  <c:v>41199</c:v>
                </c:pt>
                <c:pt idx="927" formatCode="d/m/yyyy">
                  <c:v>41200</c:v>
                </c:pt>
                <c:pt idx="928" formatCode="d/m/yyyy">
                  <c:v>41201</c:v>
                </c:pt>
                <c:pt idx="929" formatCode="d/m/yyyy">
                  <c:v>41204</c:v>
                </c:pt>
                <c:pt idx="930" formatCode="d/m/yyyy">
                  <c:v>41205</c:v>
                </c:pt>
                <c:pt idx="931" formatCode="d/m/yyyy">
                  <c:v>41206</c:v>
                </c:pt>
                <c:pt idx="932" formatCode="d/m/yyyy">
                  <c:v>41207</c:v>
                </c:pt>
                <c:pt idx="933" formatCode="d/m/yyyy">
                  <c:v>41208</c:v>
                </c:pt>
                <c:pt idx="934" formatCode="d/m/yyyy">
                  <c:v>41213</c:v>
                </c:pt>
                <c:pt idx="935" formatCode="d/m/yyyy">
                  <c:v>41215</c:v>
                </c:pt>
                <c:pt idx="936" formatCode="d/m/yyyy">
                  <c:v>41218</c:v>
                </c:pt>
                <c:pt idx="937" formatCode="d/m/yyyy">
                  <c:v>41219</c:v>
                </c:pt>
                <c:pt idx="938" formatCode="d/m/yyyy">
                  <c:v>41220</c:v>
                </c:pt>
                <c:pt idx="939" formatCode="d/m/yyyy">
                  <c:v>41221</c:v>
                </c:pt>
                <c:pt idx="940" formatCode="d/m/yyyy">
                  <c:v>41222</c:v>
                </c:pt>
                <c:pt idx="941" formatCode="d/m/yyyy">
                  <c:v>41225</c:v>
                </c:pt>
                <c:pt idx="942" formatCode="d/m/yyyy">
                  <c:v>41226</c:v>
                </c:pt>
                <c:pt idx="943" formatCode="d/m/yyyy">
                  <c:v>41227</c:v>
                </c:pt>
                <c:pt idx="944" formatCode="d/m/yyyy">
                  <c:v>41228</c:v>
                </c:pt>
                <c:pt idx="945" formatCode="d/m/yyyy">
                  <c:v>41229</c:v>
                </c:pt>
                <c:pt idx="946" formatCode="d/m/yyyy">
                  <c:v>41232</c:v>
                </c:pt>
                <c:pt idx="947" formatCode="d/m/yyyy">
                  <c:v>41233</c:v>
                </c:pt>
                <c:pt idx="948" formatCode="d/m/yyyy">
                  <c:v>41234</c:v>
                </c:pt>
                <c:pt idx="949" formatCode="d/m/yyyy">
                  <c:v>41236</c:v>
                </c:pt>
                <c:pt idx="950" formatCode="d/m/yyyy">
                  <c:v>41239</c:v>
                </c:pt>
                <c:pt idx="951" formatCode="d/m/yyyy">
                  <c:v>41240</c:v>
                </c:pt>
                <c:pt idx="952" formatCode="d/m/yyyy">
                  <c:v>41241</c:v>
                </c:pt>
                <c:pt idx="953" formatCode="d/m/yyyy">
                  <c:v>41242</c:v>
                </c:pt>
                <c:pt idx="954" formatCode="d/m/yyyy">
                  <c:v>41243</c:v>
                </c:pt>
                <c:pt idx="955" formatCode="d/m/yyyy">
                  <c:v>41246</c:v>
                </c:pt>
                <c:pt idx="956" formatCode="d/m/yyyy">
                  <c:v>41247</c:v>
                </c:pt>
                <c:pt idx="957" formatCode="d/m/yyyy">
                  <c:v>41248</c:v>
                </c:pt>
                <c:pt idx="958" formatCode="d/m/yyyy">
                  <c:v>41249</c:v>
                </c:pt>
                <c:pt idx="959" formatCode="d/m/yyyy">
                  <c:v>41250</c:v>
                </c:pt>
                <c:pt idx="960" formatCode="d/m/yyyy">
                  <c:v>41253</c:v>
                </c:pt>
                <c:pt idx="961" formatCode="d/m/yyyy">
                  <c:v>41254</c:v>
                </c:pt>
                <c:pt idx="962" formatCode="d/m/yyyy">
                  <c:v>41255</c:v>
                </c:pt>
                <c:pt idx="963" formatCode="d/m/yyyy">
                  <c:v>41256</c:v>
                </c:pt>
                <c:pt idx="964" formatCode="d/m/yyyy">
                  <c:v>41257</c:v>
                </c:pt>
                <c:pt idx="965" formatCode="d/m/yyyy">
                  <c:v>41260</c:v>
                </c:pt>
                <c:pt idx="966" formatCode="d/m/yyyy">
                  <c:v>41261</c:v>
                </c:pt>
                <c:pt idx="967" formatCode="d/m/yyyy">
                  <c:v>41262</c:v>
                </c:pt>
                <c:pt idx="968" formatCode="d/m/yyyy">
                  <c:v>41263</c:v>
                </c:pt>
                <c:pt idx="969" formatCode="d/m/yyyy">
                  <c:v>41264</c:v>
                </c:pt>
                <c:pt idx="970" formatCode="d/m/yyyy">
                  <c:v>41270</c:v>
                </c:pt>
                <c:pt idx="971" formatCode="d/m/yyyy">
                  <c:v>41271</c:v>
                </c:pt>
                <c:pt idx="972" formatCode="d/m/yyyy">
                  <c:v>41274</c:v>
                </c:pt>
                <c:pt idx="973" formatCode="d/m/yyyy">
                  <c:v>41276</c:v>
                </c:pt>
                <c:pt idx="974" formatCode="d/m/yyyy">
                  <c:v>41277</c:v>
                </c:pt>
                <c:pt idx="975" formatCode="d/m/yyyy">
                  <c:v>41278</c:v>
                </c:pt>
                <c:pt idx="976" formatCode="d/m/yyyy">
                  <c:v>41281</c:v>
                </c:pt>
                <c:pt idx="977" formatCode="d/m/yyyy">
                  <c:v>41282</c:v>
                </c:pt>
                <c:pt idx="978" formatCode="d/m/yyyy">
                  <c:v>41283</c:v>
                </c:pt>
                <c:pt idx="979" formatCode="d/m/yyyy">
                  <c:v>41284</c:v>
                </c:pt>
                <c:pt idx="980" formatCode="d/m/yyyy">
                  <c:v>41285</c:v>
                </c:pt>
                <c:pt idx="981" formatCode="d/m/yyyy">
                  <c:v>41288</c:v>
                </c:pt>
                <c:pt idx="982" formatCode="d/m/yyyy">
                  <c:v>41289</c:v>
                </c:pt>
                <c:pt idx="983" formatCode="d/m/yyyy">
                  <c:v>41290</c:v>
                </c:pt>
                <c:pt idx="984" formatCode="d/m/yyyy">
                  <c:v>41291</c:v>
                </c:pt>
                <c:pt idx="985" formatCode="d/m/yyyy">
                  <c:v>41292</c:v>
                </c:pt>
                <c:pt idx="986" formatCode="d/m/yyyy">
                  <c:v>41296</c:v>
                </c:pt>
                <c:pt idx="987" formatCode="d/m/yyyy">
                  <c:v>41297</c:v>
                </c:pt>
                <c:pt idx="988" formatCode="d/m/yyyy">
                  <c:v>41298</c:v>
                </c:pt>
                <c:pt idx="989" formatCode="d/m/yyyy">
                  <c:v>41299</c:v>
                </c:pt>
                <c:pt idx="990" formatCode="d/m/yyyy">
                  <c:v>41302</c:v>
                </c:pt>
                <c:pt idx="991" formatCode="d/m/yyyy">
                  <c:v>41303</c:v>
                </c:pt>
                <c:pt idx="992" formatCode="d/m/yyyy">
                  <c:v>41304</c:v>
                </c:pt>
                <c:pt idx="993" formatCode="d/m/yyyy">
                  <c:v>41305</c:v>
                </c:pt>
                <c:pt idx="994" formatCode="d/m/yyyy">
                  <c:v>41306</c:v>
                </c:pt>
                <c:pt idx="995" formatCode="d/m/yyyy">
                  <c:v>41309</c:v>
                </c:pt>
                <c:pt idx="996" formatCode="d/m/yyyy">
                  <c:v>41310</c:v>
                </c:pt>
                <c:pt idx="997" formatCode="d/m/yyyy">
                  <c:v>41311</c:v>
                </c:pt>
                <c:pt idx="998" formatCode="d/m/yyyy">
                  <c:v>41312</c:v>
                </c:pt>
                <c:pt idx="999" formatCode="d/m/yyyy">
                  <c:v>41313</c:v>
                </c:pt>
                <c:pt idx="1000" formatCode="d/m/yyyy">
                  <c:v>41316</c:v>
                </c:pt>
                <c:pt idx="1001" formatCode="d/m/yyyy">
                  <c:v>41317</c:v>
                </c:pt>
                <c:pt idx="1002" formatCode="d/m/yyyy">
                  <c:v>41318</c:v>
                </c:pt>
                <c:pt idx="1003" formatCode="d/m/yyyy">
                  <c:v>41319</c:v>
                </c:pt>
                <c:pt idx="1004" formatCode="d/m/yyyy">
                  <c:v>41320</c:v>
                </c:pt>
                <c:pt idx="1005" formatCode="d/m/yyyy">
                  <c:v>41324</c:v>
                </c:pt>
                <c:pt idx="1006" formatCode="d/m/yyyy">
                  <c:v>41325</c:v>
                </c:pt>
                <c:pt idx="1007" formatCode="d/m/yyyy">
                  <c:v>41326</c:v>
                </c:pt>
                <c:pt idx="1008" formatCode="d/m/yyyy">
                  <c:v>41327</c:v>
                </c:pt>
                <c:pt idx="1009" formatCode="d/m/yyyy">
                  <c:v>41330</c:v>
                </c:pt>
                <c:pt idx="1010" formatCode="d/m/yyyy">
                  <c:v>41331</c:v>
                </c:pt>
                <c:pt idx="1011" formatCode="d/m/yyyy">
                  <c:v>41332</c:v>
                </c:pt>
                <c:pt idx="1012" formatCode="d/m/yyyy">
                  <c:v>41333</c:v>
                </c:pt>
                <c:pt idx="1013" formatCode="d/m/yyyy">
                  <c:v>41334</c:v>
                </c:pt>
                <c:pt idx="1014" formatCode="d/m/yyyy">
                  <c:v>41337</c:v>
                </c:pt>
                <c:pt idx="1015" formatCode="d/m/yyyy">
                  <c:v>41338</c:v>
                </c:pt>
                <c:pt idx="1016" formatCode="d/m/yyyy">
                  <c:v>41339</c:v>
                </c:pt>
                <c:pt idx="1017" formatCode="d/m/yyyy">
                  <c:v>41340</c:v>
                </c:pt>
                <c:pt idx="1018" formatCode="d/m/yyyy">
                  <c:v>41341</c:v>
                </c:pt>
                <c:pt idx="1019" formatCode="d/m/yyyy">
                  <c:v>41344</c:v>
                </c:pt>
                <c:pt idx="1020" formatCode="d/m/yyyy">
                  <c:v>41345</c:v>
                </c:pt>
                <c:pt idx="1021" formatCode="d/m/yyyy">
                  <c:v>41346</c:v>
                </c:pt>
                <c:pt idx="1022" formatCode="d/m/yyyy">
                  <c:v>41347</c:v>
                </c:pt>
                <c:pt idx="1023" formatCode="d/m/yyyy">
                  <c:v>41348</c:v>
                </c:pt>
                <c:pt idx="1024" formatCode="d/m/yyyy">
                  <c:v>41351</c:v>
                </c:pt>
                <c:pt idx="1025" formatCode="d/m/yyyy">
                  <c:v>41352</c:v>
                </c:pt>
                <c:pt idx="1026" formatCode="d/m/yyyy">
                  <c:v>41353</c:v>
                </c:pt>
                <c:pt idx="1027" formatCode="d/m/yyyy">
                  <c:v>41354</c:v>
                </c:pt>
                <c:pt idx="1028" formatCode="d/m/yyyy">
                  <c:v>41355</c:v>
                </c:pt>
                <c:pt idx="1029" formatCode="d/m/yyyy">
                  <c:v>41358</c:v>
                </c:pt>
                <c:pt idx="1030" formatCode="d/m/yyyy">
                  <c:v>41359</c:v>
                </c:pt>
                <c:pt idx="1031" formatCode="d/m/yyyy">
                  <c:v>41360</c:v>
                </c:pt>
                <c:pt idx="1032" formatCode="d/m/yyyy">
                  <c:v>41361</c:v>
                </c:pt>
                <c:pt idx="1033" formatCode="d/m/yyyy">
                  <c:v>41366</c:v>
                </c:pt>
                <c:pt idx="1034" formatCode="d/m/yyyy">
                  <c:v>41367</c:v>
                </c:pt>
                <c:pt idx="1035" formatCode="d/m/yyyy">
                  <c:v>41368</c:v>
                </c:pt>
                <c:pt idx="1036" formatCode="d/m/yyyy">
                  <c:v>41369</c:v>
                </c:pt>
                <c:pt idx="1037" formatCode="d/m/yyyy">
                  <c:v>41372</c:v>
                </c:pt>
                <c:pt idx="1038" formatCode="d/m/yyyy">
                  <c:v>41373</c:v>
                </c:pt>
                <c:pt idx="1039" formatCode="d/m/yyyy">
                  <c:v>41374</c:v>
                </c:pt>
                <c:pt idx="1040" formatCode="d/m/yyyy">
                  <c:v>41375</c:v>
                </c:pt>
                <c:pt idx="1041" formatCode="d/m/yyyy">
                  <c:v>41376</c:v>
                </c:pt>
                <c:pt idx="1042" formatCode="d/m/yyyy">
                  <c:v>41379</c:v>
                </c:pt>
                <c:pt idx="1043" formatCode="d/m/yyyy">
                  <c:v>41380</c:v>
                </c:pt>
                <c:pt idx="1044" formatCode="d/m/yyyy">
                  <c:v>41381</c:v>
                </c:pt>
                <c:pt idx="1045" formatCode="d/m/yyyy">
                  <c:v>41382</c:v>
                </c:pt>
                <c:pt idx="1046" formatCode="d/m/yyyy">
                  <c:v>41383</c:v>
                </c:pt>
                <c:pt idx="1047" formatCode="d/m/yyyy">
                  <c:v>41386</c:v>
                </c:pt>
                <c:pt idx="1048" formatCode="d/m/yyyy">
                  <c:v>41387</c:v>
                </c:pt>
                <c:pt idx="1049" formatCode="d/m/yyyy">
                  <c:v>41388</c:v>
                </c:pt>
                <c:pt idx="1050" formatCode="d/m/yyyy">
                  <c:v>41389</c:v>
                </c:pt>
                <c:pt idx="1051" formatCode="d/m/yyyy">
                  <c:v>41390</c:v>
                </c:pt>
                <c:pt idx="1052" formatCode="d/m/yyyy">
                  <c:v>41393</c:v>
                </c:pt>
                <c:pt idx="1053" formatCode="d/m/yyyy">
                  <c:v>41394</c:v>
                </c:pt>
                <c:pt idx="1054" formatCode="d/m/yyyy">
                  <c:v>41396</c:v>
                </c:pt>
                <c:pt idx="1055" formatCode="d/m/yyyy">
                  <c:v>41397</c:v>
                </c:pt>
                <c:pt idx="1056" formatCode="d/m/yyyy">
                  <c:v>41400</c:v>
                </c:pt>
                <c:pt idx="1057" formatCode="d/m/yyyy">
                  <c:v>41401</c:v>
                </c:pt>
                <c:pt idx="1058" formatCode="d/m/yyyy">
                  <c:v>41402</c:v>
                </c:pt>
                <c:pt idx="1059" formatCode="d/m/yyyy">
                  <c:v>41407</c:v>
                </c:pt>
                <c:pt idx="1060" formatCode="d/m/yyyy">
                  <c:v>41408</c:v>
                </c:pt>
                <c:pt idx="1061" formatCode="d/m/yyyy">
                  <c:v>41409</c:v>
                </c:pt>
                <c:pt idx="1062" formatCode="d/m/yyyy">
                  <c:v>41410</c:v>
                </c:pt>
                <c:pt idx="1063" formatCode="d/m/yyyy">
                  <c:v>41411</c:v>
                </c:pt>
                <c:pt idx="1064" formatCode="d/m/yyyy">
                  <c:v>41415</c:v>
                </c:pt>
                <c:pt idx="1065" formatCode="d/m/yyyy">
                  <c:v>41416</c:v>
                </c:pt>
                <c:pt idx="1066" formatCode="d/m/yyyy">
                  <c:v>41417</c:v>
                </c:pt>
                <c:pt idx="1067" formatCode="d/m/yyyy">
                  <c:v>41418</c:v>
                </c:pt>
                <c:pt idx="1068" formatCode="d/m/yyyy">
                  <c:v>41422</c:v>
                </c:pt>
                <c:pt idx="1069" formatCode="d/m/yyyy">
                  <c:v>41423</c:v>
                </c:pt>
                <c:pt idx="1070" formatCode="d/m/yyyy">
                  <c:v>41424</c:v>
                </c:pt>
                <c:pt idx="1071" formatCode="d/m/yyyy">
                  <c:v>41425</c:v>
                </c:pt>
                <c:pt idx="1072" formatCode="d/m/yyyy">
                  <c:v>41428</c:v>
                </c:pt>
                <c:pt idx="1073" formatCode="d/m/yyyy">
                  <c:v>41429</c:v>
                </c:pt>
                <c:pt idx="1074" formatCode="d/m/yyyy">
                  <c:v>41430</c:v>
                </c:pt>
                <c:pt idx="1075" formatCode="d/m/yyyy">
                  <c:v>41431</c:v>
                </c:pt>
                <c:pt idx="1076" formatCode="d/m/yyyy">
                  <c:v>41432</c:v>
                </c:pt>
                <c:pt idx="1077" formatCode="d/m/yyyy">
                  <c:v>41435</c:v>
                </c:pt>
                <c:pt idx="1078" formatCode="d/m/yyyy">
                  <c:v>41436</c:v>
                </c:pt>
                <c:pt idx="1079" formatCode="d/m/yyyy">
                  <c:v>41437</c:v>
                </c:pt>
                <c:pt idx="1080" formatCode="d/m/yyyy">
                  <c:v>41438</c:v>
                </c:pt>
                <c:pt idx="1081" formatCode="d/m/yyyy">
                  <c:v>41439</c:v>
                </c:pt>
                <c:pt idx="1082" formatCode="d/m/yyyy">
                  <c:v>41442</c:v>
                </c:pt>
                <c:pt idx="1083" formatCode="d/m/yyyy">
                  <c:v>41443</c:v>
                </c:pt>
                <c:pt idx="1084" formatCode="d/m/yyyy">
                  <c:v>41444</c:v>
                </c:pt>
                <c:pt idx="1085" formatCode="d/m/yyyy">
                  <c:v>41445</c:v>
                </c:pt>
                <c:pt idx="1086" formatCode="d/m/yyyy">
                  <c:v>41446</c:v>
                </c:pt>
                <c:pt idx="1087" formatCode="d/m/yyyy">
                  <c:v>41449</c:v>
                </c:pt>
                <c:pt idx="1088" formatCode="d/m/yyyy">
                  <c:v>41450</c:v>
                </c:pt>
                <c:pt idx="1089" formatCode="d/m/yyyy">
                  <c:v>41451</c:v>
                </c:pt>
                <c:pt idx="1090" formatCode="d/m/yyyy">
                  <c:v>41452</c:v>
                </c:pt>
                <c:pt idx="1091" formatCode="d/m/yyyy">
                  <c:v>41453</c:v>
                </c:pt>
                <c:pt idx="1092" formatCode="d/m/yyyy">
                  <c:v>41456</c:v>
                </c:pt>
                <c:pt idx="1093" formatCode="d/m/yyyy">
                  <c:v>41457</c:v>
                </c:pt>
                <c:pt idx="1094" formatCode="d/m/yyyy">
                  <c:v>41458</c:v>
                </c:pt>
                <c:pt idx="1095" formatCode="d/m/yyyy">
                  <c:v>41460</c:v>
                </c:pt>
                <c:pt idx="1096" formatCode="d/m/yyyy">
                  <c:v>41463</c:v>
                </c:pt>
                <c:pt idx="1097" formatCode="d/m/yyyy">
                  <c:v>41464</c:v>
                </c:pt>
                <c:pt idx="1098" formatCode="d/m/yyyy">
                  <c:v>41465</c:v>
                </c:pt>
                <c:pt idx="1099" formatCode="d/m/yyyy">
                  <c:v>41466</c:v>
                </c:pt>
                <c:pt idx="1100" formatCode="d/m/yyyy">
                  <c:v>41467</c:v>
                </c:pt>
                <c:pt idx="1101" formatCode="d/m/yyyy">
                  <c:v>41470</c:v>
                </c:pt>
                <c:pt idx="1102" formatCode="d/m/yyyy">
                  <c:v>41471</c:v>
                </c:pt>
                <c:pt idx="1103" formatCode="d/m/yyyy">
                  <c:v>41472</c:v>
                </c:pt>
                <c:pt idx="1104" formatCode="d/m/yyyy">
                  <c:v>41473</c:v>
                </c:pt>
                <c:pt idx="1105" formatCode="d/m/yyyy">
                  <c:v>41474</c:v>
                </c:pt>
                <c:pt idx="1106" formatCode="d/m/yyyy">
                  <c:v>41477</c:v>
                </c:pt>
                <c:pt idx="1107" formatCode="d/m/yyyy">
                  <c:v>41478</c:v>
                </c:pt>
                <c:pt idx="1108" formatCode="d/m/yyyy">
                  <c:v>41479</c:v>
                </c:pt>
                <c:pt idx="1109" formatCode="d/m/yyyy">
                  <c:v>41480</c:v>
                </c:pt>
                <c:pt idx="1110" formatCode="d/m/yyyy">
                  <c:v>41481</c:v>
                </c:pt>
                <c:pt idx="1111" formatCode="d/m/yyyy">
                  <c:v>41484</c:v>
                </c:pt>
                <c:pt idx="1112" formatCode="d/m/yyyy">
                  <c:v>41485</c:v>
                </c:pt>
                <c:pt idx="1113" formatCode="d/m/yyyy">
                  <c:v>41486</c:v>
                </c:pt>
                <c:pt idx="1114" formatCode="d/m/yyyy">
                  <c:v>41487</c:v>
                </c:pt>
                <c:pt idx="1115" formatCode="d/m/yyyy">
                  <c:v>41488</c:v>
                </c:pt>
                <c:pt idx="1116" formatCode="d/m/yyyy">
                  <c:v>41491</c:v>
                </c:pt>
                <c:pt idx="1117" formatCode="d/m/yyyy">
                  <c:v>41492</c:v>
                </c:pt>
                <c:pt idx="1118" formatCode="d/m/yyyy">
                  <c:v>41493</c:v>
                </c:pt>
                <c:pt idx="1119" formatCode="d/m/yyyy">
                  <c:v>41494</c:v>
                </c:pt>
                <c:pt idx="1120" formatCode="d/m/yyyy">
                  <c:v>41495</c:v>
                </c:pt>
                <c:pt idx="1121" formatCode="d/m/yyyy">
                  <c:v>41498</c:v>
                </c:pt>
                <c:pt idx="1122" formatCode="d/m/yyyy">
                  <c:v>41499</c:v>
                </c:pt>
                <c:pt idx="1123" formatCode="d/m/yyyy">
                  <c:v>41500</c:v>
                </c:pt>
                <c:pt idx="1124" formatCode="d/m/yyyy">
                  <c:v>41502</c:v>
                </c:pt>
                <c:pt idx="1125" formatCode="d/m/yyyy">
                  <c:v>41505</c:v>
                </c:pt>
                <c:pt idx="1126" formatCode="d/m/yyyy">
                  <c:v>41506</c:v>
                </c:pt>
                <c:pt idx="1127" formatCode="d/m/yyyy">
                  <c:v>41507</c:v>
                </c:pt>
                <c:pt idx="1128" formatCode="d/m/yyyy">
                  <c:v>41508</c:v>
                </c:pt>
                <c:pt idx="1129" formatCode="d/m/yyyy">
                  <c:v>41509</c:v>
                </c:pt>
                <c:pt idx="1130" formatCode="d/m/yyyy">
                  <c:v>41512</c:v>
                </c:pt>
                <c:pt idx="1131" formatCode="d/m/yyyy">
                  <c:v>41513</c:v>
                </c:pt>
                <c:pt idx="1132" formatCode="d/m/yyyy">
                  <c:v>41514</c:v>
                </c:pt>
                <c:pt idx="1133" formatCode="d/m/yyyy">
                  <c:v>41515</c:v>
                </c:pt>
                <c:pt idx="1134" formatCode="d/m/yyyy">
                  <c:v>41516</c:v>
                </c:pt>
                <c:pt idx="1135" formatCode="d/m/yyyy">
                  <c:v>41520</c:v>
                </c:pt>
                <c:pt idx="1136" formatCode="d/m/yyyy">
                  <c:v>41521</c:v>
                </c:pt>
                <c:pt idx="1137" formatCode="d/m/yyyy">
                  <c:v>41522</c:v>
                </c:pt>
                <c:pt idx="1138" formatCode="d/m/yyyy">
                  <c:v>41523</c:v>
                </c:pt>
                <c:pt idx="1139" formatCode="d/m/yyyy">
                  <c:v>41526</c:v>
                </c:pt>
                <c:pt idx="1140" formatCode="d/m/yyyy">
                  <c:v>41527</c:v>
                </c:pt>
                <c:pt idx="1141" formatCode="d/m/yyyy">
                  <c:v>41528</c:v>
                </c:pt>
                <c:pt idx="1142" formatCode="d/m/yyyy">
                  <c:v>41529</c:v>
                </c:pt>
                <c:pt idx="1143" formatCode="d/m/yyyy">
                  <c:v>41530</c:v>
                </c:pt>
                <c:pt idx="1144" formatCode="d/m/yyyy">
                  <c:v>41533</c:v>
                </c:pt>
                <c:pt idx="1145" formatCode="d/m/yyyy">
                  <c:v>41534</c:v>
                </c:pt>
                <c:pt idx="1146" formatCode="d/m/yyyy">
                  <c:v>41535</c:v>
                </c:pt>
                <c:pt idx="1147" formatCode="d/m/yyyy">
                  <c:v>41536</c:v>
                </c:pt>
                <c:pt idx="1148" formatCode="d/m/yyyy">
                  <c:v>41537</c:v>
                </c:pt>
                <c:pt idx="1149" formatCode="d/m/yyyy">
                  <c:v>41540</c:v>
                </c:pt>
                <c:pt idx="1150" formatCode="d/m/yyyy">
                  <c:v>41541</c:v>
                </c:pt>
                <c:pt idx="1151" formatCode="d/m/yyyy">
                  <c:v>41542</c:v>
                </c:pt>
                <c:pt idx="1152" formatCode="d/m/yyyy">
                  <c:v>41543</c:v>
                </c:pt>
                <c:pt idx="1153" formatCode="d/m/yyyy">
                  <c:v>41544</c:v>
                </c:pt>
                <c:pt idx="1154" formatCode="d/m/yyyy">
                  <c:v>41547</c:v>
                </c:pt>
                <c:pt idx="1155" formatCode="d/m/yyyy">
                  <c:v>41548</c:v>
                </c:pt>
                <c:pt idx="1156" formatCode="d/m/yyyy">
                  <c:v>41549</c:v>
                </c:pt>
                <c:pt idx="1157" formatCode="d/m/yyyy">
                  <c:v>41550</c:v>
                </c:pt>
                <c:pt idx="1158" formatCode="d/m/yyyy">
                  <c:v>41551</c:v>
                </c:pt>
                <c:pt idx="1159" formatCode="d/m/yyyy">
                  <c:v>41554</c:v>
                </c:pt>
                <c:pt idx="1160" formatCode="d/m/yyyy">
                  <c:v>41555</c:v>
                </c:pt>
                <c:pt idx="1161" formatCode="d/m/yyyy">
                  <c:v>41556</c:v>
                </c:pt>
                <c:pt idx="1162" formatCode="d/m/yyyy">
                  <c:v>41557</c:v>
                </c:pt>
                <c:pt idx="1163" formatCode="d/m/yyyy">
                  <c:v>41558</c:v>
                </c:pt>
                <c:pt idx="1164" formatCode="d/m/yyyy">
                  <c:v>41561</c:v>
                </c:pt>
                <c:pt idx="1165" formatCode="d/m/yyyy">
                  <c:v>41562</c:v>
                </c:pt>
                <c:pt idx="1166" formatCode="d/m/yyyy">
                  <c:v>41563</c:v>
                </c:pt>
                <c:pt idx="1167" formatCode="d/m/yyyy">
                  <c:v>41564</c:v>
                </c:pt>
                <c:pt idx="1168" formatCode="d/m/yyyy">
                  <c:v>41565</c:v>
                </c:pt>
                <c:pt idx="1169" formatCode="d/m/yyyy">
                  <c:v>41568</c:v>
                </c:pt>
                <c:pt idx="1170" formatCode="d/m/yyyy">
                  <c:v>41569</c:v>
                </c:pt>
                <c:pt idx="1171" formatCode="d/m/yyyy">
                  <c:v>41570</c:v>
                </c:pt>
                <c:pt idx="1172" formatCode="d/m/yyyy">
                  <c:v>41571</c:v>
                </c:pt>
                <c:pt idx="1173" formatCode="d/m/yyyy">
                  <c:v>41572</c:v>
                </c:pt>
                <c:pt idx="1174" formatCode="d/m/yyyy">
                  <c:v>41575</c:v>
                </c:pt>
                <c:pt idx="1175" formatCode="d/m/yyyy">
                  <c:v>41576</c:v>
                </c:pt>
                <c:pt idx="1176" formatCode="d/m/yyyy">
                  <c:v>41577</c:v>
                </c:pt>
                <c:pt idx="1177" formatCode="d/m/yyyy">
                  <c:v>41578</c:v>
                </c:pt>
                <c:pt idx="1178" formatCode="d/m/yyyy">
                  <c:v>41582</c:v>
                </c:pt>
                <c:pt idx="1179" formatCode="d/m/yyyy">
                  <c:v>41583</c:v>
                </c:pt>
                <c:pt idx="1180" formatCode="d/m/yyyy">
                  <c:v>41584</c:v>
                </c:pt>
                <c:pt idx="1181" formatCode="d/m/yyyy">
                  <c:v>41585</c:v>
                </c:pt>
                <c:pt idx="1182" formatCode="d/m/yyyy">
                  <c:v>41586</c:v>
                </c:pt>
                <c:pt idx="1183" formatCode="d/m/yyyy">
                  <c:v>41590</c:v>
                </c:pt>
                <c:pt idx="1184" formatCode="d/m/yyyy">
                  <c:v>41591</c:v>
                </c:pt>
                <c:pt idx="1185" formatCode="d/m/yyyy">
                  <c:v>41592</c:v>
                </c:pt>
                <c:pt idx="1186" formatCode="d/m/yyyy">
                  <c:v>41593</c:v>
                </c:pt>
                <c:pt idx="1187" formatCode="d/m/yyyy">
                  <c:v>41596</c:v>
                </c:pt>
                <c:pt idx="1188" formatCode="d/m/yyyy">
                  <c:v>41597</c:v>
                </c:pt>
                <c:pt idx="1189" formatCode="d/m/yyyy">
                  <c:v>41598</c:v>
                </c:pt>
                <c:pt idx="1190" formatCode="d/m/yyyy">
                  <c:v>41599</c:v>
                </c:pt>
                <c:pt idx="1191" formatCode="d/m/yyyy">
                  <c:v>41600</c:v>
                </c:pt>
                <c:pt idx="1192" formatCode="d/m/yyyy">
                  <c:v>41603</c:v>
                </c:pt>
                <c:pt idx="1193" formatCode="d/m/yyyy">
                  <c:v>41604</c:v>
                </c:pt>
                <c:pt idx="1194" formatCode="d/m/yyyy">
                  <c:v>41605</c:v>
                </c:pt>
                <c:pt idx="1195" formatCode="d/m/yyyy">
                  <c:v>41607</c:v>
                </c:pt>
                <c:pt idx="1196" formatCode="d/m/yyyy">
                  <c:v>41610</c:v>
                </c:pt>
                <c:pt idx="1197" formatCode="d/m/yyyy">
                  <c:v>41611</c:v>
                </c:pt>
                <c:pt idx="1198" formatCode="d/m/yyyy">
                  <c:v>41612</c:v>
                </c:pt>
                <c:pt idx="1199" formatCode="d/m/yyyy">
                  <c:v>41613</c:v>
                </c:pt>
                <c:pt idx="1200" formatCode="d/m/yyyy">
                  <c:v>41614</c:v>
                </c:pt>
                <c:pt idx="1201" formatCode="d/m/yyyy">
                  <c:v>41617</c:v>
                </c:pt>
                <c:pt idx="1202" formatCode="d/m/yyyy">
                  <c:v>41618</c:v>
                </c:pt>
                <c:pt idx="1203" formatCode="d/m/yyyy">
                  <c:v>41619</c:v>
                </c:pt>
                <c:pt idx="1204" formatCode="d/m/yyyy">
                  <c:v>41620</c:v>
                </c:pt>
                <c:pt idx="1205" formatCode="d/m/yyyy">
                  <c:v>41621</c:v>
                </c:pt>
                <c:pt idx="1206" formatCode="d/m/yyyy">
                  <c:v>41624</c:v>
                </c:pt>
                <c:pt idx="1207" formatCode="d/m/yyyy">
                  <c:v>41625</c:v>
                </c:pt>
                <c:pt idx="1208" formatCode="d/m/yyyy">
                  <c:v>41626</c:v>
                </c:pt>
                <c:pt idx="1209" formatCode="d/m/yyyy">
                  <c:v>41627</c:v>
                </c:pt>
                <c:pt idx="1210" formatCode="d/m/yyyy">
                  <c:v>41628</c:v>
                </c:pt>
                <c:pt idx="1211" formatCode="d/m/yyyy">
                  <c:v>41631</c:v>
                </c:pt>
                <c:pt idx="1212" formatCode="d/m/yyyy">
                  <c:v>41632</c:v>
                </c:pt>
                <c:pt idx="1213" formatCode="d/m/yyyy">
                  <c:v>41635</c:v>
                </c:pt>
                <c:pt idx="1214" formatCode="d/m/yyyy">
                  <c:v>41638</c:v>
                </c:pt>
                <c:pt idx="1215" formatCode="d/m/yyyy">
                  <c:v>41639</c:v>
                </c:pt>
                <c:pt idx="1216" formatCode="d/m/yyyy">
                  <c:v>41641</c:v>
                </c:pt>
                <c:pt idx="1217" formatCode="d/m/yyyy">
                  <c:v>41642</c:v>
                </c:pt>
                <c:pt idx="1218" formatCode="d/m/yyyy">
                  <c:v>41645</c:v>
                </c:pt>
                <c:pt idx="1219" formatCode="d/m/yyyy">
                  <c:v>41646</c:v>
                </c:pt>
                <c:pt idx="1220" formatCode="d/m/yyyy">
                  <c:v>41647</c:v>
                </c:pt>
                <c:pt idx="1221" formatCode="d/m/yyyy">
                  <c:v>41648</c:v>
                </c:pt>
                <c:pt idx="1222" formatCode="d/m/yyyy">
                  <c:v>41649</c:v>
                </c:pt>
                <c:pt idx="1223" formatCode="d/m/yyyy">
                  <c:v>41652</c:v>
                </c:pt>
                <c:pt idx="1224" formatCode="d/m/yyyy">
                  <c:v>41653</c:v>
                </c:pt>
                <c:pt idx="1225" formatCode="d/m/yyyy">
                  <c:v>41654</c:v>
                </c:pt>
                <c:pt idx="1226" formatCode="d/m/yyyy">
                  <c:v>41655</c:v>
                </c:pt>
                <c:pt idx="1227" formatCode="d/m/yyyy">
                  <c:v>41656</c:v>
                </c:pt>
                <c:pt idx="1228" formatCode="d/m/yyyy">
                  <c:v>41660</c:v>
                </c:pt>
                <c:pt idx="1229" formatCode="d/m/yyyy">
                  <c:v>41661</c:v>
                </c:pt>
                <c:pt idx="1230" formatCode="d/m/yyyy">
                  <c:v>41662</c:v>
                </c:pt>
                <c:pt idx="1231" formatCode="d/m/yyyy">
                  <c:v>41663</c:v>
                </c:pt>
                <c:pt idx="1232" formatCode="d/m/yyyy">
                  <c:v>41666</c:v>
                </c:pt>
                <c:pt idx="1233" formatCode="d/m/yyyy">
                  <c:v>41667</c:v>
                </c:pt>
                <c:pt idx="1234" formatCode="d/m/yyyy">
                  <c:v>41668</c:v>
                </c:pt>
                <c:pt idx="1235" formatCode="d/m/yyyy">
                  <c:v>41669</c:v>
                </c:pt>
                <c:pt idx="1236" formatCode="d/m/yyyy">
                  <c:v>41670</c:v>
                </c:pt>
                <c:pt idx="1237" formatCode="d/m/yyyy">
                  <c:v>41673</c:v>
                </c:pt>
                <c:pt idx="1238" formatCode="d/m/yyyy">
                  <c:v>41674</c:v>
                </c:pt>
                <c:pt idx="1239" formatCode="d/m/yyyy">
                  <c:v>41675</c:v>
                </c:pt>
                <c:pt idx="1240" formatCode="d/m/yyyy">
                  <c:v>41676</c:v>
                </c:pt>
                <c:pt idx="1241" formatCode="d/m/yyyy">
                  <c:v>41677</c:v>
                </c:pt>
                <c:pt idx="1242" formatCode="d/m/yyyy">
                  <c:v>41680</c:v>
                </c:pt>
                <c:pt idx="1243" formatCode="d/m/yyyy">
                  <c:v>41681</c:v>
                </c:pt>
                <c:pt idx="1244" formatCode="d/m/yyyy">
                  <c:v>41682</c:v>
                </c:pt>
                <c:pt idx="1245" formatCode="d/m/yyyy">
                  <c:v>41683</c:v>
                </c:pt>
                <c:pt idx="1246" formatCode="d/m/yyyy">
                  <c:v>41684</c:v>
                </c:pt>
              </c:numCache>
            </c:numRef>
          </c:cat>
          <c:val>
            <c:numRef>
              <c:f>BE0166769266_05012009_19022014!$B$2:$B$1248</c:f>
              <c:numCache>
                <c:formatCode>General</c:formatCode>
                <c:ptCount val="1247"/>
                <c:pt idx="0">
                  <c:v>94.4</c:v>
                </c:pt>
                <c:pt idx="1">
                  <c:v>95.14</c:v>
                </c:pt>
                <c:pt idx="2">
                  <c:v>92.34</c:v>
                </c:pt>
                <c:pt idx="3">
                  <c:v>92.66</c:v>
                </c:pt>
                <c:pt idx="4">
                  <c:v>90.649999999999991</c:v>
                </c:pt>
                <c:pt idx="5">
                  <c:v>88.56</c:v>
                </c:pt>
                <c:pt idx="6">
                  <c:v>88.72</c:v>
                </c:pt>
                <c:pt idx="7">
                  <c:v>85.73</c:v>
                </c:pt>
                <c:pt idx="8">
                  <c:v>85.85</c:v>
                </c:pt>
                <c:pt idx="9">
                  <c:v>86.5</c:v>
                </c:pt>
                <c:pt idx="10">
                  <c:v>81.92</c:v>
                </c:pt>
                <c:pt idx="11">
                  <c:v>85.5</c:v>
                </c:pt>
                <c:pt idx="12">
                  <c:v>84.16</c:v>
                </c:pt>
                <c:pt idx="13">
                  <c:v>84.61</c:v>
                </c:pt>
                <c:pt idx="14">
                  <c:v>85.08</c:v>
                </c:pt>
                <c:pt idx="15">
                  <c:v>86.01</c:v>
                </c:pt>
                <c:pt idx="16">
                  <c:v>88.940000000000026</c:v>
                </c:pt>
                <c:pt idx="17">
                  <c:v>85.960000000000022</c:v>
                </c:pt>
                <c:pt idx="18">
                  <c:v>84.03</c:v>
                </c:pt>
                <c:pt idx="19">
                  <c:v>84</c:v>
                </c:pt>
                <c:pt idx="20">
                  <c:v>85.34</c:v>
                </c:pt>
                <c:pt idx="21">
                  <c:v>84.740000000000023</c:v>
                </c:pt>
                <c:pt idx="22">
                  <c:v>86.11</c:v>
                </c:pt>
                <c:pt idx="23">
                  <c:v>88.490000000000023</c:v>
                </c:pt>
                <c:pt idx="24">
                  <c:v>88.61</c:v>
                </c:pt>
                <c:pt idx="25">
                  <c:v>84.28</c:v>
                </c:pt>
                <c:pt idx="26">
                  <c:v>84.97</c:v>
                </c:pt>
                <c:pt idx="27">
                  <c:v>85.149999999999991</c:v>
                </c:pt>
                <c:pt idx="28">
                  <c:v>84.25</c:v>
                </c:pt>
                <c:pt idx="29">
                  <c:v>80.430000000000007</c:v>
                </c:pt>
                <c:pt idx="30">
                  <c:v>80.349999999999994</c:v>
                </c:pt>
                <c:pt idx="31">
                  <c:v>79.47</c:v>
                </c:pt>
                <c:pt idx="32">
                  <c:v>78.56</c:v>
                </c:pt>
                <c:pt idx="33">
                  <c:v>76.14</c:v>
                </c:pt>
                <c:pt idx="34">
                  <c:v>79.16</c:v>
                </c:pt>
                <c:pt idx="35">
                  <c:v>78.36999999999999</c:v>
                </c:pt>
                <c:pt idx="36">
                  <c:v>77.179999999999978</c:v>
                </c:pt>
                <c:pt idx="37">
                  <c:v>75.400000000000006</c:v>
                </c:pt>
                <c:pt idx="38">
                  <c:v>71.930000000000007</c:v>
                </c:pt>
                <c:pt idx="39">
                  <c:v>71.430000000000007</c:v>
                </c:pt>
                <c:pt idx="40">
                  <c:v>73.149999999999991</c:v>
                </c:pt>
                <c:pt idx="41">
                  <c:v>70.08</c:v>
                </c:pt>
                <c:pt idx="42">
                  <c:v>70.209999999999994</c:v>
                </c:pt>
                <c:pt idx="43">
                  <c:v>69.489999999999995</c:v>
                </c:pt>
                <c:pt idx="44">
                  <c:v>73.900000000000006</c:v>
                </c:pt>
                <c:pt idx="45">
                  <c:v>74.11999999999999</c:v>
                </c:pt>
                <c:pt idx="46">
                  <c:v>77.14</c:v>
                </c:pt>
                <c:pt idx="47">
                  <c:v>77.75</c:v>
                </c:pt>
                <c:pt idx="48">
                  <c:v>77.47</c:v>
                </c:pt>
                <c:pt idx="49">
                  <c:v>79.97</c:v>
                </c:pt>
                <c:pt idx="50">
                  <c:v>81.61999999999999</c:v>
                </c:pt>
                <c:pt idx="51">
                  <c:v>80.540000000000006</c:v>
                </c:pt>
                <c:pt idx="52">
                  <c:v>78.959999999999994</c:v>
                </c:pt>
                <c:pt idx="53">
                  <c:v>84.55</c:v>
                </c:pt>
                <c:pt idx="54">
                  <c:v>82.82</c:v>
                </c:pt>
                <c:pt idx="55">
                  <c:v>83.6</c:v>
                </c:pt>
                <c:pt idx="56">
                  <c:v>85.5</c:v>
                </c:pt>
                <c:pt idx="57">
                  <c:v>83.79</c:v>
                </c:pt>
                <c:pt idx="58">
                  <c:v>80.88</c:v>
                </c:pt>
                <c:pt idx="59">
                  <c:v>81.940000000000026</c:v>
                </c:pt>
                <c:pt idx="60">
                  <c:v>83.33</c:v>
                </c:pt>
                <c:pt idx="61">
                  <c:v>85.73</c:v>
                </c:pt>
                <c:pt idx="62">
                  <c:v>86.56</c:v>
                </c:pt>
                <c:pt idx="63">
                  <c:v>85.76</c:v>
                </c:pt>
                <c:pt idx="64">
                  <c:v>83.78</c:v>
                </c:pt>
                <c:pt idx="65">
                  <c:v>84.75</c:v>
                </c:pt>
                <c:pt idx="66">
                  <c:v>87.93</c:v>
                </c:pt>
                <c:pt idx="67">
                  <c:v>86.410000000000025</c:v>
                </c:pt>
                <c:pt idx="68">
                  <c:v>87.47</c:v>
                </c:pt>
                <c:pt idx="69">
                  <c:v>88.8</c:v>
                </c:pt>
                <c:pt idx="70">
                  <c:v>89.240000000000023</c:v>
                </c:pt>
                <c:pt idx="71">
                  <c:v>85.45</c:v>
                </c:pt>
                <c:pt idx="72">
                  <c:v>87.25</c:v>
                </c:pt>
                <c:pt idx="73">
                  <c:v>86.53</c:v>
                </c:pt>
                <c:pt idx="74">
                  <c:v>87.39</c:v>
                </c:pt>
                <c:pt idx="75">
                  <c:v>88.910000000000025</c:v>
                </c:pt>
                <c:pt idx="76">
                  <c:v>88</c:v>
                </c:pt>
                <c:pt idx="77">
                  <c:v>87.75</c:v>
                </c:pt>
                <c:pt idx="78">
                  <c:v>89.649999999999991</c:v>
                </c:pt>
                <c:pt idx="79">
                  <c:v>89.55</c:v>
                </c:pt>
                <c:pt idx="80">
                  <c:v>93.08</c:v>
                </c:pt>
                <c:pt idx="81">
                  <c:v>92.740000000000023</c:v>
                </c:pt>
                <c:pt idx="82">
                  <c:v>94.36</c:v>
                </c:pt>
                <c:pt idx="83">
                  <c:v>93.13</c:v>
                </c:pt>
                <c:pt idx="84">
                  <c:v>95.32</c:v>
                </c:pt>
                <c:pt idx="85">
                  <c:v>93.34</c:v>
                </c:pt>
                <c:pt idx="86">
                  <c:v>93.28</c:v>
                </c:pt>
                <c:pt idx="87">
                  <c:v>90.85</c:v>
                </c:pt>
                <c:pt idx="88">
                  <c:v>91.75</c:v>
                </c:pt>
                <c:pt idx="89">
                  <c:v>90.740000000000023</c:v>
                </c:pt>
                <c:pt idx="90">
                  <c:v>93.48</c:v>
                </c:pt>
                <c:pt idx="91">
                  <c:v>93.35</c:v>
                </c:pt>
                <c:pt idx="92">
                  <c:v>92.86</c:v>
                </c:pt>
                <c:pt idx="93">
                  <c:v>93.6</c:v>
                </c:pt>
                <c:pt idx="94">
                  <c:v>91.85</c:v>
                </c:pt>
                <c:pt idx="95">
                  <c:v>93.27</c:v>
                </c:pt>
                <c:pt idx="96">
                  <c:v>94.53</c:v>
                </c:pt>
                <c:pt idx="97">
                  <c:v>97.179999999999978</c:v>
                </c:pt>
                <c:pt idx="98">
                  <c:v>95.86999999999999</c:v>
                </c:pt>
                <c:pt idx="99">
                  <c:v>96.940000000000026</c:v>
                </c:pt>
                <c:pt idx="100">
                  <c:v>96.710000000000022</c:v>
                </c:pt>
                <c:pt idx="101">
                  <c:v>96.61</c:v>
                </c:pt>
                <c:pt idx="102">
                  <c:v>96.940000000000026</c:v>
                </c:pt>
                <c:pt idx="103">
                  <c:v>96.63</c:v>
                </c:pt>
                <c:pt idx="104">
                  <c:v>97.22</c:v>
                </c:pt>
                <c:pt idx="105">
                  <c:v>97.36999999999999</c:v>
                </c:pt>
                <c:pt idx="106">
                  <c:v>95.07</c:v>
                </c:pt>
                <c:pt idx="107">
                  <c:v>93.86</c:v>
                </c:pt>
                <c:pt idx="108">
                  <c:v>93.73</c:v>
                </c:pt>
                <c:pt idx="109">
                  <c:v>94.53</c:v>
                </c:pt>
                <c:pt idx="110">
                  <c:v>94.82</c:v>
                </c:pt>
                <c:pt idx="111">
                  <c:v>91.93</c:v>
                </c:pt>
                <c:pt idx="112">
                  <c:v>92.149999999999991</c:v>
                </c:pt>
                <c:pt idx="113">
                  <c:v>92.79</c:v>
                </c:pt>
                <c:pt idx="114">
                  <c:v>94.77</c:v>
                </c:pt>
                <c:pt idx="115">
                  <c:v>94.649999999999991</c:v>
                </c:pt>
                <c:pt idx="116">
                  <c:v>95.490000000000023</c:v>
                </c:pt>
                <c:pt idx="117">
                  <c:v>94.710000000000022</c:v>
                </c:pt>
                <c:pt idx="118">
                  <c:v>95.13</c:v>
                </c:pt>
                <c:pt idx="119">
                  <c:v>92.36999999999999</c:v>
                </c:pt>
                <c:pt idx="120">
                  <c:v>92.6</c:v>
                </c:pt>
                <c:pt idx="121">
                  <c:v>90.81</c:v>
                </c:pt>
                <c:pt idx="122">
                  <c:v>90.669999999999987</c:v>
                </c:pt>
                <c:pt idx="123">
                  <c:v>91</c:v>
                </c:pt>
                <c:pt idx="124">
                  <c:v>90.61999999999999</c:v>
                </c:pt>
                <c:pt idx="125">
                  <c:v>92.86</c:v>
                </c:pt>
                <c:pt idx="126">
                  <c:v>93.34</c:v>
                </c:pt>
                <c:pt idx="127">
                  <c:v>96.1</c:v>
                </c:pt>
                <c:pt idx="128">
                  <c:v>96.93</c:v>
                </c:pt>
                <c:pt idx="129">
                  <c:v>96.940000000000026</c:v>
                </c:pt>
                <c:pt idx="130">
                  <c:v>98.03</c:v>
                </c:pt>
                <c:pt idx="131">
                  <c:v>98.36</c:v>
                </c:pt>
                <c:pt idx="132">
                  <c:v>100.66</c:v>
                </c:pt>
                <c:pt idx="133">
                  <c:v>101.02</c:v>
                </c:pt>
                <c:pt idx="134">
                  <c:v>101.31</c:v>
                </c:pt>
                <c:pt idx="135">
                  <c:v>101.02</c:v>
                </c:pt>
                <c:pt idx="136">
                  <c:v>100.57</c:v>
                </c:pt>
                <c:pt idx="137">
                  <c:v>101.75</c:v>
                </c:pt>
                <c:pt idx="138">
                  <c:v>101.83</c:v>
                </c:pt>
                <c:pt idx="139">
                  <c:v>103.39</c:v>
                </c:pt>
                <c:pt idx="140">
                  <c:v>103.69</c:v>
                </c:pt>
                <c:pt idx="141">
                  <c:v>103.42</c:v>
                </c:pt>
                <c:pt idx="142">
                  <c:v>102.82</c:v>
                </c:pt>
                <c:pt idx="143">
                  <c:v>104.17999999999998</c:v>
                </c:pt>
                <c:pt idx="144">
                  <c:v>103.85</c:v>
                </c:pt>
                <c:pt idx="145">
                  <c:v>102.55</c:v>
                </c:pt>
                <c:pt idx="146">
                  <c:v>103.74000000000002</c:v>
                </c:pt>
                <c:pt idx="147">
                  <c:v>104.49000000000002</c:v>
                </c:pt>
                <c:pt idx="148">
                  <c:v>103.6</c:v>
                </c:pt>
                <c:pt idx="149">
                  <c:v>101.08</c:v>
                </c:pt>
                <c:pt idx="150">
                  <c:v>102.14</c:v>
                </c:pt>
                <c:pt idx="151">
                  <c:v>102.86</c:v>
                </c:pt>
                <c:pt idx="152">
                  <c:v>103.99000000000002</c:v>
                </c:pt>
                <c:pt idx="153">
                  <c:v>105.93</c:v>
                </c:pt>
                <c:pt idx="154">
                  <c:v>105.86</c:v>
                </c:pt>
                <c:pt idx="155">
                  <c:v>106.11</c:v>
                </c:pt>
                <c:pt idx="156">
                  <c:v>106.13</c:v>
                </c:pt>
                <c:pt idx="157">
                  <c:v>106.42</c:v>
                </c:pt>
                <c:pt idx="158">
                  <c:v>106.22</c:v>
                </c:pt>
                <c:pt idx="159">
                  <c:v>105.36</c:v>
                </c:pt>
                <c:pt idx="160">
                  <c:v>103.02</c:v>
                </c:pt>
                <c:pt idx="161">
                  <c:v>102.7</c:v>
                </c:pt>
                <c:pt idx="162">
                  <c:v>103.58</c:v>
                </c:pt>
                <c:pt idx="163">
                  <c:v>104.94000000000032</c:v>
                </c:pt>
                <c:pt idx="164">
                  <c:v>105.86</c:v>
                </c:pt>
                <c:pt idx="165">
                  <c:v>106.7</c:v>
                </c:pt>
                <c:pt idx="166">
                  <c:v>107.81</c:v>
                </c:pt>
                <c:pt idx="167">
                  <c:v>107.66999999999999</c:v>
                </c:pt>
                <c:pt idx="168">
                  <c:v>108.33</c:v>
                </c:pt>
                <c:pt idx="169">
                  <c:v>108.66999999999999</c:v>
                </c:pt>
                <c:pt idx="170">
                  <c:v>110.35</c:v>
                </c:pt>
                <c:pt idx="171">
                  <c:v>110.02</c:v>
                </c:pt>
                <c:pt idx="172">
                  <c:v>110.29</c:v>
                </c:pt>
                <c:pt idx="173">
                  <c:v>109.92</c:v>
                </c:pt>
                <c:pt idx="174">
                  <c:v>110.64</c:v>
                </c:pt>
                <c:pt idx="175">
                  <c:v>109.52</c:v>
                </c:pt>
                <c:pt idx="176">
                  <c:v>108.49000000000002</c:v>
                </c:pt>
                <c:pt idx="177">
                  <c:v>107.83</c:v>
                </c:pt>
                <c:pt idx="178">
                  <c:v>109.75</c:v>
                </c:pt>
                <c:pt idx="179">
                  <c:v>109.51</c:v>
                </c:pt>
                <c:pt idx="180">
                  <c:v>109.14999999999999</c:v>
                </c:pt>
                <c:pt idx="181">
                  <c:v>106.35</c:v>
                </c:pt>
                <c:pt idx="182">
                  <c:v>105.86</c:v>
                </c:pt>
                <c:pt idx="183">
                  <c:v>107.44000000000032</c:v>
                </c:pt>
                <c:pt idx="184">
                  <c:v>108.89</c:v>
                </c:pt>
                <c:pt idx="185">
                  <c:v>109.24000000000002</c:v>
                </c:pt>
                <c:pt idx="186">
                  <c:v>110.08</c:v>
                </c:pt>
                <c:pt idx="187">
                  <c:v>110.7</c:v>
                </c:pt>
                <c:pt idx="188">
                  <c:v>111.16999999999999</c:v>
                </c:pt>
                <c:pt idx="189">
                  <c:v>110.86999999999999</c:v>
                </c:pt>
                <c:pt idx="190">
                  <c:v>112.84</c:v>
                </c:pt>
                <c:pt idx="191">
                  <c:v>113.3</c:v>
                </c:pt>
                <c:pt idx="192">
                  <c:v>112.39</c:v>
                </c:pt>
                <c:pt idx="193">
                  <c:v>113.44000000000032</c:v>
                </c:pt>
                <c:pt idx="194">
                  <c:v>112.77</c:v>
                </c:pt>
                <c:pt idx="195">
                  <c:v>111.79</c:v>
                </c:pt>
                <c:pt idx="196">
                  <c:v>112.98</c:v>
                </c:pt>
                <c:pt idx="197">
                  <c:v>111.61</c:v>
                </c:pt>
                <c:pt idx="198">
                  <c:v>110.31</c:v>
                </c:pt>
                <c:pt idx="199">
                  <c:v>109.93</c:v>
                </c:pt>
                <c:pt idx="200">
                  <c:v>107.79</c:v>
                </c:pt>
                <c:pt idx="201">
                  <c:v>110.23</c:v>
                </c:pt>
                <c:pt idx="202">
                  <c:v>107.11999999999999</c:v>
                </c:pt>
                <c:pt idx="203">
                  <c:v>107.79</c:v>
                </c:pt>
                <c:pt idx="204">
                  <c:v>108.08</c:v>
                </c:pt>
                <c:pt idx="205">
                  <c:v>108.19</c:v>
                </c:pt>
                <c:pt idx="206">
                  <c:v>110.27</c:v>
                </c:pt>
                <c:pt idx="207">
                  <c:v>110.57</c:v>
                </c:pt>
                <c:pt idx="208">
                  <c:v>113.04</c:v>
                </c:pt>
                <c:pt idx="209">
                  <c:v>113.04</c:v>
                </c:pt>
                <c:pt idx="210">
                  <c:v>112.46000000000002</c:v>
                </c:pt>
                <c:pt idx="211">
                  <c:v>113.09</c:v>
                </c:pt>
                <c:pt idx="212">
                  <c:v>114.75</c:v>
                </c:pt>
                <c:pt idx="213">
                  <c:v>114.86999999999999</c:v>
                </c:pt>
                <c:pt idx="214">
                  <c:v>114.84</c:v>
                </c:pt>
                <c:pt idx="215">
                  <c:v>113.3</c:v>
                </c:pt>
                <c:pt idx="216">
                  <c:v>112.94000000000032</c:v>
                </c:pt>
                <c:pt idx="217">
                  <c:v>114.47</c:v>
                </c:pt>
                <c:pt idx="218">
                  <c:v>114.39</c:v>
                </c:pt>
                <c:pt idx="219">
                  <c:v>114.91000000000012</c:v>
                </c:pt>
                <c:pt idx="220">
                  <c:v>112.95</c:v>
                </c:pt>
                <c:pt idx="221">
                  <c:v>113.39</c:v>
                </c:pt>
                <c:pt idx="222">
                  <c:v>114.79</c:v>
                </c:pt>
                <c:pt idx="223">
                  <c:v>114.83</c:v>
                </c:pt>
                <c:pt idx="224">
                  <c:v>113.86</c:v>
                </c:pt>
                <c:pt idx="225">
                  <c:v>114.46000000000002</c:v>
                </c:pt>
                <c:pt idx="226">
                  <c:v>114.16</c:v>
                </c:pt>
                <c:pt idx="227">
                  <c:v>113</c:v>
                </c:pt>
                <c:pt idx="228">
                  <c:v>113.43</c:v>
                </c:pt>
                <c:pt idx="229">
                  <c:v>114.11</c:v>
                </c:pt>
                <c:pt idx="230">
                  <c:v>114.54</c:v>
                </c:pt>
                <c:pt idx="231">
                  <c:v>115.32</c:v>
                </c:pt>
                <c:pt idx="232">
                  <c:v>114.69</c:v>
                </c:pt>
                <c:pt idx="233">
                  <c:v>114.82</c:v>
                </c:pt>
                <c:pt idx="234">
                  <c:v>113.48</c:v>
                </c:pt>
                <c:pt idx="235">
                  <c:v>114.16</c:v>
                </c:pt>
                <c:pt idx="236">
                  <c:v>115.34</c:v>
                </c:pt>
                <c:pt idx="237">
                  <c:v>115.78</c:v>
                </c:pt>
                <c:pt idx="238">
                  <c:v>116.08</c:v>
                </c:pt>
                <c:pt idx="239">
                  <c:v>116.69</c:v>
                </c:pt>
                <c:pt idx="240">
                  <c:v>116.82</c:v>
                </c:pt>
                <c:pt idx="241">
                  <c:v>116.66</c:v>
                </c:pt>
                <c:pt idx="242">
                  <c:v>116.73</c:v>
                </c:pt>
                <c:pt idx="243">
                  <c:v>115.5</c:v>
                </c:pt>
                <c:pt idx="244">
                  <c:v>117.35</c:v>
                </c:pt>
                <c:pt idx="245">
                  <c:v>117.71000000000002</c:v>
                </c:pt>
                <c:pt idx="246">
                  <c:v>117.82</c:v>
                </c:pt>
                <c:pt idx="247">
                  <c:v>118.3</c:v>
                </c:pt>
                <c:pt idx="248">
                  <c:v>118.64</c:v>
                </c:pt>
                <c:pt idx="249">
                  <c:v>118.81</c:v>
                </c:pt>
                <c:pt idx="250">
                  <c:v>117.71000000000002</c:v>
                </c:pt>
                <c:pt idx="251">
                  <c:v>118.7</c:v>
                </c:pt>
                <c:pt idx="252">
                  <c:v>118.99000000000002</c:v>
                </c:pt>
                <c:pt idx="253">
                  <c:v>117.71000000000002</c:v>
                </c:pt>
                <c:pt idx="254">
                  <c:v>119.14999999999999</c:v>
                </c:pt>
                <c:pt idx="255">
                  <c:v>117.9</c:v>
                </c:pt>
                <c:pt idx="256">
                  <c:v>115.66</c:v>
                </c:pt>
                <c:pt idx="257">
                  <c:v>113.09</c:v>
                </c:pt>
                <c:pt idx="258">
                  <c:v>113.59</c:v>
                </c:pt>
                <c:pt idx="259">
                  <c:v>113.1</c:v>
                </c:pt>
                <c:pt idx="260">
                  <c:v>113.66999999999999</c:v>
                </c:pt>
                <c:pt idx="261">
                  <c:v>112.32</c:v>
                </c:pt>
                <c:pt idx="262">
                  <c:v>111.23</c:v>
                </c:pt>
                <c:pt idx="263">
                  <c:v>112.8</c:v>
                </c:pt>
                <c:pt idx="264">
                  <c:v>114.26</c:v>
                </c:pt>
                <c:pt idx="265">
                  <c:v>113.66</c:v>
                </c:pt>
                <c:pt idx="266">
                  <c:v>110.13</c:v>
                </c:pt>
                <c:pt idx="267">
                  <c:v>110.46000000000002</c:v>
                </c:pt>
                <c:pt idx="268">
                  <c:v>109.52</c:v>
                </c:pt>
                <c:pt idx="269">
                  <c:v>110.92</c:v>
                </c:pt>
                <c:pt idx="270">
                  <c:v>110.7</c:v>
                </c:pt>
                <c:pt idx="271">
                  <c:v>111.78</c:v>
                </c:pt>
                <c:pt idx="272">
                  <c:v>111.54</c:v>
                </c:pt>
                <c:pt idx="273">
                  <c:v>113.55</c:v>
                </c:pt>
                <c:pt idx="274">
                  <c:v>114.05</c:v>
                </c:pt>
                <c:pt idx="275">
                  <c:v>114.78</c:v>
                </c:pt>
                <c:pt idx="276">
                  <c:v>114.99000000000002</c:v>
                </c:pt>
                <c:pt idx="277">
                  <c:v>114.85</c:v>
                </c:pt>
                <c:pt idx="278">
                  <c:v>113.45</c:v>
                </c:pt>
                <c:pt idx="279">
                  <c:v>114.59</c:v>
                </c:pt>
                <c:pt idx="280">
                  <c:v>114.36999999999999</c:v>
                </c:pt>
                <c:pt idx="281">
                  <c:v>114.52</c:v>
                </c:pt>
                <c:pt idx="282">
                  <c:v>115.66</c:v>
                </c:pt>
                <c:pt idx="283">
                  <c:v>115.95</c:v>
                </c:pt>
                <c:pt idx="284">
                  <c:v>116.01</c:v>
                </c:pt>
                <c:pt idx="285">
                  <c:v>116.44000000000032</c:v>
                </c:pt>
                <c:pt idx="286">
                  <c:v>118.07</c:v>
                </c:pt>
                <c:pt idx="287">
                  <c:v>118.07</c:v>
                </c:pt>
                <c:pt idx="288">
                  <c:v>118.27</c:v>
                </c:pt>
                <c:pt idx="289">
                  <c:v>118.82</c:v>
                </c:pt>
                <c:pt idx="290">
                  <c:v>119.33</c:v>
                </c:pt>
                <c:pt idx="291">
                  <c:v>119.31</c:v>
                </c:pt>
                <c:pt idx="292">
                  <c:v>119.34</c:v>
                </c:pt>
                <c:pt idx="293">
                  <c:v>120.28</c:v>
                </c:pt>
                <c:pt idx="294">
                  <c:v>120.99000000000002</c:v>
                </c:pt>
                <c:pt idx="295">
                  <c:v>120.95</c:v>
                </c:pt>
                <c:pt idx="296">
                  <c:v>120.31</c:v>
                </c:pt>
                <c:pt idx="297">
                  <c:v>120.93</c:v>
                </c:pt>
                <c:pt idx="298">
                  <c:v>121.8</c:v>
                </c:pt>
                <c:pt idx="299">
                  <c:v>121.13</c:v>
                </c:pt>
                <c:pt idx="300">
                  <c:v>120.93</c:v>
                </c:pt>
                <c:pt idx="301">
                  <c:v>121</c:v>
                </c:pt>
                <c:pt idx="302">
                  <c:v>121.69</c:v>
                </c:pt>
                <c:pt idx="303">
                  <c:v>121.73</c:v>
                </c:pt>
                <c:pt idx="304">
                  <c:v>121.33</c:v>
                </c:pt>
                <c:pt idx="305">
                  <c:v>122.23</c:v>
                </c:pt>
                <c:pt idx="306">
                  <c:v>123.42</c:v>
                </c:pt>
                <c:pt idx="307">
                  <c:v>122.76</c:v>
                </c:pt>
                <c:pt idx="308">
                  <c:v>123.16999999999999</c:v>
                </c:pt>
                <c:pt idx="309">
                  <c:v>123.99000000000002</c:v>
                </c:pt>
                <c:pt idx="310">
                  <c:v>124.21000000000002</c:v>
                </c:pt>
                <c:pt idx="311">
                  <c:v>124.3</c:v>
                </c:pt>
                <c:pt idx="312">
                  <c:v>125.69</c:v>
                </c:pt>
                <c:pt idx="313">
                  <c:v>125.8</c:v>
                </c:pt>
                <c:pt idx="314">
                  <c:v>123.76</c:v>
                </c:pt>
                <c:pt idx="315">
                  <c:v>124.3</c:v>
                </c:pt>
                <c:pt idx="316">
                  <c:v>125.3</c:v>
                </c:pt>
                <c:pt idx="317">
                  <c:v>125.14</c:v>
                </c:pt>
                <c:pt idx="318">
                  <c:v>125.39</c:v>
                </c:pt>
                <c:pt idx="319">
                  <c:v>126.29</c:v>
                </c:pt>
                <c:pt idx="320">
                  <c:v>125.73</c:v>
                </c:pt>
                <c:pt idx="321">
                  <c:v>122.83</c:v>
                </c:pt>
                <c:pt idx="322">
                  <c:v>123.63</c:v>
                </c:pt>
                <c:pt idx="323">
                  <c:v>125.24000000000002</c:v>
                </c:pt>
                <c:pt idx="324">
                  <c:v>123.14</c:v>
                </c:pt>
                <c:pt idx="325">
                  <c:v>124.71000000000002</c:v>
                </c:pt>
                <c:pt idx="326">
                  <c:v>120.9</c:v>
                </c:pt>
                <c:pt idx="327">
                  <c:v>117</c:v>
                </c:pt>
                <c:pt idx="328">
                  <c:v>115.22</c:v>
                </c:pt>
                <c:pt idx="329">
                  <c:v>120.24000000000002</c:v>
                </c:pt>
                <c:pt idx="330">
                  <c:v>119.86999999999999</c:v>
                </c:pt>
                <c:pt idx="331">
                  <c:v>121.57</c:v>
                </c:pt>
                <c:pt idx="332">
                  <c:v>117.98</c:v>
                </c:pt>
                <c:pt idx="333">
                  <c:v>116.3</c:v>
                </c:pt>
                <c:pt idx="334">
                  <c:v>115.71000000000002</c:v>
                </c:pt>
                <c:pt idx="335">
                  <c:v>111.23</c:v>
                </c:pt>
                <c:pt idx="336">
                  <c:v>112.89</c:v>
                </c:pt>
                <c:pt idx="337">
                  <c:v>111.49000000000002</c:v>
                </c:pt>
                <c:pt idx="338">
                  <c:v>110.84</c:v>
                </c:pt>
                <c:pt idx="339">
                  <c:v>114.54</c:v>
                </c:pt>
                <c:pt idx="340">
                  <c:v>113.14</c:v>
                </c:pt>
                <c:pt idx="341">
                  <c:v>111.19</c:v>
                </c:pt>
                <c:pt idx="342">
                  <c:v>114.08</c:v>
                </c:pt>
                <c:pt idx="343">
                  <c:v>114.56</c:v>
                </c:pt>
                <c:pt idx="344">
                  <c:v>110.6</c:v>
                </c:pt>
                <c:pt idx="345">
                  <c:v>109.09</c:v>
                </c:pt>
                <c:pt idx="346">
                  <c:v>110.29</c:v>
                </c:pt>
                <c:pt idx="347">
                  <c:v>109.64999999999999</c:v>
                </c:pt>
                <c:pt idx="348">
                  <c:v>112.88</c:v>
                </c:pt>
                <c:pt idx="349">
                  <c:v>113.42</c:v>
                </c:pt>
                <c:pt idx="350">
                  <c:v>113.21000000000002</c:v>
                </c:pt>
                <c:pt idx="351">
                  <c:v>115.86999999999999</c:v>
                </c:pt>
                <c:pt idx="352">
                  <c:v>115.82</c:v>
                </c:pt>
                <c:pt idx="353">
                  <c:v>115.97</c:v>
                </c:pt>
                <c:pt idx="354">
                  <c:v>116.11999999999999</c:v>
                </c:pt>
                <c:pt idx="355">
                  <c:v>115.66999999999999</c:v>
                </c:pt>
                <c:pt idx="356">
                  <c:v>113.79</c:v>
                </c:pt>
                <c:pt idx="357">
                  <c:v>113.47</c:v>
                </c:pt>
                <c:pt idx="358">
                  <c:v>111.53</c:v>
                </c:pt>
                <c:pt idx="359">
                  <c:v>111.84</c:v>
                </c:pt>
                <c:pt idx="360">
                  <c:v>111.61999999999999</c:v>
                </c:pt>
                <c:pt idx="361">
                  <c:v>108.11999999999999</c:v>
                </c:pt>
                <c:pt idx="362">
                  <c:v>107.05</c:v>
                </c:pt>
                <c:pt idx="363">
                  <c:v>106.7</c:v>
                </c:pt>
                <c:pt idx="364">
                  <c:v>106.21000000000002</c:v>
                </c:pt>
                <c:pt idx="365">
                  <c:v>106.75</c:v>
                </c:pt>
                <c:pt idx="366">
                  <c:v>110.11</c:v>
                </c:pt>
                <c:pt idx="367">
                  <c:v>111.14999999999999</c:v>
                </c:pt>
                <c:pt idx="368">
                  <c:v>111.98</c:v>
                </c:pt>
                <c:pt idx="369">
                  <c:v>112.09</c:v>
                </c:pt>
                <c:pt idx="370">
                  <c:v>113.86999999999999</c:v>
                </c:pt>
                <c:pt idx="371">
                  <c:v>113.85</c:v>
                </c:pt>
                <c:pt idx="372">
                  <c:v>113.97</c:v>
                </c:pt>
                <c:pt idx="373">
                  <c:v>110.7</c:v>
                </c:pt>
                <c:pt idx="374">
                  <c:v>111.38</c:v>
                </c:pt>
                <c:pt idx="375">
                  <c:v>112.64999999999999</c:v>
                </c:pt>
                <c:pt idx="376">
                  <c:v>113.74000000000002</c:v>
                </c:pt>
                <c:pt idx="377">
                  <c:v>114.73</c:v>
                </c:pt>
                <c:pt idx="378">
                  <c:v>116.02</c:v>
                </c:pt>
                <c:pt idx="379">
                  <c:v>115.89</c:v>
                </c:pt>
                <c:pt idx="380">
                  <c:v>115.05</c:v>
                </c:pt>
                <c:pt idx="381">
                  <c:v>114.58</c:v>
                </c:pt>
                <c:pt idx="382">
                  <c:v>114.6</c:v>
                </c:pt>
                <c:pt idx="383">
                  <c:v>117.13</c:v>
                </c:pt>
                <c:pt idx="384">
                  <c:v>116.54</c:v>
                </c:pt>
                <c:pt idx="385">
                  <c:v>117.3</c:v>
                </c:pt>
                <c:pt idx="386">
                  <c:v>117.16</c:v>
                </c:pt>
                <c:pt idx="387">
                  <c:v>116.73</c:v>
                </c:pt>
                <c:pt idx="388">
                  <c:v>117.36999999999999</c:v>
                </c:pt>
                <c:pt idx="389">
                  <c:v>116.66</c:v>
                </c:pt>
                <c:pt idx="390">
                  <c:v>113.42</c:v>
                </c:pt>
                <c:pt idx="391">
                  <c:v>112.84</c:v>
                </c:pt>
                <c:pt idx="392">
                  <c:v>112.36999999999999</c:v>
                </c:pt>
                <c:pt idx="393">
                  <c:v>112.4</c:v>
                </c:pt>
                <c:pt idx="394">
                  <c:v>113.79</c:v>
                </c:pt>
                <c:pt idx="395">
                  <c:v>113.94000000000032</c:v>
                </c:pt>
                <c:pt idx="396">
                  <c:v>112.08</c:v>
                </c:pt>
                <c:pt idx="397">
                  <c:v>111.66999999999999</c:v>
                </c:pt>
                <c:pt idx="398">
                  <c:v>111.19</c:v>
                </c:pt>
                <c:pt idx="399">
                  <c:v>109.55</c:v>
                </c:pt>
                <c:pt idx="400">
                  <c:v>109.95</c:v>
                </c:pt>
                <c:pt idx="401">
                  <c:v>109.09</c:v>
                </c:pt>
                <c:pt idx="402">
                  <c:v>110.92</c:v>
                </c:pt>
                <c:pt idx="403">
                  <c:v>109.28</c:v>
                </c:pt>
                <c:pt idx="404">
                  <c:v>109.33</c:v>
                </c:pt>
                <c:pt idx="405">
                  <c:v>112.59</c:v>
                </c:pt>
                <c:pt idx="406">
                  <c:v>113.61999999999999</c:v>
                </c:pt>
                <c:pt idx="407">
                  <c:v>115.13</c:v>
                </c:pt>
                <c:pt idx="408">
                  <c:v>113.81</c:v>
                </c:pt>
                <c:pt idx="409">
                  <c:v>114.53</c:v>
                </c:pt>
                <c:pt idx="410">
                  <c:v>115.08</c:v>
                </c:pt>
                <c:pt idx="411">
                  <c:v>115.63</c:v>
                </c:pt>
                <c:pt idx="412">
                  <c:v>116.98</c:v>
                </c:pt>
                <c:pt idx="413">
                  <c:v>116.92</c:v>
                </c:pt>
                <c:pt idx="414">
                  <c:v>117.33</c:v>
                </c:pt>
                <c:pt idx="415">
                  <c:v>117.31</c:v>
                </c:pt>
                <c:pt idx="416">
                  <c:v>117.42</c:v>
                </c:pt>
                <c:pt idx="417">
                  <c:v>119.2</c:v>
                </c:pt>
                <c:pt idx="418">
                  <c:v>118.9</c:v>
                </c:pt>
                <c:pt idx="419">
                  <c:v>118.34</c:v>
                </c:pt>
                <c:pt idx="420">
                  <c:v>117.39</c:v>
                </c:pt>
                <c:pt idx="421">
                  <c:v>119.88</c:v>
                </c:pt>
                <c:pt idx="422">
                  <c:v>119.2</c:v>
                </c:pt>
                <c:pt idx="423">
                  <c:v>119.81</c:v>
                </c:pt>
                <c:pt idx="424">
                  <c:v>119.54</c:v>
                </c:pt>
                <c:pt idx="425">
                  <c:v>119.16999999999999</c:v>
                </c:pt>
                <c:pt idx="426">
                  <c:v>119.72</c:v>
                </c:pt>
                <c:pt idx="427">
                  <c:v>118.74000000000002</c:v>
                </c:pt>
                <c:pt idx="428">
                  <c:v>121.22</c:v>
                </c:pt>
                <c:pt idx="429">
                  <c:v>121.16</c:v>
                </c:pt>
                <c:pt idx="430">
                  <c:v>120.99000000000002</c:v>
                </c:pt>
                <c:pt idx="431">
                  <c:v>121.75</c:v>
                </c:pt>
                <c:pt idx="432">
                  <c:v>121.77</c:v>
                </c:pt>
                <c:pt idx="433">
                  <c:v>122.21000000000002</c:v>
                </c:pt>
                <c:pt idx="434">
                  <c:v>123.1</c:v>
                </c:pt>
                <c:pt idx="435">
                  <c:v>122.66</c:v>
                </c:pt>
                <c:pt idx="436">
                  <c:v>122.91000000000012</c:v>
                </c:pt>
                <c:pt idx="437">
                  <c:v>121.79</c:v>
                </c:pt>
                <c:pt idx="438">
                  <c:v>123.09</c:v>
                </c:pt>
                <c:pt idx="439">
                  <c:v>123.3</c:v>
                </c:pt>
                <c:pt idx="440">
                  <c:v>123.61</c:v>
                </c:pt>
                <c:pt idx="441">
                  <c:v>123.89</c:v>
                </c:pt>
                <c:pt idx="442">
                  <c:v>123.93</c:v>
                </c:pt>
                <c:pt idx="443">
                  <c:v>123.64999999999999</c:v>
                </c:pt>
                <c:pt idx="444">
                  <c:v>123.82</c:v>
                </c:pt>
                <c:pt idx="445">
                  <c:v>123.76</c:v>
                </c:pt>
                <c:pt idx="446">
                  <c:v>124.85</c:v>
                </c:pt>
                <c:pt idx="447">
                  <c:v>125.31</c:v>
                </c:pt>
                <c:pt idx="448">
                  <c:v>127.75</c:v>
                </c:pt>
                <c:pt idx="449">
                  <c:v>128.25</c:v>
                </c:pt>
                <c:pt idx="450">
                  <c:v>127.99000000000002</c:v>
                </c:pt>
                <c:pt idx="451">
                  <c:v>127.01</c:v>
                </c:pt>
                <c:pt idx="452">
                  <c:v>127.6</c:v>
                </c:pt>
                <c:pt idx="453">
                  <c:v>125.57</c:v>
                </c:pt>
                <c:pt idx="454">
                  <c:v>125.42</c:v>
                </c:pt>
                <c:pt idx="455">
                  <c:v>123.38</c:v>
                </c:pt>
                <c:pt idx="456">
                  <c:v>123.44000000000032</c:v>
                </c:pt>
                <c:pt idx="457">
                  <c:v>125.34</c:v>
                </c:pt>
                <c:pt idx="458">
                  <c:v>125.67999999999998</c:v>
                </c:pt>
                <c:pt idx="459">
                  <c:v>125.5</c:v>
                </c:pt>
                <c:pt idx="460">
                  <c:v>123.67999999999998</c:v>
                </c:pt>
                <c:pt idx="461">
                  <c:v>125.53</c:v>
                </c:pt>
                <c:pt idx="462">
                  <c:v>124.6</c:v>
                </c:pt>
                <c:pt idx="463">
                  <c:v>124.45</c:v>
                </c:pt>
                <c:pt idx="464">
                  <c:v>123.69</c:v>
                </c:pt>
                <c:pt idx="465">
                  <c:v>126.41000000000012</c:v>
                </c:pt>
                <c:pt idx="466">
                  <c:v>128.04</c:v>
                </c:pt>
                <c:pt idx="467">
                  <c:v>128.38000000000127</c:v>
                </c:pt>
                <c:pt idx="468">
                  <c:v>128.22</c:v>
                </c:pt>
                <c:pt idx="469">
                  <c:v>128.26999999999998</c:v>
                </c:pt>
                <c:pt idx="470">
                  <c:v>128.75</c:v>
                </c:pt>
                <c:pt idx="471">
                  <c:v>129.23999999999998</c:v>
                </c:pt>
                <c:pt idx="472">
                  <c:v>130.01</c:v>
                </c:pt>
                <c:pt idx="473">
                  <c:v>130.02000000000001</c:v>
                </c:pt>
                <c:pt idx="474">
                  <c:v>130.15</c:v>
                </c:pt>
                <c:pt idx="475">
                  <c:v>129.47</c:v>
                </c:pt>
                <c:pt idx="476">
                  <c:v>130.29</c:v>
                </c:pt>
                <c:pt idx="477">
                  <c:v>130.44</c:v>
                </c:pt>
                <c:pt idx="478">
                  <c:v>130.76999999999998</c:v>
                </c:pt>
                <c:pt idx="479">
                  <c:v>131.57</c:v>
                </c:pt>
                <c:pt idx="480">
                  <c:v>132.02000000000001</c:v>
                </c:pt>
                <c:pt idx="481">
                  <c:v>131.81</c:v>
                </c:pt>
                <c:pt idx="482">
                  <c:v>131.87</c:v>
                </c:pt>
                <c:pt idx="483">
                  <c:v>131.96</c:v>
                </c:pt>
                <c:pt idx="484">
                  <c:v>132.13</c:v>
                </c:pt>
                <c:pt idx="485">
                  <c:v>131.94999999999999</c:v>
                </c:pt>
                <c:pt idx="486">
                  <c:v>131.93</c:v>
                </c:pt>
                <c:pt idx="487">
                  <c:v>133.41</c:v>
                </c:pt>
                <c:pt idx="488">
                  <c:v>133.22999999999999</c:v>
                </c:pt>
                <c:pt idx="489">
                  <c:v>133.9</c:v>
                </c:pt>
                <c:pt idx="490">
                  <c:v>133.65</c:v>
                </c:pt>
                <c:pt idx="491">
                  <c:v>133.4</c:v>
                </c:pt>
                <c:pt idx="492">
                  <c:v>133.22999999999999</c:v>
                </c:pt>
                <c:pt idx="493">
                  <c:v>133.75</c:v>
                </c:pt>
                <c:pt idx="494">
                  <c:v>134.96</c:v>
                </c:pt>
                <c:pt idx="495">
                  <c:v>134.72999999999999</c:v>
                </c:pt>
                <c:pt idx="496">
                  <c:v>135.72</c:v>
                </c:pt>
                <c:pt idx="497">
                  <c:v>135.91999999999999</c:v>
                </c:pt>
                <c:pt idx="498">
                  <c:v>134.51</c:v>
                </c:pt>
                <c:pt idx="499">
                  <c:v>134.33000000000001</c:v>
                </c:pt>
                <c:pt idx="500">
                  <c:v>134.66</c:v>
                </c:pt>
                <c:pt idx="501">
                  <c:v>135.44999999999999</c:v>
                </c:pt>
                <c:pt idx="502">
                  <c:v>135.47999999999999</c:v>
                </c:pt>
                <c:pt idx="503">
                  <c:v>136.18</c:v>
                </c:pt>
                <c:pt idx="504">
                  <c:v>136.47</c:v>
                </c:pt>
                <c:pt idx="505">
                  <c:v>134.02000000000001</c:v>
                </c:pt>
                <c:pt idx="506">
                  <c:v>135.05000000000001</c:v>
                </c:pt>
                <c:pt idx="507">
                  <c:v>137.32000000000087</c:v>
                </c:pt>
                <c:pt idx="508">
                  <c:v>136.97</c:v>
                </c:pt>
                <c:pt idx="509">
                  <c:v>137.28</c:v>
                </c:pt>
                <c:pt idx="510">
                  <c:v>137.66</c:v>
                </c:pt>
                <c:pt idx="511">
                  <c:v>138.49</c:v>
                </c:pt>
                <c:pt idx="512">
                  <c:v>139.09</c:v>
                </c:pt>
                <c:pt idx="513">
                  <c:v>138.70999999999998</c:v>
                </c:pt>
                <c:pt idx="514">
                  <c:v>138.84</c:v>
                </c:pt>
                <c:pt idx="515">
                  <c:v>139.62</c:v>
                </c:pt>
                <c:pt idx="516">
                  <c:v>139.97</c:v>
                </c:pt>
                <c:pt idx="517">
                  <c:v>139.52000000000001</c:v>
                </c:pt>
                <c:pt idx="518">
                  <c:v>140.44</c:v>
                </c:pt>
                <c:pt idx="519">
                  <c:v>140.9</c:v>
                </c:pt>
                <c:pt idx="520">
                  <c:v>141.18</c:v>
                </c:pt>
                <c:pt idx="521">
                  <c:v>138.20999999999998</c:v>
                </c:pt>
                <c:pt idx="522">
                  <c:v>137.33000000000001</c:v>
                </c:pt>
                <c:pt idx="523">
                  <c:v>137.23999999999998</c:v>
                </c:pt>
                <c:pt idx="524">
                  <c:v>138.72</c:v>
                </c:pt>
                <c:pt idx="525">
                  <c:v>139.44999999999999</c:v>
                </c:pt>
                <c:pt idx="526">
                  <c:v>137.22999999999999</c:v>
                </c:pt>
                <c:pt idx="527">
                  <c:v>137.47</c:v>
                </c:pt>
                <c:pt idx="528">
                  <c:v>139.85000000000107</c:v>
                </c:pt>
                <c:pt idx="529">
                  <c:v>138.83000000000001</c:v>
                </c:pt>
                <c:pt idx="530">
                  <c:v>137.66999999999999</c:v>
                </c:pt>
                <c:pt idx="531">
                  <c:v>138.89000000000001</c:v>
                </c:pt>
                <c:pt idx="532">
                  <c:v>138.70999999999998</c:v>
                </c:pt>
                <c:pt idx="533">
                  <c:v>136.07</c:v>
                </c:pt>
                <c:pt idx="534">
                  <c:v>137.06</c:v>
                </c:pt>
                <c:pt idx="535">
                  <c:v>136.23999999999998</c:v>
                </c:pt>
                <c:pt idx="536">
                  <c:v>134.69999999999999</c:v>
                </c:pt>
                <c:pt idx="537">
                  <c:v>132.09</c:v>
                </c:pt>
                <c:pt idx="538">
                  <c:v>133.84</c:v>
                </c:pt>
                <c:pt idx="539">
                  <c:v>134.41</c:v>
                </c:pt>
                <c:pt idx="540">
                  <c:v>136.4</c:v>
                </c:pt>
                <c:pt idx="541">
                  <c:v>135.9</c:v>
                </c:pt>
                <c:pt idx="542">
                  <c:v>136.32000000000087</c:v>
                </c:pt>
                <c:pt idx="543">
                  <c:v>137.63999999999999</c:v>
                </c:pt>
                <c:pt idx="544">
                  <c:v>138.09</c:v>
                </c:pt>
                <c:pt idx="545">
                  <c:v>137.69</c:v>
                </c:pt>
                <c:pt idx="546">
                  <c:v>138.72</c:v>
                </c:pt>
                <c:pt idx="547">
                  <c:v>139.66999999999999</c:v>
                </c:pt>
                <c:pt idx="548">
                  <c:v>139.44</c:v>
                </c:pt>
                <c:pt idx="549">
                  <c:v>140.15</c:v>
                </c:pt>
                <c:pt idx="550">
                  <c:v>140.22</c:v>
                </c:pt>
                <c:pt idx="551">
                  <c:v>140.19</c:v>
                </c:pt>
                <c:pt idx="552">
                  <c:v>140.52000000000001</c:v>
                </c:pt>
                <c:pt idx="553">
                  <c:v>140.33000000000001</c:v>
                </c:pt>
                <c:pt idx="554">
                  <c:v>139.76</c:v>
                </c:pt>
                <c:pt idx="555">
                  <c:v>139.38000000000127</c:v>
                </c:pt>
                <c:pt idx="556">
                  <c:v>138.30000000000001</c:v>
                </c:pt>
                <c:pt idx="557">
                  <c:v>138.39000000000001</c:v>
                </c:pt>
                <c:pt idx="558">
                  <c:v>138.41999999999999</c:v>
                </c:pt>
                <c:pt idx="559">
                  <c:v>138.99</c:v>
                </c:pt>
                <c:pt idx="560">
                  <c:v>137.44</c:v>
                </c:pt>
                <c:pt idx="561">
                  <c:v>138.23999999999998</c:v>
                </c:pt>
                <c:pt idx="562">
                  <c:v>140.13</c:v>
                </c:pt>
                <c:pt idx="563">
                  <c:v>140.85000000000107</c:v>
                </c:pt>
                <c:pt idx="564">
                  <c:v>141.89000000000001</c:v>
                </c:pt>
                <c:pt idx="565">
                  <c:v>142.82000000000087</c:v>
                </c:pt>
                <c:pt idx="566">
                  <c:v>143.33000000000001</c:v>
                </c:pt>
                <c:pt idx="567">
                  <c:v>143.63999999999999</c:v>
                </c:pt>
                <c:pt idx="568">
                  <c:v>143.4</c:v>
                </c:pt>
                <c:pt idx="569">
                  <c:v>142.84</c:v>
                </c:pt>
                <c:pt idx="570">
                  <c:v>141.88000000000127</c:v>
                </c:pt>
                <c:pt idx="571">
                  <c:v>140.63</c:v>
                </c:pt>
                <c:pt idx="572">
                  <c:v>141.19</c:v>
                </c:pt>
                <c:pt idx="573">
                  <c:v>141.84</c:v>
                </c:pt>
                <c:pt idx="574">
                  <c:v>143</c:v>
                </c:pt>
                <c:pt idx="575">
                  <c:v>141.46</c:v>
                </c:pt>
                <c:pt idx="576">
                  <c:v>142.18</c:v>
                </c:pt>
                <c:pt idx="577">
                  <c:v>141.02000000000001</c:v>
                </c:pt>
                <c:pt idx="578">
                  <c:v>140.12</c:v>
                </c:pt>
                <c:pt idx="579">
                  <c:v>140.08000000000001</c:v>
                </c:pt>
                <c:pt idx="580">
                  <c:v>141.35000000000107</c:v>
                </c:pt>
                <c:pt idx="581">
                  <c:v>141.66999999999999</c:v>
                </c:pt>
                <c:pt idx="582">
                  <c:v>140.58000000000001</c:v>
                </c:pt>
                <c:pt idx="583">
                  <c:v>138.89000000000001</c:v>
                </c:pt>
                <c:pt idx="584">
                  <c:v>138.76999999999998</c:v>
                </c:pt>
                <c:pt idx="585">
                  <c:v>139.22999999999999</c:v>
                </c:pt>
                <c:pt idx="586">
                  <c:v>139.86000000000001</c:v>
                </c:pt>
                <c:pt idx="587">
                  <c:v>140.44999999999999</c:v>
                </c:pt>
                <c:pt idx="588">
                  <c:v>141.9</c:v>
                </c:pt>
                <c:pt idx="589">
                  <c:v>138.69</c:v>
                </c:pt>
                <c:pt idx="590">
                  <c:v>135.69999999999999</c:v>
                </c:pt>
                <c:pt idx="591">
                  <c:v>135.6</c:v>
                </c:pt>
                <c:pt idx="592">
                  <c:v>135.03</c:v>
                </c:pt>
                <c:pt idx="593">
                  <c:v>136.02000000000001</c:v>
                </c:pt>
                <c:pt idx="594">
                  <c:v>134.10999999999999</c:v>
                </c:pt>
                <c:pt idx="595">
                  <c:v>135.94</c:v>
                </c:pt>
                <c:pt idx="596">
                  <c:v>133.53</c:v>
                </c:pt>
                <c:pt idx="597">
                  <c:v>133.73999999999998</c:v>
                </c:pt>
                <c:pt idx="598">
                  <c:v>134.12</c:v>
                </c:pt>
                <c:pt idx="599">
                  <c:v>134.86000000000001</c:v>
                </c:pt>
                <c:pt idx="600">
                  <c:v>136.69999999999999</c:v>
                </c:pt>
                <c:pt idx="601">
                  <c:v>135.82000000000087</c:v>
                </c:pt>
                <c:pt idx="602">
                  <c:v>135.44</c:v>
                </c:pt>
                <c:pt idx="603">
                  <c:v>133.86000000000001</c:v>
                </c:pt>
                <c:pt idx="604">
                  <c:v>135.09</c:v>
                </c:pt>
                <c:pt idx="605">
                  <c:v>136.9</c:v>
                </c:pt>
                <c:pt idx="606">
                  <c:v>138.06</c:v>
                </c:pt>
                <c:pt idx="607">
                  <c:v>139.43</c:v>
                </c:pt>
                <c:pt idx="608">
                  <c:v>141.47</c:v>
                </c:pt>
                <c:pt idx="609">
                  <c:v>141.30000000000001</c:v>
                </c:pt>
                <c:pt idx="610">
                  <c:v>141.47999999999999</c:v>
                </c:pt>
                <c:pt idx="611">
                  <c:v>142.94999999999999</c:v>
                </c:pt>
                <c:pt idx="612">
                  <c:v>141.96</c:v>
                </c:pt>
                <c:pt idx="613">
                  <c:v>139.37</c:v>
                </c:pt>
                <c:pt idx="614">
                  <c:v>138.72999999999999</c:v>
                </c:pt>
                <c:pt idx="615">
                  <c:v>139.16</c:v>
                </c:pt>
                <c:pt idx="616">
                  <c:v>138.19999999999999</c:v>
                </c:pt>
                <c:pt idx="617">
                  <c:v>138.99</c:v>
                </c:pt>
                <c:pt idx="618">
                  <c:v>137.82000000000087</c:v>
                </c:pt>
                <c:pt idx="619">
                  <c:v>140.1</c:v>
                </c:pt>
                <c:pt idx="620">
                  <c:v>140</c:v>
                </c:pt>
                <c:pt idx="621">
                  <c:v>142.04</c:v>
                </c:pt>
                <c:pt idx="622">
                  <c:v>141.22999999999999</c:v>
                </c:pt>
                <c:pt idx="623">
                  <c:v>140.66999999999999</c:v>
                </c:pt>
                <c:pt idx="624">
                  <c:v>137.80000000000001</c:v>
                </c:pt>
                <c:pt idx="625">
                  <c:v>137.36000000000001</c:v>
                </c:pt>
                <c:pt idx="626">
                  <c:v>136.44999999999999</c:v>
                </c:pt>
                <c:pt idx="627">
                  <c:v>135.84</c:v>
                </c:pt>
                <c:pt idx="628">
                  <c:v>132.32000000000087</c:v>
                </c:pt>
                <c:pt idx="629">
                  <c:v>133.04</c:v>
                </c:pt>
                <c:pt idx="630">
                  <c:v>126.61999999999999</c:v>
                </c:pt>
                <c:pt idx="631">
                  <c:v>126.52</c:v>
                </c:pt>
                <c:pt idx="632">
                  <c:v>117.97</c:v>
                </c:pt>
                <c:pt idx="633">
                  <c:v>123.6</c:v>
                </c:pt>
                <c:pt idx="634">
                  <c:v>118.28</c:v>
                </c:pt>
                <c:pt idx="635">
                  <c:v>123.74000000000002</c:v>
                </c:pt>
                <c:pt idx="636">
                  <c:v>124.43</c:v>
                </c:pt>
                <c:pt idx="637">
                  <c:v>125.93</c:v>
                </c:pt>
                <c:pt idx="638">
                  <c:v>126.05</c:v>
                </c:pt>
                <c:pt idx="639">
                  <c:v>120.36999999999999</c:v>
                </c:pt>
                <c:pt idx="640">
                  <c:v>118.54</c:v>
                </c:pt>
                <c:pt idx="641">
                  <c:v>118.58</c:v>
                </c:pt>
                <c:pt idx="642">
                  <c:v>122.66999999999999</c:v>
                </c:pt>
                <c:pt idx="643">
                  <c:v>124.3</c:v>
                </c:pt>
                <c:pt idx="644">
                  <c:v>122.34</c:v>
                </c:pt>
                <c:pt idx="645">
                  <c:v>124.23</c:v>
                </c:pt>
                <c:pt idx="646">
                  <c:v>127.77</c:v>
                </c:pt>
                <c:pt idx="647">
                  <c:v>128.1</c:v>
                </c:pt>
                <c:pt idx="648">
                  <c:v>128.73999999999998</c:v>
                </c:pt>
                <c:pt idx="649">
                  <c:v>127.24000000000002</c:v>
                </c:pt>
                <c:pt idx="650">
                  <c:v>124</c:v>
                </c:pt>
                <c:pt idx="651">
                  <c:v>123.09</c:v>
                </c:pt>
                <c:pt idx="652">
                  <c:v>126.66999999999999</c:v>
                </c:pt>
                <c:pt idx="653">
                  <c:v>125.33</c:v>
                </c:pt>
                <c:pt idx="654">
                  <c:v>121.96000000000002</c:v>
                </c:pt>
                <c:pt idx="655">
                  <c:v>122.8</c:v>
                </c:pt>
                <c:pt idx="656">
                  <c:v>124</c:v>
                </c:pt>
                <c:pt idx="657">
                  <c:v>125.67999999999998</c:v>
                </c:pt>
                <c:pt idx="658">
                  <c:v>127.88</c:v>
                </c:pt>
                <c:pt idx="659">
                  <c:v>128.57</c:v>
                </c:pt>
                <c:pt idx="660">
                  <c:v>127.33</c:v>
                </c:pt>
                <c:pt idx="661">
                  <c:v>127.1</c:v>
                </c:pt>
                <c:pt idx="662">
                  <c:v>123.35</c:v>
                </c:pt>
                <c:pt idx="663">
                  <c:v>119.36</c:v>
                </c:pt>
                <c:pt idx="664">
                  <c:v>120.09</c:v>
                </c:pt>
                <c:pt idx="665">
                  <c:v>122.81</c:v>
                </c:pt>
                <c:pt idx="666">
                  <c:v>124.16999999999999</c:v>
                </c:pt>
                <c:pt idx="667">
                  <c:v>121.6</c:v>
                </c:pt>
                <c:pt idx="668">
                  <c:v>122.55</c:v>
                </c:pt>
                <c:pt idx="669">
                  <c:v>119.46000000000002</c:v>
                </c:pt>
                <c:pt idx="670">
                  <c:v>116.05</c:v>
                </c:pt>
                <c:pt idx="671">
                  <c:v>118.7</c:v>
                </c:pt>
                <c:pt idx="672">
                  <c:v>120.91000000000012</c:v>
                </c:pt>
                <c:pt idx="673">
                  <c:v>123.17999999999998</c:v>
                </c:pt>
                <c:pt idx="674">
                  <c:v>122.16999999999999</c:v>
                </c:pt>
                <c:pt idx="675">
                  <c:v>126.35</c:v>
                </c:pt>
                <c:pt idx="676">
                  <c:v>126.42</c:v>
                </c:pt>
                <c:pt idx="677">
                  <c:v>127.69</c:v>
                </c:pt>
                <c:pt idx="678">
                  <c:v>127.31</c:v>
                </c:pt>
                <c:pt idx="679">
                  <c:v>129.55000000000001</c:v>
                </c:pt>
                <c:pt idx="680">
                  <c:v>127.05</c:v>
                </c:pt>
                <c:pt idx="681">
                  <c:v>129.65</c:v>
                </c:pt>
                <c:pt idx="682">
                  <c:v>128.04</c:v>
                </c:pt>
                <c:pt idx="683">
                  <c:v>128.56</c:v>
                </c:pt>
                <c:pt idx="684">
                  <c:v>130.97999999999999</c:v>
                </c:pt>
                <c:pt idx="685">
                  <c:v>132.70999999999998</c:v>
                </c:pt>
                <c:pt idx="686">
                  <c:v>130.06</c:v>
                </c:pt>
                <c:pt idx="687">
                  <c:v>131.44999999999999</c:v>
                </c:pt>
                <c:pt idx="688">
                  <c:v>136.01</c:v>
                </c:pt>
                <c:pt idx="689">
                  <c:v>136.07</c:v>
                </c:pt>
                <c:pt idx="690">
                  <c:v>132.69</c:v>
                </c:pt>
                <c:pt idx="691">
                  <c:v>131.09</c:v>
                </c:pt>
                <c:pt idx="692">
                  <c:v>133.56</c:v>
                </c:pt>
                <c:pt idx="693">
                  <c:v>132.75</c:v>
                </c:pt>
                <c:pt idx="694">
                  <c:v>133.56</c:v>
                </c:pt>
                <c:pt idx="695">
                  <c:v>135.18</c:v>
                </c:pt>
                <c:pt idx="696">
                  <c:v>130.20999999999998</c:v>
                </c:pt>
                <c:pt idx="697">
                  <c:v>131.36000000000001</c:v>
                </c:pt>
                <c:pt idx="698">
                  <c:v>132.68</c:v>
                </c:pt>
                <c:pt idx="699">
                  <c:v>133.35000000000107</c:v>
                </c:pt>
                <c:pt idx="700">
                  <c:v>131.16999999999999</c:v>
                </c:pt>
                <c:pt idx="701">
                  <c:v>128.91999999999999</c:v>
                </c:pt>
                <c:pt idx="702">
                  <c:v>128.86000000000001</c:v>
                </c:pt>
                <c:pt idx="703">
                  <c:v>126.44000000000032</c:v>
                </c:pt>
                <c:pt idx="704">
                  <c:v>125.92</c:v>
                </c:pt>
                <c:pt idx="705">
                  <c:v>123.11999999999999</c:v>
                </c:pt>
                <c:pt idx="706">
                  <c:v>122.79</c:v>
                </c:pt>
                <c:pt idx="707">
                  <c:v>126.4</c:v>
                </c:pt>
                <c:pt idx="708">
                  <c:v>126.71000000000002</c:v>
                </c:pt>
                <c:pt idx="709">
                  <c:v>132.26</c:v>
                </c:pt>
                <c:pt idx="710">
                  <c:v>132</c:v>
                </c:pt>
                <c:pt idx="711">
                  <c:v>131.97</c:v>
                </c:pt>
                <c:pt idx="712">
                  <c:v>133.33000000000001</c:v>
                </c:pt>
                <c:pt idx="713">
                  <c:v>133.44999999999999</c:v>
                </c:pt>
                <c:pt idx="714">
                  <c:v>133.69999999999999</c:v>
                </c:pt>
                <c:pt idx="715">
                  <c:v>130.85000000000107</c:v>
                </c:pt>
                <c:pt idx="716">
                  <c:v>133.07</c:v>
                </c:pt>
                <c:pt idx="717">
                  <c:v>131.07</c:v>
                </c:pt>
                <c:pt idx="718">
                  <c:v>129.93</c:v>
                </c:pt>
                <c:pt idx="719">
                  <c:v>128.44</c:v>
                </c:pt>
                <c:pt idx="720">
                  <c:v>128.87</c:v>
                </c:pt>
                <c:pt idx="721">
                  <c:v>129.30000000000001</c:v>
                </c:pt>
                <c:pt idx="722">
                  <c:v>127.76</c:v>
                </c:pt>
                <c:pt idx="723">
                  <c:v>131.6</c:v>
                </c:pt>
                <c:pt idx="724">
                  <c:v>131.82000000000087</c:v>
                </c:pt>
                <c:pt idx="725">
                  <c:v>132.94999999999999</c:v>
                </c:pt>
                <c:pt idx="726">
                  <c:v>134.15</c:v>
                </c:pt>
                <c:pt idx="727">
                  <c:v>134.16999999999999</c:v>
                </c:pt>
                <c:pt idx="728">
                  <c:v>132.5</c:v>
                </c:pt>
                <c:pt idx="729">
                  <c:v>133.91999999999999</c:v>
                </c:pt>
                <c:pt idx="730">
                  <c:v>133.36000000000001</c:v>
                </c:pt>
                <c:pt idx="731">
                  <c:v>135.41</c:v>
                </c:pt>
                <c:pt idx="732">
                  <c:v>135.44999999999999</c:v>
                </c:pt>
                <c:pt idx="733">
                  <c:v>135.86000000000001</c:v>
                </c:pt>
                <c:pt idx="734">
                  <c:v>135.56</c:v>
                </c:pt>
                <c:pt idx="735">
                  <c:v>135.85000000000107</c:v>
                </c:pt>
                <c:pt idx="736">
                  <c:v>137.07</c:v>
                </c:pt>
                <c:pt idx="737">
                  <c:v>137.13</c:v>
                </c:pt>
                <c:pt idx="738">
                  <c:v>137.46</c:v>
                </c:pt>
                <c:pt idx="739">
                  <c:v>136.78</c:v>
                </c:pt>
                <c:pt idx="740">
                  <c:v>137.26999999999998</c:v>
                </c:pt>
                <c:pt idx="741">
                  <c:v>138.82000000000087</c:v>
                </c:pt>
                <c:pt idx="742">
                  <c:v>139.51</c:v>
                </c:pt>
                <c:pt idx="743">
                  <c:v>139.58000000000001</c:v>
                </c:pt>
                <c:pt idx="744">
                  <c:v>139.66</c:v>
                </c:pt>
                <c:pt idx="745">
                  <c:v>139.55000000000001</c:v>
                </c:pt>
                <c:pt idx="746">
                  <c:v>140.73999999999998</c:v>
                </c:pt>
                <c:pt idx="747">
                  <c:v>139.94999999999999</c:v>
                </c:pt>
                <c:pt idx="748">
                  <c:v>139.73999999999998</c:v>
                </c:pt>
                <c:pt idx="749">
                  <c:v>139.39000000000001</c:v>
                </c:pt>
                <c:pt idx="750">
                  <c:v>139.31</c:v>
                </c:pt>
                <c:pt idx="751">
                  <c:v>140.6</c:v>
                </c:pt>
                <c:pt idx="752">
                  <c:v>140.76999999999998</c:v>
                </c:pt>
                <c:pt idx="753">
                  <c:v>142.86000000000001</c:v>
                </c:pt>
                <c:pt idx="754">
                  <c:v>142.79</c:v>
                </c:pt>
                <c:pt idx="755">
                  <c:v>143.07</c:v>
                </c:pt>
                <c:pt idx="756">
                  <c:v>143.4</c:v>
                </c:pt>
                <c:pt idx="757">
                  <c:v>143.63999999999999</c:v>
                </c:pt>
                <c:pt idx="758">
                  <c:v>142.63</c:v>
                </c:pt>
                <c:pt idx="759">
                  <c:v>143.60999999999999</c:v>
                </c:pt>
                <c:pt idx="760">
                  <c:v>143.49</c:v>
                </c:pt>
                <c:pt idx="761">
                  <c:v>142.75</c:v>
                </c:pt>
                <c:pt idx="762">
                  <c:v>144.37</c:v>
                </c:pt>
                <c:pt idx="763">
                  <c:v>144.69</c:v>
                </c:pt>
                <c:pt idx="764">
                  <c:v>144.75</c:v>
                </c:pt>
                <c:pt idx="765">
                  <c:v>144.28</c:v>
                </c:pt>
                <c:pt idx="766">
                  <c:v>144.94999999999999</c:v>
                </c:pt>
                <c:pt idx="767">
                  <c:v>145.18</c:v>
                </c:pt>
                <c:pt idx="768">
                  <c:v>145.37</c:v>
                </c:pt>
                <c:pt idx="769">
                  <c:v>145.87</c:v>
                </c:pt>
                <c:pt idx="770">
                  <c:v>145.18</c:v>
                </c:pt>
                <c:pt idx="771">
                  <c:v>146.1</c:v>
                </c:pt>
                <c:pt idx="772">
                  <c:v>145.63</c:v>
                </c:pt>
                <c:pt idx="773">
                  <c:v>145.03</c:v>
                </c:pt>
                <c:pt idx="774">
                  <c:v>142.76999999999998</c:v>
                </c:pt>
                <c:pt idx="775">
                  <c:v>143.81</c:v>
                </c:pt>
                <c:pt idx="776">
                  <c:v>145.26</c:v>
                </c:pt>
                <c:pt idx="777">
                  <c:v>145.78</c:v>
                </c:pt>
                <c:pt idx="778">
                  <c:v>145.79</c:v>
                </c:pt>
                <c:pt idx="779">
                  <c:v>148.47</c:v>
                </c:pt>
                <c:pt idx="780">
                  <c:v>148.28</c:v>
                </c:pt>
                <c:pt idx="781">
                  <c:v>149.16999999999999</c:v>
                </c:pt>
                <c:pt idx="782">
                  <c:v>149.35000000000107</c:v>
                </c:pt>
                <c:pt idx="783">
                  <c:v>149.91</c:v>
                </c:pt>
                <c:pt idx="784">
                  <c:v>149.44</c:v>
                </c:pt>
                <c:pt idx="785">
                  <c:v>149.16999999999999</c:v>
                </c:pt>
                <c:pt idx="786">
                  <c:v>148.08000000000001</c:v>
                </c:pt>
                <c:pt idx="787">
                  <c:v>148.52000000000001</c:v>
                </c:pt>
                <c:pt idx="788">
                  <c:v>150.6</c:v>
                </c:pt>
                <c:pt idx="789">
                  <c:v>150.19</c:v>
                </c:pt>
                <c:pt idx="790">
                  <c:v>149.43</c:v>
                </c:pt>
                <c:pt idx="791">
                  <c:v>149.22999999999999</c:v>
                </c:pt>
                <c:pt idx="792">
                  <c:v>149.79</c:v>
                </c:pt>
                <c:pt idx="793">
                  <c:v>150.91999999999999</c:v>
                </c:pt>
                <c:pt idx="794">
                  <c:v>150.33000000000001</c:v>
                </c:pt>
                <c:pt idx="795">
                  <c:v>148.80000000000001</c:v>
                </c:pt>
                <c:pt idx="796">
                  <c:v>148.76</c:v>
                </c:pt>
                <c:pt idx="797">
                  <c:v>144.5</c:v>
                </c:pt>
                <c:pt idx="798">
                  <c:v>145.62</c:v>
                </c:pt>
                <c:pt idx="799">
                  <c:v>147.63999999999999</c:v>
                </c:pt>
                <c:pt idx="800">
                  <c:v>145.83000000000001</c:v>
                </c:pt>
                <c:pt idx="801">
                  <c:v>145.69999999999999</c:v>
                </c:pt>
                <c:pt idx="802">
                  <c:v>147.94</c:v>
                </c:pt>
                <c:pt idx="803">
                  <c:v>147.34</c:v>
                </c:pt>
                <c:pt idx="804">
                  <c:v>146.47999999999999</c:v>
                </c:pt>
                <c:pt idx="805">
                  <c:v>146.63999999999999</c:v>
                </c:pt>
                <c:pt idx="806">
                  <c:v>145.38000000000127</c:v>
                </c:pt>
                <c:pt idx="807">
                  <c:v>145.91</c:v>
                </c:pt>
                <c:pt idx="808">
                  <c:v>147.94999999999999</c:v>
                </c:pt>
                <c:pt idx="809">
                  <c:v>148.94</c:v>
                </c:pt>
                <c:pt idx="810">
                  <c:v>149.25</c:v>
                </c:pt>
                <c:pt idx="811">
                  <c:v>148.66</c:v>
                </c:pt>
                <c:pt idx="812">
                  <c:v>149.1</c:v>
                </c:pt>
                <c:pt idx="813">
                  <c:v>147.94</c:v>
                </c:pt>
                <c:pt idx="814">
                  <c:v>145.55000000000001</c:v>
                </c:pt>
                <c:pt idx="815">
                  <c:v>145.55000000000001</c:v>
                </c:pt>
                <c:pt idx="816">
                  <c:v>144.97</c:v>
                </c:pt>
                <c:pt idx="817">
                  <c:v>144.05000000000001</c:v>
                </c:pt>
                <c:pt idx="818">
                  <c:v>144.43</c:v>
                </c:pt>
                <c:pt idx="819">
                  <c:v>143.94999999999999</c:v>
                </c:pt>
                <c:pt idx="820">
                  <c:v>142.34</c:v>
                </c:pt>
                <c:pt idx="821">
                  <c:v>141.52000000000001</c:v>
                </c:pt>
                <c:pt idx="822">
                  <c:v>140.91999999999999</c:v>
                </c:pt>
                <c:pt idx="823">
                  <c:v>139.94999999999999</c:v>
                </c:pt>
                <c:pt idx="824">
                  <c:v>140.01</c:v>
                </c:pt>
                <c:pt idx="825">
                  <c:v>140.26</c:v>
                </c:pt>
                <c:pt idx="826">
                  <c:v>140.46</c:v>
                </c:pt>
                <c:pt idx="827">
                  <c:v>140.18</c:v>
                </c:pt>
                <c:pt idx="828">
                  <c:v>141.75</c:v>
                </c:pt>
                <c:pt idx="829">
                  <c:v>139.72</c:v>
                </c:pt>
                <c:pt idx="830">
                  <c:v>139.35000000000107</c:v>
                </c:pt>
                <c:pt idx="831">
                  <c:v>135.87</c:v>
                </c:pt>
                <c:pt idx="832">
                  <c:v>135.88000000000127</c:v>
                </c:pt>
                <c:pt idx="833">
                  <c:v>136.69</c:v>
                </c:pt>
                <c:pt idx="834">
                  <c:v>139.89000000000001</c:v>
                </c:pt>
                <c:pt idx="835">
                  <c:v>139.87</c:v>
                </c:pt>
                <c:pt idx="836">
                  <c:v>141.01</c:v>
                </c:pt>
                <c:pt idx="837">
                  <c:v>139.18</c:v>
                </c:pt>
                <c:pt idx="838">
                  <c:v>140.81</c:v>
                </c:pt>
                <c:pt idx="839">
                  <c:v>139.82000000000087</c:v>
                </c:pt>
                <c:pt idx="840">
                  <c:v>141.32000000000087</c:v>
                </c:pt>
                <c:pt idx="841">
                  <c:v>142.76999999999998</c:v>
                </c:pt>
                <c:pt idx="842">
                  <c:v>142.97999999999999</c:v>
                </c:pt>
                <c:pt idx="843">
                  <c:v>144.41</c:v>
                </c:pt>
                <c:pt idx="844">
                  <c:v>144.16999999999999</c:v>
                </c:pt>
                <c:pt idx="845">
                  <c:v>140.9</c:v>
                </c:pt>
                <c:pt idx="846">
                  <c:v>141.91999999999999</c:v>
                </c:pt>
                <c:pt idx="847">
                  <c:v>139.66</c:v>
                </c:pt>
                <c:pt idx="848">
                  <c:v>140.33000000000001</c:v>
                </c:pt>
                <c:pt idx="849">
                  <c:v>141.63</c:v>
                </c:pt>
                <c:pt idx="850">
                  <c:v>141.31</c:v>
                </c:pt>
                <c:pt idx="851">
                  <c:v>144.87</c:v>
                </c:pt>
                <c:pt idx="852">
                  <c:v>145.22</c:v>
                </c:pt>
                <c:pt idx="853">
                  <c:v>146.19</c:v>
                </c:pt>
                <c:pt idx="854">
                  <c:v>145.51</c:v>
                </c:pt>
                <c:pt idx="855">
                  <c:v>144.13999999999999</c:v>
                </c:pt>
                <c:pt idx="856">
                  <c:v>143.87</c:v>
                </c:pt>
                <c:pt idx="857">
                  <c:v>142.66999999999999</c:v>
                </c:pt>
                <c:pt idx="858">
                  <c:v>142.66999999999999</c:v>
                </c:pt>
                <c:pt idx="859">
                  <c:v>141.94999999999999</c:v>
                </c:pt>
                <c:pt idx="860">
                  <c:v>144.31</c:v>
                </c:pt>
                <c:pt idx="861">
                  <c:v>143.97999999999999</c:v>
                </c:pt>
                <c:pt idx="862">
                  <c:v>145.04</c:v>
                </c:pt>
                <c:pt idx="863">
                  <c:v>146.05000000000001</c:v>
                </c:pt>
                <c:pt idx="864">
                  <c:v>146.49</c:v>
                </c:pt>
                <c:pt idx="865">
                  <c:v>144.99</c:v>
                </c:pt>
                <c:pt idx="866">
                  <c:v>143.65</c:v>
                </c:pt>
                <c:pt idx="867">
                  <c:v>142.36000000000001</c:v>
                </c:pt>
                <c:pt idx="868">
                  <c:v>142.32000000000087</c:v>
                </c:pt>
                <c:pt idx="869">
                  <c:v>144.68</c:v>
                </c:pt>
                <c:pt idx="870">
                  <c:v>147.49</c:v>
                </c:pt>
                <c:pt idx="871">
                  <c:v>147.39000000000001</c:v>
                </c:pt>
                <c:pt idx="872">
                  <c:v>146.73999999999998</c:v>
                </c:pt>
                <c:pt idx="873">
                  <c:v>146.32000000000087</c:v>
                </c:pt>
                <c:pt idx="874">
                  <c:v>145.25</c:v>
                </c:pt>
                <c:pt idx="875">
                  <c:v>148.05000000000001</c:v>
                </c:pt>
                <c:pt idx="876">
                  <c:v>148.38000000000127</c:v>
                </c:pt>
                <c:pt idx="877">
                  <c:v>149.15</c:v>
                </c:pt>
                <c:pt idx="878">
                  <c:v>149.28</c:v>
                </c:pt>
                <c:pt idx="879">
                  <c:v>149.41</c:v>
                </c:pt>
                <c:pt idx="880">
                  <c:v>149.73999999999998</c:v>
                </c:pt>
                <c:pt idx="881">
                  <c:v>149.55000000000001</c:v>
                </c:pt>
                <c:pt idx="882">
                  <c:v>149.52000000000001</c:v>
                </c:pt>
                <c:pt idx="883">
                  <c:v>150.87</c:v>
                </c:pt>
                <c:pt idx="884">
                  <c:v>151.15</c:v>
                </c:pt>
                <c:pt idx="885">
                  <c:v>151.12</c:v>
                </c:pt>
                <c:pt idx="886">
                  <c:v>150.59</c:v>
                </c:pt>
                <c:pt idx="887">
                  <c:v>150.65</c:v>
                </c:pt>
                <c:pt idx="888">
                  <c:v>149.44</c:v>
                </c:pt>
                <c:pt idx="889">
                  <c:v>150.4</c:v>
                </c:pt>
                <c:pt idx="890">
                  <c:v>150.32000000000087</c:v>
                </c:pt>
                <c:pt idx="891">
                  <c:v>150.20999999999998</c:v>
                </c:pt>
                <c:pt idx="892">
                  <c:v>150.39000000000001</c:v>
                </c:pt>
                <c:pt idx="893">
                  <c:v>149.22999999999999</c:v>
                </c:pt>
                <c:pt idx="894">
                  <c:v>150</c:v>
                </c:pt>
                <c:pt idx="895">
                  <c:v>149.83000000000001</c:v>
                </c:pt>
                <c:pt idx="896">
                  <c:v>149.69</c:v>
                </c:pt>
                <c:pt idx="897">
                  <c:v>152.79</c:v>
                </c:pt>
                <c:pt idx="898">
                  <c:v>153.44999999999999</c:v>
                </c:pt>
                <c:pt idx="899">
                  <c:v>152.51</c:v>
                </c:pt>
                <c:pt idx="900">
                  <c:v>153</c:v>
                </c:pt>
                <c:pt idx="901">
                  <c:v>153.37</c:v>
                </c:pt>
                <c:pt idx="902">
                  <c:v>155.86000000000001</c:v>
                </c:pt>
                <c:pt idx="903">
                  <c:v>156.5</c:v>
                </c:pt>
                <c:pt idx="904">
                  <c:v>156</c:v>
                </c:pt>
                <c:pt idx="905">
                  <c:v>155.79</c:v>
                </c:pt>
                <c:pt idx="906">
                  <c:v>155.96</c:v>
                </c:pt>
                <c:pt idx="907">
                  <c:v>155.86000000000001</c:v>
                </c:pt>
                <c:pt idx="908">
                  <c:v>155.86000000000001</c:v>
                </c:pt>
                <c:pt idx="909">
                  <c:v>155.49</c:v>
                </c:pt>
                <c:pt idx="910">
                  <c:v>153.86000000000001</c:v>
                </c:pt>
                <c:pt idx="911">
                  <c:v>152.97999999999999</c:v>
                </c:pt>
                <c:pt idx="912">
                  <c:v>154.47999999999999</c:v>
                </c:pt>
                <c:pt idx="913">
                  <c:v>153.78</c:v>
                </c:pt>
                <c:pt idx="914">
                  <c:v>154.16999999999999</c:v>
                </c:pt>
                <c:pt idx="915">
                  <c:v>154.32000000000087</c:v>
                </c:pt>
                <c:pt idx="916">
                  <c:v>154.9</c:v>
                </c:pt>
                <c:pt idx="917">
                  <c:v>155.99</c:v>
                </c:pt>
                <c:pt idx="918">
                  <c:v>155.97999999999999</c:v>
                </c:pt>
                <c:pt idx="919">
                  <c:v>155.44</c:v>
                </c:pt>
                <c:pt idx="920">
                  <c:v>153.91999999999999</c:v>
                </c:pt>
                <c:pt idx="921">
                  <c:v>152.97999999999999</c:v>
                </c:pt>
                <c:pt idx="922">
                  <c:v>153.07</c:v>
                </c:pt>
                <c:pt idx="923">
                  <c:v>152.60999999999999</c:v>
                </c:pt>
                <c:pt idx="924">
                  <c:v>153.84</c:v>
                </c:pt>
                <c:pt idx="925">
                  <c:v>155.43</c:v>
                </c:pt>
                <c:pt idx="926">
                  <c:v>156.09</c:v>
                </c:pt>
                <c:pt idx="927">
                  <c:v>155.72</c:v>
                </c:pt>
                <c:pt idx="928">
                  <c:v>153.13</c:v>
                </c:pt>
                <c:pt idx="929">
                  <c:v>153.20999999999998</c:v>
                </c:pt>
                <c:pt idx="930">
                  <c:v>151.04</c:v>
                </c:pt>
                <c:pt idx="931">
                  <c:v>150.52000000000001</c:v>
                </c:pt>
                <c:pt idx="932">
                  <c:v>150.97</c:v>
                </c:pt>
                <c:pt idx="933">
                  <c:v>150.86000000000001</c:v>
                </c:pt>
                <c:pt idx="934">
                  <c:v>150.9</c:v>
                </c:pt>
                <c:pt idx="935">
                  <c:v>151.15</c:v>
                </c:pt>
                <c:pt idx="936">
                  <c:v>151.47999999999999</c:v>
                </c:pt>
                <c:pt idx="937">
                  <c:v>152.72</c:v>
                </c:pt>
                <c:pt idx="938">
                  <c:v>149.25</c:v>
                </c:pt>
                <c:pt idx="939">
                  <c:v>147.44999999999999</c:v>
                </c:pt>
                <c:pt idx="940">
                  <c:v>147.69999999999999</c:v>
                </c:pt>
                <c:pt idx="941">
                  <c:v>147.72999999999999</c:v>
                </c:pt>
                <c:pt idx="942">
                  <c:v>147.15</c:v>
                </c:pt>
                <c:pt idx="943">
                  <c:v>145.16</c:v>
                </c:pt>
                <c:pt idx="944">
                  <c:v>144.91</c:v>
                </c:pt>
                <c:pt idx="945">
                  <c:v>145.63</c:v>
                </c:pt>
                <c:pt idx="946">
                  <c:v>148.53</c:v>
                </c:pt>
                <c:pt idx="947">
                  <c:v>148.63</c:v>
                </c:pt>
                <c:pt idx="948">
                  <c:v>148.94999999999999</c:v>
                </c:pt>
                <c:pt idx="949">
                  <c:v>150.89000000000001</c:v>
                </c:pt>
                <c:pt idx="950">
                  <c:v>150.55000000000001</c:v>
                </c:pt>
                <c:pt idx="951">
                  <c:v>149.79</c:v>
                </c:pt>
                <c:pt idx="952">
                  <c:v>151</c:v>
                </c:pt>
                <c:pt idx="953">
                  <c:v>151.69999999999999</c:v>
                </c:pt>
                <c:pt idx="954">
                  <c:v>151.70999999999998</c:v>
                </c:pt>
                <c:pt idx="955">
                  <c:v>150.99</c:v>
                </c:pt>
                <c:pt idx="956">
                  <c:v>150.70999999999998</c:v>
                </c:pt>
                <c:pt idx="957">
                  <c:v>150.97999999999999</c:v>
                </c:pt>
                <c:pt idx="958">
                  <c:v>151.51</c:v>
                </c:pt>
                <c:pt idx="959">
                  <c:v>151.99</c:v>
                </c:pt>
                <c:pt idx="960">
                  <c:v>152.04</c:v>
                </c:pt>
                <c:pt idx="961">
                  <c:v>153.01</c:v>
                </c:pt>
                <c:pt idx="962">
                  <c:v>153.08000000000001</c:v>
                </c:pt>
                <c:pt idx="963">
                  <c:v>152.13</c:v>
                </c:pt>
                <c:pt idx="964">
                  <c:v>151.55000000000001</c:v>
                </c:pt>
                <c:pt idx="965">
                  <c:v>153.32000000000087</c:v>
                </c:pt>
                <c:pt idx="966">
                  <c:v>155.09</c:v>
                </c:pt>
                <c:pt idx="967">
                  <c:v>153.94</c:v>
                </c:pt>
                <c:pt idx="968">
                  <c:v>154.79</c:v>
                </c:pt>
                <c:pt idx="969">
                  <c:v>153.35000000000107</c:v>
                </c:pt>
                <c:pt idx="970">
                  <c:v>152.07</c:v>
                </c:pt>
                <c:pt idx="971">
                  <c:v>150.39000000000001</c:v>
                </c:pt>
                <c:pt idx="972">
                  <c:v>152.96</c:v>
                </c:pt>
                <c:pt idx="973">
                  <c:v>156.84</c:v>
                </c:pt>
                <c:pt idx="974">
                  <c:v>156.52000000000001</c:v>
                </c:pt>
                <c:pt idx="975">
                  <c:v>157.23999999999998</c:v>
                </c:pt>
                <c:pt idx="976">
                  <c:v>156.72999999999999</c:v>
                </c:pt>
                <c:pt idx="977">
                  <c:v>156.26999999999998</c:v>
                </c:pt>
                <c:pt idx="978">
                  <c:v>156.76</c:v>
                </c:pt>
                <c:pt idx="979">
                  <c:v>157.91</c:v>
                </c:pt>
                <c:pt idx="980">
                  <c:v>157.91999999999999</c:v>
                </c:pt>
                <c:pt idx="981">
                  <c:v>157.76</c:v>
                </c:pt>
                <c:pt idx="982">
                  <c:v>157.94999999999999</c:v>
                </c:pt>
                <c:pt idx="983">
                  <c:v>157.94999999999999</c:v>
                </c:pt>
                <c:pt idx="984">
                  <c:v>158.85000000000107</c:v>
                </c:pt>
                <c:pt idx="985">
                  <c:v>159.41999999999999</c:v>
                </c:pt>
                <c:pt idx="986">
                  <c:v>160.16999999999999</c:v>
                </c:pt>
                <c:pt idx="987">
                  <c:v>160.36000000000001</c:v>
                </c:pt>
                <c:pt idx="988">
                  <c:v>160.38000000000127</c:v>
                </c:pt>
                <c:pt idx="989">
                  <c:v>161.25</c:v>
                </c:pt>
                <c:pt idx="990">
                  <c:v>160.97999999999999</c:v>
                </c:pt>
                <c:pt idx="991">
                  <c:v>161.76999999999998</c:v>
                </c:pt>
                <c:pt idx="992">
                  <c:v>161.18</c:v>
                </c:pt>
                <c:pt idx="993">
                  <c:v>160.79</c:v>
                </c:pt>
                <c:pt idx="994">
                  <c:v>162.4</c:v>
                </c:pt>
                <c:pt idx="995">
                  <c:v>160.52000000000001</c:v>
                </c:pt>
                <c:pt idx="996">
                  <c:v>162.22999999999999</c:v>
                </c:pt>
                <c:pt idx="997">
                  <c:v>162.32000000000087</c:v>
                </c:pt>
                <c:pt idx="998">
                  <c:v>162.05000000000001</c:v>
                </c:pt>
                <c:pt idx="999">
                  <c:v>162.97</c:v>
                </c:pt>
                <c:pt idx="1000">
                  <c:v>162.86000000000001</c:v>
                </c:pt>
                <c:pt idx="1001">
                  <c:v>163.10999999999999</c:v>
                </c:pt>
                <c:pt idx="1002">
                  <c:v>163.29</c:v>
                </c:pt>
                <c:pt idx="1003">
                  <c:v>163.41999999999999</c:v>
                </c:pt>
                <c:pt idx="1004">
                  <c:v>163.25</c:v>
                </c:pt>
                <c:pt idx="1005">
                  <c:v>164.43</c:v>
                </c:pt>
                <c:pt idx="1006">
                  <c:v>162.34</c:v>
                </c:pt>
                <c:pt idx="1007">
                  <c:v>161.32000000000087</c:v>
                </c:pt>
                <c:pt idx="1008">
                  <c:v>162.76999999999998</c:v>
                </c:pt>
                <c:pt idx="1009">
                  <c:v>159.79</c:v>
                </c:pt>
                <c:pt idx="1010">
                  <c:v>160.78</c:v>
                </c:pt>
                <c:pt idx="1011">
                  <c:v>162.89000000000001</c:v>
                </c:pt>
                <c:pt idx="1012">
                  <c:v>162.76999999999998</c:v>
                </c:pt>
                <c:pt idx="1013">
                  <c:v>163.15</c:v>
                </c:pt>
                <c:pt idx="1014">
                  <c:v>163.91</c:v>
                </c:pt>
                <c:pt idx="1015">
                  <c:v>165.47</c:v>
                </c:pt>
                <c:pt idx="1016">
                  <c:v>165.67</c:v>
                </c:pt>
                <c:pt idx="1017">
                  <c:v>166</c:v>
                </c:pt>
                <c:pt idx="1018">
                  <c:v>166.73999999999998</c:v>
                </c:pt>
                <c:pt idx="1019">
                  <c:v>167.28</c:v>
                </c:pt>
                <c:pt idx="1020">
                  <c:v>166.9</c:v>
                </c:pt>
                <c:pt idx="1021">
                  <c:v>167.13</c:v>
                </c:pt>
                <c:pt idx="1022">
                  <c:v>168.07</c:v>
                </c:pt>
                <c:pt idx="1023">
                  <c:v>167.8</c:v>
                </c:pt>
                <c:pt idx="1024">
                  <c:v>166.85000000000107</c:v>
                </c:pt>
                <c:pt idx="1025">
                  <c:v>166.42000000000004</c:v>
                </c:pt>
                <c:pt idx="1026">
                  <c:v>167.51</c:v>
                </c:pt>
                <c:pt idx="1027">
                  <c:v>166.10999999999999</c:v>
                </c:pt>
                <c:pt idx="1028">
                  <c:v>167.29</c:v>
                </c:pt>
                <c:pt idx="1029">
                  <c:v>166.68</c:v>
                </c:pt>
                <c:pt idx="1030">
                  <c:v>168.01</c:v>
                </c:pt>
                <c:pt idx="1031">
                  <c:v>167.96</c:v>
                </c:pt>
                <c:pt idx="1032">
                  <c:v>168.66</c:v>
                </c:pt>
                <c:pt idx="1033">
                  <c:v>168.75</c:v>
                </c:pt>
                <c:pt idx="1034">
                  <c:v>166.98000000000027</c:v>
                </c:pt>
                <c:pt idx="1035">
                  <c:v>167.68</c:v>
                </c:pt>
                <c:pt idx="1036">
                  <c:v>166.95000000000007</c:v>
                </c:pt>
                <c:pt idx="1037">
                  <c:v>168.06</c:v>
                </c:pt>
                <c:pt idx="1038">
                  <c:v>168.64</c:v>
                </c:pt>
                <c:pt idx="1039">
                  <c:v>170.75</c:v>
                </c:pt>
                <c:pt idx="1040">
                  <c:v>171.4</c:v>
                </c:pt>
                <c:pt idx="1041">
                  <c:v>170.88000000000127</c:v>
                </c:pt>
                <c:pt idx="1042">
                  <c:v>166.88000000000127</c:v>
                </c:pt>
                <c:pt idx="1043">
                  <c:v>169.26999999999998</c:v>
                </c:pt>
                <c:pt idx="1044">
                  <c:v>166.86</c:v>
                </c:pt>
                <c:pt idx="1045">
                  <c:v>165.73</c:v>
                </c:pt>
                <c:pt idx="1046">
                  <c:v>167.23</c:v>
                </c:pt>
                <c:pt idx="1047">
                  <c:v>167.99</c:v>
                </c:pt>
                <c:pt idx="1048">
                  <c:v>169.7</c:v>
                </c:pt>
                <c:pt idx="1049">
                  <c:v>169.76</c:v>
                </c:pt>
                <c:pt idx="1050">
                  <c:v>170.44</c:v>
                </c:pt>
                <c:pt idx="1051">
                  <c:v>170.08</c:v>
                </c:pt>
                <c:pt idx="1052">
                  <c:v>171.3</c:v>
                </c:pt>
                <c:pt idx="1053">
                  <c:v>171.78</c:v>
                </c:pt>
                <c:pt idx="1054">
                  <c:v>171.82000000000087</c:v>
                </c:pt>
                <c:pt idx="1055">
                  <c:v>173.63</c:v>
                </c:pt>
                <c:pt idx="1056">
                  <c:v>173.93</c:v>
                </c:pt>
                <c:pt idx="1057">
                  <c:v>174.85000000000107</c:v>
                </c:pt>
                <c:pt idx="1058">
                  <c:v>175.67</c:v>
                </c:pt>
                <c:pt idx="1059">
                  <c:v>175.87</c:v>
                </c:pt>
                <c:pt idx="1060">
                  <c:v>177.68</c:v>
                </c:pt>
                <c:pt idx="1061">
                  <c:v>178.6</c:v>
                </c:pt>
                <c:pt idx="1062">
                  <c:v>177.7</c:v>
                </c:pt>
                <c:pt idx="1063">
                  <c:v>179.52</c:v>
                </c:pt>
                <c:pt idx="1064">
                  <c:v>179.69</c:v>
                </c:pt>
                <c:pt idx="1065">
                  <c:v>178.2</c:v>
                </c:pt>
                <c:pt idx="1066">
                  <c:v>177.67</c:v>
                </c:pt>
                <c:pt idx="1067">
                  <c:v>177.55</c:v>
                </c:pt>
                <c:pt idx="1068">
                  <c:v>178.64</c:v>
                </c:pt>
                <c:pt idx="1069">
                  <c:v>177.39000000000001</c:v>
                </c:pt>
                <c:pt idx="1070">
                  <c:v>178.07</c:v>
                </c:pt>
                <c:pt idx="1071">
                  <c:v>175.5</c:v>
                </c:pt>
                <c:pt idx="1072">
                  <c:v>176.52</c:v>
                </c:pt>
                <c:pt idx="1073">
                  <c:v>175.55</c:v>
                </c:pt>
                <c:pt idx="1074">
                  <c:v>173.15</c:v>
                </c:pt>
                <c:pt idx="1075">
                  <c:v>174.63</c:v>
                </c:pt>
                <c:pt idx="1076">
                  <c:v>176.86</c:v>
                </c:pt>
                <c:pt idx="1077">
                  <c:v>176.8</c:v>
                </c:pt>
                <c:pt idx="1078">
                  <c:v>174.98000000000027</c:v>
                </c:pt>
                <c:pt idx="1079">
                  <c:v>173.49</c:v>
                </c:pt>
                <c:pt idx="1080">
                  <c:v>176.07</c:v>
                </c:pt>
                <c:pt idx="1081">
                  <c:v>175.04</c:v>
                </c:pt>
                <c:pt idx="1082">
                  <c:v>176.35000000000107</c:v>
                </c:pt>
                <c:pt idx="1083">
                  <c:v>177.67</c:v>
                </c:pt>
                <c:pt idx="1084">
                  <c:v>175.32000000000087</c:v>
                </c:pt>
                <c:pt idx="1085">
                  <c:v>171.09</c:v>
                </c:pt>
                <c:pt idx="1086">
                  <c:v>171.5</c:v>
                </c:pt>
                <c:pt idx="1087">
                  <c:v>169.46</c:v>
                </c:pt>
                <c:pt idx="1088">
                  <c:v>171.04</c:v>
                </c:pt>
                <c:pt idx="1089">
                  <c:v>172.63</c:v>
                </c:pt>
                <c:pt idx="1090">
                  <c:v>173.70999999999998</c:v>
                </c:pt>
                <c:pt idx="1091">
                  <c:v>173.02</c:v>
                </c:pt>
                <c:pt idx="1092">
                  <c:v>173.91</c:v>
                </c:pt>
                <c:pt idx="1093">
                  <c:v>173.85000000000107</c:v>
                </c:pt>
                <c:pt idx="1094">
                  <c:v>173.87</c:v>
                </c:pt>
                <c:pt idx="1095">
                  <c:v>175.59</c:v>
                </c:pt>
                <c:pt idx="1096">
                  <c:v>176.53</c:v>
                </c:pt>
                <c:pt idx="1097">
                  <c:v>177.83</c:v>
                </c:pt>
                <c:pt idx="1098">
                  <c:v>177.89000000000001</c:v>
                </c:pt>
                <c:pt idx="1099">
                  <c:v>180.32000000000087</c:v>
                </c:pt>
                <c:pt idx="1100">
                  <c:v>180.84</c:v>
                </c:pt>
                <c:pt idx="1101">
                  <c:v>181.06</c:v>
                </c:pt>
                <c:pt idx="1102">
                  <c:v>180.43</c:v>
                </c:pt>
                <c:pt idx="1103">
                  <c:v>180.94</c:v>
                </c:pt>
                <c:pt idx="1104">
                  <c:v>181.87</c:v>
                </c:pt>
                <c:pt idx="1105">
                  <c:v>182.19</c:v>
                </c:pt>
                <c:pt idx="1106">
                  <c:v>182.53</c:v>
                </c:pt>
                <c:pt idx="1107">
                  <c:v>182.2</c:v>
                </c:pt>
                <c:pt idx="1108">
                  <c:v>181.48000000000027</c:v>
                </c:pt>
                <c:pt idx="1109">
                  <c:v>182.06</c:v>
                </c:pt>
                <c:pt idx="1110">
                  <c:v>182.19</c:v>
                </c:pt>
                <c:pt idx="1111">
                  <c:v>181.55</c:v>
                </c:pt>
                <c:pt idx="1112">
                  <c:v>181.72</c:v>
                </c:pt>
                <c:pt idx="1113">
                  <c:v>181.72</c:v>
                </c:pt>
                <c:pt idx="1114">
                  <c:v>184.03</c:v>
                </c:pt>
                <c:pt idx="1115">
                  <c:v>184.31</c:v>
                </c:pt>
                <c:pt idx="1116">
                  <c:v>184.08</c:v>
                </c:pt>
                <c:pt idx="1117">
                  <c:v>182.99</c:v>
                </c:pt>
                <c:pt idx="1118">
                  <c:v>182.34</c:v>
                </c:pt>
                <c:pt idx="1119">
                  <c:v>183.07</c:v>
                </c:pt>
                <c:pt idx="1120">
                  <c:v>182.49</c:v>
                </c:pt>
                <c:pt idx="1121">
                  <c:v>182.28</c:v>
                </c:pt>
                <c:pt idx="1122">
                  <c:v>182.76</c:v>
                </c:pt>
                <c:pt idx="1123">
                  <c:v>181.83</c:v>
                </c:pt>
                <c:pt idx="1124">
                  <c:v>178.65</c:v>
                </c:pt>
                <c:pt idx="1125">
                  <c:v>177.59</c:v>
                </c:pt>
                <c:pt idx="1126">
                  <c:v>178.34</c:v>
                </c:pt>
                <c:pt idx="1127">
                  <c:v>177.32000000000087</c:v>
                </c:pt>
                <c:pt idx="1128">
                  <c:v>178.89000000000001</c:v>
                </c:pt>
                <c:pt idx="1129">
                  <c:v>179.66</c:v>
                </c:pt>
                <c:pt idx="1130">
                  <c:v>178.98000000000027</c:v>
                </c:pt>
                <c:pt idx="1131">
                  <c:v>176.12</c:v>
                </c:pt>
                <c:pt idx="1132">
                  <c:v>176.65</c:v>
                </c:pt>
                <c:pt idx="1133">
                  <c:v>177.06</c:v>
                </c:pt>
                <c:pt idx="1134">
                  <c:v>176.5</c:v>
                </c:pt>
                <c:pt idx="1135">
                  <c:v>177.25</c:v>
                </c:pt>
                <c:pt idx="1136">
                  <c:v>178.70999999999998</c:v>
                </c:pt>
                <c:pt idx="1137">
                  <c:v>178.95000000000007</c:v>
                </c:pt>
                <c:pt idx="1138">
                  <c:v>179</c:v>
                </c:pt>
                <c:pt idx="1139">
                  <c:v>180.83</c:v>
                </c:pt>
                <c:pt idx="1140">
                  <c:v>182.16</c:v>
                </c:pt>
                <c:pt idx="1141">
                  <c:v>182.75</c:v>
                </c:pt>
                <c:pt idx="1142">
                  <c:v>182.16</c:v>
                </c:pt>
                <c:pt idx="1143">
                  <c:v>182.63</c:v>
                </c:pt>
                <c:pt idx="1144">
                  <c:v>183.62</c:v>
                </c:pt>
                <c:pt idx="1145">
                  <c:v>184.43</c:v>
                </c:pt>
                <c:pt idx="1146">
                  <c:v>186.64</c:v>
                </c:pt>
                <c:pt idx="1147">
                  <c:v>186.38000000000127</c:v>
                </c:pt>
                <c:pt idx="1148">
                  <c:v>185.02</c:v>
                </c:pt>
                <c:pt idx="1149">
                  <c:v>184.12</c:v>
                </c:pt>
                <c:pt idx="1150">
                  <c:v>183.72</c:v>
                </c:pt>
                <c:pt idx="1151">
                  <c:v>183.23</c:v>
                </c:pt>
                <c:pt idx="1152">
                  <c:v>183.94</c:v>
                </c:pt>
                <c:pt idx="1153">
                  <c:v>183.2</c:v>
                </c:pt>
                <c:pt idx="1154">
                  <c:v>182.13</c:v>
                </c:pt>
                <c:pt idx="1155">
                  <c:v>183.63</c:v>
                </c:pt>
                <c:pt idx="1156">
                  <c:v>183.51</c:v>
                </c:pt>
                <c:pt idx="1157">
                  <c:v>181.83</c:v>
                </c:pt>
                <c:pt idx="1158">
                  <c:v>183.17</c:v>
                </c:pt>
                <c:pt idx="1159">
                  <c:v>181.57</c:v>
                </c:pt>
                <c:pt idx="1160">
                  <c:v>179.3</c:v>
                </c:pt>
                <c:pt idx="1161">
                  <c:v>179.39000000000001</c:v>
                </c:pt>
                <c:pt idx="1162">
                  <c:v>183.33</c:v>
                </c:pt>
                <c:pt idx="1163">
                  <c:v>184.52</c:v>
                </c:pt>
                <c:pt idx="1164">
                  <c:v>185.26999999999998</c:v>
                </c:pt>
                <c:pt idx="1165">
                  <c:v>183.97</c:v>
                </c:pt>
                <c:pt idx="1166">
                  <c:v>186.5</c:v>
                </c:pt>
                <c:pt idx="1167">
                  <c:v>187.79</c:v>
                </c:pt>
                <c:pt idx="1168">
                  <c:v>189.01</c:v>
                </c:pt>
                <c:pt idx="1169">
                  <c:v>189.02</c:v>
                </c:pt>
                <c:pt idx="1170">
                  <c:v>190.06</c:v>
                </c:pt>
                <c:pt idx="1171">
                  <c:v>189.08</c:v>
                </c:pt>
                <c:pt idx="1172">
                  <c:v>189.69</c:v>
                </c:pt>
                <c:pt idx="1173">
                  <c:v>190.47</c:v>
                </c:pt>
                <c:pt idx="1174">
                  <c:v>190.65</c:v>
                </c:pt>
                <c:pt idx="1175">
                  <c:v>191.67</c:v>
                </c:pt>
                <c:pt idx="1176">
                  <c:v>190.70999999999998</c:v>
                </c:pt>
                <c:pt idx="1177">
                  <c:v>190.03</c:v>
                </c:pt>
                <c:pt idx="1178">
                  <c:v>191.2</c:v>
                </c:pt>
                <c:pt idx="1179">
                  <c:v>190.7</c:v>
                </c:pt>
                <c:pt idx="1180">
                  <c:v>191.53</c:v>
                </c:pt>
                <c:pt idx="1181">
                  <c:v>188.96</c:v>
                </c:pt>
                <c:pt idx="1182">
                  <c:v>191.48000000000027</c:v>
                </c:pt>
                <c:pt idx="1183">
                  <c:v>191.19</c:v>
                </c:pt>
                <c:pt idx="1184">
                  <c:v>192.84</c:v>
                </c:pt>
                <c:pt idx="1185">
                  <c:v>193.78</c:v>
                </c:pt>
                <c:pt idx="1186">
                  <c:v>194.6</c:v>
                </c:pt>
                <c:pt idx="1187">
                  <c:v>193.73999999999998</c:v>
                </c:pt>
                <c:pt idx="1188">
                  <c:v>193.32000000000087</c:v>
                </c:pt>
                <c:pt idx="1189">
                  <c:v>192.62</c:v>
                </c:pt>
                <c:pt idx="1190">
                  <c:v>194.22</c:v>
                </c:pt>
                <c:pt idx="1191">
                  <c:v>195.18</c:v>
                </c:pt>
                <c:pt idx="1192">
                  <c:v>194.9</c:v>
                </c:pt>
                <c:pt idx="1193">
                  <c:v>194.98000000000027</c:v>
                </c:pt>
                <c:pt idx="1194">
                  <c:v>195.49</c:v>
                </c:pt>
                <c:pt idx="1195">
                  <c:v>195.36</c:v>
                </c:pt>
                <c:pt idx="1196">
                  <c:v>194.85000000000107</c:v>
                </c:pt>
                <c:pt idx="1197">
                  <c:v>194.26</c:v>
                </c:pt>
                <c:pt idx="1198">
                  <c:v>194.09</c:v>
                </c:pt>
                <c:pt idx="1199">
                  <c:v>193.26</c:v>
                </c:pt>
                <c:pt idx="1200">
                  <c:v>195.4</c:v>
                </c:pt>
                <c:pt idx="1201">
                  <c:v>195.79</c:v>
                </c:pt>
                <c:pt idx="1202">
                  <c:v>195.2</c:v>
                </c:pt>
                <c:pt idx="1203">
                  <c:v>192.98000000000027</c:v>
                </c:pt>
                <c:pt idx="1204">
                  <c:v>192.37</c:v>
                </c:pt>
                <c:pt idx="1205">
                  <c:v>192.41</c:v>
                </c:pt>
                <c:pt idx="1206">
                  <c:v>193.63</c:v>
                </c:pt>
                <c:pt idx="1207">
                  <c:v>193.08</c:v>
                </c:pt>
                <c:pt idx="1208">
                  <c:v>196.26999999999998</c:v>
                </c:pt>
                <c:pt idx="1209">
                  <c:v>196.15</c:v>
                </c:pt>
                <c:pt idx="1210">
                  <c:v>197.15</c:v>
                </c:pt>
                <c:pt idx="1211">
                  <c:v>198.2</c:v>
                </c:pt>
                <c:pt idx="1212">
                  <c:v>198.83</c:v>
                </c:pt>
                <c:pt idx="1213">
                  <c:v>199.70999999999998</c:v>
                </c:pt>
                <c:pt idx="1214">
                  <c:v>199.68</c:v>
                </c:pt>
                <c:pt idx="1215">
                  <c:v>200.49</c:v>
                </c:pt>
                <c:pt idx="1216">
                  <c:v>198.7</c:v>
                </c:pt>
                <c:pt idx="1217">
                  <c:v>198.6</c:v>
                </c:pt>
                <c:pt idx="1218">
                  <c:v>198.09</c:v>
                </c:pt>
                <c:pt idx="1219">
                  <c:v>199.34</c:v>
                </c:pt>
                <c:pt idx="1220">
                  <c:v>199.35000000000107</c:v>
                </c:pt>
                <c:pt idx="1221">
                  <c:v>199.37</c:v>
                </c:pt>
                <c:pt idx="1222">
                  <c:v>199.84</c:v>
                </c:pt>
                <c:pt idx="1223">
                  <c:v>197.28</c:v>
                </c:pt>
                <c:pt idx="1224">
                  <c:v>199.42000000000004</c:v>
                </c:pt>
                <c:pt idx="1225">
                  <c:v>200.45000000000007</c:v>
                </c:pt>
                <c:pt idx="1226">
                  <c:v>200.2</c:v>
                </c:pt>
                <c:pt idx="1227">
                  <c:v>199.46</c:v>
                </c:pt>
                <c:pt idx="1228">
                  <c:v>199.99</c:v>
                </c:pt>
                <c:pt idx="1229">
                  <c:v>200.13</c:v>
                </c:pt>
                <c:pt idx="1230">
                  <c:v>198.31</c:v>
                </c:pt>
                <c:pt idx="1231">
                  <c:v>194.09</c:v>
                </c:pt>
                <c:pt idx="1232">
                  <c:v>193.1</c:v>
                </c:pt>
                <c:pt idx="1233">
                  <c:v>194.35000000000107</c:v>
                </c:pt>
                <c:pt idx="1234">
                  <c:v>192.36</c:v>
                </c:pt>
                <c:pt idx="1235">
                  <c:v>194.52</c:v>
                </c:pt>
                <c:pt idx="1236">
                  <c:v>193.23999999999998</c:v>
                </c:pt>
                <c:pt idx="1237">
                  <c:v>188.81</c:v>
                </c:pt>
                <c:pt idx="1238">
                  <c:v>190.26</c:v>
                </c:pt>
                <c:pt idx="1239">
                  <c:v>189.92000000000004</c:v>
                </c:pt>
                <c:pt idx="1240">
                  <c:v>192.35000000000107</c:v>
                </c:pt>
                <c:pt idx="1241">
                  <c:v>194.85000000000107</c:v>
                </c:pt>
                <c:pt idx="1242">
                  <c:v>195.19</c:v>
                </c:pt>
                <c:pt idx="1243">
                  <c:v>197.34</c:v>
                </c:pt>
                <c:pt idx="1244">
                  <c:v>197.4</c:v>
                </c:pt>
                <c:pt idx="1245">
                  <c:v>198.59</c:v>
                </c:pt>
                <c:pt idx="1246">
                  <c:v>199.53</c:v>
                </c:pt>
              </c:numCache>
            </c:numRef>
          </c:val>
          <c:smooth val="1"/>
        </c:ser>
        <c:ser>
          <c:idx val="1"/>
          <c:order val="1"/>
          <c:cat>
            <c:strRef>
              <c:f>BE0166769266_05012009_19022014!$A$1:$A$1248</c:f>
              <c:strCache>
                <c:ptCount val="1248"/>
                <c:pt idx="0">
                  <c:v>Datum</c:v>
                </c:pt>
                <c:pt idx="1">
                  <c:v>5.1.2009</c:v>
                </c:pt>
                <c:pt idx="3">
                  <c:v>7.1.2009</c:v>
                </c:pt>
                <c:pt idx="4">
                  <c:v>8.1.2009</c:v>
                </c:pt>
                <c:pt idx="5">
                  <c:v>9.1.2009</c:v>
                </c:pt>
                <c:pt idx="6">
                  <c:v>12.1.2009</c:v>
                </c:pt>
                <c:pt idx="7">
                  <c:v>13.1.2009</c:v>
                </c:pt>
                <c:pt idx="8">
                  <c:v>14.1.2009</c:v>
                </c:pt>
                <c:pt idx="9">
                  <c:v>15.1.2009</c:v>
                </c:pt>
                <c:pt idx="10">
                  <c:v>16.1.2009</c:v>
                </c:pt>
                <c:pt idx="11">
                  <c:v>20.1.2009</c:v>
                </c:pt>
                <c:pt idx="12">
                  <c:v>21.1.2009</c:v>
                </c:pt>
                <c:pt idx="13">
                  <c:v>22.1.2009</c:v>
                </c:pt>
                <c:pt idx="14">
                  <c:v>23.1.2009</c:v>
                </c:pt>
                <c:pt idx="15">
                  <c:v>26.1.2009</c:v>
                </c:pt>
                <c:pt idx="16">
                  <c:v>27.1.2009</c:v>
                </c:pt>
                <c:pt idx="17">
                  <c:v>28.1.2009</c:v>
                </c:pt>
                <c:pt idx="18">
                  <c:v>29.1.2009</c:v>
                </c:pt>
                <c:pt idx="19">
                  <c:v>30.1.2009</c:v>
                </c:pt>
                <c:pt idx="20">
                  <c:v>2.2.2009</c:v>
                </c:pt>
                <c:pt idx="21">
                  <c:v>3.2.2009</c:v>
                </c:pt>
                <c:pt idx="22">
                  <c:v>4.2.2009</c:v>
                </c:pt>
                <c:pt idx="23">
                  <c:v>5.2.2009</c:v>
                </c:pt>
                <c:pt idx="24">
                  <c:v>6.2.2009</c:v>
                </c:pt>
                <c:pt idx="25">
                  <c:v>9.2.2009</c:v>
                </c:pt>
                <c:pt idx="26">
                  <c:v>10.2.2009</c:v>
                </c:pt>
                <c:pt idx="27">
                  <c:v>11.2.2009</c:v>
                </c:pt>
                <c:pt idx="28">
                  <c:v>12.2.2009</c:v>
                </c:pt>
                <c:pt idx="29">
                  <c:v>13.2.2009</c:v>
                </c:pt>
                <c:pt idx="30">
                  <c:v>17.2.2009</c:v>
                </c:pt>
                <c:pt idx="31">
                  <c:v>18.2.2009</c:v>
                </c:pt>
                <c:pt idx="32">
                  <c:v>19.2.2009</c:v>
                </c:pt>
                <c:pt idx="33">
                  <c:v>20.2.2009</c:v>
                </c:pt>
                <c:pt idx="34">
                  <c:v>23.2.2009</c:v>
                </c:pt>
                <c:pt idx="35">
                  <c:v>24.2.2009</c:v>
                </c:pt>
                <c:pt idx="36">
                  <c:v>25.2.2009</c:v>
                </c:pt>
                <c:pt idx="37">
                  <c:v>26.2.2009</c:v>
                </c:pt>
                <c:pt idx="38">
                  <c:v>27.2.2009</c:v>
                </c:pt>
                <c:pt idx="39">
                  <c:v>2.3.2009</c:v>
                </c:pt>
                <c:pt idx="40">
                  <c:v>3.3.2009</c:v>
                </c:pt>
                <c:pt idx="41">
                  <c:v>4.3.2009</c:v>
                </c:pt>
                <c:pt idx="42">
                  <c:v>5.3.2009</c:v>
                </c:pt>
                <c:pt idx="43">
                  <c:v>6.3.2009</c:v>
                </c:pt>
                <c:pt idx="44">
                  <c:v>9.3.2009</c:v>
                </c:pt>
                <c:pt idx="45">
                  <c:v>10.3.2009</c:v>
                </c:pt>
                <c:pt idx="46">
                  <c:v>11.3.2009</c:v>
                </c:pt>
                <c:pt idx="47">
                  <c:v>12.3.2009</c:v>
                </c:pt>
                <c:pt idx="48">
                  <c:v>13.3.2009</c:v>
                </c:pt>
                <c:pt idx="49">
                  <c:v>16.3.2009</c:v>
                </c:pt>
                <c:pt idx="50">
                  <c:v>17.3.2009</c:v>
                </c:pt>
                <c:pt idx="51">
                  <c:v>18.3.2009</c:v>
                </c:pt>
                <c:pt idx="52">
                  <c:v>19.3.2009</c:v>
                </c:pt>
                <c:pt idx="53">
                  <c:v>20.3.2009</c:v>
                </c:pt>
                <c:pt idx="54">
                  <c:v>23.3.2009</c:v>
                </c:pt>
                <c:pt idx="55">
                  <c:v>24.3.2009</c:v>
                </c:pt>
                <c:pt idx="56">
                  <c:v>25.3.2009</c:v>
                </c:pt>
                <c:pt idx="57">
                  <c:v>26.3.2009</c:v>
                </c:pt>
                <c:pt idx="58">
                  <c:v>27.3.2009</c:v>
                </c:pt>
                <c:pt idx="59">
                  <c:v>30.3.2009</c:v>
                </c:pt>
                <c:pt idx="60">
                  <c:v>31.3.2009</c:v>
                </c:pt>
                <c:pt idx="61">
                  <c:v>1.4.2009</c:v>
                </c:pt>
                <c:pt idx="62">
                  <c:v>2.4.2009</c:v>
                </c:pt>
                <c:pt idx="63">
                  <c:v>3.4.2009</c:v>
                </c:pt>
                <c:pt idx="64">
                  <c:v>6.4.2009</c:v>
                </c:pt>
                <c:pt idx="65">
                  <c:v>7.4.2009</c:v>
                </c:pt>
                <c:pt idx="66">
                  <c:v>8.4.2009</c:v>
                </c:pt>
                <c:pt idx="67">
                  <c:v>9.4.2009</c:v>
                </c:pt>
                <c:pt idx="68">
                  <c:v>14.4.2009</c:v>
                </c:pt>
                <c:pt idx="69">
                  <c:v>15.4.2009</c:v>
                </c:pt>
                <c:pt idx="70">
                  <c:v>16.4.2009</c:v>
                </c:pt>
                <c:pt idx="71">
                  <c:v>17.4.2009</c:v>
                </c:pt>
                <c:pt idx="72">
                  <c:v>20.4.2009</c:v>
                </c:pt>
                <c:pt idx="73">
                  <c:v>21.4.2009</c:v>
                </c:pt>
                <c:pt idx="74">
                  <c:v>22.4.2009</c:v>
                </c:pt>
                <c:pt idx="75">
                  <c:v>23.4.2009</c:v>
                </c:pt>
                <c:pt idx="76">
                  <c:v>24.4.2009</c:v>
                </c:pt>
                <c:pt idx="77">
                  <c:v>27.4.2009</c:v>
                </c:pt>
                <c:pt idx="78">
                  <c:v>28.4.2009</c:v>
                </c:pt>
                <c:pt idx="79">
                  <c:v>29.4.2009</c:v>
                </c:pt>
                <c:pt idx="80">
                  <c:v>30.4.2009</c:v>
                </c:pt>
                <c:pt idx="81">
                  <c:v>4.5.2009</c:v>
                </c:pt>
                <c:pt idx="82">
                  <c:v>5.5.2009</c:v>
                </c:pt>
                <c:pt idx="83">
                  <c:v>6.5.2009</c:v>
                </c:pt>
                <c:pt idx="84">
                  <c:v>7.5.2009</c:v>
                </c:pt>
                <c:pt idx="85">
                  <c:v>8.5.2009</c:v>
                </c:pt>
                <c:pt idx="86">
                  <c:v>11.5.2009</c:v>
                </c:pt>
                <c:pt idx="87">
                  <c:v>12.5.2009</c:v>
                </c:pt>
                <c:pt idx="88">
                  <c:v>13.5.2009</c:v>
                </c:pt>
                <c:pt idx="89">
                  <c:v>14.5.2009</c:v>
                </c:pt>
                <c:pt idx="90">
                  <c:v>15.5.2009</c:v>
                </c:pt>
                <c:pt idx="91">
                  <c:v>18.5.2009</c:v>
                </c:pt>
                <c:pt idx="92">
                  <c:v>19.5.2009</c:v>
                </c:pt>
                <c:pt idx="93">
                  <c:v>20.5.2009</c:v>
                </c:pt>
                <c:pt idx="94">
                  <c:v>26.5.2009</c:v>
                </c:pt>
                <c:pt idx="95">
                  <c:v>27.5.2009</c:v>
                </c:pt>
                <c:pt idx="96">
                  <c:v>28.5.2009</c:v>
                </c:pt>
                <c:pt idx="97">
                  <c:v>29.5.2009</c:v>
                </c:pt>
                <c:pt idx="98">
                  <c:v>2.6.2009</c:v>
                </c:pt>
                <c:pt idx="99">
                  <c:v>3.6.2009</c:v>
                </c:pt>
                <c:pt idx="100">
                  <c:v>4.6.2009</c:v>
                </c:pt>
                <c:pt idx="101">
                  <c:v>5.6.2009</c:v>
                </c:pt>
                <c:pt idx="102">
                  <c:v>8.6.2009</c:v>
                </c:pt>
                <c:pt idx="103">
                  <c:v>9.6.2009</c:v>
                </c:pt>
                <c:pt idx="104">
                  <c:v>10.6.2009</c:v>
                </c:pt>
                <c:pt idx="105">
                  <c:v>11.6.2009</c:v>
                </c:pt>
                <c:pt idx="106">
                  <c:v>12.6.2009</c:v>
                </c:pt>
                <c:pt idx="107">
                  <c:v>15.6.2009</c:v>
                </c:pt>
                <c:pt idx="108">
                  <c:v>16.6.2009</c:v>
                </c:pt>
                <c:pt idx="109">
                  <c:v>17.6.2009</c:v>
                </c:pt>
                <c:pt idx="110">
                  <c:v>18.6.2009</c:v>
                </c:pt>
                <c:pt idx="111">
                  <c:v>19.6.2009</c:v>
                </c:pt>
                <c:pt idx="112">
                  <c:v>22.6.2009</c:v>
                </c:pt>
                <c:pt idx="113">
                  <c:v>23.6.2009</c:v>
                </c:pt>
                <c:pt idx="114">
                  <c:v>24.6.2009</c:v>
                </c:pt>
                <c:pt idx="115">
                  <c:v>25.6.2009</c:v>
                </c:pt>
                <c:pt idx="116">
                  <c:v>26.6.2009</c:v>
                </c:pt>
                <c:pt idx="117">
                  <c:v>29.6.2009</c:v>
                </c:pt>
                <c:pt idx="118">
                  <c:v>30.6.2009</c:v>
                </c:pt>
                <c:pt idx="119">
                  <c:v>1.7.2009</c:v>
                </c:pt>
                <c:pt idx="120">
                  <c:v>2.7.2009</c:v>
                </c:pt>
                <c:pt idx="121">
                  <c:v>6.7.2009</c:v>
                </c:pt>
                <c:pt idx="122">
                  <c:v>7.7.2009</c:v>
                </c:pt>
                <c:pt idx="123">
                  <c:v>8.7.2009</c:v>
                </c:pt>
                <c:pt idx="124">
                  <c:v>9.7.2009</c:v>
                </c:pt>
                <c:pt idx="125">
                  <c:v>10.7.2009</c:v>
                </c:pt>
                <c:pt idx="126">
                  <c:v>13.7.2009</c:v>
                </c:pt>
                <c:pt idx="127">
                  <c:v>14.7.2009</c:v>
                </c:pt>
                <c:pt idx="128">
                  <c:v>15.7.2009</c:v>
                </c:pt>
                <c:pt idx="129">
                  <c:v>16.7.2009</c:v>
                </c:pt>
                <c:pt idx="130">
                  <c:v>17.7.2009</c:v>
                </c:pt>
                <c:pt idx="131">
                  <c:v>20.7.2009</c:v>
                </c:pt>
                <c:pt idx="132">
                  <c:v>22.7.2009</c:v>
                </c:pt>
                <c:pt idx="133">
                  <c:v>23.7.2009</c:v>
                </c:pt>
                <c:pt idx="134">
                  <c:v>24.7.2009</c:v>
                </c:pt>
                <c:pt idx="135">
                  <c:v>27.7.2009</c:v>
                </c:pt>
                <c:pt idx="136">
                  <c:v>28.7.2009</c:v>
                </c:pt>
                <c:pt idx="137">
                  <c:v>29.7.2009</c:v>
                </c:pt>
                <c:pt idx="138">
                  <c:v>30.7.2009</c:v>
                </c:pt>
                <c:pt idx="139">
                  <c:v>31.7.2009</c:v>
                </c:pt>
                <c:pt idx="140">
                  <c:v>3.8.2009</c:v>
                </c:pt>
                <c:pt idx="141">
                  <c:v>4.8.2009</c:v>
                </c:pt>
                <c:pt idx="142">
                  <c:v>5.8.2009</c:v>
                </c:pt>
                <c:pt idx="143">
                  <c:v>6.8.2009</c:v>
                </c:pt>
                <c:pt idx="144">
                  <c:v>7.8.2009</c:v>
                </c:pt>
                <c:pt idx="145">
                  <c:v>10.8.2009</c:v>
                </c:pt>
                <c:pt idx="146">
                  <c:v>11.8.2009</c:v>
                </c:pt>
                <c:pt idx="147">
                  <c:v>12.8.2009</c:v>
                </c:pt>
                <c:pt idx="148">
                  <c:v>13.8.2009</c:v>
                </c:pt>
                <c:pt idx="149">
                  <c:v>14.8.2009</c:v>
                </c:pt>
                <c:pt idx="150">
                  <c:v>17.8.2009</c:v>
                </c:pt>
                <c:pt idx="151">
                  <c:v>18.8.2009</c:v>
                </c:pt>
                <c:pt idx="152">
                  <c:v>19.8.2009</c:v>
                </c:pt>
                <c:pt idx="153">
                  <c:v>20.8.2009</c:v>
                </c:pt>
                <c:pt idx="154">
                  <c:v>21.8.2009</c:v>
                </c:pt>
                <c:pt idx="155">
                  <c:v>24.8.2009</c:v>
                </c:pt>
                <c:pt idx="156">
                  <c:v>25.8.2009</c:v>
                </c:pt>
                <c:pt idx="157">
                  <c:v>26.8.2009</c:v>
                </c:pt>
                <c:pt idx="158">
                  <c:v>27.8.2009</c:v>
                </c:pt>
                <c:pt idx="159">
                  <c:v>28.8.2009</c:v>
                </c:pt>
                <c:pt idx="160">
                  <c:v>31.8.2009</c:v>
                </c:pt>
                <c:pt idx="161">
                  <c:v>1.9.2009</c:v>
                </c:pt>
                <c:pt idx="162">
                  <c:v>2.9.2009</c:v>
                </c:pt>
                <c:pt idx="163">
                  <c:v>3.9.2009</c:v>
                </c:pt>
                <c:pt idx="164">
                  <c:v>4.9.2009</c:v>
                </c:pt>
                <c:pt idx="165">
                  <c:v>8.9.2009</c:v>
                </c:pt>
                <c:pt idx="166">
                  <c:v>9.9.2009</c:v>
                </c:pt>
                <c:pt idx="167">
                  <c:v>10.9.2009</c:v>
                </c:pt>
                <c:pt idx="168">
                  <c:v>11.9.2009</c:v>
                </c:pt>
                <c:pt idx="169">
                  <c:v>14.9.2009</c:v>
                </c:pt>
                <c:pt idx="170">
                  <c:v>15.9.2009</c:v>
                </c:pt>
                <c:pt idx="171">
                  <c:v>16.9.2009</c:v>
                </c:pt>
                <c:pt idx="172">
                  <c:v>17.9.2009</c:v>
                </c:pt>
                <c:pt idx="173">
                  <c:v>18.9.2009</c:v>
                </c:pt>
                <c:pt idx="174">
                  <c:v>21.9.2009</c:v>
                </c:pt>
                <c:pt idx="175">
                  <c:v>22.9.2009</c:v>
                </c:pt>
                <c:pt idx="176">
                  <c:v>23.9.2009</c:v>
                </c:pt>
                <c:pt idx="177">
                  <c:v>24.9.2009</c:v>
                </c:pt>
                <c:pt idx="178">
                  <c:v>25.9.2009</c:v>
                </c:pt>
                <c:pt idx="179">
                  <c:v>28.9.2009</c:v>
                </c:pt>
                <c:pt idx="180">
                  <c:v>29.9.2009</c:v>
                </c:pt>
                <c:pt idx="181">
                  <c:v>30.9.2009</c:v>
                </c:pt>
                <c:pt idx="182">
                  <c:v>1.10.2009</c:v>
                </c:pt>
                <c:pt idx="183">
                  <c:v>2.10.2009</c:v>
                </c:pt>
                <c:pt idx="184">
                  <c:v>5.10.2009</c:v>
                </c:pt>
                <c:pt idx="185">
                  <c:v>6.10.2009</c:v>
                </c:pt>
                <c:pt idx="186">
                  <c:v>7.10.2009</c:v>
                </c:pt>
                <c:pt idx="187">
                  <c:v>8.10.2009</c:v>
                </c:pt>
                <c:pt idx="188">
                  <c:v>9.10.2009</c:v>
                </c:pt>
                <c:pt idx="189">
                  <c:v>12.10.2009</c:v>
                </c:pt>
                <c:pt idx="190">
                  <c:v>13.10.2009</c:v>
                </c:pt>
                <c:pt idx="191">
                  <c:v>14.10.2009</c:v>
                </c:pt>
                <c:pt idx="192">
                  <c:v>15.10.2009</c:v>
                </c:pt>
                <c:pt idx="193">
                  <c:v>16.10.2009</c:v>
                </c:pt>
                <c:pt idx="194">
                  <c:v>19.10.2009</c:v>
                </c:pt>
                <c:pt idx="195">
                  <c:v>20.10.2009</c:v>
                </c:pt>
                <c:pt idx="196">
                  <c:v>21.10.2009</c:v>
                </c:pt>
                <c:pt idx="197">
                  <c:v>22.10.2009</c:v>
                </c:pt>
                <c:pt idx="198">
                  <c:v>23.10.2009</c:v>
                </c:pt>
                <c:pt idx="199">
                  <c:v>26.10.2009</c:v>
                </c:pt>
                <c:pt idx="200">
                  <c:v>27.10.2009</c:v>
                </c:pt>
                <c:pt idx="201">
                  <c:v>28.10.2009</c:v>
                </c:pt>
                <c:pt idx="202">
                  <c:v>29.10.2009</c:v>
                </c:pt>
                <c:pt idx="203">
                  <c:v>30.10.2009</c:v>
                </c:pt>
                <c:pt idx="204">
                  <c:v>2.11.2009</c:v>
                </c:pt>
                <c:pt idx="205">
                  <c:v>3.11.2009</c:v>
                </c:pt>
                <c:pt idx="206">
                  <c:v>4.11.2009</c:v>
                </c:pt>
                <c:pt idx="207">
                  <c:v>5.11.2009</c:v>
                </c:pt>
                <c:pt idx="208">
                  <c:v>6.11.2009</c:v>
                </c:pt>
                <c:pt idx="209">
                  <c:v>9.11.2009</c:v>
                </c:pt>
                <c:pt idx="210">
                  <c:v>10.11.2009</c:v>
                </c:pt>
                <c:pt idx="211">
                  <c:v>12.11.2009</c:v>
                </c:pt>
                <c:pt idx="212">
                  <c:v>13.11.2009</c:v>
                </c:pt>
                <c:pt idx="213">
                  <c:v>16.11.2009</c:v>
                </c:pt>
                <c:pt idx="214">
                  <c:v>17.11.2009</c:v>
                </c:pt>
                <c:pt idx="215">
                  <c:v>18.11.2009</c:v>
                </c:pt>
                <c:pt idx="216">
                  <c:v>19.11.2009</c:v>
                </c:pt>
                <c:pt idx="217">
                  <c:v>20.11.2009</c:v>
                </c:pt>
                <c:pt idx="218">
                  <c:v>23.11.2009</c:v>
                </c:pt>
                <c:pt idx="219">
                  <c:v>24.11.2009</c:v>
                </c:pt>
                <c:pt idx="220">
                  <c:v>25.11.2009</c:v>
                </c:pt>
                <c:pt idx="221">
                  <c:v>27.11.2009</c:v>
                </c:pt>
                <c:pt idx="222">
                  <c:v>30.11.2009</c:v>
                </c:pt>
                <c:pt idx="223">
                  <c:v>1.12.2009</c:v>
                </c:pt>
                <c:pt idx="224">
                  <c:v>2.12.2009</c:v>
                </c:pt>
                <c:pt idx="225">
                  <c:v>3.12.2009</c:v>
                </c:pt>
                <c:pt idx="226">
                  <c:v>4.12.2009</c:v>
                </c:pt>
                <c:pt idx="227">
                  <c:v>7.12.2009</c:v>
                </c:pt>
                <c:pt idx="228">
                  <c:v>8.12.2009</c:v>
                </c:pt>
                <c:pt idx="229">
                  <c:v>9.12.2009</c:v>
                </c:pt>
                <c:pt idx="230">
                  <c:v>10.12.2009</c:v>
                </c:pt>
                <c:pt idx="231">
                  <c:v>11.12.2009</c:v>
                </c:pt>
                <c:pt idx="232">
                  <c:v>14.12.2009</c:v>
                </c:pt>
                <c:pt idx="233">
                  <c:v>15.12.2009</c:v>
                </c:pt>
                <c:pt idx="234">
                  <c:v>16.12.2009</c:v>
                </c:pt>
                <c:pt idx="235">
                  <c:v>17.12.2009</c:v>
                </c:pt>
                <c:pt idx="236">
                  <c:v>18.12.2009</c:v>
                </c:pt>
                <c:pt idx="237">
                  <c:v>21.12.2009</c:v>
                </c:pt>
                <c:pt idx="238">
                  <c:v>22.12.2009</c:v>
                </c:pt>
                <c:pt idx="239">
                  <c:v>23.12.2009</c:v>
                </c:pt>
                <c:pt idx="240">
                  <c:v>24.12.2009</c:v>
                </c:pt>
                <c:pt idx="241">
                  <c:v>28.12.2009</c:v>
                </c:pt>
                <c:pt idx="242">
                  <c:v>29.12.2009</c:v>
                </c:pt>
                <c:pt idx="243">
                  <c:v>30.12.2009</c:v>
                </c:pt>
                <c:pt idx="244">
                  <c:v>31.12.2009</c:v>
                </c:pt>
                <c:pt idx="245">
                  <c:v>4.1.2010</c:v>
                </c:pt>
                <c:pt idx="246">
                  <c:v>5.1.2010</c:v>
                </c:pt>
                <c:pt idx="247">
                  <c:v>6.1.2010</c:v>
                </c:pt>
                <c:pt idx="248">
                  <c:v>7.1.2010</c:v>
                </c:pt>
                <c:pt idx="249">
                  <c:v>8.1.2010</c:v>
                </c:pt>
                <c:pt idx="250">
                  <c:v>11.1.2010</c:v>
                </c:pt>
                <c:pt idx="251">
                  <c:v>12.1.2010</c:v>
                </c:pt>
                <c:pt idx="252">
                  <c:v>13.1.2010</c:v>
                </c:pt>
                <c:pt idx="253">
                  <c:v>14.1.2010</c:v>
                </c:pt>
                <c:pt idx="254">
                  <c:v>15.1.2010</c:v>
                </c:pt>
                <c:pt idx="255">
                  <c:v>19.1.2010</c:v>
                </c:pt>
                <c:pt idx="256">
                  <c:v>20.1.2010</c:v>
                </c:pt>
                <c:pt idx="257">
                  <c:v>21.1.2010</c:v>
                </c:pt>
                <c:pt idx="258">
                  <c:v>22.1.2010</c:v>
                </c:pt>
                <c:pt idx="259">
                  <c:v>25.1.2010</c:v>
                </c:pt>
                <c:pt idx="260">
                  <c:v>26.1.2010</c:v>
                </c:pt>
                <c:pt idx="261">
                  <c:v>27.1.2010</c:v>
                </c:pt>
                <c:pt idx="262">
                  <c:v>28.1.2010</c:v>
                </c:pt>
                <c:pt idx="263">
                  <c:v>29.1.2010</c:v>
                </c:pt>
                <c:pt idx="264">
                  <c:v>1.2.2010</c:v>
                </c:pt>
                <c:pt idx="265">
                  <c:v>2.2.2010</c:v>
                </c:pt>
                <c:pt idx="266">
                  <c:v>3.2.2010</c:v>
                </c:pt>
                <c:pt idx="267">
                  <c:v>4.2.2010</c:v>
                </c:pt>
                <c:pt idx="268">
                  <c:v>5.2.2010</c:v>
                </c:pt>
                <c:pt idx="269">
                  <c:v>8.2.2010</c:v>
                </c:pt>
                <c:pt idx="270">
                  <c:v>9.2.2010</c:v>
                </c:pt>
                <c:pt idx="271">
                  <c:v>10.2.2010</c:v>
                </c:pt>
                <c:pt idx="272">
                  <c:v>11.2.2010</c:v>
                </c:pt>
                <c:pt idx="273">
                  <c:v>12.2.2010</c:v>
                </c:pt>
                <c:pt idx="274">
                  <c:v>16.2.2010</c:v>
                </c:pt>
                <c:pt idx="275">
                  <c:v>17.2.2010</c:v>
                </c:pt>
                <c:pt idx="276">
                  <c:v>18.2.2010</c:v>
                </c:pt>
                <c:pt idx="277">
                  <c:v>19.2.2010</c:v>
                </c:pt>
                <c:pt idx="278">
                  <c:v>22.2.2010</c:v>
                </c:pt>
                <c:pt idx="279">
                  <c:v>23.2.2010</c:v>
                </c:pt>
                <c:pt idx="280">
                  <c:v>24.2.2010</c:v>
                </c:pt>
                <c:pt idx="281">
                  <c:v>25.2.2010</c:v>
                </c:pt>
                <c:pt idx="282">
                  <c:v>26.2.2010</c:v>
                </c:pt>
                <c:pt idx="283">
                  <c:v>1.3.2010</c:v>
                </c:pt>
                <c:pt idx="284">
                  <c:v>2.3.2010</c:v>
                </c:pt>
                <c:pt idx="285">
                  <c:v>3.3.2010</c:v>
                </c:pt>
                <c:pt idx="286">
                  <c:v>4.3.2010</c:v>
                </c:pt>
                <c:pt idx="287">
                  <c:v>5.3.2010</c:v>
                </c:pt>
                <c:pt idx="288">
                  <c:v>8.3.2010</c:v>
                </c:pt>
                <c:pt idx="289">
                  <c:v>9.3.2010</c:v>
                </c:pt>
                <c:pt idx="290">
                  <c:v>10.3.2010</c:v>
                </c:pt>
                <c:pt idx="291">
                  <c:v>11.3.2010</c:v>
                </c:pt>
                <c:pt idx="292">
                  <c:v>12.3.2010</c:v>
                </c:pt>
                <c:pt idx="293">
                  <c:v>15.3.2010</c:v>
                </c:pt>
                <c:pt idx="294">
                  <c:v>16.3.2010</c:v>
                </c:pt>
                <c:pt idx="295">
                  <c:v>17.3.2010</c:v>
                </c:pt>
                <c:pt idx="296">
                  <c:v>18.3.2010</c:v>
                </c:pt>
                <c:pt idx="297">
                  <c:v>19.3.2010</c:v>
                </c:pt>
                <c:pt idx="298">
                  <c:v>22.3.2010</c:v>
                </c:pt>
                <c:pt idx="299">
                  <c:v>23.3.2010</c:v>
                </c:pt>
                <c:pt idx="300">
                  <c:v>24.3.2010</c:v>
                </c:pt>
                <c:pt idx="301">
                  <c:v>25.3.2010</c:v>
                </c:pt>
                <c:pt idx="302">
                  <c:v>26.3.2010</c:v>
                </c:pt>
                <c:pt idx="303">
                  <c:v>29.3.2010</c:v>
                </c:pt>
                <c:pt idx="304">
                  <c:v>30.3.2010</c:v>
                </c:pt>
                <c:pt idx="305">
                  <c:v>31.3.2010</c:v>
                </c:pt>
                <c:pt idx="306">
                  <c:v>1.4.2010</c:v>
                </c:pt>
                <c:pt idx="307">
                  <c:v>6.4.2010</c:v>
                </c:pt>
                <c:pt idx="308">
                  <c:v>7.4.2010</c:v>
                </c:pt>
                <c:pt idx="309">
                  <c:v>8.4.2010</c:v>
                </c:pt>
                <c:pt idx="310">
                  <c:v>9.4.2010</c:v>
                </c:pt>
                <c:pt idx="311">
                  <c:v>12.4.2010</c:v>
                </c:pt>
                <c:pt idx="312">
                  <c:v>13.4.2010</c:v>
                </c:pt>
                <c:pt idx="313">
                  <c:v>14.4.2010</c:v>
                </c:pt>
                <c:pt idx="314">
                  <c:v>15.4.2010</c:v>
                </c:pt>
                <c:pt idx="315">
                  <c:v>16.4.2010</c:v>
                </c:pt>
                <c:pt idx="316">
                  <c:v>19.4.2010</c:v>
                </c:pt>
                <c:pt idx="317">
                  <c:v>20.4.2010</c:v>
                </c:pt>
                <c:pt idx="318">
                  <c:v>21.4.2010</c:v>
                </c:pt>
                <c:pt idx="319">
                  <c:v>22.4.2010</c:v>
                </c:pt>
                <c:pt idx="320">
                  <c:v>23.4.2010</c:v>
                </c:pt>
                <c:pt idx="321">
                  <c:v>26.4.2010</c:v>
                </c:pt>
                <c:pt idx="322">
                  <c:v>27.4.2010</c:v>
                </c:pt>
                <c:pt idx="323">
                  <c:v>28.4.2010</c:v>
                </c:pt>
                <c:pt idx="324">
                  <c:v>29.4.2010</c:v>
                </c:pt>
                <c:pt idx="325">
                  <c:v>30.4.2010</c:v>
                </c:pt>
                <c:pt idx="326">
                  <c:v>3.5.2010</c:v>
                </c:pt>
                <c:pt idx="327">
                  <c:v>5.5.2010</c:v>
                </c:pt>
                <c:pt idx="328">
                  <c:v>6.5.2010</c:v>
                </c:pt>
                <c:pt idx="329">
                  <c:v>7.5.2010</c:v>
                </c:pt>
                <c:pt idx="330">
                  <c:v>10.5.2010</c:v>
                </c:pt>
                <c:pt idx="331">
                  <c:v>11.5.2010</c:v>
                </c:pt>
                <c:pt idx="332">
                  <c:v>12.5.2010</c:v>
                </c:pt>
                <c:pt idx="333">
                  <c:v>17.5.2010</c:v>
                </c:pt>
                <c:pt idx="334">
                  <c:v>18.5.2010</c:v>
                </c:pt>
                <c:pt idx="335">
                  <c:v>19.5.2010</c:v>
                </c:pt>
                <c:pt idx="336">
                  <c:v>20.5.2010</c:v>
                </c:pt>
                <c:pt idx="337">
                  <c:v>21.5.2010</c:v>
                </c:pt>
                <c:pt idx="338">
                  <c:v>25.5.2010</c:v>
                </c:pt>
                <c:pt idx="339">
                  <c:v>26.5.2010</c:v>
                </c:pt>
                <c:pt idx="340">
                  <c:v>27.5.2010</c:v>
                </c:pt>
                <c:pt idx="341">
                  <c:v>28.5.2010</c:v>
                </c:pt>
                <c:pt idx="342">
                  <c:v>1.6.2010</c:v>
                </c:pt>
                <c:pt idx="343">
                  <c:v>2.6.2010</c:v>
                </c:pt>
                <c:pt idx="344">
                  <c:v>3.6.2010</c:v>
                </c:pt>
                <c:pt idx="345">
                  <c:v>4.6.2010</c:v>
                </c:pt>
                <c:pt idx="346">
                  <c:v>7.6.2010</c:v>
                </c:pt>
                <c:pt idx="347">
                  <c:v>8.6.2010</c:v>
                </c:pt>
                <c:pt idx="348">
                  <c:v>9.6.2010</c:v>
                </c:pt>
                <c:pt idx="349">
                  <c:v>10.6.2010</c:v>
                </c:pt>
                <c:pt idx="350">
                  <c:v>11.6.2010</c:v>
                </c:pt>
                <c:pt idx="351">
                  <c:v>14.6.2010</c:v>
                </c:pt>
                <c:pt idx="352">
                  <c:v>15.6.2010</c:v>
                </c:pt>
                <c:pt idx="353">
                  <c:v>16.6.2010</c:v>
                </c:pt>
                <c:pt idx="354">
                  <c:v>17.6.2010</c:v>
                </c:pt>
                <c:pt idx="355">
                  <c:v>18.6.2010</c:v>
                </c:pt>
                <c:pt idx="356">
                  <c:v>21.6.2010</c:v>
                </c:pt>
                <c:pt idx="357">
                  <c:v>22.6.2010</c:v>
                </c:pt>
                <c:pt idx="358">
                  <c:v>23.6.2010</c:v>
                </c:pt>
                <c:pt idx="359">
                  <c:v>24.6.2010</c:v>
                </c:pt>
                <c:pt idx="360">
                  <c:v>25.6.2010</c:v>
                </c:pt>
                <c:pt idx="361">
                  <c:v>28.6.2010</c:v>
                </c:pt>
                <c:pt idx="362">
                  <c:v>29.6.2010</c:v>
                </c:pt>
                <c:pt idx="363">
                  <c:v>30.6.2010</c:v>
                </c:pt>
                <c:pt idx="364">
                  <c:v>1.7.2010</c:v>
                </c:pt>
                <c:pt idx="365">
                  <c:v>2.7.2010</c:v>
                </c:pt>
                <c:pt idx="366">
                  <c:v>6.7.2010</c:v>
                </c:pt>
                <c:pt idx="367">
                  <c:v>7.7.2010</c:v>
                </c:pt>
                <c:pt idx="368">
                  <c:v>8.7.2010</c:v>
                </c:pt>
                <c:pt idx="369">
                  <c:v>9.7.2010</c:v>
                </c:pt>
                <c:pt idx="370">
                  <c:v>12.7.2010</c:v>
                </c:pt>
                <c:pt idx="371">
                  <c:v>13.7.2010</c:v>
                </c:pt>
                <c:pt idx="372">
                  <c:v>14.7.2010</c:v>
                </c:pt>
                <c:pt idx="373">
                  <c:v>15.7.2010</c:v>
                </c:pt>
                <c:pt idx="374">
                  <c:v>16.7.2010</c:v>
                </c:pt>
                <c:pt idx="375">
                  <c:v>19.7.2010</c:v>
                </c:pt>
                <c:pt idx="376">
                  <c:v>20.7.2010</c:v>
                </c:pt>
                <c:pt idx="377">
                  <c:v>22.7.2010</c:v>
                </c:pt>
                <c:pt idx="378">
                  <c:v>23.7.2010</c:v>
                </c:pt>
                <c:pt idx="379">
                  <c:v>26.7.2010</c:v>
                </c:pt>
                <c:pt idx="380">
                  <c:v>27.7.2010</c:v>
                </c:pt>
                <c:pt idx="381">
                  <c:v>28.7.2010</c:v>
                </c:pt>
                <c:pt idx="382">
                  <c:v>29.7.2010</c:v>
                </c:pt>
                <c:pt idx="383">
                  <c:v>30.7.2010</c:v>
                </c:pt>
                <c:pt idx="384">
                  <c:v>2.8.2010</c:v>
                </c:pt>
                <c:pt idx="385">
                  <c:v>3.8.2010</c:v>
                </c:pt>
                <c:pt idx="386">
                  <c:v>4.8.2010</c:v>
                </c:pt>
                <c:pt idx="387">
                  <c:v>5.8.2010</c:v>
                </c:pt>
                <c:pt idx="388">
                  <c:v>6.8.2010</c:v>
                </c:pt>
                <c:pt idx="389">
                  <c:v>9.8.2010</c:v>
                </c:pt>
                <c:pt idx="390">
                  <c:v>10.8.2010</c:v>
                </c:pt>
                <c:pt idx="391">
                  <c:v>11.8.2010</c:v>
                </c:pt>
                <c:pt idx="392">
                  <c:v>12.8.2010</c:v>
                </c:pt>
                <c:pt idx="393">
                  <c:v>13.8.2010</c:v>
                </c:pt>
                <c:pt idx="394">
                  <c:v>16.8.2010</c:v>
                </c:pt>
                <c:pt idx="395">
                  <c:v>17.8.2010</c:v>
                </c:pt>
                <c:pt idx="396">
                  <c:v>18.8.2010</c:v>
                </c:pt>
                <c:pt idx="397">
                  <c:v>19.8.2010</c:v>
                </c:pt>
                <c:pt idx="398">
                  <c:v>20.8.2010</c:v>
                </c:pt>
                <c:pt idx="399">
                  <c:v>23.8.2010</c:v>
                </c:pt>
                <c:pt idx="400">
                  <c:v>24.8.2010</c:v>
                </c:pt>
                <c:pt idx="401">
                  <c:v>25.8.2010</c:v>
                </c:pt>
                <c:pt idx="402">
                  <c:v>26.8.2010</c:v>
                </c:pt>
                <c:pt idx="403">
                  <c:v>27.8.2010</c:v>
                </c:pt>
                <c:pt idx="404">
                  <c:v>30.8.2010</c:v>
                </c:pt>
                <c:pt idx="405">
                  <c:v>31.8.2010</c:v>
                </c:pt>
                <c:pt idx="406">
                  <c:v>1.9.2010</c:v>
                </c:pt>
                <c:pt idx="407">
                  <c:v>2.9.2010</c:v>
                </c:pt>
                <c:pt idx="408">
                  <c:v>3.9.2010</c:v>
                </c:pt>
                <c:pt idx="409">
                  <c:v>7.9.2010</c:v>
                </c:pt>
                <c:pt idx="410">
                  <c:v>8.9.2010</c:v>
                </c:pt>
                <c:pt idx="411">
                  <c:v>9.9.2010</c:v>
                </c:pt>
                <c:pt idx="412">
                  <c:v>10.9.2010</c:v>
                </c:pt>
                <c:pt idx="413">
                  <c:v>13.9.2010</c:v>
                </c:pt>
                <c:pt idx="414">
                  <c:v>14.9.2010</c:v>
                </c:pt>
                <c:pt idx="415">
                  <c:v>15.9.2010</c:v>
                </c:pt>
                <c:pt idx="416">
                  <c:v>16.9.2010</c:v>
                </c:pt>
                <c:pt idx="417">
                  <c:v>17.9.2010</c:v>
                </c:pt>
                <c:pt idx="418">
                  <c:v>20.9.2010</c:v>
                </c:pt>
                <c:pt idx="419">
                  <c:v>21.9.2010</c:v>
                </c:pt>
                <c:pt idx="420">
                  <c:v>22.9.2010</c:v>
                </c:pt>
                <c:pt idx="421">
                  <c:v>23.9.2010</c:v>
                </c:pt>
                <c:pt idx="422">
                  <c:v>24.9.2010</c:v>
                </c:pt>
                <c:pt idx="423">
                  <c:v>27.9.2010</c:v>
                </c:pt>
                <c:pt idx="424">
                  <c:v>28.9.2010</c:v>
                </c:pt>
                <c:pt idx="425">
                  <c:v>29.9.2010</c:v>
                </c:pt>
                <c:pt idx="426">
                  <c:v>30.9.2010</c:v>
                </c:pt>
                <c:pt idx="427">
                  <c:v>1.10.2010</c:v>
                </c:pt>
                <c:pt idx="428">
                  <c:v>4.10.2010</c:v>
                </c:pt>
                <c:pt idx="429">
                  <c:v>5.10.2010</c:v>
                </c:pt>
                <c:pt idx="430">
                  <c:v>6.10.2010</c:v>
                </c:pt>
                <c:pt idx="431">
                  <c:v>7.10.2010</c:v>
                </c:pt>
                <c:pt idx="432">
                  <c:v>8.10.2010</c:v>
                </c:pt>
                <c:pt idx="433">
                  <c:v>11.10.2010</c:v>
                </c:pt>
                <c:pt idx="434">
                  <c:v>12.10.2010</c:v>
                </c:pt>
                <c:pt idx="435">
                  <c:v>13.10.2010</c:v>
                </c:pt>
                <c:pt idx="436">
                  <c:v>14.10.2010</c:v>
                </c:pt>
                <c:pt idx="437">
                  <c:v>15.10.2010</c:v>
                </c:pt>
                <c:pt idx="438">
                  <c:v>19.10.2010</c:v>
                </c:pt>
                <c:pt idx="439">
                  <c:v>20.10.2010</c:v>
                </c:pt>
                <c:pt idx="440">
                  <c:v>21.10.2010</c:v>
                </c:pt>
                <c:pt idx="441">
                  <c:v>22.10.2010</c:v>
                </c:pt>
                <c:pt idx="442">
                  <c:v>25.10.2010</c:v>
                </c:pt>
                <c:pt idx="443">
                  <c:v>26.10.2010</c:v>
                </c:pt>
                <c:pt idx="444">
                  <c:v>27.10.2010</c:v>
                </c:pt>
                <c:pt idx="445">
                  <c:v>28.10.2010</c:v>
                </c:pt>
                <c:pt idx="446">
                  <c:v>29.10.2010</c:v>
                </c:pt>
                <c:pt idx="447">
                  <c:v>2.11.2010</c:v>
                </c:pt>
                <c:pt idx="448">
                  <c:v>3.11.2010</c:v>
                </c:pt>
                <c:pt idx="449">
                  <c:v>4.11.2010</c:v>
                </c:pt>
                <c:pt idx="450">
                  <c:v>5.11.2010</c:v>
                </c:pt>
                <c:pt idx="451">
                  <c:v>8.11.2010</c:v>
                </c:pt>
                <c:pt idx="452">
                  <c:v>9.11.2010</c:v>
                </c:pt>
                <c:pt idx="453">
                  <c:v>10.11.2010</c:v>
                </c:pt>
                <c:pt idx="454">
                  <c:v>12.11.2010</c:v>
                </c:pt>
                <c:pt idx="455">
                  <c:v>15.11.2010</c:v>
                </c:pt>
                <c:pt idx="456">
                  <c:v>16.11.2010</c:v>
                </c:pt>
                <c:pt idx="457">
                  <c:v>17.11.2010</c:v>
                </c:pt>
                <c:pt idx="458">
                  <c:v>18.11.2010</c:v>
                </c:pt>
                <c:pt idx="459">
                  <c:v>19.11.2010</c:v>
                </c:pt>
                <c:pt idx="460">
                  <c:v>22.11.2010</c:v>
                </c:pt>
                <c:pt idx="461">
                  <c:v>23.11.2010</c:v>
                </c:pt>
                <c:pt idx="462">
                  <c:v>24.11.2010</c:v>
                </c:pt>
                <c:pt idx="463">
                  <c:v>26.11.2010</c:v>
                </c:pt>
                <c:pt idx="464">
                  <c:v>29.11.2010</c:v>
                </c:pt>
                <c:pt idx="465">
                  <c:v>30.11.2010</c:v>
                </c:pt>
                <c:pt idx="466">
                  <c:v>1.12.2010</c:v>
                </c:pt>
                <c:pt idx="467">
                  <c:v>2.12.2010</c:v>
                </c:pt>
                <c:pt idx="468">
                  <c:v>3.12.2010</c:v>
                </c:pt>
                <c:pt idx="469">
                  <c:v>6.12.2010</c:v>
                </c:pt>
                <c:pt idx="470">
                  <c:v>7.12.2010</c:v>
                </c:pt>
                <c:pt idx="471">
                  <c:v>8.12.2010</c:v>
                </c:pt>
                <c:pt idx="472">
                  <c:v>9.12.2010</c:v>
                </c:pt>
                <c:pt idx="473">
                  <c:v>10.12.2010</c:v>
                </c:pt>
                <c:pt idx="474">
                  <c:v>13.12.2010</c:v>
                </c:pt>
                <c:pt idx="475">
                  <c:v>14.12.2010</c:v>
                </c:pt>
                <c:pt idx="476">
                  <c:v>15.12.2010</c:v>
                </c:pt>
                <c:pt idx="477">
                  <c:v>16.12.2010</c:v>
                </c:pt>
                <c:pt idx="478">
                  <c:v>17.12.2010</c:v>
                </c:pt>
                <c:pt idx="479">
                  <c:v>20.12.2010</c:v>
                </c:pt>
                <c:pt idx="480">
                  <c:v>21.12.2010</c:v>
                </c:pt>
                <c:pt idx="481">
                  <c:v>22.12.2010</c:v>
                </c:pt>
                <c:pt idx="482">
                  <c:v>23.12.2010</c:v>
                </c:pt>
                <c:pt idx="483">
                  <c:v>27.12.2010</c:v>
                </c:pt>
                <c:pt idx="484">
                  <c:v>28.12.2010</c:v>
                </c:pt>
                <c:pt idx="485">
                  <c:v>29.12.2010</c:v>
                </c:pt>
                <c:pt idx="486">
                  <c:v>30.12.2010</c:v>
                </c:pt>
                <c:pt idx="487">
                  <c:v>31.12.2010</c:v>
                </c:pt>
                <c:pt idx="488">
                  <c:v>3.1.2011</c:v>
                </c:pt>
                <c:pt idx="489">
                  <c:v>4.1.2011</c:v>
                </c:pt>
                <c:pt idx="490">
                  <c:v>5.1.2011</c:v>
                </c:pt>
                <c:pt idx="491">
                  <c:v>6.1.2011</c:v>
                </c:pt>
                <c:pt idx="492">
                  <c:v>7.1.2011</c:v>
                </c:pt>
                <c:pt idx="493">
                  <c:v>10.1.2011</c:v>
                </c:pt>
                <c:pt idx="494">
                  <c:v>11.1.2011</c:v>
                </c:pt>
                <c:pt idx="495">
                  <c:v>12.1.2011</c:v>
                </c:pt>
                <c:pt idx="496">
                  <c:v>13.1.2011</c:v>
                </c:pt>
                <c:pt idx="497">
                  <c:v>14.1.2011</c:v>
                </c:pt>
                <c:pt idx="498">
                  <c:v>18.1.2011</c:v>
                </c:pt>
                <c:pt idx="499">
                  <c:v>19.1.2011</c:v>
                </c:pt>
                <c:pt idx="500">
                  <c:v>20.1.2011</c:v>
                </c:pt>
                <c:pt idx="501">
                  <c:v>21.1.2011</c:v>
                </c:pt>
                <c:pt idx="502">
                  <c:v>24.1.2011</c:v>
                </c:pt>
                <c:pt idx="503">
                  <c:v>25.1.2011</c:v>
                </c:pt>
                <c:pt idx="504">
                  <c:v>26.1.2011</c:v>
                </c:pt>
                <c:pt idx="505">
                  <c:v>27.1.2011</c:v>
                </c:pt>
                <c:pt idx="506">
                  <c:v>28.1.2011</c:v>
                </c:pt>
                <c:pt idx="507">
                  <c:v>31.1.2011</c:v>
                </c:pt>
                <c:pt idx="508">
                  <c:v>1.2.2011</c:v>
                </c:pt>
                <c:pt idx="509">
                  <c:v>2.2.2011</c:v>
                </c:pt>
                <c:pt idx="510">
                  <c:v>3.2.2011</c:v>
                </c:pt>
                <c:pt idx="511">
                  <c:v>4.2.2011</c:v>
                </c:pt>
                <c:pt idx="512">
                  <c:v>7.2.2011</c:v>
                </c:pt>
                <c:pt idx="513">
                  <c:v>8.2.2011</c:v>
                </c:pt>
                <c:pt idx="514">
                  <c:v>9.2.2011</c:v>
                </c:pt>
                <c:pt idx="515">
                  <c:v>10.2.2011</c:v>
                </c:pt>
                <c:pt idx="516">
                  <c:v>11.2.2011</c:v>
                </c:pt>
                <c:pt idx="517">
                  <c:v>14.2.2011</c:v>
                </c:pt>
                <c:pt idx="518">
                  <c:v>15.2.2011</c:v>
                </c:pt>
                <c:pt idx="519">
                  <c:v>16.2.2011</c:v>
                </c:pt>
                <c:pt idx="520">
                  <c:v>17.2.2011</c:v>
                </c:pt>
                <c:pt idx="521">
                  <c:v>18.2.2011</c:v>
                </c:pt>
                <c:pt idx="522">
                  <c:v>22.2.2011</c:v>
                </c:pt>
                <c:pt idx="523">
                  <c:v>23.2.2011</c:v>
                </c:pt>
                <c:pt idx="524">
                  <c:v>24.2.2011</c:v>
                </c:pt>
                <c:pt idx="525">
                  <c:v>25.2.2011</c:v>
                </c:pt>
                <c:pt idx="526">
                  <c:v>28.2.2011</c:v>
                </c:pt>
                <c:pt idx="527">
                  <c:v>1.3.2011</c:v>
                </c:pt>
                <c:pt idx="528">
                  <c:v>2.3.2011</c:v>
                </c:pt>
                <c:pt idx="529">
                  <c:v>3.3.2011</c:v>
                </c:pt>
                <c:pt idx="530">
                  <c:v>4.3.2011</c:v>
                </c:pt>
                <c:pt idx="531">
                  <c:v>7.3.2011</c:v>
                </c:pt>
                <c:pt idx="532">
                  <c:v>8.3.2011</c:v>
                </c:pt>
                <c:pt idx="533">
                  <c:v>9.3.2011</c:v>
                </c:pt>
                <c:pt idx="534">
                  <c:v>10.3.2011</c:v>
                </c:pt>
                <c:pt idx="535">
                  <c:v>11.3.2011</c:v>
                </c:pt>
                <c:pt idx="536">
                  <c:v>14.3.2011</c:v>
                </c:pt>
                <c:pt idx="537">
                  <c:v>15.3.2011</c:v>
                </c:pt>
                <c:pt idx="538">
                  <c:v>16.3.2011</c:v>
                </c:pt>
                <c:pt idx="539">
                  <c:v>17.3.2011</c:v>
                </c:pt>
                <c:pt idx="540">
                  <c:v>18.3.2011</c:v>
                </c:pt>
                <c:pt idx="541">
                  <c:v>21.3.2011</c:v>
                </c:pt>
                <c:pt idx="542">
                  <c:v>22.3.2011</c:v>
                </c:pt>
                <c:pt idx="543">
                  <c:v>23.3.2011</c:v>
                </c:pt>
                <c:pt idx="544">
                  <c:v>24.3.2011</c:v>
                </c:pt>
                <c:pt idx="545">
                  <c:v>25.3.2011</c:v>
                </c:pt>
                <c:pt idx="546">
                  <c:v>28.3.2011</c:v>
                </c:pt>
                <c:pt idx="547">
                  <c:v>29.3.2011</c:v>
                </c:pt>
                <c:pt idx="548">
                  <c:v>30.3.2011</c:v>
                </c:pt>
                <c:pt idx="549">
                  <c:v>31.3.2011</c:v>
                </c:pt>
                <c:pt idx="550">
                  <c:v>1.4.2011</c:v>
                </c:pt>
                <c:pt idx="551">
                  <c:v>4.4.2011</c:v>
                </c:pt>
                <c:pt idx="552">
                  <c:v>5.4.2011</c:v>
                </c:pt>
                <c:pt idx="553">
                  <c:v>6.4.2011</c:v>
                </c:pt>
                <c:pt idx="554">
                  <c:v>7.4.2011</c:v>
                </c:pt>
                <c:pt idx="555">
                  <c:v>8.4.2011</c:v>
                </c:pt>
                <c:pt idx="556">
                  <c:v>11.4.2011</c:v>
                </c:pt>
                <c:pt idx="557">
                  <c:v>12.4.2011</c:v>
                </c:pt>
                <c:pt idx="558">
                  <c:v>13.4.2011</c:v>
                </c:pt>
                <c:pt idx="559">
                  <c:v>14.4.2011</c:v>
                </c:pt>
                <c:pt idx="560">
                  <c:v>15.4.2011</c:v>
                </c:pt>
                <c:pt idx="561">
                  <c:v>18.4.2011</c:v>
                </c:pt>
                <c:pt idx="562">
                  <c:v>19.4.2011</c:v>
                </c:pt>
                <c:pt idx="563">
                  <c:v>20.4.2011</c:v>
                </c:pt>
                <c:pt idx="564">
                  <c:v>21.4.2011</c:v>
                </c:pt>
                <c:pt idx="565">
                  <c:v>26.4.2011</c:v>
                </c:pt>
                <c:pt idx="566">
                  <c:v>27.4.2011</c:v>
                </c:pt>
                <c:pt idx="567">
                  <c:v>28.4.2011</c:v>
                </c:pt>
                <c:pt idx="568">
                  <c:v>29.4.2011</c:v>
                </c:pt>
                <c:pt idx="569">
                  <c:v>2.5.2011</c:v>
                </c:pt>
                <c:pt idx="570">
                  <c:v>3.5.2011</c:v>
                </c:pt>
                <c:pt idx="571">
                  <c:v>4.5.2011</c:v>
                </c:pt>
                <c:pt idx="572">
                  <c:v>5.5.2011</c:v>
                </c:pt>
                <c:pt idx="573">
                  <c:v>6.5.2011</c:v>
                </c:pt>
                <c:pt idx="574">
                  <c:v>9.5.2011</c:v>
                </c:pt>
                <c:pt idx="575">
                  <c:v>10.5.2011</c:v>
                </c:pt>
                <c:pt idx="576">
                  <c:v>11.5.2011</c:v>
                </c:pt>
                <c:pt idx="577">
                  <c:v>12.5.2011</c:v>
                </c:pt>
                <c:pt idx="578">
                  <c:v>13.5.2011</c:v>
                </c:pt>
                <c:pt idx="579">
                  <c:v>16.5.2011</c:v>
                </c:pt>
                <c:pt idx="580">
                  <c:v>17.5.2011</c:v>
                </c:pt>
                <c:pt idx="581">
                  <c:v>18.5.2011</c:v>
                </c:pt>
                <c:pt idx="582">
                  <c:v>19.5.2011</c:v>
                </c:pt>
                <c:pt idx="583">
                  <c:v>20.5.2011</c:v>
                </c:pt>
                <c:pt idx="584">
                  <c:v>23.5.2011</c:v>
                </c:pt>
                <c:pt idx="585">
                  <c:v>24.5.2011</c:v>
                </c:pt>
                <c:pt idx="586">
                  <c:v>25.5.2011</c:v>
                </c:pt>
                <c:pt idx="587">
                  <c:v>26.5.2011</c:v>
                </c:pt>
                <c:pt idx="588">
                  <c:v>27.5.2011</c:v>
                </c:pt>
                <c:pt idx="589">
                  <c:v>31.5.2011</c:v>
                </c:pt>
                <c:pt idx="590">
                  <c:v>1.6.2011</c:v>
                </c:pt>
                <c:pt idx="591">
                  <c:v>6.6.2011</c:v>
                </c:pt>
                <c:pt idx="592">
                  <c:v>7.6.2011</c:v>
                </c:pt>
                <c:pt idx="593">
                  <c:v>8.6.2011</c:v>
                </c:pt>
                <c:pt idx="594">
                  <c:v>9.6.2011</c:v>
                </c:pt>
                <c:pt idx="595">
                  <c:v>10.6.2011</c:v>
                </c:pt>
                <c:pt idx="596">
                  <c:v>14.6.2011</c:v>
                </c:pt>
                <c:pt idx="597">
                  <c:v>15.6.2011</c:v>
                </c:pt>
                <c:pt idx="598">
                  <c:v>16.6.2011</c:v>
                </c:pt>
                <c:pt idx="599">
                  <c:v>17.6.2011</c:v>
                </c:pt>
                <c:pt idx="600">
                  <c:v>20.6.2011</c:v>
                </c:pt>
                <c:pt idx="601">
                  <c:v>21.6.2011</c:v>
                </c:pt>
                <c:pt idx="602">
                  <c:v>22.6.2011</c:v>
                </c:pt>
                <c:pt idx="603">
                  <c:v>23.6.2011</c:v>
                </c:pt>
                <c:pt idx="604">
                  <c:v>24.6.2011</c:v>
                </c:pt>
                <c:pt idx="605">
                  <c:v>27.6.2011</c:v>
                </c:pt>
                <c:pt idx="606">
                  <c:v>28.6.2011</c:v>
                </c:pt>
                <c:pt idx="607">
                  <c:v>29.6.2011</c:v>
                </c:pt>
                <c:pt idx="608">
                  <c:v>30.6.2011</c:v>
                </c:pt>
                <c:pt idx="609">
                  <c:v>1.7.2011</c:v>
                </c:pt>
                <c:pt idx="610">
                  <c:v>5.7.2011</c:v>
                </c:pt>
                <c:pt idx="611">
                  <c:v>6.7.2011</c:v>
                </c:pt>
                <c:pt idx="612">
                  <c:v>7.7.2011</c:v>
                </c:pt>
                <c:pt idx="613">
                  <c:v>8.7.2011</c:v>
                </c:pt>
                <c:pt idx="614">
                  <c:v>11.7.2011</c:v>
                </c:pt>
                <c:pt idx="615">
                  <c:v>12.7.2011</c:v>
                </c:pt>
                <c:pt idx="616">
                  <c:v>13.7.2011</c:v>
                </c:pt>
                <c:pt idx="617">
                  <c:v>14.7.2011</c:v>
                </c:pt>
                <c:pt idx="618">
                  <c:v>15.7.2011</c:v>
                </c:pt>
                <c:pt idx="619">
                  <c:v>18.7.2011</c:v>
                </c:pt>
                <c:pt idx="620">
                  <c:v>19.7.2011</c:v>
                </c:pt>
                <c:pt idx="621">
                  <c:v>20.7.2011</c:v>
                </c:pt>
                <c:pt idx="622">
                  <c:v>22.7.2011</c:v>
                </c:pt>
                <c:pt idx="623">
                  <c:v>25.7.2011</c:v>
                </c:pt>
                <c:pt idx="624">
                  <c:v>26.7.2011</c:v>
                </c:pt>
                <c:pt idx="625">
                  <c:v>27.7.2011</c:v>
                </c:pt>
                <c:pt idx="626">
                  <c:v>28.7.2011</c:v>
                </c:pt>
                <c:pt idx="627">
                  <c:v>29.7.2011</c:v>
                </c:pt>
                <c:pt idx="628">
                  <c:v>1.8.2011</c:v>
                </c:pt>
                <c:pt idx="629">
                  <c:v>2.8.2011</c:v>
                </c:pt>
                <c:pt idx="630">
                  <c:v>3.8.2011</c:v>
                </c:pt>
                <c:pt idx="631">
                  <c:v>4.8.2011</c:v>
                </c:pt>
                <c:pt idx="632">
                  <c:v>5.8.2011</c:v>
                </c:pt>
                <c:pt idx="633">
                  <c:v>8.8.2011</c:v>
                </c:pt>
                <c:pt idx="634">
                  <c:v>9.8.2011</c:v>
                </c:pt>
                <c:pt idx="635">
                  <c:v>10.8.2011</c:v>
                </c:pt>
                <c:pt idx="636">
                  <c:v>11.8.2011</c:v>
                </c:pt>
                <c:pt idx="637">
                  <c:v>12.8.2011</c:v>
                </c:pt>
                <c:pt idx="638">
                  <c:v>16.8.2011</c:v>
                </c:pt>
                <c:pt idx="639">
                  <c:v>17.8.2011</c:v>
                </c:pt>
                <c:pt idx="640">
                  <c:v>18.8.2011</c:v>
                </c:pt>
                <c:pt idx="641">
                  <c:v>19.8.2011</c:v>
                </c:pt>
                <c:pt idx="642">
                  <c:v>22.8.2011</c:v>
                </c:pt>
                <c:pt idx="643">
                  <c:v>23.8.2011</c:v>
                </c:pt>
                <c:pt idx="644">
                  <c:v>24.8.2011</c:v>
                </c:pt>
                <c:pt idx="645">
                  <c:v>25.8.2011</c:v>
                </c:pt>
                <c:pt idx="646">
                  <c:v>26.8.2011</c:v>
                </c:pt>
                <c:pt idx="647">
                  <c:v>29.8.2011</c:v>
                </c:pt>
                <c:pt idx="648">
                  <c:v>30.8.2011</c:v>
                </c:pt>
                <c:pt idx="649">
                  <c:v>31.8.2011</c:v>
                </c:pt>
                <c:pt idx="650">
                  <c:v>1.9.2011</c:v>
                </c:pt>
                <c:pt idx="651">
                  <c:v>2.9.2011</c:v>
                </c:pt>
                <c:pt idx="652">
                  <c:v>6.9.2011</c:v>
                </c:pt>
                <c:pt idx="653">
                  <c:v>7.9.2011</c:v>
                </c:pt>
                <c:pt idx="654">
                  <c:v>8.9.2011</c:v>
                </c:pt>
                <c:pt idx="655">
                  <c:v>9.9.2011</c:v>
                </c:pt>
                <c:pt idx="656">
                  <c:v>12.9.2011</c:v>
                </c:pt>
                <c:pt idx="657">
                  <c:v>13.9.2011</c:v>
                </c:pt>
                <c:pt idx="658">
                  <c:v>14.9.2011</c:v>
                </c:pt>
                <c:pt idx="659">
                  <c:v>15.9.2011</c:v>
                </c:pt>
                <c:pt idx="660">
                  <c:v>16.9.2011</c:v>
                </c:pt>
                <c:pt idx="661">
                  <c:v>19.9.2011</c:v>
                </c:pt>
                <c:pt idx="662">
                  <c:v>20.9.2011</c:v>
                </c:pt>
                <c:pt idx="663">
                  <c:v>21.9.2011</c:v>
                </c:pt>
                <c:pt idx="664">
                  <c:v>22.9.2011</c:v>
                </c:pt>
                <c:pt idx="665">
                  <c:v>23.9.2011</c:v>
                </c:pt>
                <c:pt idx="666">
                  <c:v>26.9.2011</c:v>
                </c:pt>
                <c:pt idx="667">
                  <c:v>27.9.2011</c:v>
                </c:pt>
                <c:pt idx="668">
                  <c:v>28.9.2011</c:v>
                </c:pt>
                <c:pt idx="669">
                  <c:v>29.9.2011</c:v>
                </c:pt>
                <c:pt idx="670">
                  <c:v>30.9.2011</c:v>
                </c:pt>
                <c:pt idx="671">
                  <c:v>3.10.2011</c:v>
                </c:pt>
                <c:pt idx="672">
                  <c:v>4.10.2011</c:v>
                </c:pt>
                <c:pt idx="673">
                  <c:v>5.10.2011</c:v>
                </c:pt>
                <c:pt idx="674">
                  <c:v>6.10.2011</c:v>
                </c:pt>
                <c:pt idx="675">
                  <c:v>7.10.2011</c:v>
                </c:pt>
                <c:pt idx="676">
                  <c:v>10.10.2011</c:v>
                </c:pt>
                <c:pt idx="677">
                  <c:v>11.10.2011</c:v>
                </c:pt>
                <c:pt idx="678">
                  <c:v>12.10.2011</c:v>
                </c:pt>
                <c:pt idx="679">
                  <c:v>13.10.2011</c:v>
                </c:pt>
                <c:pt idx="680">
                  <c:v>14.10.2011</c:v>
                </c:pt>
                <c:pt idx="681">
                  <c:v>17.10.2011</c:v>
                </c:pt>
                <c:pt idx="682">
                  <c:v>18.10.2011</c:v>
                </c:pt>
                <c:pt idx="683">
                  <c:v>19.10.2011</c:v>
                </c:pt>
                <c:pt idx="684">
                  <c:v>20.10.2011</c:v>
                </c:pt>
                <c:pt idx="685">
                  <c:v>21.10.2011</c:v>
                </c:pt>
                <c:pt idx="686">
                  <c:v>24.10.2011</c:v>
                </c:pt>
                <c:pt idx="687">
                  <c:v>25.10.2011</c:v>
                </c:pt>
                <c:pt idx="688">
                  <c:v>26.10.2011</c:v>
                </c:pt>
                <c:pt idx="689">
                  <c:v>27.10.2011</c:v>
                </c:pt>
                <c:pt idx="690">
                  <c:v>28.10.2011</c:v>
                </c:pt>
                <c:pt idx="691">
                  <c:v>31.10.2011</c:v>
                </c:pt>
                <c:pt idx="692">
                  <c:v>2.11.2011</c:v>
                </c:pt>
                <c:pt idx="693">
                  <c:v>3.11.2011</c:v>
                </c:pt>
                <c:pt idx="694">
                  <c:v>4.11.2011</c:v>
                </c:pt>
                <c:pt idx="695">
                  <c:v>7.11.2011</c:v>
                </c:pt>
                <c:pt idx="696">
                  <c:v>8.11.2011</c:v>
                </c:pt>
                <c:pt idx="697">
                  <c:v>9.11.2011</c:v>
                </c:pt>
                <c:pt idx="698">
                  <c:v>10.11.2011</c:v>
                </c:pt>
                <c:pt idx="699">
                  <c:v>14.11.2011</c:v>
                </c:pt>
                <c:pt idx="700">
                  <c:v>15.11.2011</c:v>
                </c:pt>
                <c:pt idx="701">
                  <c:v>16.11.2011</c:v>
                </c:pt>
                <c:pt idx="702">
                  <c:v>17.11.2011</c:v>
                </c:pt>
                <c:pt idx="703">
                  <c:v>18.11.2011</c:v>
                </c:pt>
                <c:pt idx="704">
                  <c:v>21.11.2011</c:v>
                </c:pt>
                <c:pt idx="705">
                  <c:v>22.11.2011</c:v>
                </c:pt>
                <c:pt idx="706">
                  <c:v>23.11.2011</c:v>
                </c:pt>
                <c:pt idx="707">
                  <c:v>25.11.2011</c:v>
                </c:pt>
                <c:pt idx="708">
                  <c:v>28.11.2011</c:v>
                </c:pt>
                <c:pt idx="709">
                  <c:v>29.11.2011</c:v>
                </c:pt>
                <c:pt idx="710">
                  <c:v>30.11.2011</c:v>
                </c:pt>
                <c:pt idx="711">
                  <c:v>1.12.2011</c:v>
                </c:pt>
                <c:pt idx="712">
                  <c:v>2.12.2011</c:v>
                </c:pt>
                <c:pt idx="713">
                  <c:v>5.12.2011</c:v>
                </c:pt>
                <c:pt idx="714">
                  <c:v>6.12.2011</c:v>
                </c:pt>
                <c:pt idx="715">
                  <c:v>7.12.2011</c:v>
                </c:pt>
                <c:pt idx="716">
                  <c:v>8.12.2011</c:v>
                </c:pt>
                <c:pt idx="717">
                  <c:v>9.12.2011</c:v>
                </c:pt>
                <c:pt idx="718">
                  <c:v>12.12.2011</c:v>
                </c:pt>
                <c:pt idx="719">
                  <c:v>13.12.2011</c:v>
                </c:pt>
                <c:pt idx="720">
                  <c:v>14.12.2011</c:v>
                </c:pt>
                <c:pt idx="721">
                  <c:v>15.12.2011</c:v>
                </c:pt>
                <c:pt idx="722">
                  <c:v>16.12.2011</c:v>
                </c:pt>
                <c:pt idx="723">
                  <c:v>19.12.2011</c:v>
                </c:pt>
                <c:pt idx="724">
                  <c:v>20.12.2011</c:v>
                </c:pt>
                <c:pt idx="725">
                  <c:v>21.12.2011</c:v>
                </c:pt>
                <c:pt idx="726">
                  <c:v>22.12.2011</c:v>
                </c:pt>
                <c:pt idx="727">
                  <c:v>23.12.2011</c:v>
                </c:pt>
                <c:pt idx="728">
                  <c:v>27.12.2011</c:v>
                </c:pt>
                <c:pt idx="729">
                  <c:v>28.12.2011</c:v>
                </c:pt>
                <c:pt idx="730">
                  <c:v>29.12.2011</c:v>
                </c:pt>
                <c:pt idx="731">
                  <c:v>30.12.2011</c:v>
                </c:pt>
                <c:pt idx="732">
                  <c:v>3.1.2012</c:v>
                </c:pt>
                <c:pt idx="733">
                  <c:v>4.1.2012</c:v>
                </c:pt>
                <c:pt idx="734">
                  <c:v>5.1.2012</c:v>
                </c:pt>
                <c:pt idx="735">
                  <c:v>6.1.2012</c:v>
                </c:pt>
                <c:pt idx="736">
                  <c:v>9.1.2012</c:v>
                </c:pt>
                <c:pt idx="737">
                  <c:v>10.1.2012</c:v>
                </c:pt>
                <c:pt idx="738">
                  <c:v>11.1.2012</c:v>
                </c:pt>
                <c:pt idx="739">
                  <c:v>12.1.2012</c:v>
                </c:pt>
                <c:pt idx="740">
                  <c:v>13.1.2012</c:v>
                </c:pt>
                <c:pt idx="741">
                  <c:v>17.1.2012</c:v>
                </c:pt>
                <c:pt idx="742">
                  <c:v>18.1.2012</c:v>
                </c:pt>
                <c:pt idx="743">
                  <c:v>19.1.2012</c:v>
                </c:pt>
                <c:pt idx="744">
                  <c:v>20.1.2012</c:v>
                </c:pt>
                <c:pt idx="745">
                  <c:v>23.1.2012</c:v>
                </c:pt>
                <c:pt idx="746">
                  <c:v>24.1.2012</c:v>
                </c:pt>
                <c:pt idx="747">
                  <c:v>25.1.2012</c:v>
                </c:pt>
                <c:pt idx="748">
                  <c:v>26.1.2012</c:v>
                </c:pt>
                <c:pt idx="749">
                  <c:v>27.1.2012</c:v>
                </c:pt>
                <c:pt idx="750">
                  <c:v>30.1.2012</c:v>
                </c:pt>
                <c:pt idx="751">
                  <c:v>31.1.2012</c:v>
                </c:pt>
                <c:pt idx="752">
                  <c:v>1.2.2012</c:v>
                </c:pt>
                <c:pt idx="753">
                  <c:v>2.2.2012</c:v>
                </c:pt>
                <c:pt idx="754">
                  <c:v>3.2.2012</c:v>
                </c:pt>
                <c:pt idx="755">
                  <c:v>6.2.2012</c:v>
                </c:pt>
                <c:pt idx="756">
                  <c:v>7.2.2012</c:v>
                </c:pt>
                <c:pt idx="757">
                  <c:v>8.2.2012</c:v>
                </c:pt>
                <c:pt idx="758">
                  <c:v>9.2.2012</c:v>
                </c:pt>
                <c:pt idx="759">
                  <c:v>10.2.2012</c:v>
                </c:pt>
                <c:pt idx="760">
                  <c:v>13.2.2012</c:v>
                </c:pt>
                <c:pt idx="761">
                  <c:v>14.2.2012</c:v>
                </c:pt>
                <c:pt idx="762">
                  <c:v>15.2.2012</c:v>
                </c:pt>
                <c:pt idx="763">
                  <c:v>16.2.2012</c:v>
                </c:pt>
                <c:pt idx="764">
                  <c:v>17.2.2012</c:v>
                </c:pt>
                <c:pt idx="765">
                  <c:v>21.2.2012</c:v>
                </c:pt>
                <c:pt idx="766">
                  <c:v>22.2.2012</c:v>
                </c:pt>
                <c:pt idx="767">
                  <c:v>23.2.2012</c:v>
                </c:pt>
                <c:pt idx="768">
                  <c:v>24.2.2012</c:v>
                </c:pt>
                <c:pt idx="769">
                  <c:v>27.2.2012</c:v>
                </c:pt>
                <c:pt idx="770">
                  <c:v>28.2.2012</c:v>
                </c:pt>
                <c:pt idx="771">
                  <c:v>29.2.2012</c:v>
                </c:pt>
                <c:pt idx="772">
                  <c:v>1.3.2012</c:v>
                </c:pt>
                <c:pt idx="773">
                  <c:v>2.3.2012</c:v>
                </c:pt>
                <c:pt idx="774">
                  <c:v>5.3.2012</c:v>
                </c:pt>
                <c:pt idx="775">
                  <c:v>6.3.2012</c:v>
                </c:pt>
                <c:pt idx="776">
                  <c:v>7.3.2012</c:v>
                </c:pt>
                <c:pt idx="777">
                  <c:v>8.3.2012</c:v>
                </c:pt>
                <c:pt idx="778">
                  <c:v>9.3.2012</c:v>
                </c:pt>
                <c:pt idx="779">
                  <c:v>12.3.2012</c:v>
                </c:pt>
                <c:pt idx="780">
                  <c:v>13.3.2012</c:v>
                </c:pt>
                <c:pt idx="781">
                  <c:v>14.3.2012</c:v>
                </c:pt>
                <c:pt idx="782">
                  <c:v>15.3.2012</c:v>
                </c:pt>
                <c:pt idx="783">
                  <c:v>16.3.2012</c:v>
                </c:pt>
                <c:pt idx="784">
                  <c:v>19.3.2012</c:v>
                </c:pt>
                <c:pt idx="785">
                  <c:v>20.3.2012</c:v>
                </c:pt>
                <c:pt idx="786">
                  <c:v>21.3.2012</c:v>
                </c:pt>
                <c:pt idx="787">
                  <c:v>22.3.2012</c:v>
                </c:pt>
                <c:pt idx="788">
                  <c:v>23.3.2012</c:v>
                </c:pt>
                <c:pt idx="789">
                  <c:v>26.3.2012</c:v>
                </c:pt>
                <c:pt idx="790">
                  <c:v>27.3.2012</c:v>
                </c:pt>
                <c:pt idx="791">
                  <c:v>28.3.2012</c:v>
                </c:pt>
                <c:pt idx="792">
                  <c:v>29.3.2012</c:v>
                </c:pt>
                <c:pt idx="793">
                  <c:v>30.3.2012</c:v>
                </c:pt>
                <c:pt idx="794">
                  <c:v>2.4.2012</c:v>
                </c:pt>
                <c:pt idx="795">
                  <c:v>3.4.2012</c:v>
                </c:pt>
                <c:pt idx="796">
                  <c:v>4.4.2012</c:v>
                </c:pt>
                <c:pt idx="797">
                  <c:v>5.4.2012</c:v>
                </c:pt>
                <c:pt idx="798">
                  <c:v>10.4.2012</c:v>
                </c:pt>
                <c:pt idx="799">
                  <c:v>11.4.2012</c:v>
                </c:pt>
                <c:pt idx="800">
                  <c:v>12.4.2012</c:v>
                </c:pt>
                <c:pt idx="801">
                  <c:v>13.4.2012</c:v>
                </c:pt>
                <c:pt idx="802">
                  <c:v>16.4.2012</c:v>
                </c:pt>
                <c:pt idx="803">
                  <c:v>17.4.2012</c:v>
                </c:pt>
                <c:pt idx="804">
                  <c:v>18.4.2012</c:v>
                </c:pt>
                <c:pt idx="805">
                  <c:v>19.4.2012</c:v>
                </c:pt>
                <c:pt idx="806">
                  <c:v>20.4.2012</c:v>
                </c:pt>
                <c:pt idx="807">
                  <c:v>23.4.2012</c:v>
                </c:pt>
                <c:pt idx="808">
                  <c:v>24.4.2012</c:v>
                </c:pt>
                <c:pt idx="809">
                  <c:v>25.4.2012</c:v>
                </c:pt>
                <c:pt idx="810">
                  <c:v>26.4.2012</c:v>
                </c:pt>
                <c:pt idx="811">
                  <c:v>27.4.2012</c:v>
                </c:pt>
                <c:pt idx="812">
                  <c:v>30.4.2012</c:v>
                </c:pt>
                <c:pt idx="813">
                  <c:v>2.5.2012</c:v>
                </c:pt>
                <c:pt idx="814">
                  <c:v>3.5.2012</c:v>
                </c:pt>
                <c:pt idx="815">
                  <c:v>4.5.2012</c:v>
                </c:pt>
                <c:pt idx="816">
                  <c:v>7.5.2012</c:v>
                </c:pt>
                <c:pt idx="817">
                  <c:v>8.5.2012</c:v>
                </c:pt>
                <c:pt idx="818">
                  <c:v>9.5.2012</c:v>
                </c:pt>
                <c:pt idx="819">
                  <c:v>10.5.2012</c:v>
                </c:pt>
                <c:pt idx="820">
                  <c:v>11.5.2012</c:v>
                </c:pt>
                <c:pt idx="821">
                  <c:v>14.5.2012</c:v>
                </c:pt>
                <c:pt idx="822">
                  <c:v>15.5.2012</c:v>
                </c:pt>
                <c:pt idx="823">
                  <c:v>16.5.2012</c:v>
                </c:pt>
                <c:pt idx="824">
                  <c:v>21.5.2012</c:v>
                </c:pt>
                <c:pt idx="825">
                  <c:v>22.5.2012</c:v>
                </c:pt>
                <c:pt idx="826">
                  <c:v>23.5.2012</c:v>
                </c:pt>
                <c:pt idx="827">
                  <c:v>24.5.2012</c:v>
                </c:pt>
                <c:pt idx="828">
                  <c:v>25.5.2012</c:v>
                </c:pt>
                <c:pt idx="829">
                  <c:v>29.5.2012</c:v>
                </c:pt>
                <c:pt idx="830">
                  <c:v>30.5.2012</c:v>
                </c:pt>
                <c:pt idx="831">
                  <c:v>31.5.2012</c:v>
                </c:pt>
                <c:pt idx="832">
                  <c:v>1.6.2012</c:v>
                </c:pt>
                <c:pt idx="833">
                  <c:v>4.6.2012</c:v>
                </c:pt>
                <c:pt idx="834">
                  <c:v>5.6.2012</c:v>
                </c:pt>
                <c:pt idx="835">
                  <c:v>6.6.2012</c:v>
                </c:pt>
                <c:pt idx="836">
                  <c:v>7.6.2012</c:v>
                </c:pt>
                <c:pt idx="837">
                  <c:v>8.6.2012</c:v>
                </c:pt>
                <c:pt idx="838">
                  <c:v>11.6.2012</c:v>
                </c:pt>
                <c:pt idx="839">
                  <c:v>12.6.2012</c:v>
                </c:pt>
                <c:pt idx="840">
                  <c:v>13.6.2012</c:v>
                </c:pt>
                <c:pt idx="841">
                  <c:v>14.6.2012</c:v>
                </c:pt>
                <c:pt idx="842">
                  <c:v>15.6.2012</c:v>
                </c:pt>
                <c:pt idx="843">
                  <c:v>18.6.2012</c:v>
                </c:pt>
                <c:pt idx="844">
                  <c:v>19.6.2012</c:v>
                </c:pt>
                <c:pt idx="845">
                  <c:v>20.6.2012</c:v>
                </c:pt>
                <c:pt idx="846">
                  <c:v>21.6.2012</c:v>
                </c:pt>
                <c:pt idx="847">
                  <c:v>22.6.2012</c:v>
                </c:pt>
                <c:pt idx="848">
                  <c:v>25.6.2012</c:v>
                </c:pt>
                <c:pt idx="849">
                  <c:v>26.6.2012</c:v>
                </c:pt>
                <c:pt idx="850">
                  <c:v>27.6.2012</c:v>
                </c:pt>
                <c:pt idx="851">
                  <c:v>28.6.2012</c:v>
                </c:pt>
                <c:pt idx="852">
                  <c:v>29.6.2012</c:v>
                </c:pt>
                <c:pt idx="853">
                  <c:v>2.7.2012</c:v>
                </c:pt>
                <c:pt idx="854">
                  <c:v>3.7.2012</c:v>
                </c:pt>
                <c:pt idx="855">
                  <c:v>5.7.2012</c:v>
                </c:pt>
                <c:pt idx="856">
                  <c:v>6.7.2012</c:v>
                </c:pt>
                <c:pt idx="857">
                  <c:v>9.7.2012</c:v>
                </c:pt>
                <c:pt idx="858">
                  <c:v>10.7.2012</c:v>
                </c:pt>
                <c:pt idx="859">
                  <c:v>11.7.2012</c:v>
                </c:pt>
                <c:pt idx="860">
                  <c:v>12.7.2012</c:v>
                </c:pt>
                <c:pt idx="861">
                  <c:v>13.7.2012</c:v>
                </c:pt>
                <c:pt idx="862">
                  <c:v>16.7.2012</c:v>
                </c:pt>
                <c:pt idx="863">
                  <c:v>17.7.2012</c:v>
                </c:pt>
                <c:pt idx="864">
                  <c:v>18.7.2012</c:v>
                </c:pt>
                <c:pt idx="865">
                  <c:v>19.7.2012</c:v>
                </c:pt>
                <c:pt idx="866">
                  <c:v>20.7.2012</c:v>
                </c:pt>
                <c:pt idx="867">
                  <c:v>23.7.2012</c:v>
                </c:pt>
                <c:pt idx="868">
                  <c:v>24.7.2012</c:v>
                </c:pt>
                <c:pt idx="869">
                  <c:v>25.7.2012</c:v>
                </c:pt>
                <c:pt idx="870">
                  <c:v>26.7.2012</c:v>
                </c:pt>
                <c:pt idx="871">
                  <c:v>27.7.2012</c:v>
                </c:pt>
                <c:pt idx="872">
                  <c:v>30.7.2012</c:v>
                </c:pt>
                <c:pt idx="873">
                  <c:v>31.7.2012</c:v>
                </c:pt>
                <c:pt idx="874">
                  <c:v>1.8.2012</c:v>
                </c:pt>
                <c:pt idx="875">
                  <c:v>2.8.2012</c:v>
                </c:pt>
                <c:pt idx="876">
                  <c:v>3.8.2012</c:v>
                </c:pt>
                <c:pt idx="877">
                  <c:v>6.8.2012</c:v>
                </c:pt>
                <c:pt idx="878">
                  <c:v>7.8.2012</c:v>
                </c:pt>
                <c:pt idx="879">
                  <c:v>8.8.2012</c:v>
                </c:pt>
                <c:pt idx="880">
                  <c:v>9.8.2012</c:v>
                </c:pt>
                <c:pt idx="881">
                  <c:v>10.8.2012</c:v>
                </c:pt>
                <c:pt idx="882">
                  <c:v>13.8.2012</c:v>
                </c:pt>
                <c:pt idx="883">
                  <c:v>14.8.2012</c:v>
                </c:pt>
                <c:pt idx="884">
                  <c:v>16.8.2012</c:v>
                </c:pt>
                <c:pt idx="885">
                  <c:v>17.8.2012</c:v>
                </c:pt>
                <c:pt idx="886">
                  <c:v>20.8.2012</c:v>
                </c:pt>
                <c:pt idx="887">
                  <c:v>21.8.2012</c:v>
                </c:pt>
                <c:pt idx="888">
                  <c:v>22.8.2012</c:v>
                </c:pt>
                <c:pt idx="889">
                  <c:v>23.8.2012</c:v>
                </c:pt>
                <c:pt idx="890">
                  <c:v>24.8.2012</c:v>
                </c:pt>
                <c:pt idx="891">
                  <c:v>27.8.2012</c:v>
                </c:pt>
                <c:pt idx="892">
                  <c:v>28.8.2012</c:v>
                </c:pt>
                <c:pt idx="893">
                  <c:v>29.8.2012</c:v>
                </c:pt>
                <c:pt idx="894">
                  <c:v>30.8.2012</c:v>
                </c:pt>
                <c:pt idx="895">
                  <c:v>31.8.2012</c:v>
                </c:pt>
                <c:pt idx="896">
                  <c:v>4.9.2012</c:v>
                </c:pt>
                <c:pt idx="897">
                  <c:v>5.9.2012</c:v>
                </c:pt>
                <c:pt idx="898">
                  <c:v>6.9.2012</c:v>
                </c:pt>
                <c:pt idx="899">
                  <c:v>7.9.2012</c:v>
                </c:pt>
                <c:pt idx="900">
                  <c:v>10.9.2012</c:v>
                </c:pt>
                <c:pt idx="901">
                  <c:v>11.9.2012</c:v>
                </c:pt>
                <c:pt idx="902">
                  <c:v>12.9.2012</c:v>
                </c:pt>
                <c:pt idx="903">
                  <c:v>13.9.2012</c:v>
                </c:pt>
                <c:pt idx="904">
                  <c:v>14.9.2012</c:v>
                </c:pt>
                <c:pt idx="905">
                  <c:v>17.9.2012</c:v>
                </c:pt>
                <c:pt idx="906">
                  <c:v>18.9.2012</c:v>
                </c:pt>
                <c:pt idx="907">
                  <c:v>19.9.2012</c:v>
                </c:pt>
                <c:pt idx="908">
                  <c:v>20.9.2012</c:v>
                </c:pt>
                <c:pt idx="909">
                  <c:v>21.9.2012</c:v>
                </c:pt>
                <c:pt idx="910">
                  <c:v>24.9.2012</c:v>
                </c:pt>
                <c:pt idx="911">
                  <c:v>25.9.2012</c:v>
                </c:pt>
                <c:pt idx="912">
                  <c:v>26.9.2012</c:v>
                </c:pt>
                <c:pt idx="913">
                  <c:v>27.9.2012</c:v>
                </c:pt>
                <c:pt idx="914">
                  <c:v>28.9.2012</c:v>
                </c:pt>
                <c:pt idx="915">
                  <c:v>1.10.2012</c:v>
                </c:pt>
                <c:pt idx="916">
                  <c:v>2.10.2012</c:v>
                </c:pt>
                <c:pt idx="917">
                  <c:v>3.10.2012</c:v>
                </c:pt>
                <c:pt idx="918">
                  <c:v>4.10.2012</c:v>
                </c:pt>
                <c:pt idx="919">
                  <c:v>5.10.2012</c:v>
                </c:pt>
                <c:pt idx="920">
                  <c:v>8.10.2012</c:v>
                </c:pt>
                <c:pt idx="921">
                  <c:v>9.10.2012</c:v>
                </c:pt>
                <c:pt idx="922">
                  <c:v>10.10.2012</c:v>
                </c:pt>
                <c:pt idx="923">
                  <c:v>11.10.2012</c:v>
                </c:pt>
                <c:pt idx="924">
                  <c:v>12.10.2012</c:v>
                </c:pt>
                <c:pt idx="925">
                  <c:v>15.10.2012</c:v>
                </c:pt>
                <c:pt idx="926">
                  <c:v>16.10.2012</c:v>
                </c:pt>
                <c:pt idx="927">
                  <c:v>17.10.2012</c:v>
                </c:pt>
                <c:pt idx="928">
                  <c:v>18.10.2012</c:v>
                </c:pt>
                <c:pt idx="929">
                  <c:v>19.10.2012</c:v>
                </c:pt>
                <c:pt idx="930">
                  <c:v>22.10.2012</c:v>
                </c:pt>
                <c:pt idx="931">
                  <c:v>23.10.2012</c:v>
                </c:pt>
                <c:pt idx="932">
                  <c:v>24.10.2012</c:v>
                </c:pt>
                <c:pt idx="933">
                  <c:v>25.10.2012</c:v>
                </c:pt>
                <c:pt idx="934">
                  <c:v>26.10.2012</c:v>
                </c:pt>
                <c:pt idx="935">
                  <c:v>31.10.2012</c:v>
                </c:pt>
                <c:pt idx="936">
                  <c:v>2.11.2012</c:v>
                </c:pt>
                <c:pt idx="937">
                  <c:v>5.11.2012</c:v>
                </c:pt>
                <c:pt idx="938">
                  <c:v>6.11.2012</c:v>
                </c:pt>
                <c:pt idx="939">
                  <c:v>7.11.2012</c:v>
                </c:pt>
                <c:pt idx="940">
                  <c:v>8.11.2012</c:v>
                </c:pt>
                <c:pt idx="941">
                  <c:v>9.11.2012</c:v>
                </c:pt>
                <c:pt idx="942">
                  <c:v>12.11.2012</c:v>
                </c:pt>
                <c:pt idx="943">
                  <c:v>13.11.2012</c:v>
                </c:pt>
                <c:pt idx="944">
                  <c:v>14.11.2012</c:v>
                </c:pt>
                <c:pt idx="945">
                  <c:v>15.11.2012</c:v>
                </c:pt>
                <c:pt idx="946">
                  <c:v>16.11.2012</c:v>
                </c:pt>
                <c:pt idx="947">
                  <c:v>19.11.2012</c:v>
                </c:pt>
                <c:pt idx="948">
                  <c:v>20.11.2012</c:v>
                </c:pt>
                <c:pt idx="949">
                  <c:v>21.11.2012</c:v>
                </c:pt>
                <c:pt idx="950">
                  <c:v>23.11.2012</c:v>
                </c:pt>
                <c:pt idx="951">
                  <c:v>26.11.2012</c:v>
                </c:pt>
                <c:pt idx="952">
                  <c:v>27.11.2012</c:v>
                </c:pt>
                <c:pt idx="953">
                  <c:v>28.11.2012</c:v>
                </c:pt>
                <c:pt idx="954">
                  <c:v>29.11.2012</c:v>
                </c:pt>
                <c:pt idx="955">
                  <c:v>30.11.2012</c:v>
                </c:pt>
                <c:pt idx="956">
                  <c:v>3.12.2012</c:v>
                </c:pt>
                <c:pt idx="957">
                  <c:v>4.12.2012</c:v>
                </c:pt>
                <c:pt idx="958">
                  <c:v>5.12.2012</c:v>
                </c:pt>
                <c:pt idx="959">
                  <c:v>6.12.2012</c:v>
                </c:pt>
                <c:pt idx="960">
                  <c:v>7.12.2012</c:v>
                </c:pt>
                <c:pt idx="961">
                  <c:v>10.12.2012</c:v>
                </c:pt>
                <c:pt idx="962">
                  <c:v>11.12.2012</c:v>
                </c:pt>
                <c:pt idx="963">
                  <c:v>12.12.2012</c:v>
                </c:pt>
                <c:pt idx="964">
                  <c:v>13.12.2012</c:v>
                </c:pt>
                <c:pt idx="965">
                  <c:v>14.12.2012</c:v>
                </c:pt>
                <c:pt idx="966">
                  <c:v>17.12.2012</c:v>
                </c:pt>
                <c:pt idx="967">
                  <c:v>18.12.2012</c:v>
                </c:pt>
                <c:pt idx="968">
                  <c:v>19.12.2012</c:v>
                </c:pt>
                <c:pt idx="969">
                  <c:v>20.12.2012</c:v>
                </c:pt>
                <c:pt idx="970">
                  <c:v>21.12.2012</c:v>
                </c:pt>
                <c:pt idx="971">
                  <c:v>27.12.2012</c:v>
                </c:pt>
                <c:pt idx="972">
                  <c:v>28.12.2012</c:v>
                </c:pt>
                <c:pt idx="973">
                  <c:v>31.12.2012</c:v>
                </c:pt>
                <c:pt idx="974">
                  <c:v>2.1.2013</c:v>
                </c:pt>
                <c:pt idx="975">
                  <c:v>3.1.2013</c:v>
                </c:pt>
                <c:pt idx="976">
                  <c:v>4.1.2013</c:v>
                </c:pt>
                <c:pt idx="977">
                  <c:v>7.1.2013</c:v>
                </c:pt>
                <c:pt idx="978">
                  <c:v>8.1.2013</c:v>
                </c:pt>
                <c:pt idx="979">
                  <c:v>9.1.2013</c:v>
                </c:pt>
                <c:pt idx="980">
                  <c:v>10.1.2013</c:v>
                </c:pt>
                <c:pt idx="981">
                  <c:v>11.1.2013</c:v>
                </c:pt>
                <c:pt idx="982">
                  <c:v>14.1.2013</c:v>
                </c:pt>
                <c:pt idx="983">
                  <c:v>15.1.2013</c:v>
                </c:pt>
                <c:pt idx="984">
                  <c:v>16.1.2013</c:v>
                </c:pt>
                <c:pt idx="985">
                  <c:v>17.1.2013</c:v>
                </c:pt>
                <c:pt idx="986">
                  <c:v>18.1.2013</c:v>
                </c:pt>
                <c:pt idx="987">
                  <c:v>22.1.2013</c:v>
                </c:pt>
                <c:pt idx="988">
                  <c:v>23.1.2013</c:v>
                </c:pt>
                <c:pt idx="989">
                  <c:v>24.1.2013</c:v>
                </c:pt>
                <c:pt idx="990">
                  <c:v>25.1.2013</c:v>
                </c:pt>
                <c:pt idx="991">
                  <c:v>28.1.2013</c:v>
                </c:pt>
                <c:pt idx="992">
                  <c:v>29.1.2013</c:v>
                </c:pt>
                <c:pt idx="993">
                  <c:v>30.1.2013</c:v>
                </c:pt>
                <c:pt idx="994">
                  <c:v>31.1.2013</c:v>
                </c:pt>
                <c:pt idx="995">
                  <c:v>1.2.2013</c:v>
                </c:pt>
                <c:pt idx="996">
                  <c:v>4.2.2013</c:v>
                </c:pt>
                <c:pt idx="997">
                  <c:v>5.2.2013</c:v>
                </c:pt>
                <c:pt idx="998">
                  <c:v>6.2.2013</c:v>
                </c:pt>
                <c:pt idx="999">
                  <c:v>7.2.2013</c:v>
                </c:pt>
                <c:pt idx="1000">
                  <c:v>8.2.2013</c:v>
                </c:pt>
                <c:pt idx="1001">
                  <c:v>11.2.2013</c:v>
                </c:pt>
                <c:pt idx="1002">
                  <c:v>12.2.2013</c:v>
                </c:pt>
                <c:pt idx="1003">
                  <c:v>13.2.2013</c:v>
                </c:pt>
                <c:pt idx="1004">
                  <c:v>14.2.2013</c:v>
                </c:pt>
                <c:pt idx="1005">
                  <c:v>15.2.2013</c:v>
                </c:pt>
                <c:pt idx="1006">
                  <c:v>19.2.2013</c:v>
                </c:pt>
                <c:pt idx="1007">
                  <c:v>20.2.2013</c:v>
                </c:pt>
                <c:pt idx="1008">
                  <c:v>21.2.2013</c:v>
                </c:pt>
                <c:pt idx="1009">
                  <c:v>22.2.2013</c:v>
                </c:pt>
                <c:pt idx="1010">
                  <c:v>25.2.2013</c:v>
                </c:pt>
                <c:pt idx="1011">
                  <c:v>26.2.2013</c:v>
                </c:pt>
                <c:pt idx="1012">
                  <c:v>27.2.2013</c:v>
                </c:pt>
                <c:pt idx="1013">
                  <c:v>28.2.2013</c:v>
                </c:pt>
                <c:pt idx="1014">
                  <c:v>1.3.2013</c:v>
                </c:pt>
                <c:pt idx="1015">
                  <c:v>4.3.2013</c:v>
                </c:pt>
                <c:pt idx="1016">
                  <c:v>5.3.2013</c:v>
                </c:pt>
                <c:pt idx="1017">
                  <c:v>6.3.2013</c:v>
                </c:pt>
                <c:pt idx="1018">
                  <c:v>7.3.2013</c:v>
                </c:pt>
                <c:pt idx="1019">
                  <c:v>8.3.2013</c:v>
                </c:pt>
                <c:pt idx="1020">
                  <c:v>11.3.2013</c:v>
                </c:pt>
                <c:pt idx="1021">
                  <c:v>12.3.2013</c:v>
                </c:pt>
                <c:pt idx="1022">
                  <c:v>13.3.2013</c:v>
                </c:pt>
                <c:pt idx="1023">
                  <c:v>14.3.2013</c:v>
                </c:pt>
                <c:pt idx="1024">
                  <c:v>15.3.2013</c:v>
                </c:pt>
                <c:pt idx="1025">
                  <c:v>18.3.2013</c:v>
                </c:pt>
                <c:pt idx="1026">
                  <c:v>19.3.2013</c:v>
                </c:pt>
                <c:pt idx="1027">
                  <c:v>20.3.2013</c:v>
                </c:pt>
                <c:pt idx="1028">
                  <c:v>21.3.2013</c:v>
                </c:pt>
                <c:pt idx="1029">
                  <c:v>22.3.2013</c:v>
                </c:pt>
                <c:pt idx="1030">
                  <c:v>25.3.2013</c:v>
                </c:pt>
                <c:pt idx="1031">
                  <c:v>26.3.2013</c:v>
                </c:pt>
                <c:pt idx="1032">
                  <c:v>27.3.2013</c:v>
                </c:pt>
                <c:pt idx="1033">
                  <c:v>28.3.2013</c:v>
                </c:pt>
                <c:pt idx="1034">
                  <c:v>2.4.2013</c:v>
                </c:pt>
                <c:pt idx="1035">
                  <c:v>3.4.2013</c:v>
                </c:pt>
                <c:pt idx="1036">
                  <c:v>4.4.2013</c:v>
                </c:pt>
                <c:pt idx="1037">
                  <c:v>5.4.2013</c:v>
                </c:pt>
                <c:pt idx="1038">
                  <c:v>8.4.2013</c:v>
                </c:pt>
                <c:pt idx="1039">
                  <c:v>9.4.2013</c:v>
                </c:pt>
                <c:pt idx="1040">
                  <c:v>10.4.2013</c:v>
                </c:pt>
                <c:pt idx="1041">
                  <c:v>11.4.2013</c:v>
                </c:pt>
                <c:pt idx="1042">
                  <c:v>12.4.2013</c:v>
                </c:pt>
                <c:pt idx="1043">
                  <c:v>15.4.2013</c:v>
                </c:pt>
                <c:pt idx="1044">
                  <c:v>16.4.2013</c:v>
                </c:pt>
                <c:pt idx="1045">
                  <c:v>17.4.2013</c:v>
                </c:pt>
                <c:pt idx="1046">
                  <c:v>18.4.2013</c:v>
                </c:pt>
                <c:pt idx="1047">
                  <c:v>19.4.2013</c:v>
                </c:pt>
                <c:pt idx="1048">
                  <c:v>22.4.2013</c:v>
                </c:pt>
                <c:pt idx="1049">
                  <c:v>23.4.2013</c:v>
                </c:pt>
                <c:pt idx="1050">
                  <c:v>24.4.2013</c:v>
                </c:pt>
                <c:pt idx="1051">
                  <c:v>25.4.2013</c:v>
                </c:pt>
                <c:pt idx="1052">
                  <c:v>26.4.2013</c:v>
                </c:pt>
                <c:pt idx="1053">
                  <c:v>29.4.2013</c:v>
                </c:pt>
                <c:pt idx="1054">
                  <c:v>30.4.2013</c:v>
                </c:pt>
                <c:pt idx="1055">
                  <c:v>2.5.2013</c:v>
                </c:pt>
                <c:pt idx="1056">
                  <c:v>3.5.2013</c:v>
                </c:pt>
                <c:pt idx="1057">
                  <c:v>6.5.2013</c:v>
                </c:pt>
                <c:pt idx="1058">
                  <c:v>7.5.2013</c:v>
                </c:pt>
                <c:pt idx="1059">
                  <c:v>8.5.2013</c:v>
                </c:pt>
                <c:pt idx="1060">
                  <c:v>13.5.2013</c:v>
                </c:pt>
                <c:pt idx="1061">
                  <c:v>14.5.2013</c:v>
                </c:pt>
                <c:pt idx="1062">
                  <c:v>15.5.2013</c:v>
                </c:pt>
                <c:pt idx="1063">
                  <c:v>16.5.2013</c:v>
                </c:pt>
                <c:pt idx="1064">
                  <c:v>17.5.2013</c:v>
                </c:pt>
                <c:pt idx="1065">
                  <c:v>21.5.2013</c:v>
                </c:pt>
                <c:pt idx="1066">
                  <c:v>22.5.2013</c:v>
                </c:pt>
                <c:pt idx="1067">
                  <c:v>23.5.2013</c:v>
                </c:pt>
                <c:pt idx="1068">
                  <c:v>24.5.2013</c:v>
                </c:pt>
                <c:pt idx="1069">
                  <c:v>28.5.2013</c:v>
                </c:pt>
                <c:pt idx="1070">
                  <c:v>29.5.2013</c:v>
                </c:pt>
                <c:pt idx="1071">
                  <c:v>30.5.2013</c:v>
                </c:pt>
                <c:pt idx="1072">
                  <c:v>31.5.2013</c:v>
                </c:pt>
                <c:pt idx="1073">
                  <c:v>3.6.2013</c:v>
                </c:pt>
                <c:pt idx="1074">
                  <c:v>4.6.2013</c:v>
                </c:pt>
                <c:pt idx="1075">
                  <c:v>5.6.2013</c:v>
                </c:pt>
                <c:pt idx="1076">
                  <c:v>6.6.2013</c:v>
                </c:pt>
                <c:pt idx="1077">
                  <c:v>7.6.2013</c:v>
                </c:pt>
                <c:pt idx="1078">
                  <c:v>10.6.2013</c:v>
                </c:pt>
                <c:pt idx="1079">
                  <c:v>11.6.2013</c:v>
                </c:pt>
                <c:pt idx="1080">
                  <c:v>12.6.2013</c:v>
                </c:pt>
                <c:pt idx="1081">
                  <c:v>13.6.2013</c:v>
                </c:pt>
                <c:pt idx="1082">
                  <c:v>14.6.2013</c:v>
                </c:pt>
                <c:pt idx="1083">
                  <c:v>17.6.2013</c:v>
                </c:pt>
                <c:pt idx="1084">
                  <c:v>18.6.2013</c:v>
                </c:pt>
                <c:pt idx="1085">
                  <c:v>19.6.2013</c:v>
                </c:pt>
                <c:pt idx="1086">
                  <c:v>20.6.2013</c:v>
                </c:pt>
                <c:pt idx="1087">
                  <c:v>21.6.2013</c:v>
                </c:pt>
                <c:pt idx="1088">
                  <c:v>24.6.2013</c:v>
                </c:pt>
                <c:pt idx="1089">
                  <c:v>25.6.2013</c:v>
                </c:pt>
                <c:pt idx="1090">
                  <c:v>26.6.2013</c:v>
                </c:pt>
                <c:pt idx="1091">
                  <c:v>27.6.2013</c:v>
                </c:pt>
                <c:pt idx="1092">
                  <c:v>28.6.2013</c:v>
                </c:pt>
                <c:pt idx="1093">
                  <c:v>1.7.2013</c:v>
                </c:pt>
                <c:pt idx="1094">
                  <c:v>2.7.2013</c:v>
                </c:pt>
                <c:pt idx="1095">
                  <c:v>3.7.2013</c:v>
                </c:pt>
                <c:pt idx="1096">
                  <c:v>5.7.2013</c:v>
                </c:pt>
                <c:pt idx="1097">
                  <c:v>8.7.2013</c:v>
                </c:pt>
                <c:pt idx="1098">
                  <c:v>9.7.2013</c:v>
                </c:pt>
                <c:pt idx="1099">
                  <c:v>10.7.2013</c:v>
                </c:pt>
                <c:pt idx="1100">
                  <c:v>11.7.2013</c:v>
                </c:pt>
                <c:pt idx="1101">
                  <c:v>12.7.2013</c:v>
                </c:pt>
                <c:pt idx="1102">
                  <c:v>15.7.2013</c:v>
                </c:pt>
                <c:pt idx="1103">
                  <c:v>16.7.2013</c:v>
                </c:pt>
                <c:pt idx="1104">
                  <c:v>17.7.2013</c:v>
                </c:pt>
                <c:pt idx="1105">
                  <c:v>18.7.2013</c:v>
                </c:pt>
                <c:pt idx="1106">
                  <c:v>19.7.2013</c:v>
                </c:pt>
                <c:pt idx="1107">
                  <c:v>22.7.2013</c:v>
                </c:pt>
                <c:pt idx="1108">
                  <c:v>23.7.2013</c:v>
                </c:pt>
                <c:pt idx="1109">
                  <c:v>24.7.2013</c:v>
                </c:pt>
                <c:pt idx="1110">
                  <c:v>25.7.2013</c:v>
                </c:pt>
                <c:pt idx="1111">
                  <c:v>26.7.2013</c:v>
                </c:pt>
                <c:pt idx="1112">
                  <c:v>29.7.2013</c:v>
                </c:pt>
                <c:pt idx="1113">
                  <c:v>30.7.2013</c:v>
                </c:pt>
                <c:pt idx="1114">
                  <c:v>31.7.2013</c:v>
                </c:pt>
                <c:pt idx="1115">
                  <c:v>1.8.2013</c:v>
                </c:pt>
                <c:pt idx="1116">
                  <c:v>2.8.2013</c:v>
                </c:pt>
                <c:pt idx="1117">
                  <c:v>5.8.2013</c:v>
                </c:pt>
                <c:pt idx="1118">
                  <c:v>6.8.2013</c:v>
                </c:pt>
                <c:pt idx="1119">
                  <c:v>7.8.2013</c:v>
                </c:pt>
                <c:pt idx="1120">
                  <c:v>8.8.2013</c:v>
                </c:pt>
                <c:pt idx="1121">
                  <c:v>9.8.2013</c:v>
                </c:pt>
                <c:pt idx="1122">
                  <c:v>12.8.2013</c:v>
                </c:pt>
                <c:pt idx="1123">
                  <c:v>13.8.2013</c:v>
                </c:pt>
                <c:pt idx="1124">
                  <c:v>14.8.2013</c:v>
                </c:pt>
                <c:pt idx="1125">
                  <c:v>16.8.2013</c:v>
                </c:pt>
                <c:pt idx="1126">
                  <c:v>19.8.2013</c:v>
                </c:pt>
                <c:pt idx="1127">
                  <c:v>20.8.2013</c:v>
                </c:pt>
                <c:pt idx="1128">
                  <c:v>21.8.2013</c:v>
                </c:pt>
                <c:pt idx="1129">
                  <c:v>22.8.2013</c:v>
                </c:pt>
                <c:pt idx="1130">
                  <c:v>23.8.2013</c:v>
                </c:pt>
                <c:pt idx="1131">
                  <c:v>26.8.2013</c:v>
                </c:pt>
                <c:pt idx="1132">
                  <c:v>27.8.2013</c:v>
                </c:pt>
                <c:pt idx="1133">
                  <c:v>28.8.2013</c:v>
                </c:pt>
                <c:pt idx="1134">
                  <c:v>29.8.2013</c:v>
                </c:pt>
                <c:pt idx="1135">
                  <c:v>30.8.2013</c:v>
                </c:pt>
                <c:pt idx="1136">
                  <c:v>3.9.2013</c:v>
                </c:pt>
                <c:pt idx="1137">
                  <c:v>4.9.2013</c:v>
                </c:pt>
                <c:pt idx="1138">
                  <c:v>5.9.2013</c:v>
                </c:pt>
                <c:pt idx="1139">
                  <c:v>6.9.2013</c:v>
                </c:pt>
                <c:pt idx="1140">
                  <c:v>9.9.2013</c:v>
                </c:pt>
                <c:pt idx="1141">
                  <c:v>10.9.2013</c:v>
                </c:pt>
                <c:pt idx="1142">
                  <c:v>11.9.2013</c:v>
                </c:pt>
                <c:pt idx="1143">
                  <c:v>12.9.2013</c:v>
                </c:pt>
                <c:pt idx="1144">
                  <c:v>13.9.2013</c:v>
                </c:pt>
                <c:pt idx="1145">
                  <c:v>16.9.2013</c:v>
                </c:pt>
                <c:pt idx="1146">
                  <c:v>17.9.2013</c:v>
                </c:pt>
                <c:pt idx="1147">
                  <c:v>18.9.2013</c:v>
                </c:pt>
                <c:pt idx="1148">
                  <c:v>19.9.2013</c:v>
                </c:pt>
                <c:pt idx="1149">
                  <c:v>20.9.2013</c:v>
                </c:pt>
                <c:pt idx="1150">
                  <c:v>23.9.2013</c:v>
                </c:pt>
                <c:pt idx="1151">
                  <c:v>24.9.2013</c:v>
                </c:pt>
                <c:pt idx="1152">
                  <c:v>25.9.2013</c:v>
                </c:pt>
                <c:pt idx="1153">
                  <c:v>26.9.2013</c:v>
                </c:pt>
                <c:pt idx="1154">
                  <c:v>27.9.2013</c:v>
                </c:pt>
                <c:pt idx="1155">
                  <c:v>30.9.2013</c:v>
                </c:pt>
                <c:pt idx="1156">
                  <c:v>1.10.2013</c:v>
                </c:pt>
                <c:pt idx="1157">
                  <c:v>2.10.2013</c:v>
                </c:pt>
                <c:pt idx="1158">
                  <c:v>3.10.2013</c:v>
                </c:pt>
                <c:pt idx="1159">
                  <c:v>4.10.2013</c:v>
                </c:pt>
                <c:pt idx="1160">
                  <c:v>7.10.2013</c:v>
                </c:pt>
                <c:pt idx="1161">
                  <c:v>8.10.2013</c:v>
                </c:pt>
                <c:pt idx="1162">
                  <c:v>9.10.2013</c:v>
                </c:pt>
                <c:pt idx="1163">
                  <c:v>10.10.2013</c:v>
                </c:pt>
                <c:pt idx="1164">
                  <c:v>11.10.2013</c:v>
                </c:pt>
                <c:pt idx="1165">
                  <c:v>14.10.2013</c:v>
                </c:pt>
                <c:pt idx="1166">
                  <c:v>15.10.2013</c:v>
                </c:pt>
                <c:pt idx="1167">
                  <c:v>16.10.2013</c:v>
                </c:pt>
                <c:pt idx="1168">
                  <c:v>17.10.2013</c:v>
                </c:pt>
                <c:pt idx="1169">
                  <c:v>18.10.2013</c:v>
                </c:pt>
                <c:pt idx="1170">
                  <c:v>21.10.2013</c:v>
                </c:pt>
                <c:pt idx="1171">
                  <c:v>22.10.2013</c:v>
                </c:pt>
                <c:pt idx="1172">
                  <c:v>23.10.2013</c:v>
                </c:pt>
                <c:pt idx="1173">
                  <c:v>24.10.2013</c:v>
                </c:pt>
                <c:pt idx="1174">
                  <c:v>25.10.2013</c:v>
                </c:pt>
                <c:pt idx="1175">
                  <c:v>28.10.2013</c:v>
                </c:pt>
                <c:pt idx="1176">
                  <c:v>29.10.2013</c:v>
                </c:pt>
                <c:pt idx="1177">
                  <c:v>30.10.2013</c:v>
                </c:pt>
                <c:pt idx="1178">
                  <c:v>31.10.2013</c:v>
                </c:pt>
                <c:pt idx="1179">
                  <c:v>4.11.2013</c:v>
                </c:pt>
                <c:pt idx="1180">
                  <c:v>5.11.2013</c:v>
                </c:pt>
                <c:pt idx="1181">
                  <c:v>6.11.2013</c:v>
                </c:pt>
                <c:pt idx="1182">
                  <c:v>7.11.2013</c:v>
                </c:pt>
                <c:pt idx="1183">
                  <c:v>8.11.2013</c:v>
                </c:pt>
                <c:pt idx="1184">
                  <c:v>12.11.2013</c:v>
                </c:pt>
                <c:pt idx="1185">
                  <c:v>13.11.2013</c:v>
                </c:pt>
                <c:pt idx="1186">
                  <c:v>14.11.2013</c:v>
                </c:pt>
                <c:pt idx="1187">
                  <c:v>15.11.2013</c:v>
                </c:pt>
                <c:pt idx="1188">
                  <c:v>18.11.2013</c:v>
                </c:pt>
                <c:pt idx="1189">
                  <c:v>19.11.2013</c:v>
                </c:pt>
                <c:pt idx="1190">
                  <c:v>20.11.2013</c:v>
                </c:pt>
                <c:pt idx="1191">
                  <c:v>21.11.2013</c:v>
                </c:pt>
                <c:pt idx="1192">
                  <c:v>22.11.2013</c:v>
                </c:pt>
                <c:pt idx="1193">
                  <c:v>25.11.2013</c:v>
                </c:pt>
                <c:pt idx="1194">
                  <c:v>26.11.2013</c:v>
                </c:pt>
                <c:pt idx="1195">
                  <c:v>27.11.2013</c:v>
                </c:pt>
                <c:pt idx="1196">
                  <c:v>29.11.2013</c:v>
                </c:pt>
                <c:pt idx="1197">
                  <c:v>2.12.2013</c:v>
                </c:pt>
                <c:pt idx="1198">
                  <c:v>3.12.2013</c:v>
                </c:pt>
                <c:pt idx="1199">
                  <c:v>4.12.2013</c:v>
                </c:pt>
                <c:pt idx="1200">
                  <c:v>5.12.2013</c:v>
                </c:pt>
                <c:pt idx="1201">
                  <c:v>6.12.2013</c:v>
                </c:pt>
                <c:pt idx="1202">
                  <c:v>9.12.2013</c:v>
                </c:pt>
                <c:pt idx="1203">
                  <c:v>10.12.2013</c:v>
                </c:pt>
                <c:pt idx="1204">
                  <c:v>11.12.2013</c:v>
                </c:pt>
                <c:pt idx="1205">
                  <c:v>12.12.2013</c:v>
                </c:pt>
                <c:pt idx="1206">
                  <c:v>13.12.2013</c:v>
                </c:pt>
                <c:pt idx="1207">
                  <c:v>16.12.2013</c:v>
                </c:pt>
                <c:pt idx="1208">
                  <c:v>17.12.2013</c:v>
                </c:pt>
                <c:pt idx="1209">
                  <c:v>18.12.2013</c:v>
                </c:pt>
                <c:pt idx="1210">
                  <c:v>19.12.2013</c:v>
                </c:pt>
                <c:pt idx="1211">
                  <c:v>20.12.2013</c:v>
                </c:pt>
                <c:pt idx="1212">
                  <c:v>23.12.2013</c:v>
                </c:pt>
                <c:pt idx="1213">
                  <c:v>24.12.2013</c:v>
                </c:pt>
                <c:pt idx="1214">
                  <c:v>27.12.2013</c:v>
                </c:pt>
                <c:pt idx="1215">
                  <c:v>30.12.2013</c:v>
                </c:pt>
                <c:pt idx="1216">
                  <c:v>31.12.2013</c:v>
                </c:pt>
                <c:pt idx="1217">
                  <c:v>2.1.2014</c:v>
                </c:pt>
                <c:pt idx="1218">
                  <c:v>3.1.2014</c:v>
                </c:pt>
                <c:pt idx="1219">
                  <c:v>6.1.2014</c:v>
                </c:pt>
                <c:pt idx="1220">
                  <c:v>7.1.2014</c:v>
                </c:pt>
                <c:pt idx="1221">
                  <c:v>8.1.2014</c:v>
                </c:pt>
                <c:pt idx="1222">
                  <c:v>9.1.2014</c:v>
                </c:pt>
                <c:pt idx="1223">
                  <c:v>10.1.2014</c:v>
                </c:pt>
                <c:pt idx="1224">
                  <c:v>13.1.2014</c:v>
                </c:pt>
                <c:pt idx="1225">
                  <c:v>14.1.2014</c:v>
                </c:pt>
                <c:pt idx="1226">
                  <c:v>15.1.2014</c:v>
                </c:pt>
                <c:pt idx="1227">
                  <c:v>16.1.2014</c:v>
                </c:pt>
                <c:pt idx="1228">
                  <c:v>17.1.2014</c:v>
                </c:pt>
                <c:pt idx="1229">
                  <c:v>21.1.2014</c:v>
                </c:pt>
                <c:pt idx="1230">
                  <c:v>22.1.2014</c:v>
                </c:pt>
                <c:pt idx="1231">
                  <c:v>23.1.2014</c:v>
                </c:pt>
                <c:pt idx="1232">
                  <c:v>24.1.2014</c:v>
                </c:pt>
                <c:pt idx="1233">
                  <c:v>27.1.2014</c:v>
                </c:pt>
                <c:pt idx="1234">
                  <c:v>28.1.2014</c:v>
                </c:pt>
                <c:pt idx="1235">
                  <c:v>29.1.2014</c:v>
                </c:pt>
                <c:pt idx="1236">
                  <c:v>30.1.2014</c:v>
                </c:pt>
                <c:pt idx="1237">
                  <c:v>31.1.2014</c:v>
                </c:pt>
                <c:pt idx="1238">
                  <c:v>3.2.2014</c:v>
                </c:pt>
                <c:pt idx="1239">
                  <c:v>4.2.2014</c:v>
                </c:pt>
                <c:pt idx="1240">
                  <c:v>5.2.2014</c:v>
                </c:pt>
                <c:pt idx="1241">
                  <c:v>6.2.2014</c:v>
                </c:pt>
                <c:pt idx="1242">
                  <c:v>7.2.2014</c:v>
                </c:pt>
                <c:pt idx="1243">
                  <c:v>10.2.2014</c:v>
                </c:pt>
                <c:pt idx="1244">
                  <c:v>11.2.2014</c:v>
                </c:pt>
                <c:pt idx="1245">
                  <c:v>12.2.2014</c:v>
                </c:pt>
                <c:pt idx="1246">
                  <c:v>13.2.2014</c:v>
                </c:pt>
                <c:pt idx="1247">
                  <c:v>14.2.2014</c:v>
                </c:pt>
              </c:strCache>
            </c:strRef>
          </c:cat>
          <c:val>
            <c:numRef>
              <c:f>BE0166769266_05012009_19022014!$C$1:$C$1248</c:f>
            </c:numRef>
          </c:val>
        </c:ser>
        <c:marker val="1"/>
        <c:axId val="169854848"/>
        <c:axId val="169856384"/>
      </c:lineChart>
      <c:dateAx>
        <c:axId val="169854848"/>
        <c:scaling>
          <c:orientation val="minMax"/>
        </c:scaling>
        <c:axPos val="b"/>
        <c:numFmt formatCode="d/m/yyyy" sourceLinked="1"/>
        <c:tickLblPos val="nextTo"/>
        <c:crossAx val="169856384"/>
        <c:crosses val="autoZero"/>
        <c:auto val="1"/>
        <c:lblOffset val="100"/>
        <c:baseTimeUnit val="days"/>
      </c:dateAx>
      <c:valAx>
        <c:axId val="169856384"/>
        <c:scaling>
          <c:orientation val="minMax"/>
        </c:scaling>
        <c:axPos val="l"/>
        <c:majorGridlines/>
        <c:title>
          <c:tx>
            <c:rich>
              <a:bodyPr rot="-5400000" vert="horz"/>
              <a:lstStyle/>
              <a:p>
                <a:pPr>
                  <a:defRPr/>
                </a:pPr>
                <a:r>
                  <a:rPr lang="cs-CZ"/>
                  <a:t>Kurz</a:t>
                </a:r>
                <a:r>
                  <a:rPr lang="cs-CZ" baseline="0"/>
                  <a:t> podílového listu v USD</a:t>
                </a:r>
              </a:p>
            </c:rich>
          </c:tx>
        </c:title>
        <c:numFmt formatCode="General" sourceLinked="1"/>
        <c:tickLblPos val="nextTo"/>
        <c:crossAx val="169854848"/>
        <c:crosses val="autoZero"/>
        <c:crossBetween val="between"/>
      </c:valAx>
      <c:spPr>
        <a:ln>
          <a:noFill/>
        </a:ln>
      </c:spPr>
    </c:plotArea>
    <c:plotVisOnly val="1"/>
    <c:dispBlanksAs val="gap"/>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cs-CZ"/>
  <c:style val="3"/>
  <c:chart>
    <c:plotArea>
      <c:layout>
        <c:manualLayout>
          <c:layoutTarget val="inner"/>
          <c:xMode val="edge"/>
          <c:yMode val="edge"/>
          <c:x val="9.8186413453071844E-2"/>
          <c:y val="0.10456181613662002"/>
          <c:w val="0.86409572171624749"/>
          <c:h val="0.68830953823080065"/>
        </c:manualLayout>
      </c:layout>
      <c:barChart>
        <c:barDir val="col"/>
        <c:grouping val="clustered"/>
        <c:ser>
          <c:idx val="0"/>
          <c:order val="0"/>
          <c:tx>
            <c:strRef>
              <c:f>List1!$B$1</c:f>
              <c:strCache>
                <c:ptCount val="1"/>
                <c:pt idx="0">
                  <c:v>Podílový list</c:v>
                </c:pt>
              </c:strCache>
            </c:strRef>
          </c:tx>
          <c:cat>
            <c:numRef>
              <c:f>List1!$A$2:$A$6</c:f>
              <c:numCache>
                <c:formatCode>0</c:formatCode>
                <c:ptCount val="5"/>
                <c:pt idx="0">
                  <c:v>2009</c:v>
                </c:pt>
                <c:pt idx="1">
                  <c:v>2010</c:v>
                </c:pt>
                <c:pt idx="2">
                  <c:v>2011</c:v>
                </c:pt>
                <c:pt idx="3">
                  <c:v>2012</c:v>
                </c:pt>
                <c:pt idx="4">
                  <c:v>2013</c:v>
                </c:pt>
              </c:numCache>
            </c:numRef>
          </c:cat>
          <c:val>
            <c:numRef>
              <c:f>List1!$B$2:$B$6</c:f>
              <c:numCache>
                <c:formatCode>0.00%</c:formatCode>
                <c:ptCount val="5"/>
                <c:pt idx="0">
                  <c:v>0.22969999999999999</c:v>
                </c:pt>
                <c:pt idx="1">
                  <c:v>0.1353</c:v>
                </c:pt>
                <c:pt idx="2">
                  <c:v>3.8000000000000052E-3</c:v>
                </c:pt>
                <c:pt idx="3" formatCode="0%">
                  <c:v>0.14000000000000001</c:v>
                </c:pt>
                <c:pt idx="4">
                  <c:v>0.30370000000000008</c:v>
                </c:pt>
              </c:numCache>
            </c:numRef>
          </c:val>
        </c:ser>
        <c:ser>
          <c:idx val="1"/>
          <c:order val="1"/>
          <c:tx>
            <c:strRef>
              <c:f>List1!$C$1</c:f>
              <c:strCache>
                <c:ptCount val="1"/>
                <c:pt idx="0">
                  <c:v>S&amp;P 500 </c:v>
                </c:pt>
              </c:strCache>
            </c:strRef>
          </c:tx>
          <c:cat>
            <c:numRef>
              <c:f>List1!$A$2:$A$6</c:f>
              <c:numCache>
                <c:formatCode>0</c:formatCode>
                <c:ptCount val="5"/>
                <c:pt idx="0">
                  <c:v>2009</c:v>
                </c:pt>
                <c:pt idx="1">
                  <c:v>2010</c:v>
                </c:pt>
                <c:pt idx="2">
                  <c:v>2011</c:v>
                </c:pt>
                <c:pt idx="3">
                  <c:v>2012</c:v>
                </c:pt>
                <c:pt idx="4">
                  <c:v>2013</c:v>
                </c:pt>
              </c:numCache>
            </c:numRef>
          </c:cat>
          <c:val>
            <c:numRef>
              <c:f>List1!$C$2:$C$6</c:f>
              <c:numCache>
                <c:formatCode>0.00%</c:formatCode>
                <c:ptCount val="5"/>
                <c:pt idx="0">
                  <c:v>0.23450000000000001</c:v>
                </c:pt>
                <c:pt idx="1">
                  <c:v>0.1278</c:v>
                </c:pt>
                <c:pt idx="2" formatCode="0%">
                  <c:v>0</c:v>
                </c:pt>
                <c:pt idx="3">
                  <c:v>0.1341</c:v>
                </c:pt>
                <c:pt idx="4">
                  <c:v>0.29600000000000032</c:v>
                </c:pt>
              </c:numCache>
            </c:numRef>
          </c:val>
        </c:ser>
        <c:axId val="169876864"/>
        <c:axId val="169653376"/>
      </c:barChart>
      <c:catAx>
        <c:axId val="169876864"/>
        <c:scaling>
          <c:orientation val="minMax"/>
        </c:scaling>
        <c:axPos val="b"/>
        <c:numFmt formatCode="0" sourceLinked="1"/>
        <c:tickLblPos val="nextTo"/>
        <c:crossAx val="169653376"/>
        <c:crosses val="autoZero"/>
        <c:auto val="1"/>
        <c:lblAlgn val="ctr"/>
        <c:lblOffset val="100"/>
      </c:catAx>
      <c:valAx>
        <c:axId val="169653376"/>
        <c:scaling>
          <c:orientation val="minMax"/>
        </c:scaling>
        <c:axPos val="l"/>
        <c:majorGridlines/>
        <c:numFmt formatCode="0.00%" sourceLinked="1"/>
        <c:tickLblPos val="nextTo"/>
        <c:crossAx val="169876864"/>
        <c:crosses val="autoZero"/>
        <c:crossBetween val="between"/>
      </c:valAx>
    </c:plotArea>
    <c:legend>
      <c:legendPos val="b"/>
    </c:legend>
    <c:plotVisOnly val="1"/>
    <c:dispBlanksAs val="gap"/>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marker>
            <c:symbol val="none"/>
          </c:marker>
          <c:cat>
            <c:numRef>
              <c:f>List1!$A$3:$A$1260</c:f>
              <c:numCache>
                <c:formatCode>d/m/yyyy</c:formatCode>
                <c:ptCount val="1258"/>
                <c:pt idx="0" formatCode="d\.m\.yyyy">
                  <c:v>39813</c:v>
                </c:pt>
                <c:pt idx="1">
                  <c:v>39818</c:v>
                </c:pt>
                <c:pt idx="2">
                  <c:v>39819</c:v>
                </c:pt>
                <c:pt idx="3">
                  <c:v>39820</c:v>
                </c:pt>
                <c:pt idx="4">
                  <c:v>39821</c:v>
                </c:pt>
                <c:pt idx="5">
                  <c:v>39822</c:v>
                </c:pt>
                <c:pt idx="6">
                  <c:v>39825</c:v>
                </c:pt>
                <c:pt idx="7">
                  <c:v>39826</c:v>
                </c:pt>
                <c:pt idx="8">
                  <c:v>39827</c:v>
                </c:pt>
                <c:pt idx="9">
                  <c:v>39828</c:v>
                </c:pt>
                <c:pt idx="10">
                  <c:v>39829</c:v>
                </c:pt>
                <c:pt idx="11">
                  <c:v>39833</c:v>
                </c:pt>
                <c:pt idx="12">
                  <c:v>39834</c:v>
                </c:pt>
                <c:pt idx="13">
                  <c:v>39835</c:v>
                </c:pt>
                <c:pt idx="14">
                  <c:v>39836</c:v>
                </c:pt>
                <c:pt idx="15">
                  <c:v>39839</c:v>
                </c:pt>
                <c:pt idx="16">
                  <c:v>39840</c:v>
                </c:pt>
                <c:pt idx="17">
                  <c:v>39841</c:v>
                </c:pt>
                <c:pt idx="18">
                  <c:v>39842</c:v>
                </c:pt>
                <c:pt idx="19">
                  <c:v>39843</c:v>
                </c:pt>
                <c:pt idx="20">
                  <c:v>39846</c:v>
                </c:pt>
                <c:pt idx="21">
                  <c:v>39847</c:v>
                </c:pt>
                <c:pt idx="22">
                  <c:v>39848</c:v>
                </c:pt>
                <c:pt idx="23">
                  <c:v>39849</c:v>
                </c:pt>
                <c:pt idx="24">
                  <c:v>39850</c:v>
                </c:pt>
                <c:pt idx="25">
                  <c:v>39853</c:v>
                </c:pt>
                <c:pt idx="26">
                  <c:v>39854</c:v>
                </c:pt>
                <c:pt idx="27">
                  <c:v>39855</c:v>
                </c:pt>
                <c:pt idx="28">
                  <c:v>39856</c:v>
                </c:pt>
                <c:pt idx="29">
                  <c:v>39857</c:v>
                </c:pt>
                <c:pt idx="30">
                  <c:v>39861</c:v>
                </c:pt>
                <c:pt idx="31">
                  <c:v>39862</c:v>
                </c:pt>
                <c:pt idx="32">
                  <c:v>39863</c:v>
                </c:pt>
                <c:pt idx="33">
                  <c:v>39864</c:v>
                </c:pt>
                <c:pt idx="34">
                  <c:v>39867</c:v>
                </c:pt>
                <c:pt idx="35">
                  <c:v>39868</c:v>
                </c:pt>
                <c:pt idx="36">
                  <c:v>39869</c:v>
                </c:pt>
                <c:pt idx="37">
                  <c:v>39870</c:v>
                </c:pt>
                <c:pt idx="38">
                  <c:v>39871</c:v>
                </c:pt>
                <c:pt idx="39">
                  <c:v>39874</c:v>
                </c:pt>
                <c:pt idx="40">
                  <c:v>39875</c:v>
                </c:pt>
                <c:pt idx="41">
                  <c:v>39876</c:v>
                </c:pt>
                <c:pt idx="42">
                  <c:v>39877</c:v>
                </c:pt>
                <c:pt idx="43">
                  <c:v>39878</c:v>
                </c:pt>
                <c:pt idx="44">
                  <c:v>39881</c:v>
                </c:pt>
                <c:pt idx="45">
                  <c:v>39882</c:v>
                </c:pt>
                <c:pt idx="46">
                  <c:v>39883</c:v>
                </c:pt>
                <c:pt idx="47">
                  <c:v>39884</c:v>
                </c:pt>
                <c:pt idx="48">
                  <c:v>39885</c:v>
                </c:pt>
                <c:pt idx="49">
                  <c:v>39888</c:v>
                </c:pt>
                <c:pt idx="50">
                  <c:v>39889</c:v>
                </c:pt>
                <c:pt idx="51">
                  <c:v>39890</c:v>
                </c:pt>
                <c:pt idx="52">
                  <c:v>39891</c:v>
                </c:pt>
                <c:pt idx="53">
                  <c:v>39892</c:v>
                </c:pt>
                <c:pt idx="54">
                  <c:v>39895</c:v>
                </c:pt>
                <c:pt idx="55">
                  <c:v>39896</c:v>
                </c:pt>
                <c:pt idx="56">
                  <c:v>39897</c:v>
                </c:pt>
                <c:pt idx="57">
                  <c:v>39898</c:v>
                </c:pt>
                <c:pt idx="58">
                  <c:v>39899</c:v>
                </c:pt>
                <c:pt idx="59">
                  <c:v>39902</c:v>
                </c:pt>
                <c:pt idx="60">
                  <c:v>39903</c:v>
                </c:pt>
                <c:pt idx="61">
                  <c:v>39904</c:v>
                </c:pt>
                <c:pt idx="62">
                  <c:v>39905</c:v>
                </c:pt>
                <c:pt idx="63">
                  <c:v>39906</c:v>
                </c:pt>
                <c:pt idx="64">
                  <c:v>39909</c:v>
                </c:pt>
                <c:pt idx="65">
                  <c:v>39910</c:v>
                </c:pt>
                <c:pt idx="66">
                  <c:v>39911</c:v>
                </c:pt>
                <c:pt idx="67">
                  <c:v>39912</c:v>
                </c:pt>
                <c:pt idx="68">
                  <c:v>39916</c:v>
                </c:pt>
                <c:pt idx="69">
                  <c:v>39917</c:v>
                </c:pt>
                <c:pt idx="70">
                  <c:v>39918</c:v>
                </c:pt>
                <c:pt idx="71">
                  <c:v>39919</c:v>
                </c:pt>
                <c:pt idx="72">
                  <c:v>39920</c:v>
                </c:pt>
                <c:pt idx="73">
                  <c:v>39923</c:v>
                </c:pt>
                <c:pt idx="74">
                  <c:v>39924</c:v>
                </c:pt>
                <c:pt idx="75">
                  <c:v>39925</c:v>
                </c:pt>
                <c:pt idx="76">
                  <c:v>39926</c:v>
                </c:pt>
                <c:pt idx="77">
                  <c:v>39927</c:v>
                </c:pt>
                <c:pt idx="78">
                  <c:v>39930</c:v>
                </c:pt>
                <c:pt idx="79">
                  <c:v>39931</c:v>
                </c:pt>
                <c:pt idx="80">
                  <c:v>39932</c:v>
                </c:pt>
                <c:pt idx="81">
                  <c:v>39933</c:v>
                </c:pt>
                <c:pt idx="82">
                  <c:v>39934</c:v>
                </c:pt>
                <c:pt idx="83">
                  <c:v>39937</c:v>
                </c:pt>
                <c:pt idx="84">
                  <c:v>39938</c:v>
                </c:pt>
                <c:pt idx="85">
                  <c:v>39939</c:v>
                </c:pt>
                <c:pt idx="86">
                  <c:v>39940</c:v>
                </c:pt>
                <c:pt idx="87">
                  <c:v>39941</c:v>
                </c:pt>
                <c:pt idx="88">
                  <c:v>39944</c:v>
                </c:pt>
                <c:pt idx="89">
                  <c:v>39945</c:v>
                </c:pt>
                <c:pt idx="90">
                  <c:v>39946</c:v>
                </c:pt>
                <c:pt idx="91">
                  <c:v>39947</c:v>
                </c:pt>
                <c:pt idx="92">
                  <c:v>39948</c:v>
                </c:pt>
                <c:pt idx="93">
                  <c:v>39951</c:v>
                </c:pt>
                <c:pt idx="94">
                  <c:v>39952</c:v>
                </c:pt>
                <c:pt idx="95">
                  <c:v>39953</c:v>
                </c:pt>
                <c:pt idx="96">
                  <c:v>39954</c:v>
                </c:pt>
                <c:pt idx="97">
                  <c:v>39955</c:v>
                </c:pt>
                <c:pt idx="98">
                  <c:v>39959</c:v>
                </c:pt>
                <c:pt idx="99">
                  <c:v>39960</c:v>
                </c:pt>
                <c:pt idx="100">
                  <c:v>39961</c:v>
                </c:pt>
                <c:pt idx="101">
                  <c:v>39962</c:v>
                </c:pt>
                <c:pt idx="102">
                  <c:v>39965</c:v>
                </c:pt>
                <c:pt idx="103">
                  <c:v>39966</c:v>
                </c:pt>
                <c:pt idx="104">
                  <c:v>39967</c:v>
                </c:pt>
                <c:pt idx="105">
                  <c:v>39968</c:v>
                </c:pt>
                <c:pt idx="106">
                  <c:v>39969</c:v>
                </c:pt>
                <c:pt idx="107">
                  <c:v>39972</c:v>
                </c:pt>
                <c:pt idx="108">
                  <c:v>39973</c:v>
                </c:pt>
                <c:pt idx="109">
                  <c:v>39974</c:v>
                </c:pt>
                <c:pt idx="110">
                  <c:v>39975</c:v>
                </c:pt>
                <c:pt idx="111">
                  <c:v>39976</c:v>
                </c:pt>
                <c:pt idx="112">
                  <c:v>39979</c:v>
                </c:pt>
                <c:pt idx="113">
                  <c:v>39980</c:v>
                </c:pt>
                <c:pt idx="114">
                  <c:v>39981</c:v>
                </c:pt>
                <c:pt idx="115">
                  <c:v>39982</c:v>
                </c:pt>
                <c:pt idx="116">
                  <c:v>39983</c:v>
                </c:pt>
                <c:pt idx="117">
                  <c:v>39986</c:v>
                </c:pt>
                <c:pt idx="118">
                  <c:v>39987</c:v>
                </c:pt>
                <c:pt idx="119">
                  <c:v>39988</c:v>
                </c:pt>
                <c:pt idx="120">
                  <c:v>39989</c:v>
                </c:pt>
                <c:pt idx="121">
                  <c:v>39990</c:v>
                </c:pt>
                <c:pt idx="122">
                  <c:v>39993</c:v>
                </c:pt>
                <c:pt idx="123">
                  <c:v>39994</c:v>
                </c:pt>
                <c:pt idx="124">
                  <c:v>39995</c:v>
                </c:pt>
                <c:pt idx="125">
                  <c:v>39996</c:v>
                </c:pt>
                <c:pt idx="126">
                  <c:v>40000</c:v>
                </c:pt>
                <c:pt idx="127">
                  <c:v>40001</c:v>
                </c:pt>
                <c:pt idx="128">
                  <c:v>40002</c:v>
                </c:pt>
                <c:pt idx="129">
                  <c:v>40003</c:v>
                </c:pt>
                <c:pt idx="130">
                  <c:v>40004</c:v>
                </c:pt>
                <c:pt idx="131">
                  <c:v>40007</c:v>
                </c:pt>
                <c:pt idx="132">
                  <c:v>40008</c:v>
                </c:pt>
                <c:pt idx="133">
                  <c:v>40009</c:v>
                </c:pt>
                <c:pt idx="134">
                  <c:v>40010</c:v>
                </c:pt>
                <c:pt idx="135">
                  <c:v>40011</c:v>
                </c:pt>
                <c:pt idx="136">
                  <c:v>40014</c:v>
                </c:pt>
                <c:pt idx="137">
                  <c:v>40015</c:v>
                </c:pt>
                <c:pt idx="138">
                  <c:v>40016</c:v>
                </c:pt>
                <c:pt idx="139">
                  <c:v>40017</c:v>
                </c:pt>
                <c:pt idx="140">
                  <c:v>40018</c:v>
                </c:pt>
                <c:pt idx="141">
                  <c:v>40021</c:v>
                </c:pt>
                <c:pt idx="142">
                  <c:v>40022</c:v>
                </c:pt>
                <c:pt idx="143">
                  <c:v>40023</c:v>
                </c:pt>
                <c:pt idx="144">
                  <c:v>40024</c:v>
                </c:pt>
                <c:pt idx="145">
                  <c:v>40025</c:v>
                </c:pt>
                <c:pt idx="146">
                  <c:v>40028</c:v>
                </c:pt>
                <c:pt idx="147">
                  <c:v>40029</c:v>
                </c:pt>
                <c:pt idx="148">
                  <c:v>40030</c:v>
                </c:pt>
                <c:pt idx="149">
                  <c:v>40031</c:v>
                </c:pt>
                <c:pt idx="150">
                  <c:v>40032</c:v>
                </c:pt>
                <c:pt idx="151">
                  <c:v>40035</c:v>
                </c:pt>
                <c:pt idx="152">
                  <c:v>40036</c:v>
                </c:pt>
                <c:pt idx="153">
                  <c:v>40037</c:v>
                </c:pt>
                <c:pt idx="154">
                  <c:v>40038</c:v>
                </c:pt>
                <c:pt idx="155">
                  <c:v>40039</c:v>
                </c:pt>
                <c:pt idx="156">
                  <c:v>40042</c:v>
                </c:pt>
                <c:pt idx="157">
                  <c:v>40043</c:v>
                </c:pt>
                <c:pt idx="158">
                  <c:v>40044</c:v>
                </c:pt>
                <c:pt idx="159">
                  <c:v>40045</c:v>
                </c:pt>
                <c:pt idx="160">
                  <c:v>40046</c:v>
                </c:pt>
                <c:pt idx="161">
                  <c:v>40049</c:v>
                </c:pt>
                <c:pt idx="162">
                  <c:v>40050</c:v>
                </c:pt>
                <c:pt idx="163">
                  <c:v>40051</c:v>
                </c:pt>
                <c:pt idx="164">
                  <c:v>40052</c:v>
                </c:pt>
                <c:pt idx="165">
                  <c:v>40053</c:v>
                </c:pt>
                <c:pt idx="166">
                  <c:v>40056</c:v>
                </c:pt>
                <c:pt idx="167">
                  <c:v>40057</c:v>
                </c:pt>
                <c:pt idx="168">
                  <c:v>40058</c:v>
                </c:pt>
                <c:pt idx="169">
                  <c:v>40059</c:v>
                </c:pt>
                <c:pt idx="170">
                  <c:v>40060</c:v>
                </c:pt>
                <c:pt idx="171">
                  <c:v>40064</c:v>
                </c:pt>
                <c:pt idx="172">
                  <c:v>40065</c:v>
                </c:pt>
                <c:pt idx="173">
                  <c:v>40066</c:v>
                </c:pt>
                <c:pt idx="174">
                  <c:v>40067</c:v>
                </c:pt>
                <c:pt idx="175">
                  <c:v>40070</c:v>
                </c:pt>
                <c:pt idx="176">
                  <c:v>40071</c:v>
                </c:pt>
                <c:pt idx="177">
                  <c:v>40072</c:v>
                </c:pt>
                <c:pt idx="178">
                  <c:v>40073</c:v>
                </c:pt>
                <c:pt idx="179">
                  <c:v>40074</c:v>
                </c:pt>
                <c:pt idx="180">
                  <c:v>40077</c:v>
                </c:pt>
                <c:pt idx="181">
                  <c:v>40078</c:v>
                </c:pt>
                <c:pt idx="182">
                  <c:v>40079</c:v>
                </c:pt>
                <c:pt idx="183">
                  <c:v>40080</c:v>
                </c:pt>
                <c:pt idx="184">
                  <c:v>40081</c:v>
                </c:pt>
                <c:pt idx="185">
                  <c:v>40084</c:v>
                </c:pt>
                <c:pt idx="186">
                  <c:v>40085</c:v>
                </c:pt>
                <c:pt idx="187">
                  <c:v>40086</c:v>
                </c:pt>
                <c:pt idx="188">
                  <c:v>40087</c:v>
                </c:pt>
                <c:pt idx="189">
                  <c:v>40088</c:v>
                </c:pt>
                <c:pt idx="190">
                  <c:v>40091</c:v>
                </c:pt>
                <c:pt idx="191">
                  <c:v>40092</c:v>
                </c:pt>
                <c:pt idx="192">
                  <c:v>40093</c:v>
                </c:pt>
                <c:pt idx="193">
                  <c:v>40094</c:v>
                </c:pt>
                <c:pt idx="194">
                  <c:v>40095</c:v>
                </c:pt>
                <c:pt idx="195">
                  <c:v>40098</c:v>
                </c:pt>
                <c:pt idx="196">
                  <c:v>40099</c:v>
                </c:pt>
                <c:pt idx="197">
                  <c:v>40100</c:v>
                </c:pt>
                <c:pt idx="198">
                  <c:v>40101</c:v>
                </c:pt>
                <c:pt idx="199">
                  <c:v>40102</c:v>
                </c:pt>
                <c:pt idx="200">
                  <c:v>40105</c:v>
                </c:pt>
                <c:pt idx="201">
                  <c:v>40106</c:v>
                </c:pt>
                <c:pt idx="202">
                  <c:v>40107</c:v>
                </c:pt>
                <c:pt idx="203">
                  <c:v>40108</c:v>
                </c:pt>
                <c:pt idx="204">
                  <c:v>40109</c:v>
                </c:pt>
                <c:pt idx="205">
                  <c:v>40112</c:v>
                </c:pt>
                <c:pt idx="206">
                  <c:v>40113</c:v>
                </c:pt>
                <c:pt idx="207">
                  <c:v>40114</c:v>
                </c:pt>
                <c:pt idx="208">
                  <c:v>40115</c:v>
                </c:pt>
                <c:pt idx="209">
                  <c:v>40116</c:v>
                </c:pt>
                <c:pt idx="210">
                  <c:v>40119</c:v>
                </c:pt>
                <c:pt idx="211">
                  <c:v>40120</c:v>
                </c:pt>
                <c:pt idx="212">
                  <c:v>40121</c:v>
                </c:pt>
                <c:pt idx="213">
                  <c:v>40122</c:v>
                </c:pt>
                <c:pt idx="214">
                  <c:v>40123</c:v>
                </c:pt>
                <c:pt idx="215">
                  <c:v>40126</c:v>
                </c:pt>
                <c:pt idx="216">
                  <c:v>40127</c:v>
                </c:pt>
                <c:pt idx="217">
                  <c:v>40128</c:v>
                </c:pt>
                <c:pt idx="218">
                  <c:v>40129</c:v>
                </c:pt>
                <c:pt idx="219">
                  <c:v>40130</c:v>
                </c:pt>
                <c:pt idx="220">
                  <c:v>40133</c:v>
                </c:pt>
                <c:pt idx="221">
                  <c:v>40134</c:v>
                </c:pt>
                <c:pt idx="222">
                  <c:v>40135</c:v>
                </c:pt>
                <c:pt idx="223">
                  <c:v>40136</c:v>
                </c:pt>
                <c:pt idx="224">
                  <c:v>40137</c:v>
                </c:pt>
                <c:pt idx="225">
                  <c:v>40140</c:v>
                </c:pt>
                <c:pt idx="226">
                  <c:v>40141</c:v>
                </c:pt>
                <c:pt idx="227">
                  <c:v>40142</c:v>
                </c:pt>
                <c:pt idx="228">
                  <c:v>40144</c:v>
                </c:pt>
                <c:pt idx="229">
                  <c:v>40147</c:v>
                </c:pt>
                <c:pt idx="230">
                  <c:v>40148</c:v>
                </c:pt>
                <c:pt idx="231">
                  <c:v>40149</c:v>
                </c:pt>
                <c:pt idx="232">
                  <c:v>40150</c:v>
                </c:pt>
                <c:pt idx="233">
                  <c:v>40151</c:v>
                </c:pt>
                <c:pt idx="234">
                  <c:v>40154</c:v>
                </c:pt>
                <c:pt idx="235">
                  <c:v>40155</c:v>
                </c:pt>
                <c:pt idx="236">
                  <c:v>40156</c:v>
                </c:pt>
                <c:pt idx="237">
                  <c:v>40157</c:v>
                </c:pt>
                <c:pt idx="238">
                  <c:v>40158</c:v>
                </c:pt>
                <c:pt idx="239">
                  <c:v>40161</c:v>
                </c:pt>
                <c:pt idx="240">
                  <c:v>40162</c:v>
                </c:pt>
                <c:pt idx="241">
                  <c:v>40163</c:v>
                </c:pt>
                <c:pt idx="242">
                  <c:v>40164</c:v>
                </c:pt>
                <c:pt idx="243">
                  <c:v>40165</c:v>
                </c:pt>
                <c:pt idx="244">
                  <c:v>40168</c:v>
                </c:pt>
                <c:pt idx="245">
                  <c:v>40169</c:v>
                </c:pt>
                <c:pt idx="246">
                  <c:v>40170</c:v>
                </c:pt>
                <c:pt idx="247">
                  <c:v>40171</c:v>
                </c:pt>
                <c:pt idx="248">
                  <c:v>40175</c:v>
                </c:pt>
                <c:pt idx="249">
                  <c:v>40176</c:v>
                </c:pt>
                <c:pt idx="250">
                  <c:v>40177</c:v>
                </c:pt>
                <c:pt idx="251">
                  <c:v>40178</c:v>
                </c:pt>
                <c:pt idx="252">
                  <c:v>40182</c:v>
                </c:pt>
                <c:pt idx="253">
                  <c:v>40183</c:v>
                </c:pt>
                <c:pt idx="254">
                  <c:v>40184</c:v>
                </c:pt>
                <c:pt idx="255">
                  <c:v>40185</c:v>
                </c:pt>
                <c:pt idx="256">
                  <c:v>40186</c:v>
                </c:pt>
                <c:pt idx="257">
                  <c:v>40189</c:v>
                </c:pt>
                <c:pt idx="258">
                  <c:v>40190</c:v>
                </c:pt>
                <c:pt idx="259">
                  <c:v>40191</c:v>
                </c:pt>
                <c:pt idx="260">
                  <c:v>40192</c:v>
                </c:pt>
                <c:pt idx="261">
                  <c:v>40193</c:v>
                </c:pt>
                <c:pt idx="262">
                  <c:v>40197</c:v>
                </c:pt>
                <c:pt idx="263">
                  <c:v>40198</c:v>
                </c:pt>
                <c:pt idx="264">
                  <c:v>40199</c:v>
                </c:pt>
                <c:pt idx="265">
                  <c:v>40200</c:v>
                </c:pt>
                <c:pt idx="266">
                  <c:v>40203</c:v>
                </c:pt>
                <c:pt idx="267">
                  <c:v>40204</c:v>
                </c:pt>
                <c:pt idx="268">
                  <c:v>40205</c:v>
                </c:pt>
                <c:pt idx="269">
                  <c:v>40206</c:v>
                </c:pt>
                <c:pt idx="270">
                  <c:v>40207</c:v>
                </c:pt>
                <c:pt idx="271">
                  <c:v>40210</c:v>
                </c:pt>
                <c:pt idx="272">
                  <c:v>40211</c:v>
                </c:pt>
                <c:pt idx="273">
                  <c:v>40212</c:v>
                </c:pt>
                <c:pt idx="274">
                  <c:v>40213</c:v>
                </c:pt>
                <c:pt idx="275">
                  <c:v>40214</c:v>
                </c:pt>
                <c:pt idx="276">
                  <c:v>40217</c:v>
                </c:pt>
                <c:pt idx="277">
                  <c:v>40218</c:v>
                </c:pt>
                <c:pt idx="278">
                  <c:v>40219</c:v>
                </c:pt>
                <c:pt idx="279">
                  <c:v>40220</c:v>
                </c:pt>
                <c:pt idx="280">
                  <c:v>40221</c:v>
                </c:pt>
                <c:pt idx="281">
                  <c:v>40225</c:v>
                </c:pt>
                <c:pt idx="282">
                  <c:v>40226</c:v>
                </c:pt>
                <c:pt idx="283">
                  <c:v>40227</c:v>
                </c:pt>
                <c:pt idx="284">
                  <c:v>40228</c:v>
                </c:pt>
                <c:pt idx="285">
                  <c:v>40231</c:v>
                </c:pt>
                <c:pt idx="286">
                  <c:v>40232</c:v>
                </c:pt>
                <c:pt idx="287">
                  <c:v>40233</c:v>
                </c:pt>
                <c:pt idx="288">
                  <c:v>40234</c:v>
                </c:pt>
                <c:pt idx="289">
                  <c:v>40235</c:v>
                </c:pt>
                <c:pt idx="290">
                  <c:v>40238</c:v>
                </c:pt>
                <c:pt idx="291">
                  <c:v>40239</c:v>
                </c:pt>
                <c:pt idx="292">
                  <c:v>40240</c:v>
                </c:pt>
                <c:pt idx="293">
                  <c:v>40241</c:v>
                </c:pt>
                <c:pt idx="294">
                  <c:v>40242</c:v>
                </c:pt>
                <c:pt idx="295">
                  <c:v>40245</c:v>
                </c:pt>
                <c:pt idx="296">
                  <c:v>40246</c:v>
                </c:pt>
                <c:pt idx="297">
                  <c:v>40247</c:v>
                </c:pt>
                <c:pt idx="298">
                  <c:v>40248</c:v>
                </c:pt>
                <c:pt idx="299">
                  <c:v>40249</c:v>
                </c:pt>
                <c:pt idx="300">
                  <c:v>40252</c:v>
                </c:pt>
                <c:pt idx="301">
                  <c:v>40253</c:v>
                </c:pt>
                <c:pt idx="302">
                  <c:v>40254</c:v>
                </c:pt>
                <c:pt idx="303">
                  <c:v>40255</c:v>
                </c:pt>
                <c:pt idx="304">
                  <c:v>40256</c:v>
                </c:pt>
                <c:pt idx="305">
                  <c:v>40259</c:v>
                </c:pt>
                <c:pt idx="306">
                  <c:v>40260</c:v>
                </c:pt>
                <c:pt idx="307">
                  <c:v>40261</c:v>
                </c:pt>
                <c:pt idx="308">
                  <c:v>40262</c:v>
                </c:pt>
                <c:pt idx="309">
                  <c:v>40263</c:v>
                </c:pt>
                <c:pt idx="310">
                  <c:v>40266</c:v>
                </c:pt>
                <c:pt idx="311">
                  <c:v>40267</c:v>
                </c:pt>
                <c:pt idx="312">
                  <c:v>40268</c:v>
                </c:pt>
                <c:pt idx="313">
                  <c:v>40269</c:v>
                </c:pt>
                <c:pt idx="314">
                  <c:v>40273</c:v>
                </c:pt>
                <c:pt idx="315">
                  <c:v>40274</c:v>
                </c:pt>
                <c:pt idx="316">
                  <c:v>40275</c:v>
                </c:pt>
                <c:pt idx="317">
                  <c:v>40276</c:v>
                </c:pt>
                <c:pt idx="318">
                  <c:v>40277</c:v>
                </c:pt>
                <c:pt idx="319">
                  <c:v>40280</c:v>
                </c:pt>
                <c:pt idx="320">
                  <c:v>40281</c:v>
                </c:pt>
                <c:pt idx="321">
                  <c:v>40282</c:v>
                </c:pt>
                <c:pt idx="322">
                  <c:v>40283</c:v>
                </c:pt>
                <c:pt idx="323">
                  <c:v>40284</c:v>
                </c:pt>
                <c:pt idx="324">
                  <c:v>40287</c:v>
                </c:pt>
                <c:pt idx="325">
                  <c:v>40288</c:v>
                </c:pt>
                <c:pt idx="326">
                  <c:v>40289</c:v>
                </c:pt>
                <c:pt idx="327">
                  <c:v>40290</c:v>
                </c:pt>
                <c:pt idx="328">
                  <c:v>40291</c:v>
                </c:pt>
                <c:pt idx="329">
                  <c:v>40294</c:v>
                </c:pt>
                <c:pt idx="330">
                  <c:v>40295</c:v>
                </c:pt>
                <c:pt idx="331">
                  <c:v>40296</c:v>
                </c:pt>
                <c:pt idx="332">
                  <c:v>40297</c:v>
                </c:pt>
                <c:pt idx="333">
                  <c:v>40298</c:v>
                </c:pt>
                <c:pt idx="334">
                  <c:v>40301</c:v>
                </c:pt>
                <c:pt idx="335">
                  <c:v>40302</c:v>
                </c:pt>
                <c:pt idx="336">
                  <c:v>40303</c:v>
                </c:pt>
                <c:pt idx="337">
                  <c:v>40304</c:v>
                </c:pt>
                <c:pt idx="338">
                  <c:v>40305</c:v>
                </c:pt>
                <c:pt idx="339">
                  <c:v>40308</c:v>
                </c:pt>
                <c:pt idx="340">
                  <c:v>40309</c:v>
                </c:pt>
                <c:pt idx="341">
                  <c:v>40310</c:v>
                </c:pt>
                <c:pt idx="342">
                  <c:v>40311</c:v>
                </c:pt>
                <c:pt idx="343">
                  <c:v>40312</c:v>
                </c:pt>
                <c:pt idx="344">
                  <c:v>40315</c:v>
                </c:pt>
                <c:pt idx="345">
                  <c:v>40316</c:v>
                </c:pt>
                <c:pt idx="346">
                  <c:v>40317</c:v>
                </c:pt>
                <c:pt idx="347">
                  <c:v>40318</c:v>
                </c:pt>
                <c:pt idx="348">
                  <c:v>40319</c:v>
                </c:pt>
                <c:pt idx="349">
                  <c:v>40322</c:v>
                </c:pt>
                <c:pt idx="350">
                  <c:v>40323</c:v>
                </c:pt>
                <c:pt idx="351">
                  <c:v>40324</c:v>
                </c:pt>
                <c:pt idx="352">
                  <c:v>40325</c:v>
                </c:pt>
                <c:pt idx="353">
                  <c:v>40326</c:v>
                </c:pt>
                <c:pt idx="354">
                  <c:v>40330</c:v>
                </c:pt>
                <c:pt idx="355">
                  <c:v>40331</c:v>
                </c:pt>
                <c:pt idx="356">
                  <c:v>40332</c:v>
                </c:pt>
                <c:pt idx="357">
                  <c:v>40333</c:v>
                </c:pt>
                <c:pt idx="358">
                  <c:v>40336</c:v>
                </c:pt>
                <c:pt idx="359">
                  <c:v>40337</c:v>
                </c:pt>
                <c:pt idx="360">
                  <c:v>40338</c:v>
                </c:pt>
                <c:pt idx="361">
                  <c:v>40339</c:v>
                </c:pt>
                <c:pt idx="362">
                  <c:v>40340</c:v>
                </c:pt>
                <c:pt idx="363">
                  <c:v>40343</c:v>
                </c:pt>
                <c:pt idx="364">
                  <c:v>40344</c:v>
                </c:pt>
                <c:pt idx="365">
                  <c:v>40345</c:v>
                </c:pt>
                <c:pt idx="366">
                  <c:v>40346</c:v>
                </c:pt>
                <c:pt idx="367">
                  <c:v>40347</c:v>
                </c:pt>
                <c:pt idx="368">
                  <c:v>40350</c:v>
                </c:pt>
                <c:pt idx="369">
                  <c:v>40351</c:v>
                </c:pt>
                <c:pt idx="370">
                  <c:v>40352</c:v>
                </c:pt>
                <c:pt idx="371">
                  <c:v>40353</c:v>
                </c:pt>
                <c:pt idx="372">
                  <c:v>40354</c:v>
                </c:pt>
                <c:pt idx="373">
                  <c:v>40357</c:v>
                </c:pt>
                <c:pt idx="374">
                  <c:v>40358</c:v>
                </c:pt>
                <c:pt idx="375">
                  <c:v>40359</c:v>
                </c:pt>
                <c:pt idx="376">
                  <c:v>40360</c:v>
                </c:pt>
                <c:pt idx="377">
                  <c:v>40361</c:v>
                </c:pt>
                <c:pt idx="378">
                  <c:v>40365</c:v>
                </c:pt>
                <c:pt idx="379">
                  <c:v>40366</c:v>
                </c:pt>
                <c:pt idx="380">
                  <c:v>40367</c:v>
                </c:pt>
                <c:pt idx="381">
                  <c:v>40368</c:v>
                </c:pt>
                <c:pt idx="382">
                  <c:v>40371</c:v>
                </c:pt>
                <c:pt idx="383">
                  <c:v>40372</c:v>
                </c:pt>
                <c:pt idx="384">
                  <c:v>40373</c:v>
                </c:pt>
                <c:pt idx="385">
                  <c:v>40374</c:v>
                </c:pt>
                <c:pt idx="386">
                  <c:v>40375</c:v>
                </c:pt>
                <c:pt idx="387">
                  <c:v>40378</c:v>
                </c:pt>
                <c:pt idx="388">
                  <c:v>40379</c:v>
                </c:pt>
                <c:pt idx="389">
                  <c:v>40380</c:v>
                </c:pt>
                <c:pt idx="390">
                  <c:v>40381</c:v>
                </c:pt>
                <c:pt idx="391">
                  <c:v>40382</c:v>
                </c:pt>
                <c:pt idx="392">
                  <c:v>40385</c:v>
                </c:pt>
                <c:pt idx="393">
                  <c:v>40386</c:v>
                </c:pt>
                <c:pt idx="394">
                  <c:v>40387</c:v>
                </c:pt>
                <c:pt idx="395">
                  <c:v>40388</c:v>
                </c:pt>
                <c:pt idx="396">
                  <c:v>40389</c:v>
                </c:pt>
                <c:pt idx="397">
                  <c:v>40392</c:v>
                </c:pt>
                <c:pt idx="398">
                  <c:v>40393</c:v>
                </c:pt>
                <c:pt idx="399">
                  <c:v>40394</c:v>
                </c:pt>
                <c:pt idx="400">
                  <c:v>40395</c:v>
                </c:pt>
                <c:pt idx="401">
                  <c:v>40396</c:v>
                </c:pt>
                <c:pt idx="402">
                  <c:v>40399</c:v>
                </c:pt>
                <c:pt idx="403">
                  <c:v>40400</c:v>
                </c:pt>
                <c:pt idx="404">
                  <c:v>40401</c:v>
                </c:pt>
                <c:pt idx="405">
                  <c:v>40402</c:v>
                </c:pt>
                <c:pt idx="406">
                  <c:v>40403</c:v>
                </c:pt>
                <c:pt idx="407">
                  <c:v>40406</c:v>
                </c:pt>
                <c:pt idx="408">
                  <c:v>40407</c:v>
                </c:pt>
                <c:pt idx="409">
                  <c:v>40408</c:v>
                </c:pt>
                <c:pt idx="410">
                  <c:v>40409</c:v>
                </c:pt>
                <c:pt idx="411">
                  <c:v>40410</c:v>
                </c:pt>
                <c:pt idx="412">
                  <c:v>40413</c:v>
                </c:pt>
                <c:pt idx="413">
                  <c:v>40414</c:v>
                </c:pt>
                <c:pt idx="414">
                  <c:v>40415</c:v>
                </c:pt>
                <c:pt idx="415">
                  <c:v>40416</c:v>
                </c:pt>
                <c:pt idx="416">
                  <c:v>40417</c:v>
                </c:pt>
                <c:pt idx="417">
                  <c:v>40420</c:v>
                </c:pt>
                <c:pt idx="418">
                  <c:v>40421</c:v>
                </c:pt>
                <c:pt idx="419">
                  <c:v>40422</c:v>
                </c:pt>
                <c:pt idx="420">
                  <c:v>40423</c:v>
                </c:pt>
                <c:pt idx="421">
                  <c:v>40424</c:v>
                </c:pt>
                <c:pt idx="422">
                  <c:v>40428</c:v>
                </c:pt>
                <c:pt idx="423">
                  <c:v>40429</c:v>
                </c:pt>
                <c:pt idx="424">
                  <c:v>40430</c:v>
                </c:pt>
                <c:pt idx="425">
                  <c:v>40431</c:v>
                </c:pt>
                <c:pt idx="426">
                  <c:v>40434</c:v>
                </c:pt>
                <c:pt idx="427">
                  <c:v>40435</c:v>
                </c:pt>
                <c:pt idx="428">
                  <c:v>40436</c:v>
                </c:pt>
                <c:pt idx="429">
                  <c:v>40437</c:v>
                </c:pt>
                <c:pt idx="430">
                  <c:v>40438</c:v>
                </c:pt>
                <c:pt idx="431">
                  <c:v>40441</c:v>
                </c:pt>
                <c:pt idx="432">
                  <c:v>40442</c:v>
                </c:pt>
                <c:pt idx="433">
                  <c:v>40443</c:v>
                </c:pt>
                <c:pt idx="434">
                  <c:v>40444</c:v>
                </c:pt>
                <c:pt idx="435">
                  <c:v>40445</c:v>
                </c:pt>
                <c:pt idx="436">
                  <c:v>40448</c:v>
                </c:pt>
                <c:pt idx="437">
                  <c:v>40449</c:v>
                </c:pt>
                <c:pt idx="438">
                  <c:v>40450</c:v>
                </c:pt>
                <c:pt idx="439">
                  <c:v>40451</c:v>
                </c:pt>
                <c:pt idx="440">
                  <c:v>40452</c:v>
                </c:pt>
                <c:pt idx="441">
                  <c:v>40455</c:v>
                </c:pt>
                <c:pt idx="442">
                  <c:v>40456</c:v>
                </c:pt>
                <c:pt idx="443">
                  <c:v>40457</c:v>
                </c:pt>
                <c:pt idx="444">
                  <c:v>40458</c:v>
                </c:pt>
                <c:pt idx="445">
                  <c:v>40459</c:v>
                </c:pt>
                <c:pt idx="446">
                  <c:v>40462</c:v>
                </c:pt>
                <c:pt idx="447">
                  <c:v>40463</c:v>
                </c:pt>
                <c:pt idx="448">
                  <c:v>40464</c:v>
                </c:pt>
                <c:pt idx="449">
                  <c:v>40465</c:v>
                </c:pt>
                <c:pt idx="450">
                  <c:v>40466</c:v>
                </c:pt>
                <c:pt idx="451">
                  <c:v>40469</c:v>
                </c:pt>
                <c:pt idx="452">
                  <c:v>40470</c:v>
                </c:pt>
                <c:pt idx="453">
                  <c:v>40471</c:v>
                </c:pt>
                <c:pt idx="454">
                  <c:v>40472</c:v>
                </c:pt>
                <c:pt idx="455">
                  <c:v>40473</c:v>
                </c:pt>
                <c:pt idx="456">
                  <c:v>40476</c:v>
                </c:pt>
                <c:pt idx="457">
                  <c:v>40477</c:v>
                </c:pt>
                <c:pt idx="458">
                  <c:v>40478</c:v>
                </c:pt>
                <c:pt idx="459">
                  <c:v>40479</c:v>
                </c:pt>
                <c:pt idx="460">
                  <c:v>40480</c:v>
                </c:pt>
                <c:pt idx="461">
                  <c:v>40483</c:v>
                </c:pt>
                <c:pt idx="462">
                  <c:v>40484</c:v>
                </c:pt>
                <c:pt idx="463">
                  <c:v>40485</c:v>
                </c:pt>
                <c:pt idx="464">
                  <c:v>40486</c:v>
                </c:pt>
                <c:pt idx="465">
                  <c:v>40487</c:v>
                </c:pt>
                <c:pt idx="466">
                  <c:v>40490</c:v>
                </c:pt>
                <c:pt idx="467">
                  <c:v>40491</c:v>
                </c:pt>
                <c:pt idx="468">
                  <c:v>40492</c:v>
                </c:pt>
                <c:pt idx="469">
                  <c:v>40493</c:v>
                </c:pt>
                <c:pt idx="470">
                  <c:v>40494</c:v>
                </c:pt>
                <c:pt idx="471">
                  <c:v>40497</c:v>
                </c:pt>
                <c:pt idx="472">
                  <c:v>40498</c:v>
                </c:pt>
                <c:pt idx="473">
                  <c:v>40499</c:v>
                </c:pt>
                <c:pt idx="474">
                  <c:v>40500</c:v>
                </c:pt>
                <c:pt idx="475">
                  <c:v>40501</c:v>
                </c:pt>
                <c:pt idx="476">
                  <c:v>40504</c:v>
                </c:pt>
                <c:pt idx="477">
                  <c:v>40505</c:v>
                </c:pt>
                <c:pt idx="478">
                  <c:v>40506</c:v>
                </c:pt>
                <c:pt idx="479">
                  <c:v>40508</c:v>
                </c:pt>
                <c:pt idx="480">
                  <c:v>40511</c:v>
                </c:pt>
                <c:pt idx="481">
                  <c:v>40512</c:v>
                </c:pt>
                <c:pt idx="482">
                  <c:v>40513</c:v>
                </c:pt>
                <c:pt idx="483">
                  <c:v>40514</c:v>
                </c:pt>
                <c:pt idx="484">
                  <c:v>40515</c:v>
                </c:pt>
                <c:pt idx="485">
                  <c:v>40518</c:v>
                </c:pt>
                <c:pt idx="486">
                  <c:v>40519</c:v>
                </c:pt>
                <c:pt idx="487">
                  <c:v>40520</c:v>
                </c:pt>
                <c:pt idx="488">
                  <c:v>40521</c:v>
                </c:pt>
                <c:pt idx="489">
                  <c:v>40522</c:v>
                </c:pt>
                <c:pt idx="490">
                  <c:v>40525</c:v>
                </c:pt>
                <c:pt idx="491">
                  <c:v>40526</c:v>
                </c:pt>
                <c:pt idx="492">
                  <c:v>40527</c:v>
                </c:pt>
                <c:pt idx="493">
                  <c:v>40528</c:v>
                </c:pt>
                <c:pt idx="494">
                  <c:v>40529</c:v>
                </c:pt>
                <c:pt idx="495">
                  <c:v>40532</c:v>
                </c:pt>
                <c:pt idx="496">
                  <c:v>40533</c:v>
                </c:pt>
                <c:pt idx="497">
                  <c:v>40534</c:v>
                </c:pt>
                <c:pt idx="498">
                  <c:v>40535</c:v>
                </c:pt>
                <c:pt idx="499">
                  <c:v>40539</c:v>
                </c:pt>
                <c:pt idx="500">
                  <c:v>40540</c:v>
                </c:pt>
                <c:pt idx="501">
                  <c:v>40541</c:v>
                </c:pt>
                <c:pt idx="502">
                  <c:v>40542</c:v>
                </c:pt>
                <c:pt idx="503">
                  <c:v>40543</c:v>
                </c:pt>
                <c:pt idx="504">
                  <c:v>40546</c:v>
                </c:pt>
                <c:pt idx="505">
                  <c:v>40547</c:v>
                </c:pt>
                <c:pt idx="506">
                  <c:v>40548</c:v>
                </c:pt>
                <c:pt idx="507">
                  <c:v>40549</c:v>
                </c:pt>
                <c:pt idx="508">
                  <c:v>40550</c:v>
                </c:pt>
                <c:pt idx="509">
                  <c:v>40553</c:v>
                </c:pt>
                <c:pt idx="510">
                  <c:v>40554</c:v>
                </c:pt>
                <c:pt idx="511">
                  <c:v>40555</c:v>
                </c:pt>
                <c:pt idx="512">
                  <c:v>40556</c:v>
                </c:pt>
                <c:pt idx="513">
                  <c:v>40557</c:v>
                </c:pt>
                <c:pt idx="514">
                  <c:v>40561</c:v>
                </c:pt>
                <c:pt idx="515">
                  <c:v>40562</c:v>
                </c:pt>
                <c:pt idx="516">
                  <c:v>40563</c:v>
                </c:pt>
                <c:pt idx="517">
                  <c:v>40564</c:v>
                </c:pt>
                <c:pt idx="518">
                  <c:v>40567</c:v>
                </c:pt>
                <c:pt idx="519">
                  <c:v>40568</c:v>
                </c:pt>
                <c:pt idx="520">
                  <c:v>40569</c:v>
                </c:pt>
                <c:pt idx="521">
                  <c:v>40570</c:v>
                </c:pt>
                <c:pt idx="522">
                  <c:v>40571</c:v>
                </c:pt>
                <c:pt idx="523">
                  <c:v>40574</c:v>
                </c:pt>
                <c:pt idx="524">
                  <c:v>40575</c:v>
                </c:pt>
                <c:pt idx="525">
                  <c:v>40576</c:v>
                </c:pt>
                <c:pt idx="526">
                  <c:v>40577</c:v>
                </c:pt>
                <c:pt idx="527">
                  <c:v>40578</c:v>
                </c:pt>
                <c:pt idx="528">
                  <c:v>40581</c:v>
                </c:pt>
                <c:pt idx="529">
                  <c:v>40582</c:v>
                </c:pt>
                <c:pt idx="530">
                  <c:v>40583</c:v>
                </c:pt>
                <c:pt idx="531">
                  <c:v>40584</c:v>
                </c:pt>
                <c:pt idx="532">
                  <c:v>40585</c:v>
                </c:pt>
                <c:pt idx="533">
                  <c:v>40588</c:v>
                </c:pt>
                <c:pt idx="534">
                  <c:v>40589</c:v>
                </c:pt>
                <c:pt idx="535">
                  <c:v>40590</c:v>
                </c:pt>
                <c:pt idx="536">
                  <c:v>40591</c:v>
                </c:pt>
                <c:pt idx="537">
                  <c:v>40592</c:v>
                </c:pt>
                <c:pt idx="538">
                  <c:v>40596</c:v>
                </c:pt>
                <c:pt idx="539">
                  <c:v>40597</c:v>
                </c:pt>
                <c:pt idx="540">
                  <c:v>40598</c:v>
                </c:pt>
                <c:pt idx="541">
                  <c:v>40599</c:v>
                </c:pt>
                <c:pt idx="542">
                  <c:v>40602</c:v>
                </c:pt>
                <c:pt idx="543">
                  <c:v>40603</c:v>
                </c:pt>
                <c:pt idx="544">
                  <c:v>40604</c:v>
                </c:pt>
                <c:pt idx="545">
                  <c:v>40605</c:v>
                </c:pt>
                <c:pt idx="546">
                  <c:v>40606</c:v>
                </c:pt>
                <c:pt idx="547">
                  <c:v>40609</c:v>
                </c:pt>
                <c:pt idx="548">
                  <c:v>40610</c:v>
                </c:pt>
                <c:pt idx="549">
                  <c:v>40611</c:v>
                </c:pt>
                <c:pt idx="550">
                  <c:v>40612</c:v>
                </c:pt>
                <c:pt idx="551">
                  <c:v>40613</c:v>
                </c:pt>
                <c:pt idx="552">
                  <c:v>40616</c:v>
                </c:pt>
                <c:pt idx="553">
                  <c:v>40617</c:v>
                </c:pt>
                <c:pt idx="554">
                  <c:v>40618</c:v>
                </c:pt>
                <c:pt idx="555">
                  <c:v>40619</c:v>
                </c:pt>
                <c:pt idx="556">
                  <c:v>40620</c:v>
                </c:pt>
                <c:pt idx="557">
                  <c:v>40623</c:v>
                </c:pt>
                <c:pt idx="558">
                  <c:v>40624</c:v>
                </c:pt>
                <c:pt idx="559">
                  <c:v>40625</c:v>
                </c:pt>
                <c:pt idx="560">
                  <c:v>40626</c:v>
                </c:pt>
                <c:pt idx="561">
                  <c:v>40627</c:v>
                </c:pt>
                <c:pt idx="562">
                  <c:v>40630</c:v>
                </c:pt>
                <c:pt idx="563">
                  <c:v>40631</c:v>
                </c:pt>
                <c:pt idx="564">
                  <c:v>40632</c:v>
                </c:pt>
                <c:pt idx="565">
                  <c:v>40633</c:v>
                </c:pt>
                <c:pt idx="566">
                  <c:v>40634</c:v>
                </c:pt>
                <c:pt idx="567">
                  <c:v>40637</c:v>
                </c:pt>
                <c:pt idx="568">
                  <c:v>40638</c:v>
                </c:pt>
                <c:pt idx="569">
                  <c:v>40639</c:v>
                </c:pt>
                <c:pt idx="570">
                  <c:v>40640</c:v>
                </c:pt>
                <c:pt idx="571">
                  <c:v>40641</c:v>
                </c:pt>
                <c:pt idx="572">
                  <c:v>40644</c:v>
                </c:pt>
                <c:pt idx="573">
                  <c:v>40645</c:v>
                </c:pt>
                <c:pt idx="574">
                  <c:v>40646</c:v>
                </c:pt>
                <c:pt idx="575">
                  <c:v>40647</c:v>
                </c:pt>
                <c:pt idx="576">
                  <c:v>40648</c:v>
                </c:pt>
                <c:pt idx="577">
                  <c:v>40651</c:v>
                </c:pt>
                <c:pt idx="578">
                  <c:v>40652</c:v>
                </c:pt>
                <c:pt idx="579">
                  <c:v>40653</c:v>
                </c:pt>
                <c:pt idx="580">
                  <c:v>40654</c:v>
                </c:pt>
                <c:pt idx="581">
                  <c:v>40658</c:v>
                </c:pt>
                <c:pt idx="582">
                  <c:v>40659</c:v>
                </c:pt>
                <c:pt idx="583">
                  <c:v>40660</c:v>
                </c:pt>
                <c:pt idx="584">
                  <c:v>40661</c:v>
                </c:pt>
                <c:pt idx="585">
                  <c:v>40662</c:v>
                </c:pt>
                <c:pt idx="586">
                  <c:v>40665</c:v>
                </c:pt>
                <c:pt idx="587">
                  <c:v>40666</c:v>
                </c:pt>
                <c:pt idx="588">
                  <c:v>40667</c:v>
                </c:pt>
                <c:pt idx="589">
                  <c:v>40668</c:v>
                </c:pt>
                <c:pt idx="590">
                  <c:v>40669</c:v>
                </c:pt>
                <c:pt idx="591">
                  <c:v>40672</c:v>
                </c:pt>
                <c:pt idx="592">
                  <c:v>40673</c:v>
                </c:pt>
                <c:pt idx="593">
                  <c:v>40674</c:v>
                </c:pt>
                <c:pt idx="594">
                  <c:v>40675</c:v>
                </c:pt>
                <c:pt idx="595">
                  <c:v>40676</c:v>
                </c:pt>
                <c:pt idx="596">
                  <c:v>40679</c:v>
                </c:pt>
                <c:pt idx="597">
                  <c:v>40680</c:v>
                </c:pt>
                <c:pt idx="598">
                  <c:v>40681</c:v>
                </c:pt>
                <c:pt idx="599">
                  <c:v>40682</c:v>
                </c:pt>
                <c:pt idx="600">
                  <c:v>40683</c:v>
                </c:pt>
                <c:pt idx="601">
                  <c:v>40686</c:v>
                </c:pt>
                <c:pt idx="602">
                  <c:v>40687</c:v>
                </c:pt>
                <c:pt idx="603">
                  <c:v>40688</c:v>
                </c:pt>
                <c:pt idx="604">
                  <c:v>40689</c:v>
                </c:pt>
                <c:pt idx="605">
                  <c:v>40690</c:v>
                </c:pt>
                <c:pt idx="606">
                  <c:v>40694</c:v>
                </c:pt>
                <c:pt idx="607">
                  <c:v>40695</c:v>
                </c:pt>
                <c:pt idx="608">
                  <c:v>40696</c:v>
                </c:pt>
                <c:pt idx="609">
                  <c:v>40697</c:v>
                </c:pt>
                <c:pt idx="610">
                  <c:v>40700</c:v>
                </c:pt>
                <c:pt idx="611">
                  <c:v>40701</c:v>
                </c:pt>
                <c:pt idx="612">
                  <c:v>40702</c:v>
                </c:pt>
                <c:pt idx="613">
                  <c:v>40703</c:v>
                </c:pt>
                <c:pt idx="614">
                  <c:v>40704</c:v>
                </c:pt>
                <c:pt idx="615">
                  <c:v>40707</c:v>
                </c:pt>
                <c:pt idx="616">
                  <c:v>40708</c:v>
                </c:pt>
                <c:pt idx="617">
                  <c:v>40709</c:v>
                </c:pt>
                <c:pt idx="618">
                  <c:v>40710</c:v>
                </c:pt>
                <c:pt idx="619">
                  <c:v>40711</c:v>
                </c:pt>
                <c:pt idx="620">
                  <c:v>40714</c:v>
                </c:pt>
                <c:pt idx="621">
                  <c:v>40715</c:v>
                </c:pt>
                <c:pt idx="622">
                  <c:v>40716</c:v>
                </c:pt>
                <c:pt idx="623">
                  <c:v>40717</c:v>
                </c:pt>
                <c:pt idx="624">
                  <c:v>40718</c:v>
                </c:pt>
                <c:pt idx="625">
                  <c:v>40721</c:v>
                </c:pt>
                <c:pt idx="626">
                  <c:v>40722</c:v>
                </c:pt>
                <c:pt idx="627">
                  <c:v>40723</c:v>
                </c:pt>
                <c:pt idx="628">
                  <c:v>40724</c:v>
                </c:pt>
                <c:pt idx="629">
                  <c:v>40725</c:v>
                </c:pt>
                <c:pt idx="630">
                  <c:v>40729</c:v>
                </c:pt>
                <c:pt idx="631">
                  <c:v>40730</c:v>
                </c:pt>
                <c:pt idx="632">
                  <c:v>40731</c:v>
                </c:pt>
                <c:pt idx="633">
                  <c:v>40732</c:v>
                </c:pt>
                <c:pt idx="634">
                  <c:v>40735</c:v>
                </c:pt>
                <c:pt idx="635">
                  <c:v>40736</c:v>
                </c:pt>
                <c:pt idx="636">
                  <c:v>40737</c:v>
                </c:pt>
                <c:pt idx="637">
                  <c:v>40738</c:v>
                </c:pt>
                <c:pt idx="638">
                  <c:v>40739</c:v>
                </c:pt>
                <c:pt idx="639">
                  <c:v>40742</c:v>
                </c:pt>
                <c:pt idx="640">
                  <c:v>40743</c:v>
                </c:pt>
                <c:pt idx="641">
                  <c:v>40744</c:v>
                </c:pt>
                <c:pt idx="642">
                  <c:v>40745</c:v>
                </c:pt>
                <c:pt idx="643">
                  <c:v>40746</c:v>
                </c:pt>
                <c:pt idx="644">
                  <c:v>40749</c:v>
                </c:pt>
                <c:pt idx="645">
                  <c:v>40750</c:v>
                </c:pt>
                <c:pt idx="646">
                  <c:v>40751</c:v>
                </c:pt>
                <c:pt idx="647">
                  <c:v>40752</c:v>
                </c:pt>
                <c:pt idx="648">
                  <c:v>40753</c:v>
                </c:pt>
                <c:pt idx="649">
                  <c:v>40756</c:v>
                </c:pt>
                <c:pt idx="650">
                  <c:v>40757</c:v>
                </c:pt>
                <c:pt idx="651">
                  <c:v>40758</c:v>
                </c:pt>
                <c:pt idx="652">
                  <c:v>40759</c:v>
                </c:pt>
                <c:pt idx="653">
                  <c:v>40760</c:v>
                </c:pt>
                <c:pt idx="654">
                  <c:v>40763</c:v>
                </c:pt>
                <c:pt idx="655">
                  <c:v>40764</c:v>
                </c:pt>
                <c:pt idx="656">
                  <c:v>40765</c:v>
                </c:pt>
                <c:pt idx="657">
                  <c:v>40766</c:v>
                </c:pt>
                <c:pt idx="658">
                  <c:v>40767</c:v>
                </c:pt>
                <c:pt idx="659">
                  <c:v>40770</c:v>
                </c:pt>
                <c:pt idx="660">
                  <c:v>40771</c:v>
                </c:pt>
                <c:pt idx="661">
                  <c:v>40772</c:v>
                </c:pt>
                <c:pt idx="662">
                  <c:v>40773</c:v>
                </c:pt>
                <c:pt idx="663">
                  <c:v>40774</c:v>
                </c:pt>
                <c:pt idx="664">
                  <c:v>40777</c:v>
                </c:pt>
                <c:pt idx="665">
                  <c:v>40778</c:v>
                </c:pt>
                <c:pt idx="666">
                  <c:v>40779</c:v>
                </c:pt>
                <c:pt idx="667">
                  <c:v>40780</c:v>
                </c:pt>
                <c:pt idx="668">
                  <c:v>40781</c:v>
                </c:pt>
                <c:pt idx="669">
                  <c:v>40784</c:v>
                </c:pt>
                <c:pt idx="670">
                  <c:v>40785</c:v>
                </c:pt>
                <c:pt idx="671">
                  <c:v>40786</c:v>
                </c:pt>
                <c:pt idx="672">
                  <c:v>40787</c:v>
                </c:pt>
                <c:pt idx="673">
                  <c:v>40788</c:v>
                </c:pt>
                <c:pt idx="674">
                  <c:v>40792</c:v>
                </c:pt>
                <c:pt idx="675">
                  <c:v>40793</c:v>
                </c:pt>
                <c:pt idx="676">
                  <c:v>40794</c:v>
                </c:pt>
                <c:pt idx="677">
                  <c:v>40795</c:v>
                </c:pt>
                <c:pt idx="678">
                  <c:v>40798</c:v>
                </c:pt>
                <c:pt idx="679">
                  <c:v>40799</c:v>
                </c:pt>
                <c:pt idx="680">
                  <c:v>40800</c:v>
                </c:pt>
                <c:pt idx="681">
                  <c:v>40801</c:v>
                </c:pt>
                <c:pt idx="682">
                  <c:v>40802</c:v>
                </c:pt>
                <c:pt idx="683">
                  <c:v>40805</c:v>
                </c:pt>
                <c:pt idx="684">
                  <c:v>40806</c:v>
                </c:pt>
                <c:pt idx="685">
                  <c:v>40807</c:v>
                </c:pt>
                <c:pt idx="686">
                  <c:v>40808</c:v>
                </c:pt>
                <c:pt idx="687">
                  <c:v>40809</c:v>
                </c:pt>
                <c:pt idx="688">
                  <c:v>40812</c:v>
                </c:pt>
                <c:pt idx="689">
                  <c:v>40813</c:v>
                </c:pt>
                <c:pt idx="690">
                  <c:v>40814</c:v>
                </c:pt>
                <c:pt idx="691">
                  <c:v>40815</c:v>
                </c:pt>
                <c:pt idx="692">
                  <c:v>40816</c:v>
                </c:pt>
                <c:pt idx="693">
                  <c:v>40819</c:v>
                </c:pt>
                <c:pt idx="694">
                  <c:v>40820</c:v>
                </c:pt>
                <c:pt idx="695">
                  <c:v>40821</c:v>
                </c:pt>
                <c:pt idx="696">
                  <c:v>40822</c:v>
                </c:pt>
                <c:pt idx="697">
                  <c:v>40823</c:v>
                </c:pt>
                <c:pt idx="698">
                  <c:v>40826</c:v>
                </c:pt>
                <c:pt idx="699">
                  <c:v>40827</c:v>
                </c:pt>
                <c:pt idx="700">
                  <c:v>40828</c:v>
                </c:pt>
                <c:pt idx="701">
                  <c:v>40829</c:v>
                </c:pt>
                <c:pt idx="702">
                  <c:v>40830</c:v>
                </c:pt>
                <c:pt idx="703">
                  <c:v>40833</c:v>
                </c:pt>
                <c:pt idx="704">
                  <c:v>40834</c:v>
                </c:pt>
                <c:pt idx="705">
                  <c:v>40835</c:v>
                </c:pt>
                <c:pt idx="706">
                  <c:v>40836</c:v>
                </c:pt>
                <c:pt idx="707">
                  <c:v>40837</c:v>
                </c:pt>
                <c:pt idx="708">
                  <c:v>40840</c:v>
                </c:pt>
                <c:pt idx="709">
                  <c:v>40841</c:v>
                </c:pt>
                <c:pt idx="710">
                  <c:v>40842</c:v>
                </c:pt>
                <c:pt idx="711">
                  <c:v>40843</c:v>
                </c:pt>
                <c:pt idx="712">
                  <c:v>40844</c:v>
                </c:pt>
                <c:pt idx="713">
                  <c:v>40847</c:v>
                </c:pt>
                <c:pt idx="714">
                  <c:v>40848</c:v>
                </c:pt>
                <c:pt idx="715">
                  <c:v>40849</c:v>
                </c:pt>
                <c:pt idx="716">
                  <c:v>40850</c:v>
                </c:pt>
                <c:pt idx="717">
                  <c:v>40851</c:v>
                </c:pt>
                <c:pt idx="718">
                  <c:v>40854</c:v>
                </c:pt>
                <c:pt idx="719">
                  <c:v>40855</c:v>
                </c:pt>
                <c:pt idx="720">
                  <c:v>40856</c:v>
                </c:pt>
                <c:pt idx="721">
                  <c:v>40857</c:v>
                </c:pt>
                <c:pt idx="722">
                  <c:v>40858</c:v>
                </c:pt>
                <c:pt idx="723">
                  <c:v>40861</c:v>
                </c:pt>
                <c:pt idx="724">
                  <c:v>40862</c:v>
                </c:pt>
                <c:pt idx="725">
                  <c:v>40863</c:v>
                </c:pt>
                <c:pt idx="726">
                  <c:v>40864</c:v>
                </c:pt>
                <c:pt idx="727">
                  <c:v>40865</c:v>
                </c:pt>
                <c:pt idx="728">
                  <c:v>40868</c:v>
                </c:pt>
                <c:pt idx="729">
                  <c:v>40869</c:v>
                </c:pt>
                <c:pt idx="730">
                  <c:v>40870</c:v>
                </c:pt>
                <c:pt idx="731">
                  <c:v>40872</c:v>
                </c:pt>
                <c:pt idx="732">
                  <c:v>40875</c:v>
                </c:pt>
                <c:pt idx="733">
                  <c:v>40876</c:v>
                </c:pt>
                <c:pt idx="734">
                  <c:v>40877</c:v>
                </c:pt>
                <c:pt idx="735">
                  <c:v>40878</c:v>
                </c:pt>
                <c:pt idx="736">
                  <c:v>40879</c:v>
                </c:pt>
                <c:pt idx="737">
                  <c:v>40882</c:v>
                </c:pt>
                <c:pt idx="738">
                  <c:v>40883</c:v>
                </c:pt>
                <c:pt idx="739">
                  <c:v>40884</c:v>
                </c:pt>
                <c:pt idx="740">
                  <c:v>40885</c:v>
                </c:pt>
                <c:pt idx="741">
                  <c:v>40886</c:v>
                </c:pt>
                <c:pt idx="742">
                  <c:v>40889</c:v>
                </c:pt>
                <c:pt idx="743">
                  <c:v>40890</c:v>
                </c:pt>
                <c:pt idx="744">
                  <c:v>40891</c:v>
                </c:pt>
                <c:pt idx="745">
                  <c:v>40892</c:v>
                </c:pt>
                <c:pt idx="746">
                  <c:v>40893</c:v>
                </c:pt>
                <c:pt idx="747">
                  <c:v>40896</c:v>
                </c:pt>
                <c:pt idx="748">
                  <c:v>40897</c:v>
                </c:pt>
                <c:pt idx="749">
                  <c:v>40898</c:v>
                </c:pt>
                <c:pt idx="750">
                  <c:v>40899</c:v>
                </c:pt>
                <c:pt idx="751">
                  <c:v>40900</c:v>
                </c:pt>
                <c:pt idx="752">
                  <c:v>40904</c:v>
                </c:pt>
                <c:pt idx="753">
                  <c:v>40905</c:v>
                </c:pt>
                <c:pt idx="754">
                  <c:v>40906</c:v>
                </c:pt>
                <c:pt idx="755">
                  <c:v>40907</c:v>
                </c:pt>
                <c:pt idx="756">
                  <c:v>40911</c:v>
                </c:pt>
                <c:pt idx="757">
                  <c:v>40912</c:v>
                </c:pt>
                <c:pt idx="758">
                  <c:v>40913</c:v>
                </c:pt>
                <c:pt idx="759">
                  <c:v>40914</c:v>
                </c:pt>
                <c:pt idx="760">
                  <c:v>40917</c:v>
                </c:pt>
                <c:pt idx="761">
                  <c:v>40918</c:v>
                </c:pt>
                <c:pt idx="762">
                  <c:v>40919</c:v>
                </c:pt>
                <c:pt idx="763">
                  <c:v>40920</c:v>
                </c:pt>
                <c:pt idx="764">
                  <c:v>40921</c:v>
                </c:pt>
                <c:pt idx="765">
                  <c:v>40925</c:v>
                </c:pt>
                <c:pt idx="766">
                  <c:v>40926</c:v>
                </c:pt>
                <c:pt idx="767">
                  <c:v>40927</c:v>
                </c:pt>
                <c:pt idx="768">
                  <c:v>40928</c:v>
                </c:pt>
                <c:pt idx="769">
                  <c:v>40931</c:v>
                </c:pt>
                <c:pt idx="770">
                  <c:v>40932</c:v>
                </c:pt>
                <c:pt idx="771">
                  <c:v>40933</c:v>
                </c:pt>
                <c:pt idx="772">
                  <c:v>40934</c:v>
                </c:pt>
                <c:pt idx="773">
                  <c:v>40935</c:v>
                </c:pt>
                <c:pt idx="774">
                  <c:v>40938</c:v>
                </c:pt>
                <c:pt idx="775">
                  <c:v>40939</c:v>
                </c:pt>
                <c:pt idx="776">
                  <c:v>40940</c:v>
                </c:pt>
                <c:pt idx="777">
                  <c:v>40941</c:v>
                </c:pt>
                <c:pt idx="778">
                  <c:v>40942</c:v>
                </c:pt>
                <c:pt idx="779">
                  <c:v>40945</c:v>
                </c:pt>
                <c:pt idx="780">
                  <c:v>40946</c:v>
                </c:pt>
                <c:pt idx="781">
                  <c:v>40947</c:v>
                </c:pt>
                <c:pt idx="782">
                  <c:v>40948</c:v>
                </c:pt>
                <c:pt idx="783">
                  <c:v>40949</c:v>
                </c:pt>
                <c:pt idx="784">
                  <c:v>40952</c:v>
                </c:pt>
                <c:pt idx="785">
                  <c:v>40953</c:v>
                </c:pt>
                <c:pt idx="786">
                  <c:v>40954</c:v>
                </c:pt>
                <c:pt idx="787">
                  <c:v>40955</c:v>
                </c:pt>
                <c:pt idx="788">
                  <c:v>40956</c:v>
                </c:pt>
                <c:pt idx="789">
                  <c:v>40960</c:v>
                </c:pt>
                <c:pt idx="790">
                  <c:v>40961</c:v>
                </c:pt>
                <c:pt idx="791">
                  <c:v>40962</c:v>
                </c:pt>
                <c:pt idx="792">
                  <c:v>40963</c:v>
                </c:pt>
                <c:pt idx="793">
                  <c:v>40966</c:v>
                </c:pt>
                <c:pt idx="794">
                  <c:v>40967</c:v>
                </c:pt>
                <c:pt idx="795">
                  <c:v>40968</c:v>
                </c:pt>
                <c:pt idx="796">
                  <c:v>40969</c:v>
                </c:pt>
                <c:pt idx="797">
                  <c:v>40970</c:v>
                </c:pt>
                <c:pt idx="798">
                  <c:v>40973</c:v>
                </c:pt>
                <c:pt idx="799">
                  <c:v>40974</c:v>
                </c:pt>
                <c:pt idx="800">
                  <c:v>40975</c:v>
                </c:pt>
                <c:pt idx="801">
                  <c:v>40976</c:v>
                </c:pt>
                <c:pt idx="802">
                  <c:v>40977</c:v>
                </c:pt>
                <c:pt idx="803">
                  <c:v>40980</c:v>
                </c:pt>
                <c:pt idx="804">
                  <c:v>40981</c:v>
                </c:pt>
                <c:pt idx="805">
                  <c:v>40982</c:v>
                </c:pt>
                <c:pt idx="806">
                  <c:v>40983</c:v>
                </c:pt>
                <c:pt idx="807">
                  <c:v>40984</c:v>
                </c:pt>
                <c:pt idx="808">
                  <c:v>40987</c:v>
                </c:pt>
                <c:pt idx="809">
                  <c:v>40988</c:v>
                </c:pt>
                <c:pt idx="810">
                  <c:v>40989</c:v>
                </c:pt>
                <c:pt idx="811">
                  <c:v>40990</c:v>
                </c:pt>
                <c:pt idx="812">
                  <c:v>40991</c:v>
                </c:pt>
                <c:pt idx="813">
                  <c:v>40994</c:v>
                </c:pt>
                <c:pt idx="814">
                  <c:v>40995</c:v>
                </c:pt>
                <c:pt idx="815">
                  <c:v>40996</c:v>
                </c:pt>
                <c:pt idx="816">
                  <c:v>40997</c:v>
                </c:pt>
                <c:pt idx="817">
                  <c:v>40998</c:v>
                </c:pt>
                <c:pt idx="818">
                  <c:v>41001</c:v>
                </c:pt>
                <c:pt idx="819">
                  <c:v>41002</c:v>
                </c:pt>
                <c:pt idx="820">
                  <c:v>41003</c:v>
                </c:pt>
                <c:pt idx="821">
                  <c:v>41004</c:v>
                </c:pt>
                <c:pt idx="822">
                  <c:v>41008</c:v>
                </c:pt>
                <c:pt idx="823">
                  <c:v>41009</c:v>
                </c:pt>
                <c:pt idx="824">
                  <c:v>41010</c:v>
                </c:pt>
                <c:pt idx="825">
                  <c:v>41011</c:v>
                </c:pt>
                <c:pt idx="826">
                  <c:v>41012</c:v>
                </c:pt>
                <c:pt idx="827">
                  <c:v>41015</c:v>
                </c:pt>
                <c:pt idx="828">
                  <c:v>41016</c:v>
                </c:pt>
                <c:pt idx="829">
                  <c:v>41017</c:v>
                </c:pt>
                <c:pt idx="830">
                  <c:v>41018</c:v>
                </c:pt>
                <c:pt idx="831">
                  <c:v>41019</c:v>
                </c:pt>
                <c:pt idx="832">
                  <c:v>41022</c:v>
                </c:pt>
                <c:pt idx="833">
                  <c:v>41023</c:v>
                </c:pt>
                <c:pt idx="834">
                  <c:v>41024</c:v>
                </c:pt>
                <c:pt idx="835">
                  <c:v>41025</c:v>
                </c:pt>
                <c:pt idx="836">
                  <c:v>41026</c:v>
                </c:pt>
                <c:pt idx="837">
                  <c:v>41029</c:v>
                </c:pt>
                <c:pt idx="838">
                  <c:v>41030</c:v>
                </c:pt>
                <c:pt idx="839">
                  <c:v>41031</c:v>
                </c:pt>
                <c:pt idx="840">
                  <c:v>41032</c:v>
                </c:pt>
                <c:pt idx="841">
                  <c:v>41033</c:v>
                </c:pt>
                <c:pt idx="842">
                  <c:v>41036</c:v>
                </c:pt>
                <c:pt idx="843">
                  <c:v>41037</c:v>
                </c:pt>
                <c:pt idx="844">
                  <c:v>41038</c:v>
                </c:pt>
                <c:pt idx="845">
                  <c:v>41039</c:v>
                </c:pt>
                <c:pt idx="846">
                  <c:v>41040</c:v>
                </c:pt>
                <c:pt idx="847">
                  <c:v>41043</c:v>
                </c:pt>
                <c:pt idx="848">
                  <c:v>41044</c:v>
                </c:pt>
                <c:pt idx="849">
                  <c:v>41045</c:v>
                </c:pt>
                <c:pt idx="850">
                  <c:v>41046</c:v>
                </c:pt>
                <c:pt idx="851">
                  <c:v>41047</c:v>
                </c:pt>
                <c:pt idx="852">
                  <c:v>41050</c:v>
                </c:pt>
                <c:pt idx="853">
                  <c:v>41051</c:v>
                </c:pt>
                <c:pt idx="854">
                  <c:v>41052</c:v>
                </c:pt>
                <c:pt idx="855">
                  <c:v>41053</c:v>
                </c:pt>
                <c:pt idx="856">
                  <c:v>41054</c:v>
                </c:pt>
                <c:pt idx="857">
                  <c:v>41058</c:v>
                </c:pt>
                <c:pt idx="858">
                  <c:v>41059</c:v>
                </c:pt>
                <c:pt idx="859">
                  <c:v>41060</c:v>
                </c:pt>
                <c:pt idx="860">
                  <c:v>41061</c:v>
                </c:pt>
                <c:pt idx="861">
                  <c:v>41064</c:v>
                </c:pt>
                <c:pt idx="862">
                  <c:v>41065</c:v>
                </c:pt>
                <c:pt idx="863">
                  <c:v>41066</c:v>
                </c:pt>
                <c:pt idx="864">
                  <c:v>41067</c:v>
                </c:pt>
                <c:pt idx="865">
                  <c:v>41068</c:v>
                </c:pt>
                <c:pt idx="866">
                  <c:v>41071</c:v>
                </c:pt>
                <c:pt idx="867">
                  <c:v>41072</c:v>
                </c:pt>
                <c:pt idx="868">
                  <c:v>41073</c:v>
                </c:pt>
                <c:pt idx="869">
                  <c:v>41074</c:v>
                </c:pt>
                <c:pt idx="870">
                  <c:v>41075</c:v>
                </c:pt>
                <c:pt idx="871">
                  <c:v>41078</c:v>
                </c:pt>
                <c:pt idx="872">
                  <c:v>41079</c:v>
                </c:pt>
                <c:pt idx="873">
                  <c:v>41080</c:v>
                </c:pt>
                <c:pt idx="874">
                  <c:v>41081</c:v>
                </c:pt>
                <c:pt idx="875">
                  <c:v>41082</c:v>
                </c:pt>
                <c:pt idx="876">
                  <c:v>41085</c:v>
                </c:pt>
                <c:pt idx="877">
                  <c:v>41086</c:v>
                </c:pt>
                <c:pt idx="878">
                  <c:v>41087</c:v>
                </c:pt>
                <c:pt idx="879">
                  <c:v>41088</c:v>
                </c:pt>
                <c:pt idx="880">
                  <c:v>41089</c:v>
                </c:pt>
                <c:pt idx="881">
                  <c:v>41092</c:v>
                </c:pt>
                <c:pt idx="882">
                  <c:v>41093</c:v>
                </c:pt>
                <c:pt idx="883">
                  <c:v>41095</c:v>
                </c:pt>
                <c:pt idx="884">
                  <c:v>41096</c:v>
                </c:pt>
                <c:pt idx="885">
                  <c:v>41099</c:v>
                </c:pt>
                <c:pt idx="886">
                  <c:v>41100</c:v>
                </c:pt>
                <c:pt idx="887">
                  <c:v>41101</c:v>
                </c:pt>
                <c:pt idx="888">
                  <c:v>41102</c:v>
                </c:pt>
                <c:pt idx="889">
                  <c:v>41103</c:v>
                </c:pt>
                <c:pt idx="890">
                  <c:v>41106</c:v>
                </c:pt>
                <c:pt idx="891">
                  <c:v>41107</c:v>
                </c:pt>
                <c:pt idx="892">
                  <c:v>41108</c:v>
                </c:pt>
                <c:pt idx="893">
                  <c:v>41109</c:v>
                </c:pt>
                <c:pt idx="894">
                  <c:v>41110</c:v>
                </c:pt>
                <c:pt idx="895">
                  <c:v>41113</c:v>
                </c:pt>
                <c:pt idx="896">
                  <c:v>41114</c:v>
                </c:pt>
                <c:pt idx="897">
                  <c:v>41115</c:v>
                </c:pt>
                <c:pt idx="898">
                  <c:v>41116</c:v>
                </c:pt>
                <c:pt idx="899">
                  <c:v>41117</c:v>
                </c:pt>
                <c:pt idx="900">
                  <c:v>41120</c:v>
                </c:pt>
                <c:pt idx="901">
                  <c:v>41121</c:v>
                </c:pt>
                <c:pt idx="902">
                  <c:v>41122</c:v>
                </c:pt>
                <c:pt idx="903">
                  <c:v>41123</c:v>
                </c:pt>
                <c:pt idx="904">
                  <c:v>41124</c:v>
                </c:pt>
                <c:pt idx="905">
                  <c:v>41127</c:v>
                </c:pt>
                <c:pt idx="906">
                  <c:v>41128</c:v>
                </c:pt>
                <c:pt idx="907">
                  <c:v>41129</c:v>
                </c:pt>
                <c:pt idx="908">
                  <c:v>41130</c:v>
                </c:pt>
                <c:pt idx="909">
                  <c:v>41131</c:v>
                </c:pt>
                <c:pt idx="910">
                  <c:v>41134</c:v>
                </c:pt>
                <c:pt idx="911">
                  <c:v>41135</c:v>
                </c:pt>
                <c:pt idx="912">
                  <c:v>41136</c:v>
                </c:pt>
                <c:pt idx="913">
                  <c:v>41137</c:v>
                </c:pt>
                <c:pt idx="914">
                  <c:v>41138</c:v>
                </c:pt>
                <c:pt idx="915">
                  <c:v>41141</c:v>
                </c:pt>
                <c:pt idx="916">
                  <c:v>41142</c:v>
                </c:pt>
                <c:pt idx="917">
                  <c:v>41143</c:v>
                </c:pt>
                <c:pt idx="918">
                  <c:v>41144</c:v>
                </c:pt>
                <c:pt idx="919">
                  <c:v>41145</c:v>
                </c:pt>
                <c:pt idx="920">
                  <c:v>41148</c:v>
                </c:pt>
                <c:pt idx="921">
                  <c:v>41149</c:v>
                </c:pt>
                <c:pt idx="922">
                  <c:v>41150</c:v>
                </c:pt>
                <c:pt idx="923">
                  <c:v>41151</c:v>
                </c:pt>
                <c:pt idx="924">
                  <c:v>41152</c:v>
                </c:pt>
                <c:pt idx="925">
                  <c:v>41156</c:v>
                </c:pt>
                <c:pt idx="926">
                  <c:v>41157</c:v>
                </c:pt>
                <c:pt idx="927">
                  <c:v>41158</c:v>
                </c:pt>
                <c:pt idx="928">
                  <c:v>41159</c:v>
                </c:pt>
                <c:pt idx="929">
                  <c:v>41162</c:v>
                </c:pt>
                <c:pt idx="930">
                  <c:v>41163</c:v>
                </c:pt>
                <c:pt idx="931">
                  <c:v>41164</c:v>
                </c:pt>
                <c:pt idx="932">
                  <c:v>41165</c:v>
                </c:pt>
                <c:pt idx="933">
                  <c:v>41166</c:v>
                </c:pt>
                <c:pt idx="934">
                  <c:v>41169</c:v>
                </c:pt>
                <c:pt idx="935">
                  <c:v>41170</c:v>
                </c:pt>
                <c:pt idx="936">
                  <c:v>41171</c:v>
                </c:pt>
                <c:pt idx="937">
                  <c:v>41172</c:v>
                </c:pt>
                <c:pt idx="938">
                  <c:v>41173</c:v>
                </c:pt>
                <c:pt idx="939">
                  <c:v>41176</c:v>
                </c:pt>
                <c:pt idx="940">
                  <c:v>41177</c:v>
                </c:pt>
                <c:pt idx="941">
                  <c:v>41178</c:v>
                </c:pt>
                <c:pt idx="942">
                  <c:v>41179</c:v>
                </c:pt>
                <c:pt idx="943">
                  <c:v>41180</c:v>
                </c:pt>
                <c:pt idx="944">
                  <c:v>41183</c:v>
                </c:pt>
                <c:pt idx="945">
                  <c:v>41184</c:v>
                </c:pt>
                <c:pt idx="946">
                  <c:v>41185</c:v>
                </c:pt>
                <c:pt idx="947">
                  <c:v>41186</c:v>
                </c:pt>
                <c:pt idx="948">
                  <c:v>41187</c:v>
                </c:pt>
                <c:pt idx="949">
                  <c:v>41190</c:v>
                </c:pt>
                <c:pt idx="950">
                  <c:v>41191</c:v>
                </c:pt>
                <c:pt idx="951">
                  <c:v>41192</c:v>
                </c:pt>
                <c:pt idx="952">
                  <c:v>41193</c:v>
                </c:pt>
                <c:pt idx="953">
                  <c:v>41194</c:v>
                </c:pt>
                <c:pt idx="954">
                  <c:v>41197</c:v>
                </c:pt>
                <c:pt idx="955">
                  <c:v>41198</c:v>
                </c:pt>
                <c:pt idx="956">
                  <c:v>41199</c:v>
                </c:pt>
                <c:pt idx="957">
                  <c:v>41200</c:v>
                </c:pt>
                <c:pt idx="958">
                  <c:v>41201</c:v>
                </c:pt>
                <c:pt idx="959">
                  <c:v>41204</c:v>
                </c:pt>
                <c:pt idx="960">
                  <c:v>41205</c:v>
                </c:pt>
                <c:pt idx="961">
                  <c:v>41206</c:v>
                </c:pt>
                <c:pt idx="962">
                  <c:v>41207</c:v>
                </c:pt>
                <c:pt idx="963">
                  <c:v>41208</c:v>
                </c:pt>
                <c:pt idx="964">
                  <c:v>41213</c:v>
                </c:pt>
                <c:pt idx="965">
                  <c:v>41214</c:v>
                </c:pt>
                <c:pt idx="966">
                  <c:v>41215</c:v>
                </c:pt>
                <c:pt idx="967">
                  <c:v>41218</c:v>
                </c:pt>
                <c:pt idx="968">
                  <c:v>41219</c:v>
                </c:pt>
                <c:pt idx="969">
                  <c:v>41220</c:v>
                </c:pt>
                <c:pt idx="970">
                  <c:v>41221</c:v>
                </c:pt>
                <c:pt idx="971">
                  <c:v>41222</c:v>
                </c:pt>
                <c:pt idx="972">
                  <c:v>41225</c:v>
                </c:pt>
                <c:pt idx="973">
                  <c:v>41226</c:v>
                </c:pt>
                <c:pt idx="974">
                  <c:v>41227</c:v>
                </c:pt>
                <c:pt idx="975">
                  <c:v>41228</c:v>
                </c:pt>
                <c:pt idx="976">
                  <c:v>41229</c:v>
                </c:pt>
                <c:pt idx="977">
                  <c:v>41232</c:v>
                </c:pt>
                <c:pt idx="978">
                  <c:v>41233</c:v>
                </c:pt>
                <c:pt idx="979">
                  <c:v>41234</c:v>
                </c:pt>
                <c:pt idx="980">
                  <c:v>41236</c:v>
                </c:pt>
                <c:pt idx="981">
                  <c:v>41239</c:v>
                </c:pt>
                <c:pt idx="982">
                  <c:v>41240</c:v>
                </c:pt>
                <c:pt idx="983">
                  <c:v>41241</c:v>
                </c:pt>
                <c:pt idx="984">
                  <c:v>41242</c:v>
                </c:pt>
                <c:pt idx="985">
                  <c:v>41243</c:v>
                </c:pt>
                <c:pt idx="986">
                  <c:v>41246</c:v>
                </c:pt>
                <c:pt idx="987">
                  <c:v>41247</c:v>
                </c:pt>
                <c:pt idx="988">
                  <c:v>41248</c:v>
                </c:pt>
                <c:pt idx="989">
                  <c:v>41249</c:v>
                </c:pt>
                <c:pt idx="990">
                  <c:v>41250</c:v>
                </c:pt>
                <c:pt idx="991">
                  <c:v>41253</c:v>
                </c:pt>
                <c:pt idx="992">
                  <c:v>41254</c:v>
                </c:pt>
                <c:pt idx="993">
                  <c:v>41255</c:v>
                </c:pt>
                <c:pt idx="994">
                  <c:v>41256</c:v>
                </c:pt>
                <c:pt idx="995">
                  <c:v>41257</c:v>
                </c:pt>
                <c:pt idx="996">
                  <c:v>41260</c:v>
                </c:pt>
                <c:pt idx="997">
                  <c:v>41261</c:v>
                </c:pt>
                <c:pt idx="998">
                  <c:v>41262</c:v>
                </c:pt>
                <c:pt idx="999">
                  <c:v>41263</c:v>
                </c:pt>
                <c:pt idx="1000">
                  <c:v>41264</c:v>
                </c:pt>
                <c:pt idx="1001">
                  <c:v>41267</c:v>
                </c:pt>
                <c:pt idx="1002">
                  <c:v>41269</c:v>
                </c:pt>
                <c:pt idx="1003">
                  <c:v>41270</c:v>
                </c:pt>
                <c:pt idx="1004">
                  <c:v>41271</c:v>
                </c:pt>
                <c:pt idx="1005">
                  <c:v>41274</c:v>
                </c:pt>
                <c:pt idx="1006">
                  <c:v>41276</c:v>
                </c:pt>
                <c:pt idx="1007">
                  <c:v>41277</c:v>
                </c:pt>
                <c:pt idx="1008">
                  <c:v>41278</c:v>
                </c:pt>
                <c:pt idx="1009">
                  <c:v>41281</c:v>
                </c:pt>
                <c:pt idx="1010">
                  <c:v>41282</c:v>
                </c:pt>
                <c:pt idx="1011">
                  <c:v>41283</c:v>
                </c:pt>
                <c:pt idx="1012">
                  <c:v>41284</c:v>
                </c:pt>
                <c:pt idx="1013">
                  <c:v>41285</c:v>
                </c:pt>
                <c:pt idx="1014">
                  <c:v>41288</c:v>
                </c:pt>
                <c:pt idx="1015">
                  <c:v>41289</c:v>
                </c:pt>
                <c:pt idx="1016">
                  <c:v>41290</c:v>
                </c:pt>
                <c:pt idx="1017">
                  <c:v>41291</c:v>
                </c:pt>
                <c:pt idx="1018">
                  <c:v>41292</c:v>
                </c:pt>
                <c:pt idx="1019">
                  <c:v>41296</c:v>
                </c:pt>
                <c:pt idx="1020">
                  <c:v>41297</c:v>
                </c:pt>
                <c:pt idx="1021">
                  <c:v>41298</c:v>
                </c:pt>
                <c:pt idx="1022">
                  <c:v>41299</c:v>
                </c:pt>
                <c:pt idx="1023">
                  <c:v>41302</c:v>
                </c:pt>
                <c:pt idx="1024">
                  <c:v>41303</c:v>
                </c:pt>
                <c:pt idx="1025">
                  <c:v>41304</c:v>
                </c:pt>
                <c:pt idx="1026">
                  <c:v>41305</c:v>
                </c:pt>
                <c:pt idx="1027">
                  <c:v>41306</c:v>
                </c:pt>
                <c:pt idx="1028">
                  <c:v>41309</c:v>
                </c:pt>
                <c:pt idx="1029">
                  <c:v>41310</c:v>
                </c:pt>
                <c:pt idx="1030">
                  <c:v>41311</c:v>
                </c:pt>
                <c:pt idx="1031">
                  <c:v>41312</c:v>
                </c:pt>
                <c:pt idx="1032">
                  <c:v>41313</c:v>
                </c:pt>
                <c:pt idx="1033">
                  <c:v>41316</c:v>
                </c:pt>
                <c:pt idx="1034">
                  <c:v>41317</c:v>
                </c:pt>
                <c:pt idx="1035">
                  <c:v>41318</c:v>
                </c:pt>
                <c:pt idx="1036">
                  <c:v>41319</c:v>
                </c:pt>
                <c:pt idx="1037">
                  <c:v>41320</c:v>
                </c:pt>
                <c:pt idx="1038">
                  <c:v>41324</c:v>
                </c:pt>
                <c:pt idx="1039">
                  <c:v>41325</c:v>
                </c:pt>
                <c:pt idx="1040">
                  <c:v>41326</c:v>
                </c:pt>
                <c:pt idx="1041">
                  <c:v>41327</c:v>
                </c:pt>
                <c:pt idx="1042">
                  <c:v>41330</c:v>
                </c:pt>
                <c:pt idx="1043">
                  <c:v>41331</c:v>
                </c:pt>
                <c:pt idx="1044">
                  <c:v>41332</c:v>
                </c:pt>
                <c:pt idx="1045">
                  <c:v>41333</c:v>
                </c:pt>
                <c:pt idx="1046">
                  <c:v>41334</c:v>
                </c:pt>
                <c:pt idx="1047">
                  <c:v>41337</c:v>
                </c:pt>
                <c:pt idx="1048">
                  <c:v>41338</c:v>
                </c:pt>
                <c:pt idx="1049">
                  <c:v>41339</c:v>
                </c:pt>
                <c:pt idx="1050">
                  <c:v>41340</c:v>
                </c:pt>
                <c:pt idx="1051">
                  <c:v>41341</c:v>
                </c:pt>
                <c:pt idx="1052">
                  <c:v>41344</c:v>
                </c:pt>
                <c:pt idx="1053">
                  <c:v>41345</c:v>
                </c:pt>
                <c:pt idx="1054">
                  <c:v>41346</c:v>
                </c:pt>
                <c:pt idx="1055">
                  <c:v>41347</c:v>
                </c:pt>
                <c:pt idx="1056">
                  <c:v>41348</c:v>
                </c:pt>
                <c:pt idx="1057">
                  <c:v>41351</c:v>
                </c:pt>
                <c:pt idx="1058">
                  <c:v>41352</c:v>
                </c:pt>
                <c:pt idx="1059">
                  <c:v>41353</c:v>
                </c:pt>
                <c:pt idx="1060">
                  <c:v>41354</c:v>
                </c:pt>
                <c:pt idx="1061">
                  <c:v>41355</c:v>
                </c:pt>
                <c:pt idx="1062">
                  <c:v>41358</c:v>
                </c:pt>
                <c:pt idx="1063">
                  <c:v>41359</c:v>
                </c:pt>
                <c:pt idx="1064">
                  <c:v>41360</c:v>
                </c:pt>
                <c:pt idx="1065">
                  <c:v>41361</c:v>
                </c:pt>
                <c:pt idx="1066">
                  <c:v>41365</c:v>
                </c:pt>
                <c:pt idx="1067">
                  <c:v>41366</c:v>
                </c:pt>
                <c:pt idx="1068">
                  <c:v>41367</c:v>
                </c:pt>
                <c:pt idx="1069">
                  <c:v>41368</c:v>
                </c:pt>
                <c:pt idx="1070">
                  <c:v>41369</c:v>
                </c:pt>
                <c:pt idx="1071">
                  <c:v>41372</c:v>
                </c:pt>
                <c:pt idx="1072">
                  <c:v>41373</c:v>
                </c:pt>
                <c:pt idx="1073">
                  <c:v>41374</c:v>
                </c:pt>
                <c:pt idx="1074">
                  <c:v>41375</c:v>
                </c:pt>
                <c:pt idx="1075">
                  <c:v>41376</c:v>
                </c:pt>
                <c:pt idx="1076">
                  <c:v>41379</c:v>
                </c:pt>
                <c:pt idx="1077">
                  <c:v>41380</c:v>
                </c:pt>
                <c:pt idx="1078">
                  <c:v>41381</c:v>
                </c:pt>
                <c:pt idx="1079">
                  <c:v>41382</c:v>
                </c:pt>
                <c:pt idx="1080">
                  <c:v>41383</c:v>
                </c:pt>
                <c:pt idx="1081">
                  <c:v>41386</c:v>
                </c:pt>
                <c:pt idx="1082">
                  <c:v>41387</c:v>
                </c:pt>
                <c:pt idx="1083">
                  <c:v>41388</c:v>
                </c:pt>
                <c:pt idx="1084">
                  <c:v>41389</c:v>
                </c:pt>
                <c:pt idx="1085">
                  <c:v>41390</c:v>
                </c:pt>
                <c:pt idx="1086">
                  <c:v>41393</c:v>
                </c:pt>
                <c:pt idx="1087">
                  <c:v>41394</c:v>
                </c:pt>
                <c:pt idx="1088">
                  <c:v>41395</c:v>
                </c:pt>
                <c:pt idx="1089">
                  <c:v>41396</c:v>
                </c:pt>
                <c:pt idx="1090">
                  <c:v>41397</c:v>
                </c:pt>
                <c:pt idx="1091">
                  <c:v>41400</c:v>
                </c:pt>
                <c:pt idx="1092">
                  <c:v>41401</c:v>
                </c:pt>
                <c:pt idx="1093">
                  <c:v>41402</c:v>
                </c:pt>
                <c:pt idx="1094">
                  <c:v>41403</c:v>
                </c:pt>
                <c:pt idx="1095">
                  <c:v>41404</c:v>
                </c:pt>
                <c:pt idx="1096">
                  <c:v>41407</c:v>
                </c:pt>
                <c:pt idx="1097">
                  <c:v>41408</c:v>
                </c:pt>
                <c:pt idx="1098">
                  <c:v>41409</c:v>
                </c:pt>
                <c:pt idx="1099">
                  <c:v>41410</c:v>
                </c:pt>
                <c:pt idx="1100">
                  <c:v>41411</c:v>
                </c:pt>
                <c:pt idx="1101">
                  <c:v>41414</c:v>
                </c:pt>
                <c:pt idx="1102">
                  <c:v>41415</c:v>
                </c:pt>
                <c:pt idx="1103">
                  <c:v>41416</c:v>
                </c:pt>
                <c:pt idx="1104">
                  <c:v>41417</c:v>
                </c:pt>
                <c:pt idx="1105">
                  <c:v>41418</c:v>
                </c:pt>
                <c:pt idx="1106">
                  <c:v>41422</c:v>
                </c:pt>
                <c:pt idx="1107">
                  <c:v>41423</c:v>
                </c:pt>
                <c:pt idx="1108">
                  <c:v>41424</c:v>
                </c:pt>
                <c:pt idx="1109">
                  <c:v>41425</c:v>
                </c:pt>
                <c:pt idx="1110">
                  <c:v>41428</c:v>
                </c:pt>
                <c:pt idx="1111">
                  <c:v>41429</c:v>
                </c:pt>
                <c:pt idx="1112">
                  <c:v>41430</c:v>
                </c:pt>
                <c:pt idx="1113">
                  <c:v>41431</c:v>
                </c:pt>
                <c:pt idx="1114">
                  <c:v>41432</c:v>
                </c:pt>
                <c:pt idx="1115">
                  <c:v>41435</c:v>
                </c:pt>
                <c:pt idx="1116">
                  <c:v>41436</c:v>
                </c:pt>
                <c:pt idx="1117">
                  <c:v>41437</c:v>
                </c:pt>
                <c:pt idx="1118">
                  <c:v>41438</c:v>
                </c:pt>
                <c:pt idx="1119">
                  <c:v>41439</c:v>
                </c:pt>
                <c:pt idx="1120">
                  <c:v>41442</c:v>
                </c:pt>
                <c:pt idx="1121">
                  <c:v>41443</c:v>
                </c:pt>
                <c:pt idx="1122">
                  <c:v>41444</c:v>
                </c:pt>
                <c:pt idx="1123">
                  <c:v>41445</c:v>
                </c:pt>
                <c:pt idx="1124">
                  <c:v>41446</c:v>
                </c:pt>
                <c:pt idx="1125">
                  <c:v>41449</c:v>
                </c:pt>
                <c:pt idx="1126">
                  <c:v>41450</c:v>
                </c:pt>
                <c:pt idx="1127">
                  <c:v>41451</c:v>
                </c:pt>
                <c:pt idx="1128">
                  <c:v>41452</c:v>
                </c:pt>
                <c:pt idx="1129">
                  <c:v>41453</c:v>
                </c:pt>
                <c:pt idx="1130">
                  <c:v>41456</c:v>
                </c:pt>
                <c:pt idx="1131">
                  <c:v>41457</c:v>
                </c:pt>
                <c:pt idx="1132">
                  <c:v>41458</c:v>
                </c:pt>
                <c:pt idx="1133">
                  <c:v>41460</c:v>
                </c:pt>
                <c:pt idx="1134">
                  <c:v>41463</c:v>
                </c:pt>
                <c:pt idx="1135">
                  <c:v>41464</c:v>
                </c:pt>
                <c:pt idx="1136">
                  <c:v>41465</c:v>
                </c:pt>
                <c:pt idx="1137">
                  <c:v>41466</c:v>
                </c:pt>
                <c:pt idx="1138">
                  <c:v>41467</c:v>
                </c:pt>
                <c:pt idx="1139">
                  <c:v>41470</c:v>
                </c:pt>
                <c:pt idx="1140">
                  <c:v>41471</c:v>
                </c:pt>
                <c:pt idx="1141">
                  <c:v>41472</c:v>
                </c:pt>
                <c:pt idx="1142">
                  <c:v>41473</c:v>
                </c:pt>
                <c:pt idx="1143">
                  <c:v>41474</c:v>
                </c:pt>
                <c:pt idx="1144">
                  <c:v>41477</c:v>
                </c:pt>
                <c:pt idx="1145">
                  <c:v>41478</c:v>
                </c:pt>
                <c:pt idx="1146">
                  <c:v>41479</c:v>
                </c:pt>
                <c:pt idx="1147">
                  <c:v>41480</c:v>
                </c:pt>
                <c:pt idx="1148">
                  <c:v>41481</c:v>
                </c:pt>
                <c:pt idx="1149">
                  <c:v>41484</c:v>
                </c:pt>
                <c:pt idx="1150">
                  <c:v>41485</c:v>
                </c:pt>
                <c:pt idx="1151">
                  <c:v>41486</c:v>
                </c:pt>
                <c:pt idx="1152">
                  <c:v>41487</c:v>
                </c:pt>
                <c:pt idx="1153">
                  <c:v>41488</c:v>
                </c:pt>
                <c:pt idx="1154">
                  <c:v>41491</c:v>
                </c:pt>
                <c:pt idx="1155">
                  <c:v>41492</c:v>
                </c:pt>
                <c:pt idx="1156">
                  <c:v>41493</c:v>
                </c:pt>
                <c:pt idx="1157">
                  <c:v>41494</c:v>
                </c:pt>
                <c:pt idx="1158">
                  <c:v>41495</c:v>
                </c:pt>
                <c:pt idx="1159">
                  <c:v>41498</c:v>
                </c:pt>
                <c:pt idx="1160">
                  <c:v>41499</c:v>
                </c:pt>
                <c:pt idx="1161">
                  <c:v>41500</c:v>
                </c:pt>
                <c:pt idx="1162">
                  <c:v>41501</c:v>
                </c:pt>
                <c:pt idx="1163">
                  <c:v>41502</c:v>
                </c:pt>
                <c:pt idx="1164">
                  <c:v>41505</c:v>
                </c:pt>
                <c:pt idx="1165">
                  <c:v>41506</c:v>
                </c:pt>
                <c:pt idx="1166">
                  <c:v>41507</c:v>
                </c:pt>
                <c:pt idx="1167">
                  <c:v>41508</c:v>
                </c:pt>
                <c:pt idx="1168">
                  <c:v>41509</c:v>
                </c:pt>
                <c:pt idx="1169">
                  <c:v>41512</c:v>
                </c:pt>
                <c:pt idx="1170">
                  <c:v>41513</c:v>
                </c:pt>
                <c:pt idx="1171">
                  <c:v>41514</c:v>
                </c:pt>
                <c:pt idx="1172">
                  <c:v>41515</c:v>
                </c:pt>
                <c:pt idx="1173">
                  <c:v>41516</c:v>
                </c:pt>
                <c:pt idx="1174">
                  <c:v>41520</c:v>
                </c:pt>
                <c:pt idx="1175">
                  <c:v>41521</c:v>
                </c:pt>
                <c:pt idx="1176">
                  <c:v>41522</c:v>
                </c:pt>
                <c:pt idx="1177">
                  <c:v>41523</c:v>
                </c:pt>
                <c:pt idx="1178">
                  <c:v>41526</c:v>
                </c:pt>
                <c:pt idx="1179">
                  <c:v>41527</c:v>
                </c:pt>
                <c:pt idx="1180">
                  <c:v>41528</c:v>
                </c:pt>
                <c:pt idx="1181">
                  <c:v>41529</c:v>
                </c:pt>
                <c:pt idx="1182">
                  <c:v>41530</c:v>
                </c:pt>
                <c:pt idx="1183">
                  <c:v>41533</c:v>
                </c:pt>
                <c:pt idx="1184">
                  <c:v>41534</c:v>
                </c:pt>
                <c:pt idx="1185">
                  <c:v>41535</c:v>
                </c:pt>
                <c:pt idx="1186">
                  <c:v>41536</c:v>
                </c:pt>
                <c:pt idx="1187">
                  <c:v>41537</c:v>
                </c:pt>
                <c:pt idx="1188">
                  <c:v>41540</c:v>
                </c:pt>
                <c:pt idx="1189">
                  <c:v>41541</c:v>
                </c:pt>
                <c:pt idx="1190">
                  <c:v>41542</c:v>
                </c:pt>
                <c:pt idx="1191">
                  <c:v>41543</c:v>
                </c:pt>
                <c:pt idx="1192">
                  <c:v>41544</c:v>
                </c:pt>
                <c:pt idx="1193">
                  <c:v>41547</c:v>
                </c:pt>
                <c:pt idx="1194">
                  <c:v>41548</c:v>
                </c:pt>
                <c:pt idx="1195">
                  <c:v>41549</c:v>
                </c:pt>
                <c:pt idx="1196">
                  <c:v>41550</c:v>
                </c:pt>
                <c:pt idx="1197">
                  <c:v>41551</c:v>
                </c:pt>
                <c:pt idx="1198">
                  <c:v>41554</c:v>
                </c:pt>
                <c:pt idx="1199">
                  <c:v>41555</c:v>
                </c:pt>
                <c:pt idx="1200">
                  <c:v>41556</c:v>
                </c:pt>
                <c:pt idx="1201">
                  <c:v>41557</c:v>
                </c:pt>
                <c:pt idx="1202">
                  <c:v>41558</c:v>
                </c:pt>
                <c:pt idx="1203">
                  <c:v>41561</c:v>
                </c:pt>
                <c:pt idx="1204">
                  <c:v>41562</c:v>
                </c:pt>
                <c:pt idx="1205">
                  <c:v>41563</c:v>
                </c:pt>
                <c:pt idx="1206">
                  <c:v>41564</c:v>
                </c:pt>
                <c:pt idx="1207">
                  <c:v>41565</c:v>
                </c:pt>
                <c:pt idx="1208">
                  <c:v>41568</c:v>
                </c:pt>
                <c:pt idx="1209">
                  <c:v>41569</c:v>
                </c:pt>
                <c:pt idx="1210">
                  <c:v>41570</c:v>
                </c:pt>
                <c:pt idx="1211">
                  <c:v>41571</c:v>
                </c:pt>
                <c:pt idx="1212">
                  <c:v>41572</c:v>
                </c:pt>
                <c:pt idx="1213">
                  <c:v>41575</c:v>
                </c:pt>
                <c:pt idx="1214">
                  <c:v>41576</c:v>
                </c:pt>
                <c:pt idx="1215">
                  <c:v>41577</c:v>
                </c:pt>
                <c:pt idx="1216">
                  <c:v>41578</c:v>
                </c:pt>
                <c:pt idx="1217">
                  <c:v>41579</c:v>
                </c:pt>
                <c:pt idx="1218">
                  <c:v>41582</c:v>
                </c:pt>
                <c:pt idx="1219">
                  <c:v>41583</c:v>
                </c:pt>
                <c:pt idx="1220">
                  <c:v>41584</c:v>
                </c:pt>
                <c:pt idx="1221">
                  <c:v>41585</c:v>
                </c:pt>
                <c:pt idx="1222">
                  <c:v>41586</c:v>
                </c:pt>
                <c:pt idx="1223">
                  <c:v>41589</c:v>
                </c:pt>
                <c:pt idx="1224">
                  <c:v>41590</c:v>
                </c:pt>
                <c:pt idx="1225">
                  <c:v>41591</c:v>
                </c:pt>
                <c:pt idx="1226">
                  <c:v>41592</c:v>
                </c:pt>
                <c:pt idx="1227">
                  <c:v>41593</c:v>
                </c:pt>
                <c:pt idx="1228">
                  <c:v>41596</c:v>
                </c:pt>
                <c:pt idx="1229">
                  <c:v>41597</c:v>
                </c:pt>
                <c:pt idx="1230">
                  <c:v>41598</c:v>
                </c:pt>
                <c:pt idx="1231">
                  <c:v>41599</c:v>
                </c:pt>
                <c:pt idx="1232">
                  <c:v>41600</c:v>
                </c:pt>
                <c:pt idx="1233">
                  <c:v>41603</c:v>
                </c:pt>
                <c:pt idx="1234">
                  <c:v>41604</c:v>
                </c:pt>
                <c:pt idx="1235">
                  <c:v>41605</c:v>
                </c:pt>
                <c:pt idx="1236">
                  <c:v>41607</c:v>
                </c:pt>
                <c:pt idx="1237">
                  <c:v>41610</c:v>
                </c:pt>
                <c:pt idx="1238">
                  <c:v>41611</c:v>
                </c:pt>
                <c:pt idx="1239">
                  <c:v>41612</c:v>
                </c:pt>
                <c:pt idx="1240">
                  <c:v>41613</c:v>
                </c:pt>
                <c:pt idx="1241">
                  <c:v>41614</c:v>
                </c:pt>
                <c:pt idx="1242">
                  <c:v>41617</c:v>
                </c:pt>
                <c:pt idx="1243">
                  <c:v>41618</c:v>
                </c:pt>
                <c:pt idx="1244">
                  <c:v>41619</c:v>
                </c:pt>
                <c:pt idx="1245">
                  <c:v>41620</c:v>
                </c:pt>
                <c:pt idx="1246">
                  <c:v>41621</c:v>
                </c:pt>
                <c:pt idx="1247">
                  <c:v>41624</c:v>
                </c:pt>
                <c:pt idx="1248">
                  <c:v>41625</c:v>
                </c:pt>
                <c:pt idx="1249">
                  <c:v>41626</c:v>
                </c:pt>
                <c:pt idx="1250">
                  <c:v>41627</c:v>
                </c:pt>
                <c:pt idx="1251">
                  <c:v>41628</c:v>
                </c:pt>
                <c:pt idx="1252">
                  <c:v>41631</c:v>
                </c:pt>
                <c:pt idx="1253">
                  <c:v>41632</c:v>
                </c:pt>
                <c:pt idx="1254">
                  <c:v>41634</c:v>
                </c:pt>
                <c:pt idx="1255">
                  <c:v>41635</c:v>
                </c:pt>
                <c:pt idx="1256">
                  <c:v>41638</c:v>
                </c:pt>
                <c:pt idx="1257">
                  <c:v>41639</c:v>
                </c:pt>
              </c:numCache>
            </c:numRef>
          </c:cat>
          <c:val>
            <c:numRef>
              <c:f>List1!$B$3:$B$1260</c:f>
              <c:numCache>
                <c:formatCode>General</c:formatCode>
                <c:ptCount val="1258"/>
                <c:pt idx="0">
                  <c:v>92.960000000000022</c:v>
                </c:pt>
                <c:pt idx="1">
                  <c:v>92.85</c:v>
                </c:pt>
                <c:pt idx="2">
                  <c:v>93.47</c:v>
                </c:pt>
                <c:pt idx="3">
                  <c:v>90.669999999999987</c:v>
                </c:pt>
                <c:pt idx="4">
                  <c:v>91.042000000000002</c:v>
                </c:pt>
                <c:pt idx="5">
                  <c:v>89.09</c:v>
                </c:pt>
                <c:pt idx="6">
                  <c:v>86.95</c:v>
                </c:pt>
                <c:pt idx="7">
                  <c:v>87.11</c:v>
                </c:pt>
                <c:pt idx="8">
                  <c:v>84.36999999999999</c:v>
                </c:pt>
                <c:pt idx="9">
                  <c:v>84.4</c:v>
                </c:pt>
                <c:pt idx="10">
                  <c:v>85.06</c:v>
                </c:pt>
                <c:pt idx="11">
                  <c:v>80.569999999999993</c:v>
                </c:pt>
                <c:pt idx="12">
                  <c:v>84.05</c:v>
                </c:pt>
                <c:pt idx="13">
                  <c:v>82.75</c:v>
                </c:pt>
                <c:pt idx="14">
                  <c:v>83.11</c:v>
                </c:pt>
                <c:pt idx="15">
                  <c:v>83.679999999999978</c:v>
                </c:pt>
                <c:pt idx="16">
                  <c:v>84.53</c:v>
                </c:pt>
                <c:pt idx="17">
                  <c:v>87.39</c:v>
                </c:pt>
                <c:pt idx="18">
                  <c:v>84.55</c:v>
                </c:pt>
                <c:pt idx="19">
                  <c:v>82.83</c:v>
                </c:pt>
                <c:pt idx="20">
                  <c:v>82.58</c:v>
                </c:pt>
                <c:pt idx="21">
                  <c:v>83.740000000000023</c:v>
                </c:pt>
                <c:pt idx="22">
                  <c:v>83.33</c:v>
                </c:pt>
                <c:pt idx="23">
                  <c:v>84.57</c:v>
                </c:pt>
                <c:pt idx="24">
                  <c:v>86.98</c:v>
                </c:pt>
                <c:pt idx="25">
                  <c:v>87.1</c:v>
                </c:pt>
                <c:pt idx="26">
                  <c:v>83.11</c:v>
                </c:pt>
                <c:pt idx="27">
                  <c:v>83.6</c:v>
                </c:pt>
                <c:pt idx="28">
                  <c:v>83.66</c:v>
                </c:pt>
                <c:pt idx="29">
                  <c:v>82.76</c:v>
                </c:pt>
                <c:pt idx="30">
                  <c:v>79.22</c:v>
                </c:pt>
                <c:pt idx="31">
                  <c:v>79.03</c:v>
                </c:pt>
                <c:pt idx="32">
                  <c:v>78.180999999999983</c:v>
                </c:pt>
                <c:pt idx="33">
                  <c:v>77.42</c:v>
                </c:pt>
                <c:pt idx="34">
                  <c:v>74.649999999999991</c:v>
                </c:pt>
                <c:pt idx="35">
                  <c:v>77.48</c:v>
                </c:pt>
                <c:pt idx="36">
                  <c:v>76.871999999999986</c:v>
                </c:pt>
                <c:pt idx="37">
                  <c:v>75.61999999999999</c:v>
                </c:pt>
                <c:pt idx="38">
                  <c:v>73.930000000000007</c:v>
                </c:pt>
                <c:pt idx="39">
                  <c:v>70.599999999999994</c:v>
                </c:pt>
                <c:pt idx="40">
                  <c:v>70.069999999999993</c:v>
                </c:pt>
                <c:pt idx="41">
                  <c:v>71.73</c:v>
                </c:pt>
                <c:pt idx="42">
                  <c:v>68.8</c:v>
                </c:pt>
                <c:pt idx="43">
                  <c:v>68.92</c:v>
                </c:pt>
                <c:pt idx="44">
                  <c:v>68.11</c:v>
                </c:pt>
                <c:pt idx="45">
                  <c:v>72.169999999999987</c:v>
                </c:pt>
                <c:pt idx="46">
                  <c:v>72.64</c:v>
                </c:pt>
                <c:pt idx="47">
                  <c:v>75.5</c:v>
                </c:pt>
                <c:pt idx="48">
                  <c:v>76.09</c:v>
                </c:pt>
                <c:pt idx="49">
                  <c:v>75.86</c:v>
                </c:pt>
                <c:pt idx="50">
                  <c:v>78.179999999999978</c:v>
                </c:pt>
                <c:pt idx="51">
                  <c:v>79.930000000000007</c:v>
                </c:pt>
                <c:pt idx="52">
                  <c:v>78.940000000000026</c:v>
                </c:pt>
                <c:pt idx="53">
                  <c:v>76.709999999999994</c:v>
                </c:pt>
                <c:pt idx="54">
                  <c:v>82.22</c:v>
                </c:pt>
                <c:pt idx="55">
                  <c:v>80.599999999999994</c:v>
                </c:pt>
                <c:pt idx="56">
                  <c:v>81.45</c:v>
                </c:pt>
                <c:pt idx="57">
                  <c:v>83.11</c:v>
                </c:pt>
                <c:pt idx="58">
                  <c:v>81.61</c:v>
                </c:pt>
                <c:pt idx="59">
                  <c:v>78.790000000000006</c:v>
                </c:pt>
                <c:pt idx="60">
                  <c:v>79.52</c:v>
                </c:pt>
                <c:pt idx="61">
                  <c:v>81.06</c:v>
                </c:pt>
                <c:pt idx="62">
                  <c:v>83.43</c:v>
                </c:pt>
                <c:pt idx="63">
                  <c:v>84.26</c:v>
                </c:pt>
                <c:pt idx="64">
                  <c:v>83.6</c:v>
                </c:pt>
                <c:pt idx="65">
                  <c:v>81.649999999999991</c:v>
                </c:pt>
                <c:pt idx="66">
                  <c:v>82.53</c:v>
                </c:pt>
                <c:pt idx="67">
                  <c:v>85.81</c:v>
                </c:pt>
                <c:pt idx="68">
                  <c:v>85.83</c:v>
                </c:pt>
                <c:pt idx="69">
                  <c:v>84.35</c:v>
                </c:pt>
                <c:pt idx="70">
                  <c:v>85.25</c:v>
                </c:pt>
                <c:pt idx="71">
                  <c:v>86.5</c:v>
                </c:pt>
                <c:pt idx="72">
                  <c:v>87.08</c:v>
                </c:pt>
                <c:pt idx="73">
                  <c:v>83.43</c:v>
                </c:pt>
                <c:pt idx="74">
                  <c:v>85.06</c:v>
                </c:pt>
                <c:pt idx="75">
                  <c:v>84.54</c:v>
                </c:pt>
                <c:pt idx="76">
                  <c:v>85.36999999999999</c:v>
                </c:pt>
                <c:pt idx="77">
                  <c:v>86.66</c:v>
                </c:pt>
                <c:pt idx="78">
                  <c:v>85.84</c:v>
                </c:pt>
                <c:pt idx="79">
                  <c:v>85.57</c:v>
                </c:pt>
                <c:pt idx="80">
                  <c:v>87.39</c:v>
                </c:pt>
                <c:pt idx="81">
                  <c:v>87.42</c:v>
                </c:pt>
                <c:pt idx="82">
                  <c:v>87.89</c:v>
                </c:pt>
                <c:pt idx="83">
                  <c:v>90.88</c:v>
                </c:pt>
                <c:pt idx="84">
                  <c:v>90.57</c:v>
                </c:pt>
                <c:pt idx="85">
                  <c:v>92.141000000000005</c:v>
                </c:pt>
                <c:pt idx="86">
                  <c:v>90.86</c:v>
                </c:pt>
                <c:pt idx="87">
                  <c:v>92.98</c:v>
                </c:pt>
                <c:pt idx="88">
                  <c:v>91.240000000000023</c:v>
                </c:pt>
                <c:pt idx="89">
                  <c:v>90.97</c:v>
                </c:pt>
                <c:pt idx="90">
                  <c:v>88.679999999999978</c:v>
                </c:pt>
                <c:pt idx="91">
                  <c:v>89.440000000000026</c:v>
                </c:pt>
                <c:pt idx="92">
                  <c:v>88.710000000000022</c:v>
                </c:pt>
                <c:pt idx="93">
                  <c:v>91.23</c:v>
                </c:pt>
                <c:pt idx="94">
                  <c:v>91.11999999999999</c:v>
                </c:pt>
                <c:pt idx="95">
                  <c:v>90.51</c:v>
                </c:pt>
                <c:pt idx="96">
                  <c:v>89.210000000000022</c:v>
                </c:pt>
                <c:pt idx="97">
                  <c:v>89.02</c:v>
                </c:pt>
                <c:pt idx="98">
                  <c:v>91.3</c:v>
                </c:pt>
                <c:pt idx="99">
                  <c:v>89.669999999999987</c:v>
                </c:pt>
                <c:pt idx="100">
                  <c:v>90.92</c:v>
                </c:pt>
                <c:pt idx="101">
                  <c:v>92.53</c:v>
                </c:pt>
                <c:pt idx="102">
                  <c:v>94.77</c:v>
                </c:pt>
                <c:pt idx="103">
                  <c:v>94.85</c:v>
                </c:pt>
                <c:pt idx="104">
                  <c:v>93.649999999999991</c:v>
                </c:pt>
                <c:pt idx="105">
                  <c:v>94.53</c:v>
                </c:pt>
                <c:pt idx="106">
                  <c:v>94.55</c:v>
                </c:pt>
                <c:pt idx="107">
                  <c:v>94.16</c:v>
                </c:pt>
                <c:pt idx="108">
                  <c:v>94.64</c:v>
                </c:pt>
                <c:pt idx="109">
                  <c:v>94.4</c:v>
                </c:pt>
                <c:pt idx="110">
                  <c:v>94.82</c:v>
                </c:pt>
                <c:pt idx="111">
                  <c:v>95.08</c:v>
                </c:pt>
                <c:pt idx="112">
                  <c:v>92.9</c:v>
                </c:pt>
                <c:pt idx="113">
                  <c:v>91.64</c:v>
                </c:pt>
                <c:pt idx="114">
                  <c:v>91.55</c:v>
                </c:pt>
                <c:pt idx="115">
                  <c:v>92.218999999999994</c:v>
                </c:pt>
                <c:pt idx="116">
                  <c:v>92.04</c:v>
                </c:pt>
                <c:pt idx="117">
                  <c:v>89.28</c:v>
                </c:pt>
                <c:pt idx="118">
                  <c:v>89.35</c:v>
                </c:pt>
                <c:pt idx="119">
                  <c:v>90.117999999999995</c:v>
                </c:pt>
                <c:pt idx="120">
                  <c:v>92.08</c:v>
                </c:pt>
                <c:pt idx="121">
                  <c:v>91.84</c:v>
                </c:pt>
                <c:pt idx="122">
                  <c:v>92.7</c:v>
                </c:pt>
                <c:pt idx="123">
                  <c:v>91.95</c:v>
                </c:pt>
                <c:pt idx="124">
                  <c:v>92.33</c:v>
                </c:pt>
                <c:pt idx="125">
                  <c:v>89.81</c:v>
                </c:pt>
                <c:pt idx="126">
                  <c:v>89.8</c:v>
                </c:pt>
                <c:pt idx="127">
                  <c:v>88.06</c:v>
                </c:pt>
                <c:pt idx="128">
                  <c:v>88</c:v>
                </c:pt>
                <c:pt idx="129">
                  <c:v>88.169999999999987</c:v>
                </c:pt>
                <c:pt idx="130">
                  <c:v>87.960000000000022</c:v>
                </c:pt>
                <c:pt idx="131">
                  <c:v>90.10199999999999</c:v>
                </c:pt>
                <c:pt idx="132">
                  <c:v>90.61</c:v>
                </c:pt>
                <c:pt idx="133">
                  <c:v>93.26</c:v>
                </c:pt>
                <c:pt idx="134">
                  <c:v>94.149999999999991</c:v>
                </c:pt>
                <c:pt idx="135">
                  <c:v>94.13</c:v>
                </c:pt>
                <c:pt idx="136">
                  <c:v>95.131</c:v>
                </c:pt>
                <c:pt idx="137">
                  <c:v>95.57</c:v>
                </c:pt>
                <c:pt idx="138">
                  <c:v>95.55</c:v>
                </c:pt>
                <c:pt idx="139">
                  <c:v>97.661000000000001</c:v>
                </c:pt>
                <c:pt idx="140">
                  <c:v>98.06</c:v>
                </c:pt>
                <c:pt idx="141">
                  <c:v>98.35</c:v>
                </c:pt>
                <c:pt idx="142">
                  <c:v>97.89</c:v>
                </c:pt>
                <c:pt idx="143">
                  <c:v>97.651999999999987</c:v>
                </c:pt>
                <c:pt idx="144">
                  <c:v>98.669999999999987</c:v>
                </c:pt>
                <c:pt idx="145">
                  <c:v>98.81</c:v>
                </c:pt>
                <c:pt idx="146">
                  <c:v>100.44000000000032</c:v>
                </c:pt>
                <c:pt idx="147">
                  <c:v>100.7</c:v>
                </c:pt>
                <c:pt idx="148">
                  <c:v>100.41000000000012</c:v>
                </c:pt>
                <c:pt idx="149">
                  <c:v>99.89</c:v>
                </c:pt>
                <c:pt idx="150">
                  <c:v>101.202</c:v>
                </c:pt>
                <c:pt idx="151">
                  <c:v>100.99000000000002</c:v>
                </c:pt>
                <c:pt idx="152">
                  <c:v>99.73</c:v>
                </c:pt>
                <c:pt idx="153">
                  <c:v>100.8</c:v>
                </c:pt>
                <c:pt idx="154">
                  <c:v>101.57</c:v>
                </c:pt>
                <c:pt idx="155">
                  <c:v>100.79</c:v>
                </c:pt>
                <c:pt idx="156">
                  <c:v>98.31</c:v>
                </c:pt>
                <c:pt idx="157">
                  <c:v>99.09</c:v>
                </c:pt>
                <c:pt idx="158">
                  <c:v>99.960000000000022</c:v>
                </c:pt>
                <c:pt idx="159">
                  <c:v>100.99000000000002</c:v>
                </c:pt>
                <c:pt idx="160">
                  <c:v>102.97</c:v>
                </c:pt>
                <c:pt idx="161">
                  <c:v>102.96000000000002</c:v>
                </c:pt>
                <c:pt idx="162">
                  <c:v>103.16</c:v>
                </c:pt>
                <c:pt idx="163">
                  <c:v>103.16999999999999</c:v>
                </c:pt>
                <c:pt idx="164">
                  <c:v>103.4</c:v>
                </c:pt>
                <c:pt idx="165">
                  <c:v>103.38</c:v>
                </c:pt>
                <c:pt idx="166">
                  <c:v>102.46000000000002</c:v>
                </c:pt>
                <c:pt idx="167">
                  <c:v>100.2</c:v>
                </c:pt>
                <c:pt idx="168">
                  <c:v>99.82</c:v>
                </c:pt>
                <c:pt idx="169">
                  <c:v>100.64999999999999</c:v>
                </c:pt>
                <c:pt idx="170">
                  <c:v>102.06</c:v>
                </c:pt>
                <c:pt idx="171">
                  <c:v>102.94000000000032</c:v>
                </c:pt>
                <c:pt idx="172">
                  <c:v>103.73</c:v>
                </c:pt>
                <c:pt idx="173">
                  <c:v>104.79</c:v>
                </c:pt>
                <c:pt idx="174">
                  <c:v>104.77</c:v>
                </c:pt>
                <c:pt idx="175">
                  <c:v>105.28</c:v>
                </c:pt>
                <c:pt idx="176">
                  <c:v>105.72</c:v>
                </c:pt>
                <c:pt idx="177">
                  <c:v>107.32</c:v>
                </c:pt>
                <c:pt idx="178">
                  <c:v>107.16</c:v>
                </c:pt>
                <c:pt idx="179">
                  <c:v>106.72</c:v>
                </c:pt>
                <c:pt idx="180">
                  <c:v>106.45</c:v>
                </c:pt>
                <c:pt idx="181">
                  <c:v>107.07</c:v>
                </c:pt>
                <c:pt idx="182">
                  <c:v>106.17999999999998</c:v>
                </c:pt>
                <c:pt idx="183">
                  <c:v>105.01</c:v>
                </c:pt>
                <c:pt idx="184">
                  <c:v>104.45</c:v>
                </c:pt>
                <c:pt idx="185">
                  <c:v>106.32</c:v>
                </c:pt>
                <c:pt idx="186">
                  <c:v>106</c:v>
                </c:pt>
                <c:pt idx="187">
                  <c:v>105.59</c:v>
                </c:pt>
                <c:pt idx="188">
                  <c:v>103</c:v>
                </c:pt>
                <c:pt idx="189">
                  <c:v>102.49000000000002</c:v>
                </c:pt>
                <c:pt idx="190">
                  <c:v>104.02</c:v>
                </c:pt>
                <c:pt idx="191">
                  <c:v>105.51</c:v>
                </c:pt>
                <c:pt idx="192">
                  <c:v>105.8</c:v>
                </c:pt>
                <c:pt idx="193">
                  <c:v>106.61</c:v>
                </c:pt>
                <c:pt idx="194">
                  <c:v>107.26</c:v>
                </c:pt>
                <c:pt idx="195">
                  <c:v>107.67999999999998</c:v>
                </c:pt>
                <c:pt idx="196">
                  <c:v>107.46000000000002</c:v>
                </c:pt>
                <c:pt idx="197">
                  <c:v>109.31</c:v>
                </c:pt>
                <c:pt idx="198">
                  <c:v>109.71000000000002</c:v>
                </c:pt>
                <c:pt idx="199">
                  <c:v>108.89</c:v>
                </c:pt>
                <c:pt idx="200">
                  <c:v>109.79</c:v>
                </c:pt>
                <c:pt idx="201">
                  <c:v>109.21100000000042</c:v>
                </c:pt>
                <c:pt idx="202">
                  <c:v>108.23</c:v>
                </c:pt>
                <c:pt idx="203">
                  <c:v>109.33</c:v>
                </c:pt>
                <c:pt idx="204">
                  <c:v>108.08</c:v>
                </c:pt>
                <c:pt idx="205">
                  <c:v>106.91000000000012</c:v>
                </c:pt>
                <c:pt idx="206">
                  <c:v>106.42</c:v>
                </c:pt>
                <c:pt idx="207">
                  <c:v>104.41000000000012</c:v>
                </c:pt>
                <c:pt idx="208">
                  <c:v>106.64999999999999</c:v>
                </c:pt>
                <c:pt idx="209">
                  <c:v>103.56</c:v>
                </c:pt>
                <c:pt idx="210">
                  <c:v>104.32</c:v>
                </c:pt>
                <c:pt idx="211">
                  <c:v>104.64999999999999</c:v>
                </c:pt>
                <c:pt idx="212">
                  <c:v>104.92</c:v>
                </c:pt>
                <c:pt idx="213">
                  <c:v>106.8501</c:v>
                </c:pt>
                <c:pt idx="214">
                  <c:v>107.13</c:v>
                </c:pt>
                <c:pt idx="215">
                  <c:v>109.57</c:v>
                </c:pt>
                <c:pt idx="216">
                  <c:v>109.59</c:v>
                </c:pt>
                <c:pt idx="217">
                  <c:v>110.14999999999999</c:v>
                </c:pt>
                <c:pt idx="218">
                  <c:v>109.03</c:v>
                </c:pt>
                <c:pt idx="219">
                  <c:v>109.61999999999999</c:v>
                </c:pt>
                <c:pt idx="220">
                  <c:v>111.21000000000002</c:v>
                </c:pt>
                <c:pt idx="221">
                  <c:v>111.339</c:v>
                </c:pt>
                <c:pt idx="222">
                  <c:v>111.27</c:v>
                </c:pt>
                <c:pt idx="223">
                  <c:v>109.82</c:v>
                </c:pt>
                <c:pt idx="224">
                  <c:v>109.43</c:v>
                </c:pt>
                <c:pt idx="225">
                  <c:v>110.82</c:v>
                </c:pt>
                <c:pt idx="226">
                  <c:v>110.99000000000002</c:v>
                </c:pt>
                <c:pt idx="227">
                  <c:v>111.38</c:v>
                </c:pt>
                <c:pt idx="228">
                  <c:v>109.57</c:v>
                </c:pt>
                <c:pt idx="229">
                  <c:v>109.94000000000032</c:v>
                </c:pt>
                <c:pt idx="230">
                  <c:v>111.3</c:v>
                </c:pt>
                <c:pt idx="231">
                  <c:v>111.25</c:v>
                </c:pt>
                <c:pt idx="232">
                  <c:v>110.38</c:v>
                </c:pt>
                <c:pt idx="233">
                  <c:v>111.01</c:v>
                </c:pt>
                <c:pt idx="234">
                  <c:v>110.84</c:v>
                </c:pt>
                <c:pt idx="235">
                  <c:v>109.61</c:v>
                </c:pt>
                <c:pt idx="236">
                  <c:v>110.021</c:v>
                </c:pt>
                <c:pt idx="237">
                  <c:v>110.64</c:v>
                </c:pt>
                <c:pt idx="238">
                  <c:v>111.11</c:v>
                </c:pt>
                <c:pt idx="239">
                  <c:v>111.86999999999999</c:v>
                </c:pt>
                <c:pt idx="240">
                  <c:v>111.35</c:v>
                </c:pt>
                <c:pt idx="241">
                  <c:v>111.52</c:v>
                </c:pt>
                <c:pt idx="242">
                  <c:v>110.17999999999998</c:v>
                </c:pt>
                <c:pt idx="243">
                  <c:v>110.21000000000002</c:v>
                </c:pt>
                <c:pt idx="244">
                  <c:v>111.33</c:v>
                </c:pt>
                <c:pt idx="245">
                  <c:v>111.73</c:v>
                </c:pt>
                <c:pt idx="246">
                  <c:v>111.95</c:v>
                </c:pt>
                <c:pt idx="247">
                  <c:v>112.48</c:v>
                </c:pt>
                <c:pt idx="248">
                  <c:v>112.72</c:v>
                </c:pt>
                <c:pt idx="249">
                  <c:v>112.562</c:v>
                </c:pt>
                <c:pt idx="250">
                  <c:v>112.52</c:v>
                </c:pt>
                <c:pt idx="251">
                  <c:v>111.44000000000032</c:v>
                </c:pt>
                <c:pt idx="252">
                  <c:v>113.33</c:v>
                </c:pt>
                <c:pt idx="253">
                  <c:v>113.63</c:v>
                </c:pt>
                <c:pt idx="254">
                  <c:v>113.71000000000002</c:v>
                </c:pt>
                <c:pt idx="255">
                  <c:v>114.19</c:v>
                </c:pt>
                <c:pt idx="256">
                  <c:v>114.57</c:v>
                </c:pt>
                <c:pt idx="257">
                  <c:v>114.73</c:v>
                </c:pt>
                <c:pt idx="258">
                  <c:v>113.66</c:v>
                </c:pt>
                <c:pt idx="259">
                  <c:v>114.61999999999999</c:v>
                </c:pt>
                <c:pt idx="260">
                  <c:v>114.93</c:v>
                </c:pt>
                <c:pt idx="261">
                  <c:v>113.64</c:v>
                </c:pt>
                <c:pt idx="262">
                  <c:v>115.06</c:v>
                </c:pt>
                <c:pt idx="263">
                  <c:v>113.89</c:v>
                </c:pt>
                <c:pt idx="264">
                  <c:v>111.7</c:v>
                </c:pt>
                <c:pt idx="265">
                  <c:v>109.21000000000002</c:v>
                </c:pt>
                <c:pt idx="266">
                  <c:v>109.77</c:v>
                </c:pt>
                <c:pt idx="267">
                  <c:v>109.31</c:v>
                </c:pt>
                <c:pt idx="268">
                  <c:v>109.83</c:v>
                </c:pt>
                <c:pt idx="269">
                  <c:v>108.57</c:v>
                </c:pt>
                <c:pt idx="270">
                  <c:v>107.39</c:v>
                </c:pt>
                <c:pt idx="271">
                  <c:v>109.06</c:v>
                </c:pt>
                <c:pt idx="272">
                  <c:v>110.38</c:v>
                </c:pt>
                <c:pt idx="273">
                  <c:v>109.83</c:v>
                </c:pt>
                <c:pt idx="274">
                  <c:v>106.44000000000032</c:v>
                </c:pt>
                <c:pt idx="275">
                  <c:v>106.66</c:v>
                </c:pt>
                <c:pt idx="276">
                  <c:v>105.89</c:v>
                </c:pt>
                <c:pt idx="277">
                  <c:v>107.22</c:v>
                </c:pt>
                <c:pt idx="278">
                  <c:v>107.01</c:v>
                </c:pt>
                <c:pt idx="279">
                  <c:v>108.13</c:v>
                </c:pt>
                <c:pt idx="280">
                  <c:v>108.04</c:v>
                </c:pt>
                <c:pt idx="281">
                  <c:v>109.74000000000002</c:v>
                </c:pt>
                <c:pt idx="282">
                  <c:v>110.26</c:v>
                </c:pt>
                <c:pt idx="283">
                  <c:v>110.91000000000012</c:v>
                </c:pt>
                <c:pt idx="284">
                  <c:v>111.14</c:v>
                </c:pt>
                <c:pt idx="285">
                  <c:v>111.16</c:v>
                </c:pt>
                <c:pt idx="286">
                  <c:v>109.81</c:v>
                </c:pt>
                <c:pt idx="287">
                  <c:v>110.82</c:v>
                </c:pt>
                <c:pt idx="288">
                  <c:v>110.66999999999999</c:v>
                </c:pt>
                <c:pt idx="289">
                  <c:v>110.74000000000002</c:v>
                </c:pt>
                <c:pt idx="290">
                  <c:v>111.89</c:v>
                </c:pt>
                <c:pt idx="291">
                  <c:v>112.2</c:v>
                </c:pt>
                <c:pt idx="292">
                  <c:v>112.3</c:v>
                </c:pt>
                <c:pt idx="293">
                  <c:v>112.64100000000002</c:v>
                </c:pt>
                <c:pt idx="294">
                  <c:v>114.25</c:v>
                </c:pt>
                <c:pt idx="295">
                  <c:v>114.27</c:v>
                </c:pt>
                <c:pt idx="296">
                  <c:v>114.46000000000002</c:v>
                </c:pt>
                <c:pt idx="297">
                  <c:v>114.97</c:v>
                </c:pt>
                <c:pt idx="298">
                  <c:v>115.45</c:v>
                </c:pt>
                <c:pt idx="299">
                  <c:v>115.46000000000002</c:v>
                </c:pt>
                <c:pt idx="300">
                  <c:v>115.49000000000002</c:v>
                </c:pt>
                <c:pt idx="301">
                  <c:v>116.41000000000012</c:v>
                </c:pt>
                <c:pt idx="302">
                  <c:v>117.1</c:v>
                </c:pt>
                <c:pt idx="303">
                  <c:v>117.03749999999999</c:v>
                </c:pt>
                <c:pt idx="304">
                  <c:v>115.97</c:v>
                </c:pt>
                <c:pt idx="305">
                  <c:v>116.5925</c:v>
                </c:pt>
                <c:pt idx="306">
                  <c:v>117.41000000000012</c:v>
                </c:pt>
                <c:pt idx="307">
                  <c:v>116.84</c:v>
                </c:pt>
                <c:pt idx="308">
                  <c:v>116.64999999999999</c:v>
                </c:pt>
                <c:pt idx="309">
                  <c:v>116.58199999999999</c:v>
                </c:pt>
                <c:pt idx="310">
                  <c:v>117.32</c:v>
                </c:pt>
                <c:pt idx="311">
                  <c:v>117.4</c:v>
                </c:pt>
                <c:pt idx="312">
                  <c:v>117</c:v>
                </c:pt>
                <c:pt idx="313">
                  <c:v>117.8</c:v>
                </c:pt>
                <c:pt idx="314">
                  <c:v>118.76</c:v>
                </c:pt>
                <c:pt idx="315">
                  <c:v>119.04</c:v>
                </c:pt>
                <c:pt idx="316">
                  <c:v>118.36</c:v>
                </c:pt>
                <c:pt idx="317">
                  <c:v>118.77249999999998</c:v>
                </c:pt>
                <c:pt idx="318">
                  <c:v>119.55</c:v>
                </c:pt>
                <c:pt idx="319">
                  <c:v>119.74000000000002</c:v>
                </c:pt>
                <c:pt idx="320">
                  <c:v>119.83</c:v>
                </c:pt>
                <c:pt idx="321">
                  <c:v>121.19</c:v>
                </c:pt>
                <c:pt idx="322">
                  <c:v>121.29</c:v>
                </c:pt>
                <c:pt idx="323">
                  <c:v>119.36</c:v>
                </c:pt>
                <c:pt idx="324">
                  <c:v>119.81</c:v>
                </c:pt>
                <c:pt idx="325">
                  <c:v>120.88</c:v>
                </c:pt>
                <c:pt idx="326">
                  <c:v>120.66</c:v>
                </c:pt>
                <c:pt idx="327">
                  <c:v>121.02</c:v>
                </c:pt>
                <c:pt idx="328">
                  <c:v>121.8125</c:v>
                </c:pt>
                <c:pt idx="329">
                  <c:v>121.35</c:v>
                </c:pt>
                <c:pt idx="330">
                  <c:v>118.48</c:v>
                </c:pt>
                <c:pt idx="331">
                  <c:v>119.38</c:v>
                </c:pt>
                <c:pt idx="332">
                  <c:v>120.8575</c:v>
                </c:pt>
                <c:pt idx="333">
                  <c:v>118.8125</c:v>
                </c:pt>
                <c:pt idx="334">
                  <c:v>120.35</c:v>
                </c:pt>
                <c:pt idx="335">
                  <c:v>117.52</c:v>
                </c:pt>
                <c:pt idx="336">
                  <c:v>116.82</c:v>
                </c:pt>
                <c:pt idx="337">
                  <c:v>112.94200000000002</c:v>
                </c:pt>
                <c:pt idx="338">
                  <c:v>111.26</c:v>
                </c:pt>
                <c:pt idx="339">
                  <c:v>116.16</c:v>
                </c:pt>
                <c:pt idx="340">
                  <c:v>115.83</c:v>
                </c:pt>
                <c:pt idx="341">
                  <c:v>117.45</c:v>
                </c:pt>
                <c:pt idx="342">
                  <c:v>115.99000000000002</c:v>
                </c:pt>
                <c:pt idx="343">
                  <c:v>113.89</c:v>
                </c:pt>
                <c:pt idx="344">
                  <c:v>113.95</c:v>
                </c:pt>
                <c:pt idx="345">
                  <c:v>112.4</c:v>
                </c:pt>
                <c:pt idx="346">
                  <c:v>111.76</c:v>
                </c:pt>
                <c:pt idx="347">
                  <c:v>107.54</c:v>
                </c:pt>
                <c:pt idx="348">
                  <c:v>109.11499999999999</c:v>
                </c:pt>
                <c:pt idx="349">
                  <c:v>107.71000000000002</c:v>
                </c:pt>
                <c:pt idx="350">
                  <c:v>107.818</c:v>
                </c:pt>
                <c:pt idx="351">
                  <c:v>107.16999999999999</c:v>
                </c:pt>
                <c:pt idx="352">
                  <c:v>110.76</c:v>
                </c:pt>
                <c:pt idx="353">
                  <c:v>109.369</c:v>
                </c:pt>
                <c:pt idx="354">
                  <c:v>107.53</c:v>
                </c:pt>
                <c:pt idx="355">
                  <c:v>110.33</c:v>
                </c:pt>
                <c:pt idx="356">
                  <c:v>110.71000000000002</c:v>
                </c:pt>
                <c:pt idx="357">
                  <c:v>106.82</c:v>
                </c:pt>
                <c:pt idx="358">
                  <c:v>105.49000000000002</c:v>
                </c:pt>
                <c:pt idx="359">
                  <c:v>106.61999999999999</c:v>
                </c:pt>
                <c:pt idx="360">
                  <c:v>106.05</c:v>
                </c:pt>
                <c:pt idx="361">
                  <c:v>109.14999999999999</c:v>
                </c:pt>
                <c:pt idx="362">
                  <c:v>109.67999999999998</c:v>
                </c:pt>
                <c:pt idx="363">
                  <c:v>109.509</c:v>
                </c:pt>
                <c:pt idx="364">
                  <c:v>112</c:v>
                </c:pt>
                <c:pt idx="365">
                  <c:v>111.96000000000002</c:v>
                </c:pt>
                <c:pt idx="366">
                  <c:v>112.14</c:v>
                </c:pt>
                <c:pt idx="367">
                  <c:v>111.729</c:v>
                </c:pt>
                <c:pt idx="368">
                  <c:v>111.41000000000012</c:v>
                </c:pt>
                <c:pt idx="369">
                  <c:v>109.57</c:v>
                </c:pt>
                <c:pt idx="370">
                  <c:v>109.23</c:v>
                </c:pt>
                <c:pt idx="371">
                  <c:v>107.42</c:v>
                </c:pt>
                <c:pt idx="372">
                  <c:v>107.86750000000002</c:v>
                </c:pt>
                <c:pt idx="373">
                  <c:v>107.53</c:v>
                </c:pt>
                <c:pt idx="374">
                  <c:v>104.21000000000002</c:v>
                </c:pt>
                <c:pt idx="375">
                  <c:v>103.22</c:v>
                </c:pt>
                <c:pt idx="376">
                  <c:v>102.76</c:v>
                </c:pt>
                <c:pt idx="377">
                  <c:v>102.2</c:v>
                </c:pt>
                <c:pt idx="378">
                  <c:v>102.86999999999999</c:v>
                </c:pt>
                <c:pt idx="379">
                  <c:v>106.1075</c:v>
                </c:pt>
                <c:pt idx="380">
                  <c:v>107.16</c:v>
                </c:pt>
                <c:pt idx="381">
                  <c:v>107.96000000000002</c:v>
                </c:pt>
                <c:pt idx="382">
                  <c:v>108.03</c:v>
                </c:pt>
                <c:pt idx="383">
                  <c:v>109.66</c:v>
                </c:pt>
                <c:pt idx="384">
                  <c:v>109.651</c:v>
                </c:pt>
                <c:pt idx="385">
                  <c:v>109.67999999999998</c:v>
                </c:pt>
                <c:pt idx="386">
                  <c:v>106.66</c:v>
                </c:pt>
                <c:pt idx="387">
                  <c:v>107.29</c:v>
                </c:pt>
                <c:pt idx="388">
                  <c:v>108.48</c:v>
                </c:pt>
                <c:pt idx="389">
                  <c:v>107.07</c:v>
                </c:pt>
                <c:pt idx="390">
                  <c:v>109.46100000000042</c:v>
                </c:pt>
                <c:pt idx="391">
                  <c:v>110.41000000000012</c:v>
                </c:pt>
                <c:pt idx="392">
                  <c:v>111.56</c:v>
                </c:pt>
                <c:pt idx="393">
                  <c:v>111.55</c:v>
                </c:pt>
                <c:pt idx="394">
                  <c:v>110.83</c:v>
                </c:pt>
                <c:pt idx="395">
                  <c:v>110.29</c:v>
                </c:pt>
                <c:pt idx="396">
                  <c:v>110.27</c:v>
                </c:pt>
                <c:pt idx="397">
                  <c:v>112.76</c:v>
                </c:pt>
                <c:pt idx="398">
                  <c:v>112.22</c:v>
                </c:pt>
                <c:pt idx="399">
                  <c:v>112.97</c:v>
                </c:pt>
                <c:pt idx="400">
                  <c:v>112.85</c:v>
                </c:pt>
                <c:pt idx="401">
                  <c:v>112.392</c:v>
                </c:pt>
                <c:pt idx="402">
                  <c:v>112.992</c:v>
                </c:pt>
                <c:pt idx="403">
                  <c:v>112.37499999999999</c:v>
                </c:pt>
                <c:pt idx="404">
                  <c:v>109.3</c:v>
                </c:pt>
                <c:pt idx="405">
                  <c:v>108.63</c:v>
                </c:pt>
                <c:pt idx="406">
                  <c:v>108.31</c:v>
                </c:pt>
                <c:pt idx="407">
                  <c:v>108.26</c:v>
                </c:pt>
                <c:pt idx="408">
                  <c:v>109.59</c:v>
                </c:pt>
                <c:pt idx="409">
                  <c:v>109.79</c:v>
                </c:pt>
                <c:pt idx="410">
                  <c:v>107.88</c:v>
                </c:pt>
                <c:pt idx="411">
                  <c:v>107.53</c:v>
                </c:pt>
                <c:pt idx="412">
                  <c:v>107.1236</c:v>
                </c:pt>
                <c:pt idx="413">
                  <c:v>105.53</c:v>
                </c:pt>
                <c:pt idx="414">
                  <c:v>105.94000000000032</c:v>
                </c:pt>
                <c:pt idx="415">
                  <c:v>105.23</c:v>
                </c:pt>
                <c:pt idx="416">
                  <c:v>106.86</c:v>
                </c:pt>
                <c:pt idx="417">
                  <c:v>105.31100000000002</c:v>
                </c:pt>
                <c:pt idx="418">
                  <c:v>105.31</c:v>
                </c:pt>
                <c:pt idx="419">
                  <c:v>108.46000000000002</c:v>
                </c:pt>
                <c:pt idx="420">
                  <c:v>109.47</c:v>
                </c:pt>
                <c:pt idx="421">
                  <c:v>110.89</c:v>
                </c:pt>
                <c:pt idx="422">
                  <c:v>109.64</c:v>
                </c:pt>
                <c:pt idx="423">
                  <c:v>110.41000000000012</c:v>
                </c:pt>
                <c:pt idx="424">
                  <c:v>110.92</c:v>
                </c:pt>
                <c:pt idx="425">
                  <c:v>111.482</c:v>
                </c:pt>
                <c:pt idx="426">
                  <c:v>112.72</c:v>
                </c:pt>
                <c:pt idx="427">
                  <c:v>112.64999999999999</c:v>
                </c:pt>
                <c:pt idx="428">
                  <c:v>113.08</c:v>
                </c:pt>
                <c:pt idx="429">
                  <c:v>113.05</c:v>
                </c:pt>
                <c:pt idx="430">
                  <c:v>112.49000000000002</c:v>
                </c:pt>
                <c:pt idx="431">
                  <c:v>114.21000000000002</c:v>
                </c:pt>
                <c:pt idx="432">
                  <c:v>113.98</c:v>
                </c:pt>
                <c:pt idx="433">
                  <c:v>113.42</c:v>
                </c:pt>
                <c:pt idx="434">
                  <c:v>112.498</c:v>
                </c:pt>
                <c:pt idx="435">
                  <c:v>114.82</c:v>
                </c:pt>
                <c:pt idx="436">
                  <c:v>114.27</c:v>
                </c:pt>
                <c:pt idx="437">
                  <c:v>114.66999999999999</c:v>
                </c:pt>
                <c:pt idx="438">
                  <c:v>114.47</c:v>
                </c:pt>
                <c:pt idx="439">
                  <c:v>114.13</c:v>
                </c:pt>
                <c:pt idx="440">
                  <c:v>114.61</c:v>
                </c:pt>
                <c:pt idx="441">
                  <c:v>113.75</c:v>
                </c:pt>
                <c:pt idx="442">
                  <c:v>116.04</c:v>
                </c:pt>
                <c:pt idx="443">
                  <c:v>116.03</c:v>
                </c:pt>
                <c:pt idx="444">
                  <c:v>115.89</c:v>
                </c:pt>
                <c:pt idx="445">
                  <c:v>116.53749999999999</c:v>
                </c:pt>
                <c:pt idx="446">
                  <c:v>116.64999999999999</c:v>
                </c:pt>
                <c:pt idx="447">
                  <c:v>117.01</c:v>
                </c:pt>
                <c:pt idx="448">
                  <c:v>117.92</c:v>
                </c:pt>
                <c:pt idx="449">
                  <c:v>117.46000000000002</c:v>
                </c:pt>
                <c:pt idx="450">
                  <c:v>117.7</c:v>
                </c:pt>
                <c:pt idx="451">
                  <c:v>118.28</c:v>
                </c:pt>
                <c:pt idx="452">
                  <c:v>116.73</c:v>
                </c:pt>
                <c:pt idx="453">
                  <c:v>117.86999999999999</c:v>
                </c:pt>
                <c:pt idx="454">
                  <c:v>118.13</c:v>
                </c:pt>
                <c:pt idx="455">
                  <c:v>118.34699999999999</c:v>
                </c:pt>
                <c:pt idx="456">
                  <c:v>118.7</c:v>
                </c:pt>
                <c:pt idx="457">
                  <c:v>118.72</c:v>
                </c:pt>
                <c:pt idx="458">
                  <c:v>118.38</c:v>
                </c:pt>
                <c:pt idx="459">
                  <c:v>118.4</c:v>
                </c:pt>
                <c:pt idx="460">
                  <c:v>118.49000000000002</c:v>
                </c:pt>
                <c:pt idx="461">
                  <c:v>118.53</c:v>
                </c:pt>
                <c:pt idx="462">
                  <c:v>119.47499999999999</c:v>
                </c:pt>
                <c:pt idx="463">
                  <c:v>119.95</c:v>
                </c:pt>
                <c:pt idx="464">
                  <c:v>122.26</c:v>
                </c:pt>
                <c:pt idx="465">
                  <c:v>122.72499999999999</c:v>
                </c:pt>
                <c:pt idx="466">
                  <c:v>122.49000000000002</c:v>
                </c:pt>
                <c:pt idx="467">
                  <c:v>121.61</c:v>
                </c:pt>
                <c:pt idx="468">
                  <c:v>122.1</c:v>
                </c:pt>
                <c:pt idx="469">
                  <c:v>121.63500000000001</c:v>
                </c:pt>
                <c:pt idx="470">
                  <c:v>120.19799999999999</c:v>
                </c:pt>
                <c:pt idx="471">
                  <c:v>120.03</c:v>
                </c:pt>
                <c:pt idx="472">
                  <c:v>118.16</c:v>
                </c:pt>
                <c:pt idx="473">
                  <c:v>118.218</c:v>
                </c:pt>
                <c:pt idx="474">
                  <c:v>119.95750000000002</c:v>
                </c:pt>
                <c:pt idx="475">
                  <c:v>120.29</c:v>
                </c:pt>
                <c:pt idx="476">
                  <c:v>120.19</c:v>
                </c:pt>
                <c:pt idx="477">
                  <c:v>118.44750000000083</c:v>
                </c:pt>
                <c:pt idx="478">
                  <c:v>120.2</c:v>
                </c:pt>
                <c:pt idx="479">
                  <c:v>118.8</c:v>
                </c:pt>
                <c:pt idx="480">
                  <c:v>119.16200000000001</c:v>
                </c:pt>
                <c:pt idx="481">
                  <c:v>118.49250000000002</c:v>
                </c:pt>
                <c:pt idx="482">
                  <c:v>121.01</c:v>
                </c:pt>
                <c:pt idx="483">
                  <c:v>122.56</c:v>
                </c:pt>
                <c:pt idx="484">
                  <c:v>122.89</c:v>
                </c:pt>
                <c:pt idx="485">
                  <c:v>122.76</c:v>
                </c:pt>
                <c:pt idx="486">
                  <c:v>122.83</c:v>
                </c:pt>
                <c:pt idx="487">
                  <c:v>123.28</c:v>
                </c:pt>
                <c:pt idx="488">
                  <c:v>123.76</c:v>
                </c:pt>
                <c:pt idx="489">
                  <c:v>124.48</c:v>
                </c:pt>
                <c:pt idx="490">
                  <c:v>124.56</c:v>
                </c:pt>
                <c:pt idx="491">
                  <c:v>124.66999999999999</c:v>
                </c:pt>
                <c:pt idx="492">
                  <c:v>124.098</c:v>
                </c:pt>
                <c:pt idx="493">
                  <c:v>124.82</c:v>
                </c:pt>
                <c:pt idx="494">
                  <c:v>124.3</c:v>
                </c:pt>
                <c:pt idx="495">
                  <c:v>124.6</c:v>
                </c:pt>
                <c:pt idx="496">
                  <c:v>125.39</c:v>
                </c:pt>
                <c:pt idx="497">
                  <c:v>125.78</c:v>
                </c:pt>
                <c:pt idx="498">
                  <c:v>125.6</c:v>
                </c:pt>
                <c:pt idx="499">
                  <c:v>125.64999999999999</c:v>
                </c:pt>
                <c:pt idx="500">
                  <c:v>125.83</c:v>
                </c:pt>
                <c:pt idx="501">
                  <c:v>125.92</c:v>
                </c:pt>
                <c:pt idx="502">
                  <c:v>125.72</c:v>
                </c:pt>
                <c:pt idx="503">
                  <c:v>125.75</c:v>
                </c:pt>
                <c:pt idx="504">
                  <c:v>127.05</c:v>
                </c:pt>
                <c:pt idx="505">
                  <c:v>126.98</c:v>
                </c:pt>
                <c:pt idx="506">
                  <c:v>127.64</c:v>
                </c:pt>
                <c:pt idx="507">
                  <c:v>127.39</c:v>
                </c:pt>
                <c:pt idx="508">
                  <c:v>127.14</c:v>
                </c:pt>
                <c:pt idx="509">
                  <c:v>126.98</c:v>
                </c:pt>
                <c:pt idx="510">
                  <c:v>127.43</c:v>
                </c:pt>
                <c:pt idx="511">
                  <c:v>128.58000000000001</c:v>
                </c:pt>
                <c:pt idx="512">
                  <c:v>128.36750000000001</c:v>
                </c:pt>
                <c:pt idx="513">
                  <c:v>129.30000000000001</c:v>
                </c:pt>
                <c:pt idx="514">
                  <c:v>129.52000000000001</c:v>
                </c:pt>
                <c:pt idx="515">
                  <c:v>128.25</c:v>
                </c:pt>
                <c:pt idx="516">
                  <c:v>128.08000000000001</c:v>
                </c:pt>
                <c:pt idx="517">
                  <c:v>128.37</c:v>
                </c:pt>
                <c:pt idx="518">
                  <c:v>129.1</c:v>
                </c:pt>
                <c:pt idx="519">
                  <c:v>129.16999999999999</c:v>
                </c:pt>
                <c:pt idx="520">
                  <c:v>129.66999999999999</c:v>
                </c:pt>
                <c:pt idx="521">
                  <c:v>129.99</c:v>
                </c:pt>
                <c:pt idx="522">
                  <c:v>127.72</c:v>
                </c:pt>
                <c:pt idx="523">
                  <c:v>128.68</c:v>
                </c:pt>
                <c:pt idx="524">
                  <c:v>130.73999999999998</c:v>
                </c:pt>
                <c:pt idx="525">
                  <c:v>130.48500000000001</c:v>
                </c:pt>
                <c:pt idx="526">
                  <c:v>130.78</c:v>
                </c:pt>
                <c:pt idx="527">
                  <c:v>131.15</c:v>
                </c:pt>
                <c:pt idx="528">
                  <c:v>131.97</c:v>
                </c:pt>
                <c:pt idx="529">
                  <c:v>132.57</c:v>
                </c:pt>
                <c:pt idx="530">
                  <c:v>132.26900000000001</c:v>
                </c:pt>
                <c:pt idx="531">
                  <c:v>132.32100000000136</c:v>
                </c:pt>
                <c:pt idx="532">
                  <c:v>133.10999999999999</c:v>
                </c:pt>
                <c:pt idx="533">
                  <c:v>133.43</c:v>
                </c:pt>
                <c:pt idx="534">
                  <c:v>133.01</c:v>
                </c:pt>
                <c:pt idx="535">
                  <c:v>133.85000000000107</c:v>
                </c:pt>
                <c:pt idx="536">
                  <c:v>134.25</c:v>
                </c:pt>
                <c:pt idx="537">
                  <c:v>134.53</c:v>
                </c:pt>
                <c:pt idx="538">
                  <c:v>131.83000000000001</c:v>
                </c:pt>
                <c:pt idx="539">
                  <c:v>131.02000000000001</c:v>
                </c:pt>
                <c:pt idx="540">
                  <c:v>130.93</c:v>
                </c:pt>
                <c:pt idx="541">
                  <c:v>132.33000000000001</c:v>
                </c:pt>
                <c:pt idx="542">
                  <c:v>133.15</c:v>
                </c:pt>
                <c:pt idx="543">
                  <c:v>130.93</c:v>
                </c:pt>
                <c:pt idx="544">
                  <c:v>131.20999999999998</c:v>
                </c:pt>
                <c:pt idx="545">
                  <c:v>133.47</c:v>
                </c:pt>
                <c:pt idx="546">
                  <c:v>132.47</c:v>
                </c:pt>
                <c:pt idx="547">
                  <c:v>131.43</c:v>
                </c:pt>
                <c:pt idx="548">
                  <c:v>132.58000000000001</c:v>
                </c:pt>
                <c:pt idx="549">
                  <c:v>132.39000000000001</c:v>
                </c:pt>
                <c:pt idx="550">
                  <c:v>129.9375</c:v>
                </c:pt>
                <c:pt idx="551">
                  <c:v>130.84</c:v>
                </c:pt>
                <c:pt idx="552">
                  <c:v>130.05000000000001</c:v>
                </c:pt>
                <c:pt idx="553">
                  <c:v>128.56</c:v>
                </c:pt>
                <c:pt idx="554">
                  <c:v>126.17499999999998</c:v>
                </c:pt>
                <c:pt idx="555">
                  <c:v>127.85</c:v>
                </c:pt>
                <c:pt idx="556">
                  <c:v>127.76</c:v>
                </c:pt>
                <c:pt idx="557">
                  <c:v>129.73999999999998</c:v>
                </c:pt>
                <c:pt idx="558">
                  <c:v>129.29</c:v>
                </c:pt>
                <c:pt idx="559">
                  <c:v>129.66</c:v>
                </c:pt>
                <c:pt idx="560">
                  <c:v>130.9</c:v>
                </c:pt>
                <c:pt idx="561">
                  <c:v>131.30000000000001</c:v>
                </c:pt>
                <c:pt idx="562">
                  <c:v>130.97999999999999</c:v>
                </c:pt>
                <c:pt idx="563">
                  <c:v>131.86000000000001</c:v>
                </c:pt>
                <c:pt idx="564">
                  <c:v>132.76999999999998</c:v>
                </c:pt>
                <c:pt idx="565">
                  <c:v>132.59</c:v>
                </c:pt>
                <c:pt idx="566">
                  <c:v>133.15</c:v>
                </c:pt>
                <c:pt idx="567">
                  <c:v>133.26</c:v>
                </c:pt>
                <c:pt idx="568">
                  <c:v>133.23999999999998</c:v>
                </c:pt>
                <c:pt idx="569">
                  <c:v>133.66</c:v>
                </c:pt>
                <c:pt idx="570">
                  <c:v>133.32000000000087</c:v>
                </c:pt>
                <c:pt idx="571">
                  <c:v>132.86000000000001</c:v>
                </c:pt>
                <c:pt idx="572">
                  <c:v>132.46</c:v>
                </c:pt>
                <c:pt idx="573">
                  <c:v>131.47</c:v>
                </c:pt>
                <c:pt idx="574">
                  <c:v>131.46</c:v>
                </c:pt>
                <c:pt idx="575">
                  <c:v>131.56</c:v>
                </c:pt>
                <c:pt idx="576">
                  <c:v>132.04</c:v>
                </c:pt>
                <c:pt idx="577">
                  <c:v>130.56</c:v>
                </c:pt>
                <c:pt idx="578">
                  <c:v>131.31</c:v>
                </c:pt>
                <c:pt idx="579">
                  <c:v>133.1</c:v>
                </c:pt>
                <c:pt idx="580">
                  <c:v>133.78</c:v>
                </c:pt>
                <c:pt idx="581">
                  <c:v>133.63999999999999</c:v>
                </c:pt>
                <c:pt idx="582">
                  <c:v>134.791</c:v>
                </c:pt>
                <c:pt idx="583">
                  <c:v>135.66999999999999</c:v>
                </c:pt>
                <c:pt idx="584">
                  <c:v>136.10999999999999</c:v>
                </c:pt>
                <c:pt idx="585">
                  <c:v>136.43</c:v>
                </c:pt>
                <c:pt idx="586">
                  <c:v>136.22</c:v>
                </c:pt>
                <c:pt idx="587">
                  <c:v>135.72999999999999</c:v>
                </c:pt>
                <c:pt idx="588">
                  <c:v>134.83000000000001</c:v>
                </c:pt>
                <c:pt idx="589">
                  <c:v>133.60999999999999</c:v>
                </c:pt>
                <c:pt idx="590">
                  <c:v>134.19999999999999</c:v>
                </c:pt>
                <c:pt idx="591">
                  <c:v>134.72</c:v>
                </c:pt>
                <c:pt idx="592">
                  <c:v>135.87</c:v>
                </c:pt>
                <c:pt idx="593">
                  <c:v>134.44</c:v>
                </c:pt>
                <c:pt idx="594">
                  <c:v>135.08000000000001</c:v>
                </c:pt>
                <c:pt idx="595">
                  <c:v>134.04</c:v>
                </c:pt>
                <c:pt idx="596">
                  <c:v>133.19</c:v>
                </c:pt>
                <c:pt idx="597">
                  <c:v>133.16999999999999</c:v>
                </c:pt>
                <c:pt idx="598">
                  <c:v>134.36000000000001</c:v>
                </c:pt>
                <c:pt idx="599">
                  <c:v>134.68</c:v>
                </c:pt>
                <c:pt idx="600">
                  <c:v>133.60999999999999</c:v>
                </c:pt>
                <c:pt idx="601">
                  <c:v>132.06</c:v>
                </c:pt>
                <c:pt idx="602">
                  <c:v>131.94999999999999</c:v>
                </c:pt>
                <c:pt idx="603">
                  <c:v>132.39000000000001</c:v>
                </c:pt>
                <c:pt idx="604">
                  <c:v>133</c:v>
                </c:pt>
                <c:pt idx="605">
                  <c:v>133.51</c:v>
                </c:pt>
                <c:pt idx="606">
                  <c:v>134.9</c:v>
                </c:pt>
                <c:pt idx="607">
                  <c:v>131.87</c:v>
                </c:pt>
                <c:pt idx="608">
                  <c:v>131.72999999999999</c:v>
                </c:pt>
                <c:pt idx="609">
                  <c:v>130.41999999999999</c:v>
                </c:pt>
                <c:pt idx="610">
                  <c:v>129.04499999999999</c:v>
                </c:pt>
                <c:pt idx="611">
                  <c:v>128.96</c:v>
                </c:pt>
                <c:pt idx="612">
                  <c:v>128.41999999999999</c:v>
                </c:pt>
                <c:pt idx="613">
                  <c:v>129.4</c:v>
                </c:pt>
                <c:pt idx="614">
                  <c:v>127.6</c:v>
                </c:pt>
                <c:pt idx="615">
                  <c:v>127.7</c:v>
                </c:pt>
                <c:pt idx="616">
                  <c:v>129.32000000000087</c:v>
                </c:pt>
                <c:pt idx="617">
                  <c:v>127.02</c:v>
                </c:pt>
                <c:pt idx="618">
                  <c:v>127.3</c:v>
                </c:pt>
                <c:pt idx="619">
                  <c:v>127.05</c:v>
                </c:pt>
                <c:pt idx="620">
                  <c:v>127.7</c:v>
                </c:pt>
                <c:pt idx="621">
                  <c:v>129.44999999999999</c:v>
                </c:pt>
                <c:pt idx="622">
                  <c:v>128.66999999999999</c:v>
                </c:pt>
                <c:pt idx="623">
                  <c:v>128.30100000000004</c:v>
                </c:pt>
                <c:pt idx="624">
                  <c:v>126.81</c:v>
                </c:pt>
                <c:pt idx="625">
                  <c:v>127.94000000000032</c:v>
                </c:pt>
                <c:pt idx="626">
                  <c:v>129.60999999999999</c:v>
                </c:pt>
                <c:pt idx="627">
                  <c:v>130.72</c:v>
                </c:pt>
                <c:pt idx="628">
                  <c:v>131.97</c:v>
                </c:pt>
                <c:pt idx="629">
                  <c:v>133.91999999999999</c:v>
                </c:pt>
                <c:pt idx="630">
                  <c:v>133.81</c:v>
                </c:pt>
                <c:pt idx="631">
                  <c:v>133.97</c:v>
                </c:pt>
                <c:pt idx="632">
                  <c:v>135.36000000000001</c:v>
                </c:pt>
                <c:pt idx="633">
                  <c:v>134.4</c:v>
                </c:pt>
                <c:pt idx="634">
                  <c:v>131.97</c:v>
                </c:pt>
                <c:pt idx="635">
                  <c:v>131.4</c:v>
                </c:pt>
                <c:pt idx="636">
                  <c:v>131.84</c:v>
                </c:pt>
                <c:pt idx="637">
                  <c:v>130.93</c:v>
                </c:pt>
                <c:pt idx="638">
                  <c:v>131.69</c:v>
                </c:pt>
                <c:pt idx="639">
                  <c:v>130.60999999999999</c:v>
                </c:pt>
                <c:pt idx="640">
                  <c:v>132.72999999999999</c:v>
                </c:pt>
                <c:pt idx="641">
                  <c:v>132.65</c:v>
                </c:pt>
                <c:pt idx="642">
                  <c:v>134.49</c:v>
                </c:pt>
                <c:pt idx="643">
                  <c:v>134.58000000000001</c:v>
                </c:pt>
                <c:pt idx="644">
                  <c:v>133.83000000000001</c:v>
                </c:pt>
                <c:pt idx="645">
                  <c:v>133.33000000000001</c:v>
                </c:pt>
                <c:pt idx="646">
                  <c:v>130.6</c:v>
                </c:pt>
                <c:pt idx="647">
                  <c:v>130.22</c:v>
                </c:pt>
                <c:pt idx="648">
                  <c:v>129.33000000000001</c:v>
                </c:pt>
                <c:pt idx="649">
                  <c:v>128.78</c:v>
                </c:pt>
                <c:pt idx="650">
                  <c:v>125.49000000000002</c:v>
                </c:pt>
                <c:pt idx="651">
                  <c:v>126.16999999999999</c:v>
                </c:pt>
                <c:pt idx="652">
                  <c:v>120.26</c:v>
                </c:pt>
                <c:pt idx="653">
                  <c:v>120.08</c:v>
                </c:pt>
                <c:pt idx="654">
                  <c:v>112.26</c:v>
                </c:pt>
                <c:pt idx="655">
                  <c:v>117.48</c:v>
                </c:pt>
                <c:pt idx="656">
                  <c:v>112.29</c:v>
                </c:pt>
                <c:pt idx="657">
                  <c:v>117.33</c:v>
                </c:pt>
                <c:pt idx="658">
                  <c:v>118.11999999999999</c:v>
                </c:pt>
                <c:pt idx="659">
                  <c:v>120.61999999999999</c:v>
                </c:pt>
                <c:pt idx="660">
                  <c:v>119.59</c:v>
                </c:pt>
                <c:pt idx="661">
                  <c:v>119.66999999999999</c:v>
                </c:pt>
                <c:pt idx="662">
                  <c:v>114.51</c:v>
                </c:pt>
                <c:pt idx="663">
                  <c:v>112.64</c:v>
                </c:pt>
                <c:pt idx="664">
                  <c:v>112.73</c:v>
                </c:pt>
                <c:pt idx="665">
                  <c:v>116.44000000000032</c:v>
                </c:pt>
                <c:pt idx="666">
                  <c:v>118.08</c:v>
                </c:pt>
                <c:pt idx="667">
                  <c:v>116.28</c:v>
                </c:pt>
                <c:pt idx="668">
                  <c:v>117.97</c:v>
                </c:pt>
                <c:pt idx="669">
                  <c:v>121.36</c:v>
                </c:pt>
                <c:pt idx="670">
                  <c:v>121.67999999999998</c:v>
                </c:pt>
                <c:pt idx="671">
                  <c:v>122.22</c:v>
                </c:pt>
                <c:pt idx="672">
                  <c:v>120.94000000000032</c:v>
                </c:pt>
                <c:pt idx="673">
                  <c:v>117.85</c:v>
                </c:pt>
                <c:pt idx="674">
                  <c:v>116.99000000000002</c:v>
                </c:pt>
                <c:pt idx="675">
                  <c:v>120.29</c:v>
                </c:pt>
                <c:pt idx="676">
                  <c:v>119.04</c:v>
                </c:pt>
                <c:pt idx="677">
                  <c:v>115.92</c:v>
                </c:pt>
                <c:pt idx="678">
                  <c:v>116.66999999999999</c:v>
                </c:pt>
                <c:pt idx="679">
                  <c:v>117.74000000000002</c:v>
                </c:pt>
                <c:pt idx="680">
                  <c:v>119.36999999999999</c:v>
                </c:pt>
                <c:pt idx="681">
                  <c:v>121.43</c:v>
                </c:pt>
                <c:pt idx="682">
                  <c:v>121.521</c:v>
                </c:pt>
                <c:pt idx="683">
                  <c:v>120.31</c:v>
                </c:pt>
                <c:pt idx="684">
                  <c:v>120.16999999999999</c:v>
                </c:pt>
                <c:pt idx="685">
                  <c:v>116.63</c:v>
                </c:pt>
                <c:pt idx="686">
                  <c:v>112.86</c:v>
                </c:pt>
                <c:pt idx="687">
                  <c:v>113.54</c:v>
                </c:pt>
                <c:pt idx="688">
                  <c:v>116.24000000000002</c:v>
                </c:pt>
                <c:pt idx="689">
                  <c:v>117.54</c:v>
                </c:pt>
                <c:pt idx="690">
                  <c:v>115.145</c:v>
                </c:pt>
                <c:pt idx="691">
                  <c:v>116.05</c:v>
                </c:pt>
                <c:pt idx="692">
                  <c:v>113.14999999999999</c:v>
                </c:pt>
                <c:pt idx="693">
                  <c:v>109.93</c:v>
                </c:pt>
                <c:pt idx="694">
                  <c:v>112.34</c:v>
                </c:pt>
                <c:pt idx="695">
                  <c:v>114.42</c:v>
                </c:pt>
                <c:pt idx="696">
                  <c:v>116.49000000000002</c:v>
                </c:pt>
                <c:pt idx="697">
                  <c:v>115.71000000000002</c:v>
                </c:pt>
                <c:pt idx="698">
                  <c:v>119.58</c:v>
                </c:pt>
                <c:pt idx="699">
                  <c:v>119.7</c:v>
                </c:pt>
                <c:pt idx="700">
                  <c:v>120.75</c:v>
                </c:pt>
                <c:pt idx="701">
                  <c:v>120.51</c:v>
                </c:pt>
                <c:pt idx="702">
                  <c:v>122.57</c:v>
                </c:pt>
                <c:pt idx="703">
                  <c:v>120.23</c:v>
                </c:pt>
                <c:pt idx="704">
                  <c:v>122.58</c:v>
                </c:pt>
                <c:pt idx="705">
                  <c:v>121.13</c:v>
                </c:pt>
                <c:pt idx="706">
                  <c:v>121.66</c:v>
                </c:pt>
                <c:pt idx="707">
                  <c:v>123.97</c:v>
                </c:pt>
                <c:pt idx="708">
                  <c:v>125.49000000000002</c:v>
                </c:pt>
                <c:pt idx="709">
                  <c:v>123.04900000000002</c:v>
                </c:pt>
                <c:pt idx="710">
                  <c:v>124.3</c:v>
                </c:pt>
                <c:pt idx="711">
                  <c:v>128.63</c:v>
                </c:pt>
                <c:pt idx="712">
                  <c:v>128.6</c:v>
                </c:pt>
                <c:pt idx="713">
                  <c:v>125.5</c:v>
                </c:pt>
                <c:pt idx="714">
                  <c:v>122.002</c:v>
                </c:pt>
                <c:pt idx="715">
                  <c:v>123.99000000000002</c:v>
                </c:pt>
                <c:pt idx="716">
                  <c:v>126.25</c:v>
                </c:pt>
                <c:pt idx="717">
                  <c:v>125.48099999999999</c:v>
                </c:pt>
                <c:pt idx="718">
                  <c:v>126.26</c:v>
                </c:pt>
                <c:pt idx="719">
                  <c:v>127.88</c:v>
                </c:pt>
                <c:pt idx="720">
                  <c:v>123.161</c:v>
                </c:pt>
                <c:pt idx="721">
                  <c:v>124.32</c:v>
                </c:pt>
                <c:pt idx="722">
                  <c:v>126.66</c:v>
                </c:pt>
                <c:pt idx="723">
                  <c:v>125.46000000000002</c:v>
                </c:pt>
                <c:pt idx="724">
                  <c:v>126.083</c:v>
                </c:pt>
                <c:pt idx="725">
                  <c:v>124.08</c:v>
                </c:pt>
                <c:pt idx="726">
                  <c:v>122.10499999999999</c:v>
                </c:pt>
                <c:pt idx="727">
                  <c:v>121.979</c:v>
                </c:pt>
                <c:pt idx="728">
                  <c:v>119.661</c:v>
                </c:pt>
                <c:pt idx="729">
                  <c:v>119.19</c:v>
                </c:pt>
                <c:pt idx="730">
                  <c:v>116.56</c:v>
                </c:pt>
                <c:pt idx="731">
                  <c:v>116.34</c:v>
                </c:pt>
                <c:pt idx="732">
                  <c:v>119.71000000000002</c:v>
                </c:pt>
                <c:pt idx="733">
                  <c:v>120.05</c:v>
                </c:pt>
                <c:pt idx="734">
                  <c:v>124.99000000000002</c:v>
                </c:pt>
                <c:pt idx="735">
                  <c:v>124.97</c:v>
                </c:pt>
                <c:pt idx="736">
                  <c:v>124.86</c:v>
                </c:pt>
                <c:pt idx="737">
                  <c:v>126.22</c:v>
                </c:pt>
                <c:pt idx="738">
                  <c:v>126.26</c:v>
                </c:pt>
                <c:pt idx="739">
                  <c:v>126.73</c:v>
                </c:pt>
                <c:pt idx="740">
                  <c:v>123.95</c:v>
                </c:pt>
                <c:pt idx="741">
                  <c:v>126.05</c:v>
                </c:pt>
                <c:pt idx="742">
                  <c:v>124.21000000000002</c:v>
                </c:pt>
                <c:pt idx="743">
                  <c:v>123.05</c:v>
                </c:pt>
                <c:pt idx="744">
                  <c:v>121.74000000000002</c:v>
                </c:pt>
                <c:pt idx="745">
                  <c:v>122.18499999999999</c:v>
                </c:pt>
                <c:pt idx="746">
                  <c:v>121.59</c:v>
                </c:pt>
                <c:pt idx="747">
                  <c:v>120.29</c:v>
                </c:pt>
                <c:pt idx="748">
                  <c:v>123.93</c:v>
                </c:pt>
                <c:pt idx="749">
                  <c:v>124.16999999999999</c:v>
                </c:pt>
                <c:pt idx="750">
                  <c:v>125.27</c:v>
                </c:pt>
                <c:pt idx="751">
                  <c:v>126.39</c:v>
                </c:pt>
                <c:pt idx="752">
                  <c:v>126.49000000000002</c:v>
                </c:pt>
                <c:pt idx="753">
                  <c:v>124.83</c:v>
                </c:pt>
                <c:pt idx="754">
                  <c:v>126.11999999999999</c:v>
                </c:pt>
                <c:pt idx="755">
                  <c:v>125.5</c:v>
                </c:pt>
                <c:pt idx="756">
                  <c:v>127.495</c:v>
                </c:pt>
                <c:pt idx="757">
                  <c:v>127.7</c:v>
                </c:pt>
                <c:pt idx="758">
                  <c:v>128.04</c:v>
                </c:pt>
                <c:pt idx="759">
                  <c:v>127.71000000000002</c:v>
                </c:pt>
                <c:pt idx="760">
                  <c:v>128.02000000000001</c:v>
                </c:pt>
                <c:pt idx="761">
                  <c:v>129.13</c:v>
                </c:pt>
                <c:pt idx="762">
                  <c:v>129.19999999999999</c:v>
                </c:pt>
                <c:pt idx="763">
                  <c:v>129.51</c:v>
                </c:pt>
                <c:pt idx="764">
                  <c:v>128.84</c:v>
                </c:pt>
                <c:pt idx="765">
                  <c:v>129.34</c:v>
                </c:pt>
                <c:pt idx="766">
                  <c:v>130.76999999999998</c:v>
                </c:pt>
                <c:pt idx="767">
                  <c:v>131.46</c:v>
                </c:pt>
                <c:pt idx="768">
                  <c:v>131.54</c:v>
                </c:pt>
                <c:pt idx="769">
                  <c:v>131.60999999999999</c:v>
                </c:pt>
                <c:pt idx="770">
                  <c:v>131.46</c:v>
                </c:pt>
                <c:pt idx="771">
                  <c:v>132.56</c:v>
                </c:pt>
                <c:pt idx="772">
                  <c:v>131.88000000000127</c:v>
                </c:pt>
                <c:pt idx="773">
                  <c:v>131.82000000000087</c:v>
                </c:pt>
                <c:pt idx="774">
                  <c:v>131.37</c:v>
                </c:pt>
                <c:pt idx="775">
                  <c:v>131.32000000000087</c:v>
                </c:pt>
                <c:pt idx="776">
                  <c:v>132.47</c:v>
                </c:pt>
                <c:pt idx="777">
                  <c:v>132.68</c:v>
                </c:pt>
                <c:pt idx="778">
                  <c:v>134.54</c:v>
                </c:pt>
                <c:pt idx="779">
                  <c:v>134.44999999999999</c:v>
                </c:pt>
                <c:pt idx="780">
                  <c:v>134.79</c:v>
                </c:pt>
                <c:pt idx="781">
                  <c:v>135.19</c:v>
                </c:pt>
                <c:pt idx="782">
                  <c:v>135.36000000000001</c:v>
                </c:pt>
                <c:pt idx="783">
                  <c:v>134.36100000000027</c:v>
                </c:pt>
                <c:pt idx="784">
                  <c:v>135.36000000000001</c:v>
                </c:pt>
                <c:pt idx="785">
                  <c:v>135.19</c:v>
                </c:pt>
                <c:pt idx="786">
                  <c:v>134.56</c:v>
                </c:pt>
                <c:pt idx="787">
                  <c:v>136.04900000000001</c:v>
                </c:pt>
                <c:pt idx="788">
                  <c:v>136.41</c:v>
                </c:pt>
                <c:pt idx="789">
                  <c:v>136.47</c:v>
                </c:pt>
                <c:pt idx="790">
                  <c:v>136.03200000000001</c:v>
                </c:pt>
                <c:pt idx="791">
                  <c:v>136.631</c:v>
                </c:pt>
                <c:pt idx="792">
                  <c:v>136.93</c:v>
                </c:pt>
                <c:pt idx="793">
                  <c:v>137.16</c:v>
                </c:pt>
                <c:pt idx="794">
                  <c:v>137.559</c:v>
                </c:pt>
                <c:pt idx="795">
                  <c:v>137.02000000000001</c:v>
                </c:pt>
                <c:pt idx="796">
                  <c:v>137.72999999999999</c:v>
                </c:pt>
                <c:pt idx="797">
                  <c:v>137.31200000000001</c:v>
                </c:pt>
                <c:pt idx="798">
                  <c:v>136.75</c:v>
                </c:pt>
                <c:pt idx="799">
                  <c:v>134.75</c:v>
                </c:pt>
                <c:pt idx="800">
                  <c:v>135.69</c:v>
                </c:pt>
                <c:pt idx="801">
                  <c:v>137.04</c:v>
                </c:pt>
                <c:pt idx="802">
                  <c:v>137.57</c:v>
                </c:pt>
                <c:pt idx="803">
                  <c:v>137.58000000000001</c:v>
                </c:pt>
                <c:pt idx="804">
                  <c:v>140.06200000000001</c:v>
                </c:pt>
                <c:pt idx="805">
                  <c:v>139.91</c:v>
                </c:pt>
                <c:pt idx="806">
                  <c:v>140.72</c:v>
                </c:pt>
                <c:pt idx="807">
                  <c:v>140.30000000000001</c:v>
                </c:pt>
                <c:pt idx="808">
                  <c:v>140.85000000000107</c:v>
                </c:pt>
                <c:pt idx="809">
                  <c:v>140.44</c:v>
                </c:pt>
                <c:pt idx="810">
                  <c:v>140.20999999999998</c:v>
                </c:pt>
                <c:pt idx="811">
                  <c:v>139.19999999999999</c:v>
                </c:pt>
                <c:pt idx="812">
                  <c:v>139.65</c:v>
                </c:pt>
                <c:pt idx="813">
                  <c:v>141.60999999999999</c:v>
                </c:pt>
                <c:pt idx="814">
                  <c:v>141.16999999999999</c:v>
                </c:pt>
                <c:pt idx="815">
                  <c:v>140.47</c:v>
                </c:pt>
                <c:pt idx="816">
                  <c:v>140.22999999999999</c:v>
                </c:pt>
                <c:pt idx="817">
                  <c:v>140.81</c:v>
                </c:pt>
                <c:pt idx="818">
                  <c:v>141.84</c:v>
                </c:pt>
                <c:pt idx="819">
                  <c:v>141.26</c:v>
                </c:pt>
                <c:pt idx="820">
                  <c:v>139.86000000000001</c:v>
                </c:pt>
                <c:pt idx="821">
                  <c:v>139.79</c:v>
                </c:pt>
                <c:pt idx="822">
                  <c:v>138.22</c:v>
                </c:pt>
                <c:pt idx="823">
                  <c:v>135.9</c:v>
                </c:pt>
                <c:pt idx="824">
                  <c:v>137</c:v>
                </c:pt>
                <c:pt idx="825">
                  <c:v>138.79</c:v>
                </c:pt>
                <c:pt idx="826">
                  <c:v>137.13999999999999</c:v>
                </c:pt>
                <c:pt idx="827">
                  <c:v>137.05000000000001</c:v>
                </c:pt>
                <c:pt idx="828">
                  <c:v>139.08200000000087</c:v>
                </c:pt>
                <c:pt idx="829">
                  <c:v>138.60999999999999</c:v>
                </c:pt>
                <c:pt idx="830">
                  <c:v>137.72</c:v>
                </c:pt>
                <c:pt idx="831">
                  <c:v>137.94999999999999</c:v>
                </c:pt>
                <c:pt idx="832">
                  <c:v>136.79</c:v>
                </c:pt>
                <c:pt idx="833">
                  <c:v>137.31</c:v>
                </c:pt>
                <c:pt idx="834">
                  <c:v>139.19</c:v>
                </c:pt>
                <c:pt idx="835">
                  <c:v>140.16</c:v>
                </c:pt>
                <c:pt idx="836">
                  <c:v>140.39000000000001</c:v>
                </c:pt>
                <c:pt idx="837">
                  <c:v>139.87</c:v>
                </c:pt>
                <c:pt idx="838">
                  <c:v>140.73999999999998</c:v>
                </c:pt>
                <c:pt idx="839">
                  <c:v>140.32500000000007</c:v>
                </c:pt>
                <c:pt idx="840">
                  <c:v>139.25</c:v>
                </c:pt>
                <c:pt idx="841">
                  <c:v>137</c:v>
                </c:pt>
                <c:pt idx="842">
                  <c:v>137.1</c:v>
                </c:pt>
                <c:pt idx="843">
                  <c:v>136.55000000000001</c:v>
                </c:pt>
                <c:pt idx="844">
                  <c:v>135.73999999999998</c:v>
                </c:pt>
                <c:pt idx="845">
                  <c:v>136.02000000000001</c:v>
                </c:pt>
                <c:pt idx="846">
                  <c:v>135.60999999999999</c:v>
                </c:pt>
                <c:pt idx="847">
                  <c:v>134.10999999999999</c:v>
                </c:pt>
                <c:pt idx="848">
                  <c:v>133.34</c:v>
                </c:pt>
                <c:pt idx="849">
                  <c:v>132.82900000000001</c:v>
                </c:pt>
                <c:pt idx="850">
                  <c:v>130.86000000000001</c:v>
                </c:pt>
                <c:pt idx="851">
                  <c:v>129.73999999999998</c:v>
                </c:pt>
                <c:pt idx="852">
                  <c:v>131.97</c:v>
                </c:pt>
                <c:pt idx="853">
                  <c:v>132.19999999999999</c:v>
                </c:pt>
                <c:pt idx="854">
                  <c:v>132.26999999999998</c:v>
                </c:pt>
                <c:pt idx="855">
                  <c:v>132.53</c:v>
                </c:pt>
                <c:pt idx="856">
                  <c:v>132.1</c:v>
                </c:pt>
                <c:pt idx="857">
                  <c:v>133.69999999999999</c:v>
                </c:pt>
                <c:pt idx="858">
                  <c:v>131.76</c:v>
                </c:pt>
                <c:pt idx="859">
                  <c:v>131.47</c:v>
                </c:pt>
                <c:pt idx="860">
                  <c:v>128.16</c:v>
                </c:pt>
                <c:pt idx="861">
                  <c:v>128.1</c:v>
                </c:pt>
                <c:pt idx="862">
                  <c:v>129.07</c:v>
                </c:pt>
                <c:pt idx="863">
                  <c:v>131.97</c:v>
                </c:pt>
                <c:pt idx="864">
                  <c:v>132.05000000000001</c:v>
                </c:pt>
                <c:pt idx="865">
                  <c:v>133.1</c:v>
                </c:pt>
                <c:pt idx="866">
                  <c:v>131.41499999999999</c:v>
                </c:pt>
                <c:pt idx="867">
                  <c:v>132.91999999999999</c:v>
                </c:pt>
                <c:pt idx="868">
                  <c:v>132.07</c:v>
                </c:pt>
                <c:pt idx="869">
                  <c:v>133.47</c:v>
                </c:pt>
                <c:pt idx="870">
                  <c:v>134.13999999999999</c:v>
                </c:pt>
                <c:pt idx="871">
                  <c:v>134.4</c:v>
                </c:pt>
                <c:pt idx="872">
                  <c:v>135.69999999999999</c:v>
                </c:pt>
                <c:pt idx="873">
                  <c:v>135.47999999999999</c:v>
                </c:pt>
                <c:pt idx="874">
                  <c:v>132.44</c:v>
                </c:pt>
                <c:pt idx="875">
                  <c:v>133.46</c:v>
                </c:pt>
                <c:pt idx="876">
                  <c:v>131.32000000000087</c:v>
                </c:pt>
                <c:pt idx="877">
                  <c:v>131.97999999999999</c:v>
                </c:pt>
                <c:pt idx="878">
                  <c:v>133.17299999999997</c:v>
                </c:pt>
                <c:pt idx="879">
                  <c:v>132.79</c:v>
                </c:pt>
                <c:pt idx="880">
                  <c:v>136.10499999999999</c:v>
                </c:pt>
                <c:pt idx="881">
                  <c:v>136.51</c:v>
                </c:pt>
                <c:pt idx="882">
                  <c:v>137.41200000000001</c:v>
                </c:pt>
                <c:pt idx="883">
                  <c:v>136.79</c:v>
                </c:pt>
                <c:pt idx="884">
                  <c:v>135.49</c:v>
                </c:pt>
                <c:pt idx="885">
                  <c:v>135.32000000000087</c:v>
                </c:pt>
                <c:pt idx="886">
                  <c:v>134.13999999999999</c:v>
                </c:pt>
                <c:pt idx="887">
                  <c:v>134.16</c:v>
                </c:pt>
                <c:pt idx="888">
                  <c:v>133.51</c:v>
                </c:pt>
                <c:pt idx="889">
                  <c:v>135.75</c:v>
                </c:pt>
                <c:pt idx="890">
                  <c:v>135.43</c:v>
                </c:pt>
                <c:pt idx="891">
                  <c:v>136.36000000000001</c:v>
                </c:pt>
                <c:pt idx="892">
                  <c:v>137.37</c:v>
                </c:pt>
                <c:pt idx="893">
                  <c:v>137.72999999999999</c:v>
                </c:pt>
                <c:pt idx="894">
                  <c:v>136.47</c:v>
                </c:pt>
                <c:pt idx="895">
                  <c:v>135.09</c:v>
                </c:pt>
                <c:pt idx="896">
                  <c:v>133.92500000000001</c:v>
                </c:pt>
                <c:pt idx="897">
                  <c:v>133.96</c:v>
                </c:pt>
                <c:pt idx="898">
                  <c:v>136.16999999999999</c:v>
                </c:pt>
                <c:pt idx="899">
                  <c:v>138.67499999999998</c:v>
                </c:pt>
                <c:pt idx="900">
                  <c:v>138.68</c:v>
                </c:pt>
                <c:pt idx="901">
                  <c:v>137.70999999999998</c:v>
                </c:pt>
                <c:pt idx="902">
                  <c:v>137.59</c:v>
                </c:pt>
                <c:pt idx="903">
                  <c:v>136.63999999999999</c:v>
                </c:pt>
                <c:pt idx="904">
                  <c:v>139.34900000000002</c:v>
                </c:pt>
                <c:pt idx="905">
                  <c:v>139.62</c:v>
                </c:pt>
                <c:pt idx="906">
                  <c:v>140.32000000000087</c:v>
                </c:pt>
                <c:pt idx="907">
                  <c:v>140.49</c:v>
                </c:pt>
                <c:pt idx="908">
                  <c:v>140.60999999999999</c:v>
                </c:pt>
                <c:pt idx="909">
                  <c:v>140.84</c:v>
                </c:pt>
                <c:pt idx="910">
                  <c:v>140.76999999999998</c:v>
                </c:pt>
                <c:pt idx="911">
                  <c:v>140.79</c:v>
                </c:pt>
                <c:pt idx="912">
                  <c:v>140.94999999999999</c:v>
                </c:pt>
                <c:pt idx="913">
                  <c:v>141.99</c:v>
                </c:pt>
                <c:pt idx="914">
                  <c:v>142.18</c:v>
                </c:pt>
                <c:pt idx="915">
                  <c:v>142.19</c:v>
                </c:pt>
                <c:pt idx="916">
                  <c:v>141.76</c:v>
                </c:pt>
                <c:pt idx="917">
                  <c:v>141.82000000000087</c:v>
                </c:pt>
                <c:pt idx="918">
                  <c:v>140.66499999999999</c:v>
                </c:pt>
                <c:pt idx="919">
                  <c:v>141.51</c:v>
                </c:pt>
                <c:pt idx="920">
                  <c:v>141.54</c:v>
                </c:pt>
                <c:pt idx="921">
                  <c:v>141.4</c:v>
                </c:pt>
                <c:pt idx="922">
                  <c:v>141.51</c:v>
                </c:pt>
                <c:pt idx="923">
                  <c:v>140.49</c:v>
                </c:pt>
                <c:pt idx="924">
                  <c:v>141.16</c:v>
                </c:pt>
                <c:pt idx="925">
                  <c:v>141.03</c:v>
                </c:pt>
                <c:pt idx="926">
                  <c:v>140.91</c:v>
                </c:pt>
                <c:pt idx="927">
                  <c:v>143.76999999999998</c:v>
                </c:pt>
                <c:pt idx="928">
                  <c:v>144.33000000000001</c:v>
                </c:pt>
                <c:pt idx="929">
                  <c:v>143.51</c:v>
                </c:pt>
                <c:pt idx="930">
                  <c:v>143.91</c:v>
                </c:pt>
                <c:pt idx="931">
                  <c:v>144.39000000000001</c:v>
                </c:pt>
                <c:pt idx="932">
                  <c:v>146.59</c:v>
                </c:pt>
                <c:pt idx="933">
                  <c:v>147.23999999999998</c:v>
                </c:pt>
                <c:pt idx="934">
                  <c:v>146.73999999999998</c:v>
                </c:pt>
                <c:pt idx="935">
                  <c:v>146.62</c:v>
                </c:pt>
                <c:pt idx="936">
                  <c:v>146.69999999999999</c:v>
                </c:pt>
                <c:pt idx="937">
                  <c:v>146.70999999999998</c:v>
                </c:pt>
                <c:pt idx="938">
                  <c:v>145.87</c:v>
                </c:pt>
                <c:pt idx="939">
                  <c:v>145.64499999999998</c:v>
                </c:pt>
                <c:pt idx="940">
                  <c:v>144.1</c:v>
                </c:pt>
                <c:pt idx="941">
                  <c:v>143.29499999999999</c:v>
                </c:pt>
                <c:pt idx="942">
                  <c:v>144.63999999999999</c:v>
                </c:pt>
                <c:pt idx="943">
                  <c:v>143.97</c:v>
                </c:pt>
                <c:pt idx="944">
                  <c:v>144.345</c:v>
                </c:pt>
                <c:pt idx="945">
                  <c:v>144.5</c:v>
                </c:pt>
                <c:pt idx="946">
                  <c:v>145.09</c:v>
                </c:pt>
                <c:pt idx="947">
                  <c:v>146.125</c:v>
                </c:pt>
                <c:pt idx="948">
                  <c:v>146.13999999999999</c:v>
                </c:pt>
                <c:pt idx="949">
                  <c:v>145.642</c:v>
                </c:pt>
                <c:pt idx="950">
                  <c:v>144.19999999999999</c:v>
                </c:pt>
                <c:pt idx="951">
                  <c:v>143.28</c:v>
                </c:pt>
                <c:pt idx="952">
                  <c:v>143.36000000000001</c:v>
                </c:pt>
                <c:pt idx="953">
                  <c:v>142.89000000000001</c:v>
                </c:pt>
                <c:pt idx="954">
                  <c:v>144.08000000000001</c:v>
                </c:pt>
                <c:pt idx="955">
                  <c:v>145.54</c:v>
                </c:pt>
                <c:pt idx="956">
                  <c:v>146.19999999999999</c:v>
                </c:pt>
                <c:pt idx="957">
                  <c:v>145.82000000000087</c:v>
                </c:pt>
                <c:pt idx="958">
                  <c:v>143.3896</c:v>
                </c:pt>
                <c:pt idx="959">
                  <c:v>143.41</c:v>
                </c:pt>
                <c:pt idx="960">
                  <c:v>141.41999999999999</c:v>
                </c:pt>
                <c:pt idx="961">
                  <c:v>141.02000000000001</c:v>
                </c:pt>
                <c:pt idx="962">
                  <c:v>141.43</c:v>
                </c:pt>
                <c:pt idx="963">
                  <c:v>141.35000000000107</c:v>
                </c:pt>
                <c:pt idx="964">
                  <c:v>141.35000000000107</c:v>
                </c:pt>
                <c:pt idx="965">
                  <c:v>142.83000000000001</c:v>
                </c:pt>
                <c:pt idx="966">
                  <c:v>141.56</c:v>
                </c:pt>
                <c:pt idx="967">
                  <c:v>141.8486</c:v>
                </c:pt>
                <c:pt idx="968">
                  <c:v>142.96</c:v>
                </c:pt>
                <c:pt idx="969">
                  <c:v>139.72</c:v>
                </c:pt>
                <c:pt idx="970">
                  <c:v>138.04</c:v>
                </c:pt>
                <c:pt idx="971">
                  <c:v>138.16</c:v>
                </c:pt>
                <c:pt idx="972">
                  <c:v>138.26499999999999</c:v>
                </c:pt>
                <c:pt idx="973">
                  <c:v>137.79</c:v>
                </c:pt>
                <c:pt idx="974">
                  <c:v>135.9299</c:v>
                </c:pt>
                <c:pt idx="975">
                  <c:v>135.69999999999999</c:v>
                </c:pt>
                <c:pt idx="976">
                  <c:v>136.37</c:v>
                </c:pt>
                <c:pt idx="977">
                  <c:v>139.13</c:v>
                </c:pt>
                <c:pt idx="978">
                  <c:v>139.19</c:v>
                </c:pt>
                <c:pt idx="979">
                  <c:v>139.44999999999999</c:v>
                </c:pt>
                <c:pt idx="980">
                  <c:v>141.35000000000107</c:v>
                </c:pt>
                <c:pt idx="981">
                  <c:v>141.05000000000001</c:v>
                </c:pt>
                <c:pt idx="982">
                  <c:v>140.33000000000001</c:v>
                </c:pt>
                <c:pt idx="983">
                  <c:v>141.46</c:v>
                </c:pt>
                <c:pt idx="984">
                  <c:v>142.12</c:v>
                </c:pt>
                <c:pt idx="985">
                  <c:v>142.155</c:v>
                </c:pt>
                <c:pt idx="986">
                  <c:v>141.44999999999999</c:v>
                </c:pt>
                <c:pt idx="987">
                  <c:v>141.25</c:v>
                </c:pt>
                <c:pt idx="988">
                  <c:v>141.5</c:v>
                </c:pt>
                <c:pt idx="989">
                  <c:v>141.97999999999999</c:v>
                </c:pt>
                <c:pt idx="990">
                  <c:v>142.41499999999999</c:v>
                </c:pt>
                <c:pt idx="991">
                  <c:v>142.47300000000001</c:v>
                </c:pt>
                <c:pt idx="992">
                  <c:v>143.44</c:v>
                </c:pt>
                <c:pt idx="993">
                  <c:v>143.51</c:v>
                </c:pt>
                <c:pt idx="994">
                  <c:v>142.63</c:v>
                </c:pt>
                <c:pt idx="995">
                  <c:v>142.10509999999999</c:v>
                </c:pt>
                <c:pt idx="996">
                  <c:v>143.76999999999998</c:v>
                </c:pt>
                <c:pt idx="997">
                  <c:v>145.37</c:v>
                </c:pt>
                <c:pt idx="998">
                  <c:v>144.29</c:v>
                </c:pt>
                <c:pt idx="999">
                  <c:v>145.12</c:v>
                </c:pt>
                <c:pt idx="1000">
                  <c:v>142.79</c:v>
                </c:pt>
                <c:pt idx="1001">
                  <c:v>142.35000000000107</c:v>
                </c:pt>
                <c:pt idx="1002">
                  <c:v>141.75</c:v>
                </c:pt>
                <c:pt idx="1003">
                  <c:v>141.5616</c:v>
                </c:pt>
                <c:pt idx="1004">
                  <c:v>140.03</c:v>
                </c:pt>
                <c:pt idx="1005">
                  <c:v>142.41</c:v>
                </c:pt>
                <c:pt idx="1006">
                  <c:v>146.06</c:v>
                </c:pt>
                <c:pt idx="1007">
                  <c:v>145.73409999999998</c:v>
                </c:pt>
                <c:pt idx="1008">
                  <c:v>146.37</c:v>
                </c:pt>
                <c:pt idx="1009">
                  <c:v>145.96950000000001</c:v>
                </c:pt>
                <c:pt idx="1010">
                  <c:v>145.54959999999932</c:v>
                </c:pt>
                <c:pt idx="1011">
                  <c:v>145.91999999999999</c:v>
                </c:pt>
                <c:pt idx="1012">
                  <c:v>147.08000000000001</c:v>
                </c:pt>
                <c:pt idx="1013">
                  <c:v>147.07</c:v>
                </c:pt>
                <c:pt idx="1014">
                  <c:v>146.97</c:v>
                </c:pt>
                <c:pt idx="1015">
                  <c:v>147.07</c:v>
                </c:pt>
                <c:pt idx="1016">
                  <c:v>147.05000000000001</c:v>
                </c:pt>
                <c:pt idx="1017">
                  <c:v>148</c:v>
                </c:pt>
                <c:pt idx="1018">
                  <c:v>148.33000000000001</c:v>
                </c:pt>
                <c:pt idx="1019">
                  <c:v>149.13</c:v>
                </c:pt>
                <c:pt idx="1020">
                  <c:v>149.37</c:v>
                </c:pt>
                <c:pt idx="1021">
                  <c:v>149.41</c:v>
                </c:pt>
                <c:pt idx="1022">
                  <c:v>150.25</c:v>
                </c:pt>
                <c:pt idx="1023">
                  <c:v>150.07</c:v>
                </c:pt>
                <c:pt idx="1024">
                  <c:v>150.66</c:v>
                </c:pt>
                <c:pt idx="1025">
                  <c:v>150.07</c:v>
                </c:pt>
                <c:pt idx="1026">
                  <c:v>149.69999999999999</c:v>
                </c:pt>
                <c:pt idx="1027">
                  <c:v>151.23999999999998</c:v>
                </c:pt>
                <c:pt idx="1028">
                  <c:v>149.535</c:v>
                </c:pt>
                <c:pt idx="1029">
                  <c:v>151.05000000000001</c:v>
                </c:pt>
                <c:pt idx="1030">
                  <c:v>151.16</c:v>
                </c:pt>
                <c:pt idx="1031">
                  <c:v>150.96</c:v>
                </c:pt>
                <c:pt idx="1032">
                  <c:v>151.80000000000001</c:v>
                </c:pt>
                <c:pt idx="1033">
                  <c:v>151.76999999999998</c:v>
                </c:pt>
                <c:pt idx="1034">
                  <c:v>152.02000000000001</c:v>
                </c:pt>
                <c:pt idx="1035">
                  <c:v>152.15100000000001</c:v>
                </c:pt>
                <c:pt idx="1036">
                  <c:v>152.29</c:v>
                </c:pt>
                <c:pt idx="1037">
                  <c:v>152.10999999999999</c:v>
                </c:pt>
                <c:pt idx="1038">
                  <c:v>153.25</c:v>
                </c:pt>
                <c:pt idx="1039">
                  <c:v>151.34</c:v>
                </c:pt>
                <c:pt idx="1040">
                  <c:v>150.41999999999999</c:v>
                </c:pt>
                <c:pt idx="1041">
                  <c:v>151.89000000000001</c:v>
                </c:pt>
                <c:pt idx="1042">
                  <c:v>149</c:v>
                </c:pt>
                <c:pt idx="1043">
                  <c:v>150.02000000000001</c:v>
                </c:pt>
                <c:pt idx="1044">
                  <c:v>151.91</c:v>
                </c:pt>
                <c:pt idx="1045">
                  <c:v>151.60999999999999</c:v>
                </c:pt>
                <c:pt idx="1046">
                  <c:v>152.10999999999999</c:v>
                </c:pt>
                <c:pt idx="1047">
                  <c:v>152.91999999999999</c:v>
                </c:pt>
                <c:pt idx="1048">
                  <c:v>154.29</c:v>
                </c:pt>
                <c:pt idx="1049">
                  <c:v>154.5</c:v>
                </c:pt>
                <c:pt idx="1050">
                  <c:v>154.77599999999998</c:v>
                </c:pt>
                <c:pt idx="1051">
                  <c:v>155.44</c:v>
                </c:pt>
                <c:pt idx="1052">
                  <c:v>156.03</c:v>
                </c:pt>
                <c:pt idx="1053">
                  <c:v>155.68</c:v>
                </c:pt>
                <c:pt idx="1054">
                  <c:v>155.905</c:v>
                </c:pt>
                <c:pt idx="1055">
                  <c:v>156.72999999999999</c:v>
                </c:pt>
                <c:pt idx="1056">
                  <c:v>155.83000000000001</c:v>
                </c:pt>
                <c:pt idx="1057">
                  <c:v>154.97</c:v>
                </c:pt>
                <c:pt idx="1058">
                  <c:v>154.60999999999999</c:v>
                </c:pt>
                <c:pt idx="1059">
                  <c:v>155.69</c:v>
                </c:pt>
                <c:pt idx="1060">
                  <c:v>154.35900000000001</c:v>
                </c:pt>
                <c:pt idx="1061">
                  <c:v>155.6</c:v>
                </c:pt>
                <c:pt idx="1062">
                  <c:v>154.94999999999999</c:v>
                </c:pt>
                <c:pt idx="1063">
                  <c:v>156.19</c:v>
                </c:pt>
                <c:pt idx="1064">
                  <c:v>156.19</c:v>
                </c:pt>
                <c:pt idx="1065">
                  <c:v>156.66999999999999</c:v>
                </c:pt>
                <c:pt idx="1066">
                  <c:v>156.05000000000001</c:v>
                </c:pt>
                <c:pt idx="1067">
                  <c:v>156.82000000000087</c:v>
                </c:pt>
                <c:pt idx="1068">
                  <c:v>155.22999999999999</c:v>
                </c:pt>
                <c:pt idx="1069">
                  <c:v>155.86000000000001</c:v>
                </c:pt>
                <c:pt idx="1070">
                  <c:v>155.15800000000004</c:v>
                </c:pt>
                <c:pt idx="1071">
                  <c:v>156.20999999999998</c:v>
                </c:pt>
                <c:pt idx="1072">
                  <c:v>156.75</c:v>
                </c:pt>
                <c:pt idx="1073">
                  <c:v>158.66999999999999</c:v>
                </c:pt>
                <c:pt idx="1074">
                  <c:v>159.19</c:v>
                </c:pt>
                <c:pt idx="1075">
                  <c:v>158.80000000000001</c:v>
                </c:pt>
                <c:pt idx="1076">
                  <c:v>155.11799999999999</c:v>
                </c:pt>
                <c:pt idx="1077">
                  <c:v>157.41</c:v>
                </c:pt>
                <c:pt idx="1078">
                  <c:v>155.10999999999999</c:v>
                </c:pt>
                <c:pt idx="1079">
                  <c:v>154.13999999999999</c:v>
                </c:pt>
                <c:pt idx="1080">
                  <c:v>155.47999999999999</c:v>
                </c:pt>
                <c:pt idx="1081">
                  <c:v>156.16999999999999</c:v>
                </c:pt>
                <c:pt idx="1082">
                  <c:v>157.78</c:v>
                </c:pt>
                <c:pt idx="1083">
                  <c:v>157.88000000000127</c:v>
                </c:pt>
                <c:pt idx="1084">
                  <c:v>158.52000000000001</c:v>
                </c:pt>
                <c:pt idx="1085">
                  <c:v>158.23999999999998</c:v>
                </c:pt>
                <c:pt idx="1086">
                  <c:v>159.30000000000001</c:v>
                </c:pt>
                <c:pt idx="1087">
                  <c:v>159.68</c:v>
                </c:pt>
                <c:pt idx="1088">
                  <c:v>158.28</c:v>
                </c:pt>
                <c:pt idx="1089">
                  <c:v>159.75</c:v>
                </c:pt>
                <c:pt idx="1090">
                  <c:v>161.36800000000127</c:v>
                </c:pt>
                <c:pt idx="1091">
                  <c:v>161.78</c:v>
                </c:pt>
                <c:pt idx="1092">
                  <c:v>162.59989999999999</c:v>
                </c:pt>
                <c:pt idx="1093">
                  <c:v>163.34</c:v>
                </c:pt>
                <c:pt idx="1094">
                  <c:v>162.88100000000136</c:v>
                </c:pt>
                <c:pt idx="1095">
                  <c:v>163.41</c:v>
                </c:pt>
                <c:pt idx="1096">
                  <c:v>163.54</c:v>
                </c:pt>
                <c:pt idx="1097">
                  <c:v>165.23</c:v>
                </c:pt>
                <c:pt idx="1098">
                  <c:v>166.11499999999998</c:v>
                </c:pt>
                <c:pt idx="1099">
                  <c:v>165.34</c:v>
                </c:pt>
                <c:pt idx="1100">
                  <c:v>166.94</c:v>
                </c:pt>
                <c:pt idx="1101">
                  <c:v>166.93</c:v>
                </c:pt>
                <c:pt idx="1102">
                  <c:v>167.17</c:v>
                </c:pt>
                <c:pt idx="1103">
                  <c:v>165.93</c:v>
                </c:pt>
                <c:pt idx="1104">
                  <c:v>165.45000000000007</c:v>
                </c:pt>
                <c:pt idx="1105">
                  <c:v>165.30800000000067</c:v>
                </c:pt>
                <c:pt idx="1106">
                  <c:v>166.3</c:v>
                </c:pt>
                <c:pt idx="1107">
                  <c:v>165.22</c:v>
                </c:pt>
                <c:pt idx="1108">
                  <c:v>165.83</c:v>
                </c:pt>
                <c:pt idx="1109">
                  <c:v>163.44499999999999</c:v>
                </c:pt>
                <c:pt idx="1110">
                  <c:v>164.35000000000107</c:v>
                </c:pt>
                <c:pt idx="1111">
                  <c:v>163.56</c:v>
                </c:pt>
                <c:pt idx="1112">
                  <c:v>161.27199999999999</c:v>
                </c:pt>
                <c:pt idx="1113">
                  <c:v>162.72999999999999</c:v>
                </c:pt>
                <c:pt idx="1114">
                  <c:v>164.8</c:v>
                </c:pt>
                <c:pt idx="1115">
                  <c:v>164.8</c:v>
                </c:pt>
                <c:pt idx="1116">
                  <c:v>163.09800000000001</c:v>
                </c:pt>
                <c:pt idx="1117">
                  <c:v>161.75</c:v>
                </c:pt>
                <c:pt idx="1118">
                  <c:v>164.20999999999998</c:v>
                </c:pt>
                <c:pt idx="1119">
                  <c:v>163.17499999999998</c:v>
                </c:pt>
                <c:pt idx="1120">
                  <c:v>164.44</c:v>
                </c:pt>
                <c:pt idx="1121">
                  <c:v>165.73499999999999</c:v>
                </c:pt>
                <c:pt idx="1122">
                  <c:v>163.44999999999999</c:v>
                </c:pt>
                <c:pt idx="1123">
                  <c:v>159.4</c:v>
                </c:pt>
                <c:pt idx="1124">
                  <c:v>159.07</c:v>
                </c:pt>
                <c:pt idx="1125">
                  <c:v>157.06</c:v>
                </c:pt>
                <c:pt idx="1126">
                  <c:v>158.57499999999999</c:v>
                </c:pt>
                <c:pt idx="1127">
                  <c:v>160.13999999999999</c:v>
                </c:pt>
                <c:pt idx="1128">
                  <c:v>161.08000000000001</c:v>
                </c:pt>
                <c:pt idx="1129">
                  <c:v>160.41999999999999</c:v>
                </c:pt>
                <c:pt idx="1130">
                  <c:v>161.36000000000001</c:v>
                </c:pt>
                <c:pt idx="1131">
                  <c:v>161.20999999999998</c:v>
                </c:pt>
                <c:pt idx="1132">
                  <c:v>161.28</c:v>
                </c:pt>
                <c:pt idx="1133">
                  <c:v>163.02000000000001</c:v>
                </c:pt>
                <c:pt idx="1134">
                  <c:v>163.94499999999999</c:v>
                </c:pt>
                <c:pt idx="1135">
                  <c:v>165.13</c:v>
                </c:pt>
                <c:pt idx="1136">
                  <c:v>165.19200000000001</c:v>
                </c:pt>
                <c:pt idx="1137">
                  <c:v>167.44</c:v>
                </c:pt>
                <c:pt idx="1138">
                  <c:v>167.51</c:v>
                </c:pt>
                <c:pt idx="1139">
                  <c:v>168.155</c:v>
                </c:pt>
                <c:pt idx="1140">
                  <c:v>167.52500000000001</c:v>
                </c:pt>
                <c:pt idx="1141">
                  <c:v>167.95010000000067</c:v>
                </c:pt>
                <c:pt idx="1142">
                  <c:v>168.87</c:v>
                </c:pt>
                <c:pt idx="1143">
                  <c:v>169.17</c:v>
                </c:pt>
                <c:pt idx="1144">
                  <c:v>169.5</c:v>
                </c:pt>
                <c:pt idx="1145">
                  <c:v>169.14</c:v>
                </c:pt>
                <c:pt idx="1146">
                  <c:v>168.52</c:v>
                </c:pt>
                <c:pt idx="1147">
                  <c:v>168.93</c:v>
                </c:pt>
                <c:pt idx="1148">
                  <c:v>169.10999999999999</c:v>
                </c:pt>
                <c:pt idx="1149">
                  <c:v>168.59</c:v>
                </c:pt>
                <c:pt idx="1150">
                  <c:v>168.58800000000087</c:v>
                </c:pt>
                <c:pt idx="1151">
                  <c:v>168.70999999999998</c:v>
                </c:pt>
                <c:pt idx="1152">
                  <c:v>170.66</c:v>
                </c:pt>
                <c:pt idx="1153">
                  <c:v>170.95000000000007</c:v>
                </c:pt>
                <c:pt idx="1154">
                  <c:v>170.7</c:v>
                </c:pt>
                <c:pt idx="1155">
                  <c:v>169.73</c:v>
                </c:pt>
                <c:pt idx="1156">
                  <c:v>169.18</c:v>
                </c:pt>
                <c:pt idx="1157">
                  <c:v>169.8</c:v>
                </c:pt>
                <c:pt idx="1158">
                  <c:v>169.31</c:v>
                </c:pt>
                <c:pt idx="1159">
                  <c:v>169.11099999999999</c:v>
                </c:pt>
                <c:pt idx="1160">
                  <c:v>169.60999999999999</c:v>
                </c:pt>
                <c:pt idx="1161">
                  <c:v>168.73999999999998</c:v>
                </c:pt>
                <c:pt idx="1162">
                  <c:v>166.38000000000127</c:v>
                </c:pt>
                <c:pt idx="1163">
                  <c:v>165.83</c:v>
                </c:pt>
                <c:pt idx="1164">
                  <c:v>164.76999999999998</c:v>
                </c:pt>
                <c:pt idx="1165">
                  <c:v>165.58</c:v>
                </c:pt>
                <c:pt idx="1166">
                  <c:v>164.56</c:v>
                </c:pt>
                <c:pt idx="1167">
                  <c:v>166.06</c:v>
                </c:pt>
                <c:pt idx="1168">
                  <c:v>166.62</c:v>
                </c:pt>
                <c:pt idx="1169">
                  <c:v>166</c:v>
                </c:pt>
                <c:pt idx="1170">
                  <c:v>163.33000000000001</c:v>
                </c:pt>
                <c:pt idx="1171">
                  <c:v>163.91</c:v>
                </c:pt>
                <c:pt idx="1172">
                  <c:v>164.17</c:v>
                </c:pt>
                <c:pt idx="1173">
                  <c:v>163.65</c:v>
                </c:pt>
                <c:pt idx="1174">
                  <c:v>164.39000000000001</c:v>
                </c:pt>
                <c:pt idx="1175">
                  <c:v>165.75</c:v>
                </c:pt>
                <c:pt idx="1176">
                  <c:v>165.96</c:v>
                </c:pt>
                <c:pt idx="1177">
                  <c:v>166.04</c:v>
                </c:pt>
                <c:pt idx="1178">
                  <c:v>167.63399999999999</c:v>
                </c:pt>
                <c:pt idx="1179">
                  <c:v>168.87</c:v>
                </c:pt>
                <c:pt idx="1180">
                  <c:v>169.4</c:v>
                </c:pt>
                <c:pt idx="1181">
                  <c:v>168.95000000000007</c:v>
                </c:pt>
                <c:pt idx="1182">
                  <c:v>169.33</c:v>
                </c:pt>
                <c:pt idx="1183">
                  <c:v>170.31</c:v>
                </c:pt>
                <c:pt idx="1184">
                  <c:v>171.07</c:v>
                </c:pt>
                <c:pt idx="1185">
                  <c:v>173.05100000000004</c:v>
                </c:pt>
                <c:pt idx="1186">
                  <c:v>172.76</c:v>
                </c:pt>
                <c:pt idx="1187">
                  <c:v>170.72</c:v>
                </c:pt>
                <c:pt idx="1188">
                  <c:v>169.93</c:v>
                </c:pt>
                <c:pt idx="1189">
                  <c:v>169.53</c:v>
                </c:pt>
                <c:pt idx="1190">
                  <c:v>169.04</c:v>
                </c:pt>
                <c:pt idx="1191">
                  <c:v>169.69</c:v>
                </c:pt>
                <c:pt idx="1192">
                  <c:v>168.90900000000002</c:v>
                </c:pt>
                <c:pt idx="1193">
                  <c:v>168.01</c:v>
                </c:pt>
                <c:pt idx="1194">
                  <c:v>169.34</c:v>
                </c:pt>
                <c:pt idx="1195">
                  <c:v>169.18</c:v>
                </c:pt>
                <c:pt idx="1196">
                  <c:v>167.62</c:v>
                </c:pt>
                <c:pt idx="1197">
                  <c:v>168.89000000000001</c:v>
                </c:pt>
                <c:pt idx="1198">
                  <c:v>167.43</c:v>
                </c:pt>
                <c:pt idx="1199">
                  <c:v>165.48000000000027</c:v>
                </c:pt>
                <c:pt idx="1200">
                  <c:v>165.6</c:v>
                </c:pt>
                <c:pt idx="1201">
                  <c:v>169.17</c:v>
                </c:pt>
                <c:pt idx="1202">
                  <c:v>170.26</c:v>
                </c:pt>
                <c:pt idx="1203">
                  <c:v>170.94</c:v>
                </c:pt>
                <c:pt idx="1204">
                  <c:v>169.7</c:v>
                </c:pt>
                <c:pt idx="1205">
                  <c:v>172.07</c:v>
                </c:pt>
                <c:pt idx="1206">
                  <c:v>173.22</c:v>
                </c:pt>
                <c:pt idx="1207">
                  <c:v>174.38800000000151</c:v>
                </c:pt>
                <c:pt idx="1208">
                  <c:v>174.4</c:v>
                </c:pt>
                <c:pt idx="1209">
                  <c:v>175.41</c:v>
                </c:pt>
                <c:pt idx="1210">
                  <c:v>174.57</c:v>
                </c:pt>
                <c:pt idx="1211">
                  <c:v>175.15</c:v>
                </c:pt>
                <c:pt idx="1212">
                  <c:v>175.95000000000007</c:v>
                </c:pt>
                <c:pt idx="1213">
                  <c:v>176.23</c:v>
                </c:pt>
                <c:pt idx="1214">
                  <c:v>177.17</c:v>
                </c:pt>
                <c:pt idx="1215">
                  <c:v>176.29</c:v>
                </c:pt>
                <c:pt idx="1216">
                  <c:v>175.79</c:v>
                </c:pt>
                <c:pt idx="1217">
                  <c:v>176.20999999999998</c:v>
                </c:pt>
                <c:pt idx="1218">
                  <c:v>176.83</c:v>
                </c:pt>
                <c:pt idx="1219">
                  <c:v>176.26999999999998</c:v>
                </c:pt>
                <c:pt idx="1220">
                  <c:v>177.17</c:v>
                </c:pt>
                <c:pt idx="1221">
                  <c:v>174.93</c:v>
                </c:pt>
                <c:pt idx="1222">
                  <c:v>177.29</c:v>
                </c:pt>
                <c:pt idx="1223">
                  <c:v>177.32000000000087</c:v>
                </c:pt>
                <c:pt idx="1224">
                  <c:v>176.96</c:v>
                </c:pt>
                <c:pt idx="1225">
                  <c:v>178.38000000000127</c:v>
                </c:pt>
                <c:pt idx="1226">
                  <c:v>179.26999999999998</c:v>
                </c:pt>
                <c:pt idx="1227">
                  <c:v>180.05</c:v>
                </c:pt>
                <c:pt idx="1228">
                  <c:v>179.42000000000004</c:v>
                </c:pt>
                <c:pt idx="1229">
                  <c:v>179.03</c:v>
                </c:pt>
                <c:pt idx="1230">
                  <c:v>178.47</c:v>
                </c:pt>
                <c:pt idx="1231">
                  <c:v>179.91</c:v>
                </c:pt>
                <c:pt idx="1232">
                  <c:v>180.81</c:v>
                </c:pt>
                <c:pt idx="1233">
                  <c:v>180.63</c:v>
                </c:pt>
                <c:pt idx="1234">
                  <c:v>180.68</c:v>
                </c:pt>
                <c:pt idx="1235">
                  <c:v>181.12</c:v>
                </c:pt>
                <c:pt idx="1236">
                  <c:v>181</c:v>
                </c:pt>
                <c:pt idx="1237">
                  <c:v>180.53</c:v>
                </c:pt>
                <c:pt idx="1238">
                  <c:v>179.75</c:v>
                </c:pt>
                <c:pt idx="1239">
                  <c:v>179.73</c:v>
                </c:pt>
                <c:pt idx="1240">
                  <c:v>178.94</c:v>
                </c:pt>
                <c:pt idx="1241">
                  <c:v>180.94</c:v>
                </c:pt>
                <c:pt idx="1242">
                  <c:v>181.4</c:v>
                </c:pt>
                <c:pt idx="1243">
                  <c:v>180.75</c:v>
                </c:pt>
                <c:pt idx="1244">
                  <c:v>178.72</c:v>
                </c:pt>
                <c:pt idx="1245">
                  <c:v>178.13</c:v>
                </c:pt>
                <c:pt idx="1246">
                  <c:v>178.10999999999999</c:v>
                </c:pt>
                <c:pt idx="1247">
                  <c:v>179.21599999999998</c:v>
                </c:pt>
                <c:pt idx="1248">
                  <c:v>178.65</c:v>
                </c:pt>
                <c:pt idx="1249">
                  <c:v>181.7</c:v>
                </c:pt>
                <c:pt idx="1250">
                  <c:v>181.49</c:v>
                </c:pt>
                <c:pt idx="1251">
                  <c:v>181.56</c:v>
                </c:pt>
                <c:pt idx="1252">
                  <c:v>182.53</c:v>
                </c:pt>
                <c:pt idx="1253">
                  <c:v>182.93</c:v>
                </c:pt>
                <c:pt idx="1254">
                  <c:v>183.85500000000027</c:v>
                </c:pt>
                <c:pt idx="1255">
                  <c:v>183.845</c:v>
                </c:pt>
                <c:pt idx="1256">
                  <c:v>183.82000000000087</c:v>
                </c:pt>
                <c:pt idx="1257">
                  <c:v>184.69</c:v>
                </c:pt>
              </c:numCache>
            </c:numRef>
          </c:val>
        </c:ser>
        <c:marker val="1"/>
        <c:axId val="169472384"/>
        <c:axId val="169473920"/>
      </c:lineChart>
      <c:dateAx>
        <c:axId val="169472384"/>
        <c:scaling>
          <c:orientation val="minMax"/>
        </c:scaling>
        <c:axPos val="b"/>
        <c:numFmt formatCode="d\.m\.yyyy" sourceLinked="1"/>
        <c:tickLblPos val="nextTo"/>
        <c:crossAx val="169473920"/>
        <c:crosses val="autoZero"/>
        <c:auto val="1"/>
        <c:lblOffset val="100"/>
        <c:baseTimeUnit val="days"/>
      </c:dateAx>
      <c:valAx>
        <c:axId val="169473920"/>
        <c:scaling>
          <c:orientation val="minMax"/>
        </c:scaling>
        <c:axPos val="l"/>
        <c:majorGridlines/>
        <c:numFmt formatCode="General" sourceLinked="1"/>
        <c:tickLblPos val="nextTo"/>
        <c:crossAx val="169472384"/>
        <c:crosses val="autoZero"/>
        <c:crossBetween val="between"/>
      </c:valAx>
    </c:plotArea>
    <c:plotVisOnly val="1"/>
    <c:dispBlanksAs val="gap"/>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cs-CZ"/>
  <c:style val="3"/>
  <c:chart>
    <c:plotArea>
      <c:layout/>
      <c:barChart>
        <c:barDir val="col"/>
        <c:grouping val="clustered"/>
        <c:ser>
          <c:idx val="0"/>
          <c:order val="0"/>
          <c:tx>
            <c:strRef>
              <c:f>List1!$B$1</c:f>
              <c:strCache>
                <c:ptCount val="1"/>
                <c:pt idx="0">
                  <c:v>SPY</c:v>
                </c:pt>
              </c:strCache>
            </c:strRef>
          </c:tx>
          <c:cat>
            <c:numRef>
              <c:f>List1!$A$2:$A$6</c:f>
              <c:numCache>
                <c:formatCode>General</c:formatCode>
                <c:ptCount val="5"/>
                <c:pt idx="0">
                  <c:v>2009</c:v>
                </c:pt>
                <c:pt idx="1">
                  <c:v>2010</c:v>
                </c:pt>
                <c:pt idx="2">
                  <c:v>2011</c:v>
                </c:pt>
                <c:pt idx="3">
                  <c:v>2012</c:v>
                </c:pt>
                <c:pt idx="4">
                  <c:v>2013</c:v>
                </c:pt>
              </c:numCache>
            </c:numRef>
          </c:cat>
          <c:val>
            <c:numRef>
              <c:f>List1!$B$2:$B$6</c:f>
              <c:numCache>
                <c:formatCode>0.00%</c:formatCode>
                <c:ptCount val="5"/>
                <c:pt idx="0">
                  <c:v>0.1988</c:v>
                </c:pt>
                <c:pt idx="1">
                  <c:v>0.12839999999999999</c:v>
                </c:pt>
                <c:pt idx="2">
                  <c:v>-2.0000000000000052E-3</c:v>
                </c:pt>
                <c:pt idx="3">
                  <c:v>0.13469999999999999</c:v>
                </c:pt>
                <c:pt idx="4">
                  <c:v>0.29690000000000188</c:v>
                </c:pt>
              </c:numCache>
            </c:numRef>
          </c:val>
        </c:ser>
        <c:ser>
          <c:idx val="1"/>
          <c:order val="1"/>
          <c:tx>
            <c:strRef>
              <c:f>List1!$C$1</c:f>
              <c:strCache>
                <c:ptCount val="1"/>
                <c:pt idx="0">
                  <c:v>S&amp;P500</c:v>
                </c:pt>
              </c:strCache>
            </c:strRef>
          </c:tx>
          <c:cat>
            <c:numRef>
              <c:f>List1!$A$2:$A$6</c:f>
              <c:numCache>
                <c:formatCode>General</c:formatCode>
                <c:ptCount val="5"/>
                <c:pt idx="0">
                  <c:v>2009</c:v>
                </c:pt>
                <c:pt idx="1">
                  <c:v>2010</c:v>
                </c:pt>
                <c:pt idx="2">
                  <c:v>2011</c:v>
                </c:pt>
                <c:pt idx="3">
                  <c:v>2012</c:v>
                </c:pt>
                <c:pt idx="4">
                  <c:v>2013</c:v>
                </c:pt>
              </c:numCache>
            </c:numRef>
          </c:cat>
          <c:val>
            <c:numRef>
              <c:f>List1!$C$2:$C$6</c:f>
              <c:numCache>
                <c:formatCode>0.00%</c:formatCode>
                <c:ptCount val="5"/>
                <c:pt idx="0">
                  <c:v>0.23450000000000001</c:v>
                </c:pt>
                <c:pt idx="1">
                  <c:v>0.1278</c:v>
                </c:pt>
                <c:pt idx="2">
                  <c:v>-3.2000000000000656E-5</c:v>
                </c:pt>
                <c:pt idx="3">
                  <c:v>0.1341</c:v>
                </c:pt>
                <c:pt idx="4">
                  <c:v>0.29600000000000032</c:v>
                </c:pt>
              </c:numCache>
            </c:numRef>
          </c:val>
        </c:ser>
        <c:axId val="169629184"/>
        <c:axId val="169630720"/>
      </c:barChart>
      <c:catAx>
        <c:axId val="169629184"/>
        <c:scaling>
          <c:orientation val="minMax"/>
        </c:scaling>
        <c:axPos val="b"/>
        <c:numFmt formatCode="General" sourceLinked="1"/>
        <c:tickLblPos val="nextTo"/>
        <c:crossAx val="169630720"/>
        <c:crosses val="autoZero"/>
        <c:auto val="1"/>
        <c:lblAlgn val="ctr"/>
        <c:lblOffset val="100"/>
      </c:catAx>
      <c:valAx>
        <c:axId val="169630720"/>
        <c:scaling>
          <c:orientation val="minMax"/>
        </c:scaling>
        <c:axPos val="l"/>
        <c:majorGridlines/>
        <c:numFmt formatCode="0.00%" sourceLinked="1"/>
        <c:tickLblPos val="nextTo"/>
        <c:crossAx val="169629184"/>
        <c:crosses val="autoZero"/>
        <c:crossBetween val="between"/>
      </c:valAx>
    </c:plotArea>
    <c:legend>
      <c:legendPos val="b"/>
    </c:legend>
    <c:plotVisOnly val="1"/>
    <c:dispBlanksAs val="gap"/>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marker>
            <c:symbol val="none"/>
          </c:marker>
          <c:cat>
            <c:numRef>
              <c:f>List1!$A$3:$A$1260</c:f>
              <c:numCache>
                <c:formatCode>d/m/yyyy</c:formatCode>
                <c:ptCount val="1258"/>
                <c:pt idx="0" formatCode="d\.m\.yyyy">
                  <c:v>39813</c:v>
                </c:pt>
                <c:pt idx="1">
                  <c:v>39818</c:v>
                </c:pt>
                <c:pt idx="2">
                  <c:v>39819</c:v>
                </c:pt>
                <c:pt idx="3">
                  <c:v>39820</c:v>
                </c:pt>
                <c:pt idx="4">
                  <c:v>39821</c:v>
                </c:pt>
                <c:pt idx="5">
                  <c:v>39822</c:v>
                </c:pt>
                <c:pt idx="6">
                  <c:v>39825</c:v>
                </c:pt>
                <c:pt idx="7">
                  <c:v>39826</c:v>
                </c:pt>
                <c:pt idx="8">
                  <c:v>39827</c:v>
                </c:pt>
                <c:pt idx="9">
                  <c:v>39828</c:v>
                </c:pt>
                <c:pt idx="10">
                  <c:v>39829</c:v>
                </c:pt>
                <c:pt idx="11">
                  <c:v>39833</c:v>
                </c:pt>
                <c:pt idx="12">
                  <c:v>39834</c:v>
                </c:pt>
                <c:pt idx="13">
                  <c:v>39835</c:v>
                </c:pt>
                <c:pt idx="14">
                  <c:v>39836</c:v>
                </c:pt>
                <c:pt idx="15">
                  <c:v>39839</c:v>
                </c:pt>
                <c:pt idx="16">
                  <c:v>39840</c:v>
                </c:pt>
                <c:pt idx="17">
                  <c:v>39841</c:v>
                </c:pt>
                <c:pt idx="18">
                  <c:v>39842</c:v>
                </c:pt>
                <c:pt idx="19">
                  <c:v>39843</c:v>
                </c:pt>
                <c:pt idx="20">
                  <c:v>39846</c:v>
                </c:pt>
                <c:pt idx="21">
                  <c:v>39847</c:v>
                </c:pt>
                <c:pt idx="22">
                  <c:v>39848</c:v>
                </c:pt>
                <c:pt idx="23">
                  <c:v>39849</c:v>
                </c:pt>
                <c:pt idx="24">
                  <c:v>39850</c:v>
                </c:pt>
                <c:pt idx="25">
                  <c:v>39853</c:v>
                </c:pt>
                <c:pt idx="26">
                  <c:v>39854</c:v>
                </c:pt>
                <c:pt idx="27">
                  <c:v>39855</c:v>
                </c:pt>
                <c:pt idx="28">
                  <c:v>39856</c:v>
                </c:pt>
                <c:pt idx="29">
                  <c:v>39857</c:v>
                </c:pt>
                <c:pt idx="30">
                  <c:v>39861</c:v>
                </c:pt>
                <c:pt idx="31">
                  <c:v>39862</c:v>
                </c:pt>
                <c:pt idx="32">
                  <c:v>39863</c:v>
                </c:pt>
                <c:pt idx="33">
                  <c:v>39864</c:v>
                </c:pt>
                <c:pt idx="34">
                  <c:v>39867</c:v>
                </c:pt>
                <c:pt idx="35">
                  <c:v>39868</c:v>
                </c:pt>
                <c:pt idx="36">
                  <c:v>39869</c:v>
                </c:pt>
                <c:pt idx="37">
                  <c:v>39870</c:v>
                </c:pt>
                <c:pt idx="38">
                  <c:v>39871</c:v>
                </c:pt>
                <c:pt idx="39">
                  <c:v>39874</c:v>
                </c:pt>
                <c:pt idx="40">
                  <c:v>39875</c:v>
                </c:pt>
                <c:pt idx="41">
                  <c:v>39876</c:v>
                </c:pt>
                <c:pt idx="42">
                  <c:v>39877</c:v>
                </c:pt>
                <c:pt idx="43">
                  <c:v>39878</c:v>
                </c:pt>
                <c:pt idx="44">
                  <c:v>39881</c:v>
                </c:pt>
                <c:pt idx="45">
                  <c:v>39882</c:v>
                </c:pt>
                <c:pt idx="46">
                  <c:v>39883</c:v>
                </c:pt>
                <c:pt idx="47">
                  <c:v>39884</c:v>
                </c:pt>
                <c:pt idx="48">
                  <c:v>39885</c:v>
                </c:pt>
                <c:pt idx="49">
                  <c:v>39888</c:v>
                </c:pt>
                <c:pt idx="50">
                  <c:v>39889</c:v>
                </c:pt>
                <c:pt idx="51">
                  <c:v>39890</c:v>
                </c:pt>
                <c:pt idx="52">
                  <c:v>39891</c:v>
                </c:pt>
                <c:pt idx="53">
                  <c:v>39892</c:v>
                </c:pt>
                <c:pt idx="54">
                  <c:v>39895</c:v>
                </c:pt>
                <c:pt idx="55">
                  <c:v>39896</c:v>
                </c:pt>
                <c:pt idx="56">
                  <c:v>39897</c:v>
                </c:pt>
                <c:pt idx="57">
                  <c:v>39898</c:v>
                </c:pt>
                <c:pt idx="58">
                  <c:v>39899</c:v>
                </c:pt>
                <c:pt idx="59">
                  <c:v>39902</c:v>
                </c:pt>
                <c:pt idx="60">
                  <c:v>39903</c:v>
                </c:pt>
                <c:pt idx="61">
                  <c:v>39904</c:v>
                </c:pt>
                <c:pt idx="62">
                  <c:v>39905</c:v>
                </c:pt>
                <c:pt idx="63">
                  <c:v>39906</c:v>
                </c:pt>
                <c:pt idx="64">
                  <c:v>39909</c:v>
                </c:pt>
                <c:pt idx="65">
                  <c:v>39910</c:v>
                </c:pt>
                <c:pt idx="66">
                  <c:v>39911</c:v>
                </c:pt>
                <c:pt idx="67">
                  <c:v>39912</c:v>
                </c:pt>
                <c:pt idx="68">
                  <c:v>39916</c:v>
                </c:pt>
                <c:pt idx="69">
                  <c:v>39917</c:v>
                </c:pt>
                <c:pt idx="70">
                  <c:v>39918</c:v>
                </c:pt>
                <c:pt idx="71">
                  <c:v>39919</c:v>
                </c:pt>
                <c:pt idx="72">
                  <c:v>39920</c:v>
                </c:pt>
                <c:pt idx="73">
                  <c:v>39923</c:v>
                </c:pt>
                <c:pt idx="74">
                  <c:v>39924</c:v>
                </c:pt>
                <c:pt idx="75">
                  <c:v>39925</c:v>
                </c:pt>
                <c:pt idx="76">
                  <c:v>39926</c:v>
                </c:pt>
                <c:pt idx="77">
                  <c:v>39927</c:v>
                </c:pt>
                <c:pt idx="78">
                  <c:v>39930</c:v>
                </c:pt>
                <c:pt idx="79">
                  <c:v>39931</c:v>
                </c:pt>
                <c:pt idx="80">
                  <c:v>39932</c:v>
                </c:pt>
                <c:pt idx="81">
                  <c:v>39933</c:v>
                </c:pt>
                <c:pt idx="82">
                  <c:v>39934</c:v>
                </c:pt>
                <c:pt idx="83">
                  <c:v>39937</c:v>
                </c:pt>
                <c:pt idx="84">
                  <c:v>39938</c:v>
                </c:pt>
                <c:pt idx="85">
                  <c:v>39939</c:v>
                </c:pt>
                <c:pt idx="86">
                  <c:v>39940</c:v>
                </c:pt>
                <c:pt idx="87">
                  <c:v>39941</c:v>
                </c:pt>
                <c:pt idx="88">
                  <c:v>39944</c:v>
                </c:pt>
                <c:pt idx="89">
                  <c:v>39945</c:v>
                </c:pt>
                <c:pt idx="90">
                  <c:v>39946</c:v>
                </c:pt>
                <c:pt idx="91">
                  <c:v>39947</c:v>
                </c:pt>
                <c:pt idx="92">
                  <c:v>39948</c:v>
                </c:pt>
                <c:pt idx="93">
                  <c:v>39951</c:v>
                </c:pt>
                <c:pt idx="94">
                  <c:v>39952</c:v>
                </c:pt>
                <c:pt idx="95">
                  <c:v>39953</c:v>
                </c:pt>
                <c:pt idx="96">
                  <c:v>39954</c:v>
                </c:pt>
                <c:pt idx="97">
                  <c:v>39955</c:v>
                </c:pt>
                <c:pt idx="98">
                  <c:v>39959</c:v>
                </c:pt>
                <c:pt idx="99">
                  <c:v>39960</c:v>
                </c:pt>
                <c:pt idx="100">
                  <c:v>39961</c:v>
                </c:pt>
                <c:pt idx="101">
                  <c:v>39962</c:v>
                </c:pt>
                <c:pt idx="102">
                  <c:v>39965</c:v>
                </c:pt>
                <c:pt idx="103">
                  <c:v>39966</c:v>
                </c:pt>
                <c:pt idx="104">
                  <c:v>39967</c:v>
                </c:pt>
                <c:pt idx="105">
                  <c:v>39968</c:v>
                </c:pt>
                <c:pt idx="106">
                  <c:v>39969</c:v>
                </c:pt>
                <c:pt idx="107">
                  <c:v>39972</c:v>
                </c:pt>
                <c:pt idx="108">
                  <c:v>39973</c:v>
                </c:pt>
                <c:pt idx="109">
                  <c:v>39974</c:v>
                </c:pt>
                <c:pt idx="110">
                  <c:v>39975</c:v>
                </c:pt>
                <c:pt idx="111">
                  <c:v>39976</c:v>
                </c:pt>
                <c:pt idx="112">
                  <c:v>39979</c:v>
                </c:pt>
                <c:pt idx="113">
                  <c:v>39980</c:v>
                </c:pt>
                <c:pt idx="114">
                  <c:v>39981</c:v>
                </c:pt>
                <c:pt idx="115">
                  <c:v>39982</c:v>
                </c:pt>
                <c:pt idx="116">
                  <c:v>39983</c:v>
                </c:pt>
                <c:pt idx="117">
                  <c:v>39986</c:v>
                </c:pt>
                <c:pt idx="118">
                  <c:v>39987</c:v>
                </c:pt>
                <c:pt idx="119">
                  <c:v>39988</c:v>
                </c:pt>
                <c:pt idx="120">
                  <c:v>39989</c:v>
                </c:pt>
                <c:pt idx="121">
                  <c:v>39990</c:v>
                </c:pt>
                <c:pt idx="122">
                  <c:v>39993</c:v>
                </c:pt>
                <c:pt idx="123">
                  <c:v>39994</c:v>
                </c:pt>
                <c:pt idx="124">
                  <c:v>39995</c:v>
                </c:pt>
                <c:pt idx="125">
                  <c:v>39996</c:v>
                </c:pt>
                <c:pt idx="126">
                  <c:v>40000</c:v>
                </c:pt>
                <c:pt idx="127">
                  <c:v>40001</c:v>
                </c:pt>
                <c:pt idx="128">
                  <c:v>40002</c:v>
                </c:pt>
                <c:pt idx="129">
                  <c:v>40003</c:v>
                </c:pt>
                <c:pt idx="130">
                  <c:v>40004</c:v>
                </c:pt>
                <c:pt idx="131">
                  <c:v>40007</c:v>
                </c:pt>
                <c:pt idx="132">
                  <c:v>40008</c:v>
                </c:pt>
                <c:pt idx="133">
                  <c:v>40009</c:v>
                </c:pt>
                <c:pt idx="134">
                  <c:v>40010</c:v>
                </c:pt>
                <c:pt idx="135">
                  <c:v>40011</c:v>
                </c:pt>
                <c:pt idx="136">
                  <c:v>40014</c:v>
                </c:pt>
                <c:pt idx="137">
                  <c:v>40015</c:v>
                </c:pt>
                <c:pt idx="138">
                  <c:v>40016</c:v>
                </c:pt>
                <c:pt idx="139">
                  <c:v>40017</c:v>
                </c:pt>
                <c:pt idx="140">
                  <c:v>40018</c:v>
                </c:pt>
                <c:pt idx="141">
                  <c:v>40021</c:v>
                </c:pt>
                <c:pt idx="142">
                  <c:v>40022</c:v>
                </c:pt>
                <c:pt idx="143">
                  <c:v>40023</c:v>
                </c:pt>
                <c:pt idx="144">
                  <c:v>40024</c:v>
                </c:pt>
                <c:pt idx="145">
                  <c:v>40025</c:v>
                </c:pt>
                <c:pt idx="146">
                  <c:v>40028</c:v>
                </c:pt>
                <c:pt idx="147">
                  <c:v>40029</c:v>
                </c:pt>
                <c:pt idx="148">
                  <c:v>40030</c:v>
                </c:pt>
                <c:pt idx="149">
                  <c:v>40031</c:v>
                </c:pt>
                <c:pt idx="150">
                  <c:v>40032</c:v>
                </c:pt>
                <c:pt idx="151">
                  <c:v>40035</c:v>
                </c:pt>
                <c:pt idx="152">
                  <c:v>40036</c:v>
                </c:pt>
                <c:pt idx="153">
                  <c:v>40037</c:v>
                </c:pt>
                <c:pt idx="154">
                  <c:v>40038</c:v>
                </c:pt>
                <c:pt idx="155">
                  <c:v>40039</c:v>
                </c:pt>
                <c:pt idx="156">
                  <c:v>40042</c:v>
                </c:pt>
                <c:pt idx="157">
                  <c:v>40043</c:v>
                </c:pt>
                <c:pt idx="158">
                  <c:v>40044</c:v>
                </c:pt>
                <c:pt idx="159">
                  <c:v>40045</c:v>
                </c:pt>
                <c:pt idx="160">
                  <c:v>40046</c:v>
                </c:pt>
                <c:pt idx="161">
                  <c:v>40049</c:v>
                </c:pt>
                <c:pt idx="162">
                  <c:v>40050</c:v>
                </c:pt>
                <c:pt idx="163">
                  <c:v>40051</c:v>
                </c:pt>
                <c:pt idx="164">
                  <c:v>40052</c:v>
                </c:pt>
                <c:pt idx="165">
                  <c:v>40053</c:v>
                </c:pt>
                <c:pt idx="166">
                  <c:v>40056</c:v>
                </c:pt>
                <c:pt idx="167">
                  <c:v>40057</c:v>
                </c:pt>
                <c:pt idx="168">
                  <c:v>40058</c:v>
                </c:pt>
                <c:pt idx="169">
                  <c:v>40059</c:v>
                </c:pt>
                <c:pt idx="170">
                  <c:v>40060</c:v>
                </c:pt>
                <c:pt idx="171">
                  <c:v>40064</c:v>
                </c:pt>
                <c:pt idx="172">
                  <c:v>40065</c:v>
                </c:pt>
                <c:pt idx="173">
                  <c:v>40066</c:v>
                </c:pt>
                <c:pt idx="174">
                  <c:v>40067</c:v>
                </c:pt>
                <c:pt idx="175">
                  <c:v>40070</c:v>
                </c:pt>
                <c:pt idx="176">
                  <c:v>40071</c:v>
                </c:pt>
                <c:pt idx="177">
                  <c:v>40072</c:v>
                </c:pt>
                <c:pt idx="178">
                  <c:v>40073</c:v>
                </c:pt>
                <c:pt idx="179">
                  <c:v>40074</c:v>
                </c:pt>
                <c:pt idx="180">
                  <c:v>40077</c:v>
                </c:pt>
                <c:pt idx="181">
                  <c:v>40078</c:v>
                </c:pt>
                <c:pt idx="182">
                  <c:v>40079</c:v>
                </c:pt>
                <c:pt idx="183">
                  <c:v>40080</c:v>
                </c:pt>
                <c:pt idx="184">
                  <c:v>40081</c:v>
                </c:pt>
                <c:pt idx="185">
                  <c:v>40084</c:v>
                </c:pt>
                <c:pt idx="186">
                  <c:v>40085</c:v>
                </c:pt>
                <c:pt idx="187">
                  <c:v>40086</c:v>
                </c:pt>
                <c:pt idx="188">
                  <c:v>40087</c:v>
                </c:pt>
                <c:pt idx="189">
                  <c:v>40088</c:v>
                </c:pt>
                <c:pt idx="190">
                  <c:v>40091</c:v>
                </c:pt>
                <c:pt idx="191">
                  <c:v>40092</c:v>
                </c:pt>
                <c:pt idx="192">
                  <c:v>40093</c:v>
                </c:pt>
                <c:pt idx="193">
                  <c:v>40094</c:v>
                </c:pt>
                <c:pt idx="194">
                  <c:v>40095</c:v>
                </c:pt>
                <c:pt idx="195">
                  <c:v>40098</c:v>
                </c:pt>
                <c:pt idx="196">
                  <c:v>40099</c:v>
                </c:pt>
                <c:pt idx="197">
                  <c:v>40100</c:v>
                </c:pt>
                <c:pt idx="198">
                  <c:v>40101</c:v>
                </c:pt>
                <c:pt idx="199">
                  <c:v>40102</c:v>
                </c:pt>
                <c:pt idx="200">
                  <c:v>40105</c:v>
                </c:pt>
                <c:pt idx="201">
                  <c:v>40106</c:v>
                </c:pt>
                <c:pt idx="202">
                  <c:v>40107</c:v>
                </c:pt>
                <c:pt idx="203">
                  <c:v>40108</c:v>
                </c:pt>
                <c:pt idx="204">
                  <c:v>40109</c:v>
                </c:pt>
                <c:pt idx="205">
                  <c:v>40112</c:v>
                </c:pt>
                <c:pt idx="206">
                  <c:v>40113</c:v>
                </c:pt>
                <c:pt idx="207">
                  <c:v>40114</c:v>
                </c:pt>
                <c:pt idx="208">
                  <c:v>40115</c:v>
                </c:pt>
                <c:pt idx="209">
                  <c:v>40116</c:v>
                </c:pt>
                <c:pt idx="210">
                  <c:v>40119</c:v>
                </c:pt>
                <c:pt idx="211">
                  <c:v>40120</c:v>
                </c:pt>
                <c:pt idx="212">
                  <c:v>40121</c:v>
                </c:pt>
                <c:pt idx="213">
                  <c:v>40122</c:v>
                </c:pt>
                <c:pt idx="214">
                  <c:v>40123</c:v>
                </c:pt>
                <c:pt idx="215">
                  <c:v>40126</c:v>
                </c:pt>
                <c:pt idx="216">
                  <c:v>40127</c:v>
                </c:pt>
                <c:pt idx="217">
                  <c:v>40128</c:v>
                </c:pt>
                <c:pt idx="218">
                  <c:v>40129</c:v>
                </c:pt>
                <c:pt idx="219">
                  <c:v>40130</c:v>
                </c:pt>
                <c:pt idx="220">
                  <c:v>40133</c:v>
                </c:pt>
                <c:pt idx="221">
                  <c:v>40134</c:v>
                </c:pt>
                <c:pt idx="222">
                  <c:v>40135</c:v>
                </c:pt>
                <c:pt idx="223">
                  <c:v>40136</c:v>
                </c:pt>
                <c:pt idx="224">
                  <c:v>40137</c:v>
                </c:pt>
                <c:pt idx="225">
                  <c:v>40140</c:v>
                </c:pt>
                <c:pt idx="226">
                  <c:v>40141</c:v>
                </c:pt>
                <c:pt idx="227">
                  <c:v>40142</c:v>
                </c:pt>
                <c:pt idx="228">
                  <c:v>40144</c:v>
                </c:pt>
                <c:pt idx="229">
                  <c:v>40147</c:v>
                </c:pt>
                <c:pt idx="230">
                  <c:v>40148</c:v>
                </c:pt>
                <c:pt idx="231">
                  <c:v>40149</c:v>
                </c:pt>
                <c:pt idx="232">
                  <c:v>40150</c:v>
                </c:pt>
                <c:pt idx="233">
                  <c:v>40151</c:v>
                </c:pt>
                <c:pt idx="234">
                  <c:v>40154</c:v>
                </c:pt>
                <c:pt idx="235">
                  <c:v>40155</c:v>
                </c:pt>
                <c:pt idx="236">
                  <c:v>40156</c:v>
                </c:pt>
                <c:pt idx="237">
                  <c:v>40157</c:v>
                </c:pt>
                <c:pt idx="238">
                  <c:v>40158</c:v>
                </c:pt>
                <c:pt idx="239">
                  <c:v>40161</c:v>
                </c:pt>
                <c:pt idx="240">
                  <c:v>40162</c:v>
                </c:pt>
                <c:pt idx="241">
                  <c:v>40163</c:v>
                </c:pt>
                <c:pt idx="242">
                  <c:v>40164</c:v>
                </c:pt>
                <c:pt idx="243">
                  <c:v>40165</c:v>
                </c:pt>
                <c:pt idx="244">
                  <c:v>40168</c:v>
                </c:pt>
                <c:pt idx="245">
                  <c:v>40169</c:v>
                </c:pt>
                <c:pt idx="246">
                  <c:v>40170</c:v>
                </c:pt>
                <c:pt idx="247">
                  <c:v>40171</c:v>
                </c:pt>
                <c:pt idx="248">
                  <c:v>40175</c:v>
                </c:pt>
                <c:pt idx="249">
                  <c:v>40176</c:v>
                </c:pt>
                <c:pt idx="250">
                  <c:v>40177</c:v>
                </c:pt>
                <c:pt idx="251">
                  <c:v>40178</c:v>
                </c:pt>
                <c:pt idx="252">
                  <c:v>40182</c:v>
                </c:pt>
                <c:pt idx="253">
                  <c:v>40183</c:v>
                </c:pt>
                <c:pt idx="254">
                  <c:v>40184</c:v>
                </c:pt>
                <c:pt idx="255">
                  <c:v>40185</c:v>
                </c:pt>
                <c:pt idx="256">
                  <c:v>40186</c:v>
                </c:pt>
                <c:pt idx="257">
                  <c:v>40189</c:v>
                </c:pt>
                <c:pt idx="258">
                  <c:v>40190</c:v>
                </c:pt>
                <c:pt idx="259">
                  <c:v>40191</c:v>
                </c:pt>
                <c:pt idx="260">
                  <c:v>40192</c:v>
                </c:pt>
                <c:pt idx="261">
                  <c:v>40193</c:v>
                </c:pt>
                <c:pt idx="262">
                  <c:v>40197</c:v>
                </c:pt>
                <c:pt idx="263">
                  <c:v>40198</c:v>
                </c:pt>
                <c:pt idx="264">
                  <c:v>40199</c:v>
                </c:pt>
                <c:pt idx="265">
                  <c:v>40200</c:v>
                </c:pt>
                <c:pt idx="266">
                  <c:v>40203</c:v>
                </c:pt>
                <c:pt idx="267">
                  <c:v>40204</c:v>
                </c:pt>
                <c:pt idx="268">
                  <c:v>40205</c:v>
                </c:pt>
                <c:pt idx="269">
                  <c:v>40206</c:v>
                </c:pt>
                <c:pt idx="270">
                  <c:v>40207</c:v>
                </c:pt>
                <c:pt idx="271">
                  <c:v>40210</c:v>
                </c:pt>
                <c:pt idx="272">
                  <c:v>40211</c:v>
                </c:pt>
                <c:pt idx="273">
                  <c:v>40212</c:v>
                </c:pt>
                <c:pt idx="274">
                  <c:v>40213</c:v>
                </c:pt>
                <c:pt idx="275">
                  <c:v>40214</c:v>
                </c:pt>
                <c:pt idx="276">
                  <c:v>40217</c:v>
                </c:pt>
                <c:pt idx="277">
                  <c:v>40218</c:v>
                </c:pt>
                <c:pt idx="278">
                  <c:v>40219</c:v>
                </c:pt>
                <c:pt idx="279">
                  <c:v>40220</c:v>
                </c:pt>
                <c:pt idx="280">
                  <c:v>40221</c:v>
                </c:pt>
                <c:pt idx="281">
                  <c:v>40225</c:v>
                </c:pt>
                <c:pt idx="282">
                  <c:v>40226</c:v>
                </c:pt>
                <c:pt idx="283">
                  <c:v>40227</c:v>
                </c:pt>
                <c:pt idx="284">
                  <c:v>40228</c:v>
                </c:pt>
                <c:pt idx="285">
                  <c:v>40231</c:v>
                </c:pt>
                <c:pt idx="286">
                  <c:v>40232</c:v>
                </c:pt>
                <c:pt idx="287">
                  <c:v>40233</c:v>
                </c:pt>
                <c:pt idx="288">
                  <c:v>40234</c:v>
                </c:pt>
                <c:pt idx="289">
                  <c:v>40235</c:v>
                </c:pt>
                <c:pt idx="290">
                  <c:v>40238</c:v>
                </c:pt>
                <c:pt idx="291">
                  <c:v>40239</c:v>
                </c:pt>
                <c:pt idx="292">
                  <c:v>40240</c:v>
                </c:pt>
                <c:pt idx="293">
                  <c:v>40241</c:v>
                </c:pt>
                <c:pt idx="294">
                  <c:v>40242</c:v>
                </c:pt>
                <c:pt idx="295">
                  <c:v>40245</c:v>
                </c:pt>
                <c:pt idx="296">
                  <c:v>40246</c:v>
                </c:pt>
                <c:pt idx="297">
                  <c:v>40247</c:v>
                </c:pt>
                <c:pt idx="298">
                  <c:v>40248</c:v>
                </c:pt>
                <c:pt idx="299">
                  <c:v>40249</c:v>
                </c:pt>
                <c:pt idx="300">
                  <c:v>40252</c:v>
                </c:pt>
                <c:pt idx="301">
                  <c:v>40253</c:v>
                </c:pt>
                <c:pt idx="302">
                  <c:v>40254</c:v>
                </c:pt>
                <c:pt idx="303">
                  <c:v>40255</c:v>
                </c:pt>
                <c:pt idx="304">
                  <c:v>40256</c:v>
                </c:pt>
                <c:pt idx="305">
                  <c:v>40259</c:v>
                </c:pt>
                <c:pt idx="306">
                  <c:v>40260</c:v>
                </c:pt>
                <c:pt idx="307">
                  <c:v>40261</c:v>
                </c:pt>
                <c:pt idx="308">
                  <c:v>40262</c:v>
                </c:pt>
                <c:pt idx="309">
                  <c:v>40263</c:v>
                </c:pt>
                <c:pt idx="310">
                  <c:v>40266</c:v>
                </c:pt>
                <c:pt idx="311">
                  <c:v>40267</c:v>
                </c:pt>
                <c:pt idx="312">
                  <c:v>40268</c:v>
                </c:pt>
                <c:pt idx="313">
                  <c:v>40269</c:v>
                </c:pt>
                <c:pt idx="314">
                  <c:v>40273</c:v>
                </c:pt>
                <c:pt idx="315">
                  <c:v>40274</c:v>
                </c:pt>
                <c:pt idx="316">
                  <c:v>40275</c:v>
                </c:pt>
                <c:pt idx="317">
                  <c:v>40276</c:v>
                </c:pt>
                <c:pt idx="318">
                  <c:v>40277</c:v>
                </c:pt>
                <c:pt idx="319">
                  <c:v>40280</c:v>
                </c:pt>
                <c:pt idx="320">
                  <c:v>40281</c:v>
                </c:pt>
                <c:pt idx="321">
                  <c:v>40282</c:v>
                </c:pt>
                <c:pt idx="322">
                  <c:v>40283</c:v>
                </c:pt>
                <c:pt idx="323">
                  <c:v>40284</c:v>
                </c:pt>
                <c:pt idx="324">
                  <c:v>40287</c:v>
                </c:pt>
                <c:pt idx="325">
                  <c:v>40288</c:v>
                </c:pt>
                <c:pt idx="326">
                  <c:v>40289</c:v>
                </c:pt>
                <c:pt idx="327">
                  <c:v>40290</c:v>
                </c:pt>
                <c:pt idx="328">
                  <c:v>40291</c:v>
                </c:pt>
                <c:pt idx="329">
                  <c:v>40294</c:v>
                </c:pt>
                <c:pt idx="330">
                  <c:v>40295</c:v>
                </c:pt>
                <c:pt idx="331">
                  <c:v>40296</c:v>
                </c:pt>
                <c:pt idx="332">
                  <c:v>40297</c:v>
                </c:pt>
                <c:pt idx="333">
                  <c:v>40298</c:v>
                </c:pt>
                <c:pt idx="334">
                  <c:v>40301</c:v>
                </c:pt>
                <c:pt idx="335">
                  <c:v>40302</c:v>
                </c:pt>
                <c:pt idx="336">
                  <c:v>40303</c:v>
                </c:pt>
                <c:pt idx="337">
                  <c:v>40304</c:v>
                </c:pt>
                <c:pt idx="338">
                  <c:v>40305</c:v>
                </c:pt>
                <c:pt idx="339">
                  <c:v>40308</c:v>
                </c:pt>
                <c:pt idx="340">
                  <c:v>40309</c:v>
                </c:pt>
                <c:pt idx="341">
                  <c:v>40310</c:v>
                </c:pt>
                <c:pt idx="342">
                  <c:v>40311</c:v>
                </c:pt>
                <c:pt idx="343">
                  <c:v>40312</c:v>
                </c:pt>
                <c:pt idx="344">
                  <c:v>40315</c:v>
                </c:pt>
                <c:pt idx="345">
                  <c:v>40316</c:v>
                </c:pt>
                <c:pt idx="346">
                  <c:v>40317</c:v>
                </c:pt>
                <c:pt idx="347">
                  <c:v>40318</c:v>
                </c:pt>
                <c:pt idx="348">
                  <c:v>40319</c:v>
                </c:pt>
                <c:pt idx="349">
                  <c:v>40322</c:v>
                </c:pt>
                <c:pt idx="350">
                  <c:v>40323</c:v>
                </c:pt>
                <c:pt idx="351">
                  <c:v>40324</c:v>
                </c:pt>
                <c:pt idx="352">
                  <c:v>40325</c:v>
                </c:pt>
                <c:pt idx="353">
                  <c:v>40326</c:v>
                </c:pt>
                <c:pt idx="354">
                  <c:v>40330</c:v>
                </c:pt>
                <c:pt idx="355">
                  <c:v>40331</c:v>
                </c:pt>
                <c:pt idx="356">
                  <c:v>40332</c:v>
                </c:pt>
                <c:pt idx="357">
                  <c:v>40333</c:v>
                </c:pt>
                <c:pt idx="358">
                  <c:v>40336</c:v>
                </c:pt>
                <c:pt idx="359">
                  <c:v>40337</c:v>
                </c:pt>
                <c:pt idx="360">
                  <c:v>40338</c:v>
                </c:pt>
                <c:pt idx="361">
                  <c:v>40339</c:v>
                </c:pt>
                <c:pt idx="362">
                  <c:v>40340</c:v>
                </c:pt>
                <c:pt idx="363">
                  <c:v>40343</c:v>
                </c:pt>
                <c:pt idx="364">
                  <c:v>40344</c:v>
                </c:pt>
                <c:pt idx="365">
                  <c:v>40345</c:v>
                </c:pt>
                <c:pt idx="366">
                  <c:v>40346</c:v>
                </c:pt>
                <c:pt idx="367">
                  <c:v>40347</c:v>
                </c:pt>
                <c:pt idx="368">
                  <c:v>40350</c:v>
                </c:pt>
                <c:pt idx="369">
                  <c:v>40351</c:v>
                </c:pt>
                <c:pt idx="370">
                  <c:v>40352</c:v>
                </c:pt>
                <c:pt idx="371">
                  <c:v>40353</c:v>
                </c:pt>
                <c:pt idx="372">
                  <c:v>40354</c:v>
                </c:pt>
                <c:pt idx="373">
                  <c:v>40357</c:v>
                </c:pt>
                <c:pt idx="374">
                  <c:v>40358</c:v>
                </c:pt>
                <c:pt idx="375">
                  <c:v>40359</c:v>
                </c:pt>
                <c:pt idx="376">
                  <c:v>40360</c:v>
                </c:pt>
                <c:pt idx="377">
                  <c:v>40361</c:v>
                </c:pt>
                <c:pt idx="378">
                  <c:v>40365</c:v>
                </c:pt>
                <c:pt idx="379">
                  <c:v>40366</c:v>
                </c:pt>
                <c:pt idx="380">
                  <c:v>40367</c:v>
                </c:pt>
                <c:pt idx="381">
                  <c:v>40368</c:v>
                </c:pt>
                <c:pt idx="382">
                  <c:v>40371</c:v>
                </c:pt>
                <c:pt idx="383">
                  <c:v>40372</c:v>
                </c:pt>
                <c:pt idx="384">
                  <c:v>40373</c:v>
                </c:pt>
                <c:pt idx="385">
                  <c:v>40374</c:v>
                </c:pt>
                <c:pt idx="386">
                  <c:v>40375</c:v>
                </c:pt>
                <c:pt idx="387">
                  <c:v>40378</c:v>
                </c:pt>
                <c:pt idx="388">
                  <c:v>40379</c:v>
                </c:pt>
                <c:pt idx="389">
                  <c:v>40380</c:v>
                </c:pt>
                <c:pt idx="390">
                  <c:v>40381</c:v>
                </c:pt>
                <c:pt idx="391">
                  <c:v>40382</c:v>
                </c:pt>
                <c:pt idx="392">
                  <c:v>40385</c:v>
                </c:pt>
                <c:pt idx="393">
                  <c:v>40386</c:v>
                </c:pt>
                <c:pt idx="394">
                  <c:v>40387</c:v>
                </c:pt>
                <c:pt idx="395">
                  <c:v>40388</c:v>
                </c:pt>
                <c:pt idx="396">
                  <c:v>40389</c:v>
                </c:pt>
                <c:pt idx="397">
                  <c:v>40392</c:v>
                </c:pt>
                <c:pt idx="398">
                  <c:v>40393</c:v>
                </c:pt>
                <c:pt idx="399">
                  <c:v>40394</c:v>
                </c:pt>
                <c:pt idx="400">
                  <c:v>40395</c:v>
                </c:pt>
                <c:pt idx="401">
                  <c:v>40396</c:v>
                </c:pt>
                <c:pt idx="402">
                  <c:v>40399</c:v>
                </c:pt>
                <c:pt idx="403">
                  <c:v>40400</c:v>
                </c:pt>
                <c:pt idx="404">
                  <c:v>40401</c:v>
                </c:pt>
                <c:pt idx="405">
                  <c:v>40402</c:v>
                </c:pt>
                <c:pt idx="406">
                  <c:v>40403</c:v>
                </c:pt>
                <c:pt idx="407">
                  <c:v>40406</c:v>
                </c:pt>
                <c:pt idx="408">
                  <c:v>40407</c:v>
                </c:pt>
                <c:pt idx="409">
                  <c:v>40408</c:v>
                </c:pt>
                <c:pt idx="410">
                  <c:v>40409</c:v>
                </c:pt>
                <c:pt idx="411">
                  <c:v>40410</c:v>
                </c:pt>
                <c:pt idx="412">
                  <c:v>40413</c:v>
                </c:pt>
                <c:pt idx="413">
                  <c:v>40414</c:v>
                </c:pt>
                <c:pt idx="414">
                  <c:v>40415</c:v>
                </c:pt>
                <c:pt idx="415">
                  <c:v>40416</c:v>
                </c:pt>
                <c:pt idx="416">
                  <c:v>40417</c:v>
                </c:pt>
                <c:pt idx="417">
                  <c:v>40420</c:v>
                </c:pt>
                <c:pt idx="418">
                  <c:v>40421</c:v>
                </c:pt>
                <c:pt idx="419">
                  <c:v>40422</c:v>
                </c:pt>
                <c:pt idx="420">
                  <c:v>40423</c:v>
                </c:pt>
                <c:pt idx="421">
                  <c:v>40424</c:v>
                </c:pt>
                <c:pt idx="422">
                  <c:v>40428</c:v>
                </c:pt>
                <c:pt idx="423">
                  <c:v>40429</c:v>
                </c:pt>
                <c:pt idx="424">
                  <c:v>40430</c:v>
                </c:pt>
                <c:pt idx="425">
                  <c:v>40431</c:v>
                </c:pt>
                <c:pt idx="426">
                  <c:v>40434</c:v>
                </c:pt>
                <c:pt idx="427">
                  <c:v>40435</c:v>
                </c:pt>
                <c:pt idx="428">
                  <c:v>40436</c:v>
                </c:pt>
                <c:pt idx="429">
                  <c:v>40437</c:v>
                </c:pt>
                <c:pt idx="430">
                  <c:v>40438</c:v>
                </c:pt>
                <c:pt idx="431">
                  <c:v>40441</c:v>
                </c:pt>
                <c:pt idx="432">
                  <c:v>40442</c:v>
                </c:pt>
                <c:pt idx="433">
                  <c:v>40443</c:v>
                </c:pt>
                <c:pt idx="434">
                  <c:v>40444</c:v>
                </c:pt>
                <c:pt idx="435">
                  <c:v>40445</c:v>
                </c:pt>
                <c:pt idx="436">
                  <c:v>40448</c:v>
                </c:pt>
                <c:pt idx="437">
                  <c:v>40449</c:v>
                </c:pt>
                <c:pt idx="438">
                  <c:v>40450</c:v>
                </c:pt>
                <c:pt idx="439">
                  <c:v>40451</c:v>
                </c:pt>
                <c:pt idx="440">
                  <c:v>40452</c:v>
                </c:pt>
                <c:pt idx="441">
                  <c:v>40455</c:v>
                </c:pt>
                <c:pt idx="442">
                  <c:v>40456</c:v>
                </c:pt>
                <c:pt idx="443">
                  <c:v>40457</c:v>
                </c:pt>
                <c:pt idx="444">
                  <c:v>40458</c:v>
                </c:pt>
                <c:pt idx="445">
                  <c:v>40459</c:v>
                </c:pt>
                <c:pt idx="446">
                  <c:v>40462</c:v>
                </c:pt>
                <c:pt idx="447">
                  <c:v>40463</c:v>
                </c:pt>
                <c:pt idx="448">
                  <c:v>40464</c:v>
                </c:pt>
                <c:pt idx="449">
                  <c:v>40465</c:v>
                </c:pt>
                <c:pt idx="450">
                  <c:v>40466</c:v>
                </c:pt>
                <c:pt idx="451">
                  <c:v>40469</c:v>
                </c:pt>
                <c:pt idx="452">
                  <c:v>40470</c:v>
                </c:pt>
                <c:pt idx="453">
                  <c:v>40471</c:v>
                </c:pt>
                <c:pt idx="454">
                  <c:v>40472</c:v>
                </c:pt>
                <c:pt idx="455">
                  <c:v>40473</c:v>
                </c:pt>
                <c:pt idx="456">
                  <c:v>40476</c:v>
                </c:pt>
                <c:pt idx="457">
                  <c:v>40477</c:v>
                </c:pt>
                <c:pt idx="458">
                  <c:v>40478</c:v>
                </c:pt>
                <c:pt idx="459">
                  <c:v>40479</c:v>
                </c:pt>
                <c:pt idx="460">
                  <c:v>40480</c:v>
                </c:pt>
                <c:pt idx="461">
                  <c:v>40483</c:v>
                </c:pt>
                <c:pt idx="462">
                  <c:v>40484</c:v>
                </c:pt>
                <c:pt idx="463">
                  <c:v>40485</c:v>
                </c:pt>
                <c:pt idx="464">
                  <c:v>40486</c:v>
                </c:pt>
                <c:pt idx="465">
                  <c:v>40487</c:v>
                </c:pt>
                <c:pt idx="466">
                  <c:v>40490</c:v>
                </c:pt>
                <c:pt idx="467">
                  <c:v>40491</c:v>
                </c:pt>
                <c:pt idx="468">
                  <c:v>40492</c:v>
                </c:pt>
                <c:pt idx="469">
                  <c:v>40493</c:v>
                </c:pt>
                <c:pt idx="470">
                  <c:v>40494</c:v>
                </c:pt>
                <c:pt idx="471">
                  <c:v>40497</c:v>
                </c:pt>
                <c:pt idx="472">
                  <c:v>40498</c:v>
                </c:pt>
                <c:pt idx="473">
                  <c:v>40499</c:v>
                </c:pt>
                <c:pt idx="474">
                  <c:v>40500</c:v>
                </c:pt>
                <c:pt idx="475">
                  <c:v>40501</c:v>
                </c:pt>
                <c:pt idx="476">
                  <c:v>40504</c:v>
                </c:pt>
                <c:pt idx="477">
                  <c:v>40505</c:v>
                </c:pt>
                <c:pt idx="478">
                  <c:v>40506</c:v>
                </c:pt>
                <c:pt idx="479">
                  <c:v>40508</c:v>
                </c:pt>
                <c:pt idx="480">
                  <c:v>40511</c:v>
                </c:pt>
                <c:pt idx="481">
                  <c:v>40512</c:v>
                </c:pt>
                <c:pt idx="482">
                  <c:v>40513</c:v>
                </c:pt>
                <c:pt idx="483">
                  <c:v>40514</c:v>
                </c:pt>
                <c:pt idx="484">
                  <c:v>40515</c:v>
                </c:pt>
                <c:pt idx="485">
                  <c:v>40518</c:v>
                </c:pt>
                <c:pt idx="486">
                  <c:v>40519</c:v>
                </c:pt>
                <c:pt idx="487">
                  <c:v>40520</c:v>
                </c:pt>
                <c:pt idx="488">
                  <c:v>40521</c:v>
                </c:pt>
                <c:pt idx="489">
                  <c:v>40522</c:v>
                </c:pt>
                <c:pt idx="490">
                  <c:v>40525</c:v>
                </c:pt>
                <c:pt idx="491">
                  <c:v>40526</c:v>
                </c:pt>
                <c:pt idx="492">
                  <c:v>40527</c:v>
                </c:pt>
                <c:pt idx="493">
                  <c:v>40528</c:v>
                </c:pt>
                <c:pt idx="494">
                  <c:v>40529</c:v>
                </c:pt>
                <c:pt idx="495">
                  <c:v>40532</c:v>
                </c:pt>
                <c:pt idx="496">
                  <c:v>40533</c:v>
                </c:pt>
                <c:pt idx="497">
                  <c:v>40534</c:v>
                </c:pt>
                <c:pt idx="498">
                  <c:v>40535</c:v>
                </c:pt>
                <c:pt idx="499">
                  <c:v>40539</c:v>
                </c:pt>
                <c:pt idx="500">
                  <c:v>40540</c:v>
                </c:pt>
                <c:pt idx="501">
                  <c:v>40541</c:v>
                </c:pt>
                <c:pt idx="502">
                  <c:v>40542</c:v>
                </c:pt>
                <c:pt idx="503">
                  <c:v>40543</c:v>
                </c:pt>
                <c:pt idx="504">
                  <c:v>40546</c:v>
                </c:pt>
                <c:pt idx="505">
                  <c:v>40547</c:v>
                </c:pt>
                <c:pt idx="506">
                  <c:v>40548</c:v>
                </c:pt>
                <c:pt idx="507">
                  <c:v>40549</c:v>
                </c:pt>
                <c:pt idx="508">
                  <c:v>40550</c:v>
                </c:pt>
                <c:pt idx="509">
                  <c:v>40553</c:v>
                </c:pt>
                <c:pt idx="510">
                  <c:v>40554</c:v>
                </c:pt>
                <c:pt idx="511">
                  <c:v>40555</c:v>
                </c:pt>
                <c:pt idx="512">
                  <c:v>40556</c:v>
                </c:pt>
                <c:pt idx="513">
                  <c:v>40557</c:v>
                </c:pt>
                <c:pt idx="514">
                  <c:v>40561</c:v>
                </c:pt>
                <c:pt idx="515">
                  <c:v>40562</c:v>
                </c:pt>
                <c:pt idx="516">
                  <c:v>40563</c:v>
                </c:pt>
                <c:pt idx="517">
                  <c:v>40564</c:v>
                </c:pt>
                <c:pt idx="518">
                  <c:v>40567</c:v>
                </c:pt>
                <c:pt idx="519">
                  <c:v>40568</c:v>
                </c:pt>
                <c:pt idx="520">
                  <c:v>40569</c:v>
                </c:pt>
                <c:pt idx="521">
                  <c:v>40570</c:v>
                </c:pt>
                <c:pt idx="522">
                  <c:v>40571</c:v>
                </c:pt>
                <c:pt idx="523">
                  <c:v>40574</c:v>
                </c:pt>
                <c:pt idx="524">
                  <c:v>40575</c:v>
                </c:pt>
                <c:pt idx="525">
                  <c:v>40576</c:v>
                </c:pt>
                <c:pt idx="526">
                  <c:v>40577</c:v>
                </c:pt>
                <c:pt idx="527">
                  <c:v>40578</c:v>
                </c:pt>
                <c:pt idx="528">
                  <c:v>40581</c:v>
                </c:pt>
                <c:pt idx="529">
                  <c:v>40582</c:v>
                </c:pt>
                <c:pt idx="530">
                  <c:v>40583</c:v>
                </c:pt>
                <c:pt idx="531">
                  <c:v>40584</c:v>
                </c:pt>
                <c:pt idx="532">
                  <c:v>40585</c:v>
                </c:pt>
                <c:pt idx="533">
                  <c:v>40588</c:v>
                </c:pt>
                <c:pt idx="534">
                  <c:v>40589</c:v>
                </c:pt>
                <c:pt idx="535">
                  <c:v>40590</c:v>
                </c:pt>
                <c:pt idx="536">
                  <c:v>40591</c:v>
                </c:pt>
                <c:pt idx="537">
                  <c:v>40592</c:v>
                </c:pt>
                <c:pt idx="538">
                  <c:v>40596</c:v>
                </c:pt>
                <c:pt idx="539">
                  <c:v>40597</c:v>
                </c:pt>
                <c:pt idx="540">
                  <c:v>40598</c:v>
                </c:pt>
                <c:pt idx="541">
                  <c:v>40599</c:v>
                </c:pt>
                <c:pt idx="542">
                  <c:v>40602</c:v>
                </c:pt>
                <c:pt idx="543">
                  <c:v>40603</c:v>
                </c:pt>
                <c:pt idx="544">
                  <c:v>40604</c:v>
                </c:pt>
                <c:pt idx="545">
                  <c:v>40605</c:v>
                </c:pt>
                <c:pt idx="546">
                  <c:v>40606</c:v>
                </c:pt>
                <c:pt idx="547">
                  <c:v>40609</c:v>
                </c:pt>
                <c:pt idx="548">
                  <c:v>40610</c:v>
                </c:pt>
                <c:pt idx="549">
                  <c:v>40611</c:v>
                </c:pt>
                <c:pt idx="550">
                  <c:v>40612</c:v>
                </c:pt>
                <c:pt idx="551">
                  <c:v>40613</c:v>
                </c:pt>
                <c:pt idx="552">
                  <c:v>40616</c:v>
                </c:pt>
                <c:pt idx="553">
                  <c:v>40617</c:v>
                </c:pt>
                <c:pt idx="554">
                  <c:v>40618</c:v>
                </c:pt>
                <c:pt idx="555">
                  <c:v>40619</c:v>
                </c:pt>
                <c:pt idx="556">
                  <c:v>40620</c:v>
                </c:pt>
                <c:pt idx="557">
                  <c:v>40623</c:v>
                </c:pt>
                <c:pt idx="558">
                  <c:v>40624</c:v>
                </c:pt>
                <c:pt idx="559">
                  <c:v>40625</c:v>
                </c:pt>
                <c:pt idx="560">
                  <c:v>40626</c:v>
                </c:pt>
                <c:pt idx="561">
                  <c:v>40627</c:v>
                </c:pt>
                <c:pt idx="562">
                  <c:v>40630</c:v>
                </c:pt>
                <c:pt idx="563">
                  <c:v>40631</c:v>
                </c:pt>
                <c:pt idx="564">
                  <c:v>40632</c:v>
                </c:pt>
                <c:pt idx="565">
                  <c:v>40633</c:v>
                </c:pt>
                <c:pt idx="566">
                  <c:v>40634</c:v>
                </c:pt>
                <c:pt idx="567">
                  <c:v>40637</c:v>
                </c:pt>
                <c:pt idx="568">
                  <c:v>40638</c:v>
                </c:pt>
                <c:pt idx="569">
                  <c:v>40639</c:v>
                </c:pt>
                <c:pt idx="570">
                  <c:v>40640</c:v>
                </c:pt>
                <c:pt idx="571">
                  <c:v>40641</c:v>
                </c:pt>
                <c:pt idx="572">
                  <c:v>40644</c:v>
                </c:pt>
                <c:pt idx="573">
                  <c:v>40645</c:v>
                </c:pt>
                <c:pt idx="574">
                  <c:v>40646</c:v>
                </c:pt>
                <c:pt idx="575">
                  <c:v>40647</c:v>
                </c:pt>
                <c:pt idx="576">
                  <c:v>40648</c:v>
                </c:pt>
                <c:pt idx="577">
                  <c:v>40651</c:v>
                </c:pt>
                <c:pt idx="578">
                  <c:v>40652</c:v>
                </c:pt>
                <c:pt idx="579">
                  <c:v>40653</c:v>
                </c:pt>
                <c:pt idx="580">
                  <c:v>40654</c:v>
                </c:pt>
                <c:pt idx="581">
                  <c:v>40658</c:v>
                </c:pt>
                <c:pt idx="582">
                  <c:v>40659</c:v>
                </c:pt>
                <c:pt idx="583">
                  <c:v>40660</c:v>
                </c:pt>
                <c:pt idx="584">
                  <c:v>40661</c:v>
                </c:pt>
                <c:pt idx="585">
                  <c:v>40662</c:v>
                </c:pt>
                <c:pt idx="586">
                  <c:v>40665</c:v>
                </c:pt>
                <c:pt idx="587">
                  <c:v>40666</c:v>
                </c:pt>
                <c:pt idx="588">
                  <c:v>40667</c:v>
                </c:pt>
                <c:pt idx="589">
                  <c:v>40668</c:v>
                </c:pt>
                <c:pt idx="590">
                  <c:v>40669</c:v>
                </c:pt>
                <c:pt idx="591">
                  <c:v>40672</c:v>
                </c:pt>
                <c:pt idx="592">
                  <c:v>40673</c:v>
                </c:pt>
                <c:pt idx="593">
                  <c:v>40674</c:v>
                </c:pt>
                <c:pt idx="594">
                  <c:v>40675</c:v>
                </c:pt>
                <c:pt idx="595">
                  <c:v>40676</c:v>
                </c:pt>
                <c:pt idx="596">
                  <c:v>40679</c:v>
                </c:pt>
                <c:pt idx="597">
                  <c:v>40680</c:v>
                </c:pt>
                <c:pt idx="598">
                  <c:v>40681</c:v>
                </c:pt>
                <c:pt idx="599">
                  <c:v>40682</c:v>
                </c:pt>
                <c:pt idx="600">
                  <c:v>40683</c:v>
                </c:pt>
                <c:pt idx="601">
                  <c:v>40686</c:v>
                </c:pt>
                <c:pt idx="602">
                  <c:v>40687</c:v>
                </c:pt>
                <c:pt idx="603">
                  <c:v>40688</c:v>
                </c:pt>
                <c:pt idx="604">
                  <c:v>40689</c:v>
                </c:pt>
                <c:pt idx="605">
                  <c:v>40690</c:v>
                </c:pt>
                <c:pt idx="606">
                  <c:v>40694</c:v>
                </c:pt>
                <c:pt idx="607">
                  <c:v>40695</c:v>
                </c:pt>
                <c:pt idx="608">
                  <c:v>40696</c:v>
                </c:pt>
                <c:pt idx="609">
                  <c:v>40697</c:v>
                </c:pt>
                <c:pt idx="610">
                  <c:v>40700</c:v>
                </c:pt>
                <c:pt idx="611">
                  <c:v>40701</c:v>
                </c:pt>
                <c:pt idx="612">
                  <c:v>40702</c:v>
                </c:pt>
                <c:pt idx="613">
                  <c:v>40703</c:v>
                </c:pt>
                <c:pt idx="614">
                  <c:v>40704</c:v>
                </c:pt>
                <c:pt idx="615">
                  <c:v>40707</c:v>
                </c:pt>
                <c:pt idx="616">
                  <c:v>40708</c:v>
                </c:pt>
                <c:pt idx="617">
                  <c:v>40709</c:v>
                </c:pt>
                <c:pt idx="618">
                  <c:v>40710</c:v>
                </c:pt>
                <c:pt idx="619">
                  <c:v>40711</c:v>
                </c:pt>
                <c:pt idx="620">
                  <c:v>40714</c:v>
                </c:pt>
                <c:pt idx="621">
                  <c:v>40715</c:v>
                </c:pt>
                <c:pt idx="622">
                  <c:v>40716</c:v>
                </c:pt>
                <c:pt idx="623">
                  <c:v>40717</c:v>
                </c:pt>
                <c:pt idx="624">
                  <c:v>40718</c:v>
                </c:pt>
                <c:pt idx="625">
                  <c:v>40721</c:v>
                </c:pt>
                <c:pt idx="626">
                  <c:v>40722</c:v>
                </c:pt>
                <c:pt idx="627">
                  <c:v>40723</c:v>
                </c:pt>
                <c:pt idx="628">
                  <c:v>40724</c:v>
                </c:pt>
                <c:pt idx="629">
                  <c:v>40725</c:v>
                </c:pt>
                <c:pt idx="630">
                  <c:v>40729</c:v>
                </c:pt>
                <c:pt idx="631">
                  <c:v>40730</c:v>
                </c:pt>
                <c:pt idx="632">
                  <c:v>40731</c:v>
                </c:pt>
                <c:pt idx="633">
                  <c:v>40732</c:v>
                </c:pt>
                <c:pt idx="634">
                  <c:v>40735</c:v>
                </c:pt>
                <c:pt idx="635">
                  <c:v>40736</c:v>
                </c:pt>
                <c:pt idx="636">
                  <c:v>40737</c:v>
                </c:pt>
                <c:pt idx="637">
                  <c:v>40738</c:v>
                </c:pt>
                <c:pt idx="638">
                  <c:v>40739</c:v>
                </c:pt>
                <c:pt idx="639">
                  <c:v>40742</c:v>
                </c:pt>
                <c:pt idx="640">
                  <c:v>40743</c:v>
                </c:pt>
                <c:pt idx="641">
                  <c:v>40744</c:v>
                </c:pt>
                <c:pt idx="642">
                  <c:v>40745</c:v>
                </c:pt>
                <c:pt idx="643">
                  <c:v>40746</c:v>
                </c:pt>
                <c:pt idx="644">
                  <c:v>40749</c:v>
                </c:pt>
                <c:pt idx="645">
                  <c:v>40750</c:v>
                </c:pt>
                <c:pt idx="646">
                  <c:v>40751</c:v>
                </c:pt>
                <c:pt idx="647">
                  <c:v>40752</c:v>
                </c:pt>
                <c:pt idx="648">
                  <c:v>40753</c:v>
                </c:pt>
                <c:pt idx="649">
                  <c:v>40756</c:v>
                </c:pt>
                <c:pt idx="650">
                  <c:v>40757</c:v>
                </c:pt>
                <c:pt idx="651">
                  <c:v>40758</c:v>
                </c:pt>
                <c:pt idx="652">
                  <c:v>40759</c:v>
                </c:pt>
                <c:pt idx="653">
                  <c:v>40760</c:v>
                </c:pt>
                <c:pt idx="654">
                  <c:v>40763</c:v>
                </c:pt>
                <c:pt idx="655">
                  <c:v>40764</c:v>
                </c:pt>
                <c:pt idx="656">
                  <c:v>40765</c:v>
                </c:pt>
                <c:pt idx="657">
                  <c:v>40766</c:v>
                </c:pt>
                <c:pt idx="658">
                  <c:v>40767</c:v>
                </c:pt>
                <c:pt idx="659">
                  <c:v>40770</c:v>
                </c:pt>
                <c:pt idx="660">
                  <c:v>40771</c:v>
                </c:pt>
                <c:pt idx="661">
                  <c:v>40772</c:v>
                </c:pt>
                <c:pt idx="662">
                  <c:v>40773</c:v>
                </c:pt>
                <c:pt idx="663">
                  <c:v>40774</c:v>
                </c:pt>
                <c:pt idx="664">
                  <c:v>40777</c:v>
                </c:pt>
                <c:pt idx="665">
                  <c:v>40778</c:v>
                </c:pt>
                <c:pt idx="666">
                  <c:v>40779</c:v>
                </c:pt>
                <c:pt idx="667">
                  <c:v>40780</c:v>
                </c:pt>
                <c:pt idx="668">
                  <c:v>40781</c:v>
                </c:pt>
                <c:pt idx="669">
                  <c:v>40784</c:v>
                </c:pt>
                <c:pt idx="670">
                  <c:v>40785</c:v>
                </c:pt>
                <c:pt idx="671">
                  <c:v>40786</c:v>
                </c:pt>
                <c:pt idx="672">
                  <c:v>40787</c:v>
                </c:pt>
                <c:pt idx="673">
                  <c:v>40788</c:v>
                </c:pt>
                <c:pt idx="674">
                  <c:v>40792</c:v>
                </c:pt>
                <c:pt idx="675">
                  <c:v>40793</c:v>
                </c:pt>
                <c:pt idx="676">
                  <c:v>40794</c:v>
                </c:pt>
                <c:pt idx="677">
                  <c:v>40795</c:v>
                </c:pt>
                <c:pt idx="678">
                  <c:v>40798</c:v>
                </c:pt>
                <c:pt idx="679">
                  <c:v>40799</c:v>
                </c:pt>
                <c:pt idx="680">
                  <c:v>40800</c:v>
                </c:pt>
                <c:pt idx="681">
                  <c:v>40801</c:v>
                </c:pt>
                <c:pt idx="682">
                  <c:v>40802</c:v>
                </c:pt>
                <c:pt idx="683">
                  <c:v>40805</c:v>
                </c:pt>
                <c:pt idx="684">
                  <c:v>40806</c:v>
                </c:pt>
                <c:pt idx="685">
                  <c:v>40807</c:v>
                </c:pt>
                <c:pt idx="686">
                  <c:v>40808</c:v>
                </c:pt>
                <c:pt idx="687">
                  <c:v>40809</c:v>
                </c:pt>
                <c:pt idx="688">
                  <c:v>40812</c:v>
                </c:pt>
                <c:pt idx="689">
                  <c:v>40813</c:v>
                </c:pt>
                <c:pt idx="690">
                  <c:v>40814</c:v>
                </c:pt>
                <c:pt idx="691">
                  <c:v>40815</c:v>
                </c:pt>
                <c:pt idx="692">
                  <c:v>40816</c:v>
                </c:pt>
                <c:pt idx="693">
                  <c:v>40819</c:v>
                </c:pt>
                <c:pt idx="694">
                  <c:v>40820</c:v>
                </c:pt>
                <c:pt idx="695">
                  <c:v>40821</c:v>
                </c:pt>
                <c:pt idx="696">
                  <c:v>40822</c:v>
                </c:pt>
                <c:pt idx="697">
                  <c:v>40823</c:v>
                </c:pt>
                <c:pt idx="698">
                  <c:v>40826</c:v>
                </c:pt>
                <c:pt idx="699">
                  <c:v>40827</c:v>
                </c:pt>
                <c:pt idx="700">
                  <c:v>40828</c:v>
                </c:pt>
                <c:pt idx="701">
                  <c:v>40829</c:v>
                </c:pt>
                <c:pt idx="702">
                  <c:v>40830</c:v>
                </c:pt>
                <c:pt idx="703">
                  <c:v>40833</c:v>
                </c:pt>
                <c:pt idx="704">
                  <c:v>40834</c:v>
                </c:pt>
                <c:pt idx="705">
                  <c:v>40835</c:v>
                </c:pt>
                <c:pt idx="706">
                  <c:v>40836</c:v>
                </c:pt>
                <c:pt idx="707">
                  <c:v>40837</c:v>
                </c:pt>
                <c:pt idx="708">
                  <c:v>40840</c:v>
                </c:pt>
                <c:pt idx="709">
                  <c:v>40841</c:v>
                </c:pt>
                <c:pt idx="710">
                  <c:v>40842</c:v>
                </c:pt>
                <c:pt idx="711">
                  <c:v>40843</c:v>
                </c:pt>
                <c:pt idx="712">
                  <c:v>40844</c:v>
                </c:pt>
                <c:pt idx="713">
                  <c:v>40847</c:v>
                </c:pt>
                <c:pt idx="714">
                  <c:v>40848</c:v>
                </c:pt>
                <c:pt idx="715">
                  <c:v>40849</c:v>
                </c:pt>
                <c:pt idx="716">
                  <c:v>40850</c:v>
                </c:pt>
                <c:pt idx="717">
                  <c:v>40851</c:v>
                </c:pt>
                <c:pt idx="718">
                  <c:v>40854</c:v>
                </c:pt>
                <c:pt idx="719">
                  <c:v>40855</c:v>
                </c:pt>
                <c:pt idx="720">
                  <c:v>40856</c:v>
                </c:pt>
                <c:pt idx="721">
                  <c:v>40857</c:v>
                </c:pt>
                <c:pt idx="722">
                  <c:v>40858</c:v>
                </c:pt>
                <c:pt idx="723">
                  <c:v>40861</c:v>
                </c:pt>
                <c:pt idx="724">
                  <c:v>40862</c:v>
                </c:pt>
                <c:pt idx="725">
                  <c:v>40863</c:v>
                </c:pt>
                <c:pt idx="726">
                  <c:v>40864</c:v>
                </c:pt>
                <c:pt idx="727">
                  <c:v>40865</c:v>
                </c:pt>
                <c:pt idx="728">
                  <c:v>40868</c:v>
                </c:pt>
                <c:pt idx="729">
                  <c:v>40869</c:v>
                </c:pt>
                <c:pt idx="730">
                  <c:v>40870</c:v>
                </c:pt>
                <c:pt idx="731">
                  <c:v>40872</c:v>
                </c:pt>
                <c:pt idx="732">
                  <c:v>40875</c:v>
                </c:pt>
                <c:pt idx="733">
                  <c:v>40876</c:v>
                </c:pt>
                <c:pt idx="734">
                  <c:v>40877</c:v>
                </c:pt>
                <c:pt idx="735">
                  <c:v>40878</c:v>
                </c:pt>
                <c:pt idx="736">
                  <c:v>40879</c:v>
                </c:pt>
                <c:pt idx="737">
                  <c:v>40882</c:v>
                </c:pt>
                <c:pt idx="738">
                  <c:v>40883</c:v>
                </c:pt>
                <c:pt idx="739">
                  <c:v>40884</c:v>
                </c:pt>
                <c:pt idx="740">
                  <c:v>40885</c:v>
                </c:pt>
                <c:pt idx="741">
                  <c:v>40886</c:v>
                </c:pt>
                <c:pt idx="742">
                  <c:v>40889</c:v>
                </c:pt>
                <c:pt idx="743">
                  <c:v>40890</c:v>
                </c:pt>
                <c:pt idx="744">
                  <c:v>40891</c:v>
                </c:pt>
                <c:pt idx="745">
                  <c:v>40892</c:v>
                </c:pt>
                <c:pt idx="746">
                  <c:v>40893</c:v>
                </c:pt>
                <c:pt idx="747">
                  <c:v>40896</c:v>
                </c:pt>
                <c:pt idx="748">
                  <c:v>40897</c:v>
                </c:pt>
                <c:pt idx="749">
                  <c:v>40898</c:v>
                </c:pt>
                <c:pt idx="750">
                  <c:v>40899</c:v>
                </c:pt>
                <c:pt idx="751">
                  <c:v>40900</c:v>
                </c:pt>
                <c:pt idx="752">
                  <c:v>40904</c:v>
                </c:pt>
                <c:pt idx="753">
                  <c:v>40905</c:v>
                </c:pt>
                <c:pt idx="754">
                  <c:v>40906</c:v>
                </c:pt>
                <c:pt idx="755">
                  <c:v>40907</c:v>
                </c:pt>
                <c:pt idx="756">
                  <c:v>40911</c:v>
                </c:pt>
                <c:pt idx="757">
                  <c:v>40912</c:v>
                </c:pt>
                <c:pt idx="758">
                  <c:v>40913</c:v>
                </c:pt>
                <c:pt idx="759">
                  <c:v>40914</c:v>
                </c:pt>
                <c:pt idx="760">
                  <c:v>40917</c:v>
                </c:pt>
                <c:pt idx="761">
                  <c:v>40918</c:v>
                </c:pt>
                <c:pt idx="762">
                  <c:v>40919</c:v>
                </c:pt>
                <c:pt idx="763">
                  <c:v>40920</c:v>
                </c:pt>
                <c:pt idx="764">
                  <c:v>40921</c:v>
                </c:pt>
                <c:pt idx="765">
                  <c:v>40925</c:v>
                </c:pt>
                <c:pt idx="766">
                  <c:v>40926</c:v>
                </c:pt>
                <c:pt idx="767">
                  <c:v>40927</c:v>
                </c:pt>
                <c:pt idx="768">
                  <c:v>40928</c:v>
                </c:pt>
                <c:pt idx="769">
                  <c:v>40931</c:v>
                </c:pt>
                <c:pt idx="770">
                  <c:v>40932</c:v>
                </c:pt>
                <c:pt idx="771">
                  <c:v>40933</c:v>
                </c:pt>
                <c:pt idx="772">
                  <c:v>40934</c:v>
                </c:pt>
                <c:pt idx="773">
                  <c:v>40935</c:v>
                </c:pt>
                <c:pt idx="774">
                  <c:v>40938</c:v>
                </c:pt>
                <c:pt idx="775">
                  <c:v>40939</c:v>
                </c:pt>
                <c:pt idx="776">
                  <c:v>40940</c:v>
                </c:pt>
                <c:pt idx="777">
                  <c:v>40941</c:v>
                </c:pt>
                <c:pt idx="778">
                  <c:v>40942</c:v>
                </c:pt>
                <c:pt idx="779">
                  <c:v>40945</c:v>
                </c:pt>
                <c:pt idx="780">
                  <c:v>40946</c:v>
                </c:pt>
                <c:pt idx="781">
                  <c:v>40947</c:v>
                </c:pt>
                <c:pt idx="782">
                  <c:v>40948</c:v>
                </c:pt>
                <c:pt idx="783">
                  <c:v>40949</c:v>
                </c:pt>
                <c:pt idx="784">
                  <c:v>40952</c:v>
                </c:pt>
                <c:pt idx="785">
                  <c:v>40953</c:v>
                </c:pt>
                <c:pt idx="786">
                  <c:v>40954</c:v>
                </c:pt>
                <c:pt idx="787">
                  <c:v>40955</c:v>
                </c:pt>
                <c:pt idx="788">
                  <c:v>40956</c:v>
                </c:pt>
                <c:pt idx="789">
                  <c:v>40960</c:v>
                </c:pt>
                <c:pt idx="790">
                  <c:v>40961</c:v>
                </c:pt>
                <c:pt idx="791">
                  <c:v>40962</c:v>
                </c:pt>
                <c:pt idx="792">
                  <c:v>40963</c:v>
                </c:pt>
                <c:pt idx="793">
                  <c:v>40966</c:v>
                </c:pt>
                <c:pt idx="794">
                  <c:v>40967</c:v>
                </c:pt>
                <c:pt idx="795">
                  <c:v>40968</c:v>
                </c:pt>
                <c:pt idx="796">
                  <c:v>40969</c:v>
                </c:pt>
                <c:pt idx="797">
                  <c:v>40970</c:v>
                </c:pt>
                <c:pt idx="798">
                  <c:v>40973</c:v>
                </c:pt>
                <c:pt idx="799">
                  <c:v>40974</c:v>
                </c:pt>
                <c:pt idx="800">
                  <c:v>40975</c:v>
                </c:pt>
                <c:pt idx="801">
                  <c:v>40976</c:v>
                </c:pt>
                <c:pt idx="802">
                  <c:v>40977</c:v>
                </c:pt>
                <c:pt idx="803">
                  <c:v>40980</c:v>
                </c:pt>
                <c:pt idx="804">
                  <c:v>40981</c:v>
                </c:pt>
                <c:pt idx="805">
                  <c:v>40982</c:v>
                </c:pt>
                <c:pt idx="806">
                  <c:v>40983</c:v>
                </c:pt>
                <c:pt idx="807">
                  <c:v>40984</c:v>
                </c:pt>
                <c:pt idx="808">
                  <c:v>40987</c:v>
                </c:pt>
                <c:pt idx="809">
                  <c:v>40988</c:v>
                </c:pt>
                <c:pt idx="810">
                  <c:v>40989</c:v>
                </c:pt>
                <c:pt idx="811">
                  <c:v>40990</c:v>
                </c:pt>
                <c:pt idx="812">
                  <c:v>40991</c:v>
                </c:pt>
                <c:pt idx="813">
                  <c:v>40994</c:v>
                </c:pt>
                <c:pt idx="814">
                  <c:v>40995</c:v>
                </c:pt>
                <c:pt idx="815">
                  <c:v>40996</c:v>
                </c:pt>
                <c:pt idx="816">
                  <c:v>40997</c:v>
                </c:pt>
                <c:pt idx="817">
                  <c:v>40998</c:v>
                </c:pt>
                <c:pt idx="818">
                  <c:v>41001</c:v>
                </c:pt>
                <c:pt idx="819">
                  <c:v>41002</c:v>
                </c:pt>
                <c:pt idx="820">
                  <c:v>41003</c:v>
                </c:pt>
                <c:pt idx="821">
                  <c:v>41004</c:v>
                </c:pt>
                <c:pt idx="822">
                  <c:v>41008</c:v>
                </c:pt>
                <c:pt idx="823">
                  <c:v>41009</c:v>
                </c:pt>
                <c:pt idx="824">
                  <c:v>41010</c:v>
                </c:pt>
                <c:pt idx="825">
                  <c:v>41011</c:v>
                </c:pt>
                <c:pt idx="826">
                  <c:v>41012</c:v>
                </c:pt>
                <c:pt idx="827">
                  <c:v>41015</c:v>
                </c:pt>
                <c:pt idx="828">
                  <c:v>41016</c:v>
                </c:pt>
                <c:pt idx="829">
                  <c:v>41017</c:v>
                </c:pt>
                <c:pt idx="830">
                  <c:v>41018</c:v>
                </c:pt>
                <c:pt idx="831">
                  <c:v>41019</c:v>
                </c:pt>
                <c:pt idx="832">
                  <c:v>41022</c:v>
                </c:pt>
                <c:pt idx="833">
                  <c:v>41023</c:v>
                </c:pt>
                <c:pt idx="834">
                  <c:v>41024</c:v>
                </c:pt>
                <c:pt idx="835">
                  <c:v>41025</c:v>
                </c:pt>
                <c:pt idx="836">
                  <c:v>41026</c:v>
                </c:pt>
                <c:pt idx="837">
                  <c:v>41029</c:v>
                </c:pt>
                <c:pt idx="838">
                  <c:v>41030</c:v>
                </c:pt>
                <c:pt idx="839">
                  <c:v>41031</c:v>
                </c:pt>
                <c:pt idx="840">
                  <c:v>41032</c:v>
                </c:pt>
                <c:pt idx="841">
                  <c:v>41033</c:v>
                </c:pt>
                <c:pt idx="842">
                  <c:v>41036</c:v>
                </c:pt>
                <c:pt idx="843">
                  <c:v>41037</c:v>
                </c:pt>
                <c:pt idx="844">
                  <c:v>41038</c:v>
                </c:pt>
                <c:pt idx="845">
                  <c:v>41039</c:v>
                </c:pt>
                <c:pt idx="846">
                  <c:v>41040</c:v>
                </c:pt>
                <c:pt idx="847">
                  <c:v>41043</c:v>
                </c:pt>
                <c:pt idx="848">
                  <c:v>41044</c:v>
                </c:pt>
                <c:pt idx="849">
                  <c:v>41045</c:v>
                </c:pt>
                <c:pt idx="850">
                  <c:v>41046</c:v>
                </c:pt>
                <c:pt idx="851">
                  <c:v>41047</c:v>
                </c:pt>
                <c:pt idx="852">
                  <c:v>41050</c:v>
                </c:pt>
                <c:pt idx="853">
                  <c:v>41051</c:v>
                </c:pt>
                <c:pt idx="854">
                  <c:v>41052</c:v>
                </c:pt>
                <c:pt idx="855">
                  <c:v>41053</c:v>
                </c:pt>
                <c:pt idx="856">
                  <c:v>41054</c:v>
                </c:pt>
                <c:pt idx="857">
                  <c:v>41058</c:v>
                </c:pt>
                <c:pt idx="858">
                  <c:v>41059</c:v>
                </c:pt>
                <c:pt idx="859">
                  <c:v>41060</c:v>
                </c:pt>
                <c:pt idx="860">
                  <c:v>41061</c:v>
                </c:pt>
                <c:pt idx="861">
                  <c:v>41064</c:v>
                </c:pt>
                <c:pt idx="862">
                  <c:v>41065</c:v>
                </c:pt>
                <c:pt idx="863">
                  <c:v>41066</c:v>
                </c:pt>
                <c:pt idx="864">
                  <c:v>41067</c:v>
                </c:pt>
                <c:pt idx="865">
                  <c:v>41068</c:v>
                </c:pt>
                <c:pt idx="866">
                  <c:v>41071</c:v>
                </c:pt>
                <c:pt idx="867">
                  <c:v>41072</c:v>
                </c:pt>
                <c:pt idx="868">
                  <c:v>41073</c:v>
                </c:pt>
                <c:pt idx="869">
                  <c:v>41074</c:v>
                </c:pt>
                <c:pt idx="870">
                  <c:v>41075</c:v>
                </c:pt>
                <c:pt idx="871">
                  <c:v>41078</c:v>
                </c:pt>
                <c:pt idx="872">
                  <c:v>41079</c:v>
                </c:pt>
                <c:pt idx="873">
                  <c:v>41080</c:v>
                </c:pt>
                <c:pt idx="874">
                  <c:v>41081</c:v>
                </c:pt>
                <c:pt idx="875">
                  <c:v>41082</c:v>
                </c:pt>
                <c:pt idx="876">
                  <c:v>41085</c:v>
                </c:pt>
                <c:pt idx="877">
                  <c:v>41086</c:v>
                </c:pt>
                <c:pt idx="878">
                  <c:v>41087</c:v>
                </c:pt>
                <c:pt idx="879">
                  <c:v>41088</c:v>
                </c:pt>
                <c:pt idx="880">
                  <c:v>41089</c:v>
                </c:pt>
                <c:pt idx="881">
                  <c:v>41092</c:v>
                </c:pt>
                <c:pt idx="882">
                  <c:v>41093</c:v>
                </c:pt>
                <c:pt idx="883">
                  <c:v>41095</c:v>
                </c:pt>
                <c:pt idx="884">
                  <c:v>41096</c:v>
                </c:pt>
                <c:pt idx="885">
                  <c:v>41099</c:v>
                </c:pt>
                <c:pt idx="886">
                  <c:v>41100</c:v>
                </c:pt>
                <c:pt idx="887">
                  <c:v>41101</c:v>
                </c:pt>
                <c:pt idx="888">
                  <c:v>41102</c:v>
                </c:pt>
                <c:pt idx="889">
                  <c:v>41103</c:v>
                </c:pt>
                <c:pt idx="890">
                  <c:v>41106</c:v>
                </c:pt>
                <c:pt idx="891">
                  <c:v>41107</c:v>
                </c:pt>
                <c:pt idx="892">
                  <c:v>41108</c:v>
                </c:pt>
                <c:pt idx="893">
                  <c:v>41109</c:v>
                </c:pt>
                <c:pt idx="894">
                  <c:v>41110</c:v>
                </c:pt>
                <c:pt idx="895">
                  <c:v>41113</c:v>
                </c:pt>
                <c:pt idx="896">
                  <c:v>41114</c:v>
                </c:pt>
                <c:pt idx="897">
                  <c:v>41115</c:v>
                </c:pt>
                <c:pt idx="898">
                  <c:v>41116</c:v>
                </c:pt>
                <c:pt idx="899">
                  <c:v>41117</c:v>
                </c:pt>
                <c:pt idx="900">
                  <c:v>41120</c:v>
                </c:pt>
                <c:pt idx="901">
                  <c:v>41121</c:v>
                </c:pt>
                <c:pt idx="902">
                  <c:v>41122</c:v>
                </c:pt>
                <c:pt idx="903">
                  <c:v>41123</c:v>
                </c:pt>
                <c:pt idx="904">
                  <c:v>41124</c:v>
                </c:pt>
                <c:pt idx="905">
                  <c:v>41127</c:v>
                </c:pt>
                <c:pt idx="906">
                  <c:v>41128</c:v>
                </c:pt>
                <c:pt idx="907">
                  <c:v>41129</c:v>
                </c:pt>
                <c:pt idx="908">
                  <c:v>41130</c:v>
                </c:pt>
                <c:pt idx="909">
                  <c:v>41131</c:v>
                </c:pt>
                <c:pt idx="910">
                  <c:v>41134</c:v>
                </c:pt>
                <c:pt idx="911">
                  <c:v>41135</c:v>
                </c:pt>
                <c:pt idx="912">
                  <c:v>41136</c:v>
                </c:pt>
                <c:pt idx="913">
                  <c:v>41137</c:v>
                </c:pt>
                <c:pt idx="914">
                  <c:v>41138</c:v>
                </c:pt>
                <c:pt idx="915">
                  <c:v>41141</c:v>
                </c:pt>
                <c:pt idx="916">
                  <c:v>41142</c:v>
                </c:pt>
                <c:pt idx="917">
                  <c:v>41143</c:v>
                </c:pt>
                <c:pt idx="918">
                  <c:v>41144</c:v>
                </c:pt>
                <c:pt idx="919">
                  <c:v>41145</c:v>
                </c:pt>
                <c:pt idx="920">
                  <c:v>41148</c:v>
                </c:pt>
                <c:pt idx="921">
                  <c:v>41149</c:v>
                </c:pt>
                <c:pt idx="922">
                  <c:v>41150</c:v>
                </c:pt>
                <c:pt idx="923">
                  <c:v>41151</c:v>
                </c:pt>
                <c:pt idx="924">
                  <c:v>41152</c:v>
                </c:pt>
                <c:pt idx="925">
                  <c:v>41156</c:v>
                </c:pt>
                <c:pt idx="926">
                  <c:v>41157</c:v>
                </c:pt>
                <c:pt idx="927">
                  <c:v>41158</c:v>
                </c:pt>
                <c:pt idx="928">
                  <c:v>41159</c:v>
                </c:pt>
                <c:pt idx="929">
                  <c:v>41162</c:v>
                </c:pt>
                <c:pt idx="930">
                  <c:v>41163</c:v>
                </c:pt>
                <c:pt idx="931">
                  <c:v>41164</c:v>
                </c:pt>
                <c:pt idx="932">
                  <c:v>41165</c:v>
                </c:pt>
                <c:pt idx="933">
                  <c:v>41166</c:v>
                </c:pt>
                <c:pt idx="934">
                  <c:v>41169</c:v>
                </c:pt>
                <c:pt idx="935">
                  <c:v>41170</c:v>
                </c:pt>
                <c:pt idx="936">
                  <c:v>41171</c:v>
                </c:pt>
                <c:pt idx="937">
                  <c:v>41172</c:v>
                </c:pt>
                <c:pt idx="938">
                  <c:v>41173</c:v>
                </c:pt>
                <c:pt idx="939">
                  <c:v>41176</c:v>
                </c:pt>
                <c:pt idx="940">
                  <c:v>41177</c:v>
                </c:pt>
                <c:pt idx="941">
                  <c:v>41178</c:v>
                </c:pt>
                <c:pt idx="942">
                  <c:v>41179</c:v>
                </c:pt>
                <c:pt idx="943">
                  <c:v>41180</c:v>
                </c:pt>
                <c:pt idx="944">
                  <c:v>41183</c:v>
                </c:pt>
                <c:pt idx="945">
                  <c:v>41184</c:v>
                </c:pt>
                <c:pt idx="946">
                  <c:v>41185</c:v>
                </c:pt>
                <c:pt idx="947">
                  <c:v>41186</c:v>
                </c:pt>
                <c:pt idx="948">
                  <c:v>41187</c:v>
                </c:pt>
                <c:pt idx="949">
                  <c:v>41190</c:v>
                </c:pt>
                <c:pt idx="950">
                  <c:v>41191</c:v>
                </c:pt>
                <c:pt idx="951">
                  <c:v>41192</c:v>
                </c:pt>
                <c:pt idx="952">
                  <c:v>41193</c:v>
                </c:pt>
                <c:pt idx="953">
                  <c:v>41194</c:v>
                </c:pt>
                <c:pt idx="954">
                  <c:v>41197</c:v>
                </c:pt>
                <c:pt idx="955">
                  <c:v>41198</c:v>
                </c:pt>
                <c:pt idx="956">
                  <c:v>41199</c:v>
                </c:pt>
                <c:pt idx="957">
                  <c:v>41200</c:v>
                </c:pt>
                <c:pt idx="958">
                  <c:v>41201</c:v>
                </c:pt>
                <c:pt idx="959">
                  <c:v>41204</c:v>
                </c:pt>
                <c:pt idx="960">
                  <c:v>41205</c:v>
                </c:pt>
                <c:pt idx="961">
                  <c:v>41206</c:v>
                </c:pt>
                <c:pt idx="962">
                  <c:v>41207</c:v>
                </c:pt>
                <c:pt idx="963">
                  <c:v>41208</c:v>
                </c:pt>
                <c:pt idx="964">
                  <c:v>41213</c:v>
                </c:pt>
                <c:pt idx="965">
                  <c:v>41214</c:v>
                </c:pt>
                <c:pt idx="966">
                  <c:v>41215</c:v>
                </c:pt>
                <c:pt idx="967">
                  <c:v>41218</c:v>
                </c:pt>
                <c:pt idx="968">
                  <c:v>41219</c:v>
                </c:pt>
                <c:pt idx="969">
                  <c:v>41220</c:v>
                </c:pt>
                <c:pt idx="970">
                  <c:v>41221</c:v>
                </c:pt>
                <c:pt idx="971">
                  <c:v>41222</c:v>
                </c:pt>
                <c:pt idx="972">
                  <c:v>41225</c:v>
                </c:pt>
                <c:pt idx="973">
                  <c:v>41226</c:v>
                </c:pt>
                <c:pt idx="974">
                  <c:v>41227</c:v>
                </c:pt>
                <c:pt idx="975">
                  <c:v>41228</c:v>
                </c:pt>
                <c:pt idx="976">
                  <c:v>41229</c:v>
                </c:pt>
                <c:pt idx="977">
                  <c:v>41232</c:v>
                </c:pt>
                <c:pt idx="978">
                  <c:v>41233</c:v>
                </c:pt>
                <c:pt idx="979">
                  <c:v>41234</c:v>
                </c:pt>
                <c:pt idx="980">
                  <c:v>41236</c:v>
                </c:pt>
                <c:pt idx="981">
                  <c:v>41239</c:v>
                </c:pt>
                <c:pt idx="982">
                  <c:v>41240</c:v>
                </c:pt>
                <c:pt idx="983">
                  <c:v>41241</c:v>
                </c:pt>
                <c:pt idx="984">
                  <c:v>41242</c:v>
                </c:pt>
                <c:pt idx="985">
                  <c:v>41243</c:v>
                </c:pt>
                <c:pt idx="986">
                  <c:v>41246</c:v>
                </c:pt>
                <c:pt idx="987">
                  <c:v>41247</c:v>
                </c:pt>
                <c:pt idx="988">
                  <c:v>41248</c:v>
                </c:pt>
                <c:pt idx="989">
                  <c:v>41249</c:v>
                </c:pt>
                <c:pt idx="990">
                  <c:v>41250</c:v>
                </c:pt>
                <c:pt idx="991">
                  <c:v>41253</c:v>
                </c:pt>
                <c:pt idx="992">
                  <c:v>41254</c:v>
                </c:pt>
                <c:pt idx="993">
                  <c:v>41255</c:v>
                </c:pt>
                <c:pt idx="994">
                  <c:v>41256</c:v>
                </c:pt>
                <c:pt idx="995">
                  <c:v>41257</c:v>
                </c:pt>
                <c:pt idx="996">
                  <c:v>41260</c:v>
                </c:pt>
                <c:pt idx="997">
                  <c:v>41261</c:v>
                </c:pt>
                <c:pt idx="998">
                  <c:v>41262</c:v>
                </c:pt>
                <c:pt idx="999">
                  <c:v>41263</c:v>
                </c:pt>
                <c:pt idx="1000">
                  <c:v>41264</c:v>
                </c:pt>
                <c:pt idx="1001">
                  <c:v>41267</c:v>
                </c:pt>
                <c:pt idx="1002">
                  <c:v>41269</c:v>
                </c:pt>
                <c:pt idx="1003">
                  <c:v>41270</c:v>
                </c:pt>
                <c:pt idx="1004">
                  <c:v>41271</c:v>
                </c:pt>
                <c:pt idx="1005">
                  <c:v>41274</c:v>
                </c:pt>
                <c:pt idx="1006">
                  <c:v>41276</c:v>
                </c:pt>
                <c:pt idx="1007">
                  <c:v>41277</c:v>
                </c:pt>
                <c:pt idx="1008">
                  <c:v>41278</c:v>
                </c:pt>
                <c:pt idx="1009">
                  <c:v>41281</c:v>
                </c:pt>
                <c:pt idx="1010">
                  <c:v>41282</c:v>
                </c:pt>
                <c:pt idx="1011">
                  <c:v>41283</c:v>
                </c:pt>
                <c:pt idx="1012">
                  <c:v>41284</c:v>
                </c:pt>
                <c:pt idx="1013">
                  <c:v>41285</c:v>
                </c:pt>
                <c:pt idx="1014">
                  <c:v>41288</c:v>
                </c:pt>
                <c:pt idx="1015">
                  <c:v>41289</c:v>
                </c:pt>
                <c:pt idx="1016">
                  <c:v>41290</c:v>
                </c:pt>
                <c:pt idx="1017">
                  <c:v>41291</c:v>
                </c:pt>
                <c:pt idx="1018">
                  <c:v>41292</c:v>
                </c:pt>
                <c:pt idx="1019">
                  <c:v>41296</c:v>
                </c:pt>
                <c:pt idx="1020">
                  <c:v>41297</c:v>
                </c:pt>
                <c:pt idx="1021">
                  <c:v>41298</c:v>
                </c:pt>
                <c:pt idx="1022">
                  <c:v>41299</c:v>
                </c:pt>
                <c:pt idx="1023">
                  <c:v>41302</c:v>
                </c:pt>
                <c:pt idx="1024">
                  <c:v>41303</c:v>
                </c:pt>
                <c:pt idx="1025">
                  <c:v>41304</c:v>
                </c:pt>
                <c:pt idx="1026">
                  <c:v>41305</c:v>
                </c:pt>
                <c:pt idx="1027">
                  <c:v>41306</c:v>
                </c:pt>
                <c:pt idx="1028">
                  <c:v>41309</c:v>
                </c:pt>
                <c:pt idx="1029">
                  <c:v>41310</c:v>
                </c:pt>
                <c:pt idx="1030">
                  <c:v>41311</c:v>
                </c:pt>
                <c:pt idx="1031">
                  <c:v>41312</c:v>
                </c:pt>
                <c:pt idx="1032">
                  <c:v>41313</c:v>
                </c:pt>
                <c:pt idx="1033">
                  <c:v>41316</c:v>
                </c:pt>
                <c:pt idx="1034">
                  <c:v>41317</c:v>
                </c:pt>
                <c:pt idx="1035">
                  <c:v>41318</c:v>
                </c:pt>
                <c:pt idx="1036">
                  <c:v>41319</c:v>
                </c:pt>
                <c:pt idx="1037">
                  <c:v>41320</c:v>
                </c:pt>
                <c:pt idx="1038">
                  <c:v>41324</c:v>
                </c:pt>
                <c:pt idx="1039">
                  <c:v>41325</c:v>
                </c:pt>
                <c:pt idx="1040">
                  <c:v>41326</c:v>
                </c:pt>
                <c:pt idx="1041">
                  <c:v>41327</c:v>
                </c:pt>
                <c:pt idx="1042">
                  <c:v>41330</c:v>
                </c:pt>
                <c:pt idx="1043">
                  <c:v>41331</c:v>
                </c:pt>
                <c:pt idx="1044">
                  <c:v>41332</c:v>
                </c:pt>
                <c:pt idx="1045">
                  <c:v>41333</c:v>
                </c:pt>
                <c:pt idx="1046">
                  <c:v>41334</c:v>
                </c:pt>
                <c:pt idx="1047">
                  <c:v>41337</c:v>
                </c:pt>
                <c:pt idx="1048">
                  <c:v>41338</c:v>
                </c:pt>
                <c:pt idx="1049">
                  <c:v>41339</c:v>
                </c:pt>
                <c:pt idx="1050">
                  <c:v>41340</c:v>
                </c:pt>
                <c:pt idx="1051">
                  <c:v>41341</c:v>
                </c:pt>
                <c:pt idx="1052">
                  <c:v>41344</c:v>
                </c:pt>
                <c:pt idx="1053">
                  <c:v>41345</c:v>
                </c:pt>
                <c:pt idx="1054">
                  <c:v>41346</c:v>
                </c:pt>
                <c:pt idx="1055">
                  <c:v>41347</c:v>
                </c:pt>
                <c:pt idx="1056">
                  <c:v>41348</c:v>
                </c:pt>
                <c:pt idx="1057">
                  <c:v>41351</c:v>
                </c:pt>
                <c:pt idx="1058">
                  <c:v>41352</c:v>
                </c:pt>
                <c:pt idx="1059">
                  <c:v>41353</c:v>
                </c:pt>
                <c:pt idx="1060">
                  <c:v>41354</c:v>
                </c:pt>
                <c:pt idx="1061">
                  <c:v>41355</c:v>
                </c:pt>
                <c:pt idx="1062">
                  <c:v>41358</c:v>
                </c:pt>
                <c:pt idx="1063">
                  <c:v>41359</c:v>
                </c:pt>
                <c:pt idx="1064">
                  <c:v>41360</c:v>
                </c:pt>
                <c:pt idx="1065">
                  <c:v>41361</c:v>
                </c:pt>
                <c:pt idx="1066">
                  <c:v>41365</c:v>
                </c:pt>
                <c:pt idx="1067">
                  <c:v>41366</c:v>
                </c:pt>
                <c:pt idx="1068">
                  <c:v>41367</c:v>
                </c:pt>
                <c:pt idx="1069">
                  <c:v>41368</c:v>
                </c:pt>
                <c:pt idx="1070">
                  <c:v>41369</c:v>
                </c:pt>
                <c:pt idx="1071">
                  <c:v>41372</c:v>
                </c:pt>
                <c:pt idx="1072">
                  <c:v>41373</c:v>
                </c:pt>
                <c:pt idx="1073">
                  <c:v>41374</c:v>
                </c:pt>
                <c:pt idx="1074">
                  <c:v>41375</c:v>
                </c:pt>
                <c:pt idx="1075">
                  <c:v>41376</c:v>
                </c:pt>
                <c:pt idx="1076">
                  <c:v>41379</c:v>
                </c:pt>
                <c:pt idx="1077">
                  <c:v>41380</c:v>
                </c:pt>
                <c:pt idx="1078">
                  <c:v>41381</c:v>
                </c:pt>
                <c:pt idx="1079">
                  <c:v>41382</c:v>
                </c:pt>
                <c:pt idx="1080">
                  <c:v>41383</c:v>
                </c:pt>
                <c:pt idx="1081">
                  <c:v>41386</c:v>
                </c:pt>
                <c:pt idx="1082">
                  <c:v>41387</c:v>
                </c:pt>
                <c:pt idx="1083">
                  <c:v>41388</c:v>
                </c:pt>
                <c:pt idx="1084">
                  <c:v>41389</c:v>
                </c:pt>
                <c:pt idx="1085">
                  <c:v>41390</c:v>
                </c:pt>
                <c:pt idx="1086">
                  <c:v>41393</c:v>
                </c:pt>
                <c:pt idx="1087">
                  <c:v>41394</c:v>
                </c:pt>
                <c:pt idx="1088">
                  <c:v>41395</c:v>
                </c:pt>
                <c:pt idx="1089">
                  <c:v>41396</c:v>
                </c:pt>
                <c:pt idx="1090">
                  <c:v>41397</c:v>
                </c:pt>
                <c:pt idx="1091">
                  <c:v>41400</c:v>
                </c:pt>
                <c:pt idx="1092">
                  <c:v>41401</c:v>
                </c:pt>
                <c:pt idx="1093">
                  <c:v>41402</c:v>
                </c:pt>
                <c:pt idx="1094">
                  <c:v>41403</c:v>
                </c:pt>
                <c:pt idx="1095">
                  <c:v>41404</c:v>
                </c:pt>
                <c:pt idx="1096">
                  <c:v>41407</c:v>
                </c:pt>
                <c:pt idx="1097">
                  <c:v>41408</c:v>
                </c:pt>
                <c:pt idx="1098">
                  <c:v>41409</c:v>
                </c:pt>
                <c:pt idx="1099">
                  <c:v>41410</c:v>
                </c:pt>
                <c:pt idx="1100">
                  <c:v>41411</c:v>
                </c:pt>
                <c:pt idx="1101">
                  <c:v>41414</c:v>
                </c:pt>
                <c:pt idx="1102">
                  <c:v>41415</c:v>
                </c:pt>
                <c:pt idx="1103">
                  <c:v>41416</c:v>
                </c:pt>
                <c:pt idx="1104">
                  <c:v>41417</c:v>
                </c:pt>
                <c:pt idx="1105">
                  <c:v>41418</c:v>
                </c:pt>
                <c:pt idx="1106">
                  <c:v>41422</c:v>
                </c:pt>
                <c:pt idx="1107">
                  <c:v>41423</c:v>
                </c:pt>
                <c:pt idx="1108">
                  <c:v>41424</c:v>
                </c:pt>
                <c:pt idx="1109">
                  <c:v>41425</c:v>
                </c:pt>
                <c:pt idx="1110">
                  <c:v>41428</c:v>
                </c:pt>
                <c:pt idx="1111">
                  <c:v>41429</c:v>
                </c:pt>
                <c:pt idx="1112">
                  <c:v>41430</c:v>
                </c:pt>
                <c:pt idx="1113">
                  <c:v>41431</c:v>
                </c:pt>
                <c:pt idx="1114">
                  <c:v>41432</c:v>
                </c:pt>
                <c:pt idx="1115">
                  <c:v>41435</c:v>
                </c:pt>
                <c:pt idx="1116">
                  <c:v>41436</c:v>
                </c:pt>
                <c:pt idx="1117">
                  <c:v>41437</c:v>
                </c:pt>
                <c:pt idx="1118">
                  <c:v>41438</c:v>
                </c:pt>
                <c:pt idx="1119">
                  <c:v>41439</c:v>
                </c:pt>
                <c:pt idx="1120">
                  <c:v>41442</c:v>
                </c:pt>
                <c:pt idx="1121">
                  <c:v>41443</c:v>
                </c:pt>
                <c:pt idx="1122">
                  <c:v>41444</c:v>
                </c:pt>
                <c:pt idx="1123">
                  <c:v>41445</c:v>
                </c:pt>
                <c:pt idx="1124">
                  <c:v>41446</c:v>
                </c:pt>
                <c:pt idx="1125">
                  <c:v>41449</c:v>
                </c:pt>
                <c:pt idx="1126">
                  <c:v>41450</c:v>
                </c:pt>
                <c:pt idx="1127">
                  <c:v>41451</c:v>
                </c:pt>
                <c:pt idx="1128">
                  <c:v>41452</c:v>
                </c:pt>
                <c:pt idx="1129">
                  <c:v>41453</c:v>
                </c:pt>
                <c:pt idx="1130">
                  <c:v>41456</c:v>
                </c:pt>
                <c:pt idx="1131">
                  <c:v>41457</c:v>
                </c:pt>
                <c:pt idx="1132">
                  <c:v>41458</c:v>
                </c:pt>
                <c:pt idx="1133">
                  <c:v>41460</c:v>
                </c:pt>
                <c:pt idx="1134">
                  <c:v>41463</c:v>
                </c:pt>
                <c:pt idx="1135">
                  <c:v>41464</c:v>
                </c:pt>
                <c:pt idx="1136">
                  <c:v>41465</c:v>
                </c:pt>
                <c:pt idx="1137">
                  <c:v>41466</c:v>
                </c:pt>
                <c:pt idx="1138">
                  <c:v>41467</c:v>
                </c:pt>
                <c:pt idx="1139">
                  <c:v>41470</c:v>
                </c:pt>
                <c:pt idx="1140">
                  <c:v>41471</c:v>
                </c:pt>
                <c:pt idx="1141">
                  <c:v>41472</c:v>
                </c:pt>
                <c:pt idx="1142">
                  <c:v>41473</c:v>
                </c:pt>
                <c:pt idx="1143">
                  <c:v>41474</c:v>
                </c:pt>
                <c:pt idx="1144">
                  <c:v>41477</c:v>
                </c:pt>
                <c:pt idx="1145">
                  <c:v>41478</c:v>
                </c:pt>
                <c:pt idx="1146">
                  <c:v>41479</c:v>
                </c:pt>
                <c:pt idx="1147">
                  <c:v>41480</c:v>
                </c:pt>
                <c:pt idx="1148">
                  <c:v>41481</c:v>
                </c:pt>
                <c:pt idx="1149">
                  <c:v>41484</c:v>
                </c:pt>
                <c:pt idx="1150">
                  <c:v>41485</c:v>
                </c:pt>
                <c:pt idx="1151">
                  <c:v>41486</c:v>
                </c:pt>
                <c:pt idx="1152">
                  <c:v>41487</c:v>
                </c:pt>
                <c:pt idx="1153">
                  <c:v>41488</c:v>
                </c:pt>
                <c:pt idx="1154">
                  <c:v>41491</c:v>
                </c:pt>
                <c:pt idx="1155">
                  <c:v>41492</c:v>
                </c:pt>
                <c:pt idx="1156">
                  <c:v>41493</c:v>
                </c:pt>
                <c:pt idx="1157">
                  <c:v>41494</c:v>
                </c:pt>
                <c:pt idx="1158">
                  <c:v>41495</c:v>
                </c:pt>
                <c:pt idx="1159">
                  <c:v>41498</c:v>
                </c:pt>
                <c:pt idx="1160">
                  <c:v>41499</c:v>
                </c:pt>
                <c:pt idx="1161">
                  <c:v>41500</c:v>
                </c:pt>
                <c:pt idx="1162">
                  <c:v>41501</c:v>
                </c:pt>
                <c:pt idx="1163">
                  <c:v>41502</c:v>
                </c:pt>
                <c:pt idx="1164">
                  <c:v>41505</c:v>
                </c:pt>
                <c:pt idx="1165">
                  <c:v>41506</c:v>
                </c:pt>
                <c:pt idx="1166">
                  <c:v>41507</c:v>
                </c:pt>
                <c:pt idx="1167">
                  <c:v>41508</c:v>
                </c:pt>
                <c:pt idx="1168">
                  <c:v>41509</c:v>
                </c:pt>
                <c:pt idx="1169">
                  <c:v>41512</c:v>
                </c:pt>
                <c:pt idx="1170">
                  <c:v>41513</c:v>
                </c:pt>
                <c:pt idx="1171">
                  <c:v>41514</c:v>
                </c:pt>
                <c:pt idx="1172">
                  <c:v>41515</c:v>
                </c:pt>
                <c:pt idx="1173">
                  <c:v>41516</c:v>
                </c:pt>
                <c:pt idx="1174">
                  <c:v>41520</c:v>
                </c:pt>
                <c:pt idx="1175">
                  <c:v>41521</c:v>
                </c:pt>
                <c:pt idx="1176">
                  <c:v>41522</c:v>
                </c:pt>
                <c:pt idx="1177">
                  <c:v>41523</c:v>
                </c:pt>
                <c:pt idx="1178">
                  <c:v>41526</c:v>
                </c:pt>
                <c:pt idx="1179">
                  <c:v>41527</c:v>
                </c:pt>
                <c:pt idx="1180">
                  <c:v>41528</c:v>
                </c:pt>
                <c:pt idx="1181">
                  <c:v>41529</c:v>
                </c:pt>
                <c:pt idx="1182">
                  <c:v>41530</c:v>
                </c:pt>
                <c:pt idx="1183">
                  <c:v>41533</c:v>
                </c:pt>
                <c:pt idx="1184">
                  <c:v>41534</c:v>
                </c:pt>
                <c:pt idx="1185">
                  <c:v>41535</c:v>
                </c:pt>
                <c:pt idx="1186">
                  <c:v>41536</c:v>
                </c:pt>
                <c:pt idx="1187">
                  <c:v>41537</c:v>
                </c:pt>
                <c:pt idx="1188">
                  <c:v>41540</c:v>
                </c:pt>
                <c:pt idx="1189">
                  <c:v>41541</c:v>
                </c:pt>
                <c:pt idx="1190">
                  <c:v>41542</c:v>
                </c:pt>
                <c:pt idx="1191">
                  <c:v>41543</c:v>
                </c:pt>
                <c:pt idx="1192">
                  <c:v>41544</c:v>
                </c:pt>
                <c:pt idx="1193">
                  <c:v>41547</c:v>
                </c:pt>
                <c:pt idx="1194">
                  <c:v>41548</c:v>
                </c:pt>
                <c:pt idx="1195">
                  <c:v>41549</c:v>
                </c:pt>
                <c:pt idx="1196">
                  <c:v>41550</c:v>
                </c:pt>
                <c:pt idx="1197">
                  <c:v>41551</c:v>
                </c:pt>
                <c:pt idx="1198">
                  <c:v>41554</c:v>
                </c:pt>
                <c:pt idx="1199">
                  <c:v>41555</c:v>
                </c:pt>
                <c:pt idx="1200">
                  <c:v>41556</c:v>
                </c:pt>
                <c:pt idx="1201">
                  <c:v>41557</c:v>
                </c:pt>
                <c:pt idx="1202">
                  <c:v>41558</c:v>
                </c:pt>
                <c:pt idx="1203">
                  <c:v>41561</c:v>
                </c:pt>
                <c:pt idx="1204">
                  <c:v>41562</c:v>
                </c:pt>
                <c:pt idx="1205">
                  <c:v>41563</c:v>
                </c:pt>
                <c:pt idx="1206">
                  <c:v>41564</c:v>
                </c:pt>
                <c:pt idx="1207">
                  <c:v>41565</c:v>
                </c:pt>
                <c:pt idx="1208">
                  <c:v>41568</c:v>
                </c:pt>
                <c:pt idx="1209">
                  <c:v>41569</c:v>
                </c:pt>
                <c:pt idx="1210">
                  <c:v>41570</c:v>
                </c:pt>
                <c:pt idx="1211">
                  <c:v>41571</c:v>
                </c:pt>
                <c:pt idx="1212">
                  <c:v>41572</c:v>
                </c:pt>
                <c:pt idx="1213">
                  <c:v>41575</c:v>
                </c:pt>
                <c:pt idx="1214">
                  <c:v>41576</c:v>
                </c:pt>
                <c:pt idx="1215">
                  <c:v>41577</c:v>
                </c:pt>
                <c:pt idx="1216">
                  <c:v>41578</c:v>
                </c:pt>
                <c:pt idx="1217">
                  <c:v>41579</c:v>
                </c:pt>
                <c:pt idx="1218">
                  <c:v>41582</c:v>
                </c:pt>
                <c:pt idx="1219">
                  <c:v>41583</c:v>
                </c:pt>
                <c:pt idx="1220">
                  <c:v>41584</c:v>
                </c:pt>
                <c:pt idx="1221">
                  <c:v>41585</c:v>
                </c:pt>
                <c:pt idx="1222">
                  <c:v>41586</c:v>
                </c:pt>
                <c:pt idx="1223">
                  <c:v>41589</c:v>
                </c:pt>
                <c:pt idx="1224">
                  <c:v>41590</c:v>
                </c:pt>
                <c:pt idx="1225">
                  <c:v>41591</c:v>
                </c:pt>
                <c:pt idx="1226">
                  <c:v>41592</c:v>
                </c:pt>
                <c:pt idx="1227">
                  <c:v>41593</c:v>
                </c:pt>
                <c:pt idx="1228">
                  <c:v>41596</c:v>
                </c:pt>
                <c:pt idx="1229">
                  <c:v>41597</c:v>
                </c:pt>
                <c:pt idx="1230">
                  <c:v>41598</c:v>
                </c:pt>
                <c:pt idx="1231">
                  <c:v>41599</c:v>
                </c:pt>
                <c:pt idx="1232">
                  <c:v>41600</c:v>
                </c:pt>
                <c:pt idx="1233">
                  <c:v>41603</c:v>
                </c:pt>
                <c:pt idx="1234">
                  <c:v>41604</c:v>
                </c:pt>
                <c:pt idx="1235">
                  <c:v>41605</c:v>
                </c:pt>
                <c:pt idx="1236">
                  <c:v>41607</c:v>
                </c:pt>
                <c:pt idx="1237">
                  <c:v>41610</c:v>
                </c:pt>
                <c:pt idx="1238">
                  <c:v>41611</c:v>
                </c:pt>
                <c:pt idx="1239">
                  <c:v>41612</c:v>
                </c:pt>
                <c:pt idx="1240">
                  <c:v>41613</c:v>
                </c:pt>
                <c:pt idx="1241">
                  <c:v>41614</c:v>
                </c:pt>
                <c:pt idx="1242">
                  <c:v>41617</c:v>
                </c:pt>
                <c:pt idx="1243">
                  <c:v>41618</c:v>
                </c:pt>
                <c:pt idx="1244">
                  <c:v>41619</c:v>
                </c:pt>
                <c:pt idx="1245">
                  <c:v>41620</c:v>
                </c:pt>
                <c:pt idx="1246">
                  <c:v>41621</c:v>
                </c:pt>
                <c:pt idx="1247">
                  <c:v>41624</c:v>
                </c:pt>
                <c:pt idx="1248">
                  <c:v>41625</c:v>
                </c:pt>
                <c:pt idx="1249">
                  <c:v>41626</c:v>
                </c:pt>
                <c:pt idx="1250">
                  <c:v>41627</c:v>
                </c:pt>
                <c:pt idx="1251">
                  <c:v>41628</c:v>
                </c:pt>
                <c:pt idx="1252">
                  <c:v>41631</c:v>
                </c:pt>
                <c:pt idx="1253">
                  <c:v>41632</c:v>
                </c:pt>
                <c:pt idx="1254">
                  <c:v>41634</c:v>
                </c:pt>
                <c:pt idx="1255">
                  <c:v>41635</c:v>
                </c:pt>
                <c:pt idx="1256">
                  <c:v>41638</c:v>
                </c:pt>
                <c:pt idx="1257">
                  <c:v>41639</c:v>
                </c:pt>
              </c:numCache>
            </c:numRef>
          </c:cat>
          <c:val>
            <c:numRef>
              <c:f>List1!$B$3:$B$1260</c:f>
              <c:numCache>
                <c:formatCode>General</c:formatCode>
                <c:ptCount val="1258"/>
                <c:pt idx="0">
                  <c:v>27.89</c:v>
                </c:pt>
                <c:pt idx="1">
                  <c:v>27.86</c:v>
                </c:pt>
                <c:pt idx="2">
                  <c:v>28.310000000000031</c:v>
                </c:pt>
                <c:pt idx="3">
                  <c:v>26.69</c:v>
                </c:pt>
                <c:pt idx="4">
                  <c:v>26.87</c:v>
                </c:pt>
                <c:pt idx="5">
                  <c:v>25.67</c:v>
                </c:pt>
                <c:pt idx="6">
                  <c:v>24.51</c:v>
                </c:pt>
                <c:pt idx="7">
                  <c:v>24.53</c:v>
                </c:pt>
                <c:pt idx="8">
                  <c:v>23</c:v>
                </c:pt>
                <c:pt idx="9">
                  <c:v>23.05</c:v>
                </c:pt>
                <c:pt idx="10">
                  <c:v>23.35</c:v>
                </c:pt>
                <c:pt idx="11">
                  <c:v>20.9</c:v>
                </c:pt>
                <c:pt idx="12">
                  <c:v>22.68</c:v>
                </c:pt>
                <c:pt idx="13">
                  <c:v>22.02</c:v>
                </c:pt>
                <c:pt idx="14">
                  <c:v>22.209</c:v>
                </c:pt>
                <c:pt idx="15">
                  <c:v>22.43</c:v>
                </c:pt>
                <c:pt idx="16">
                  <c:v>22.919999999999987</c:v>
                </c:pt>
                <c:pt idx="17">
                  <c:v>24.47</c:v>
                </c:pt>
                <c:pt idx="18">
                  <c:v>22.97</c:v>
                </c:pt>
                <c:pt idx="19">
                  <c:v>21.939999999999987</c:v>
                </c:pt>
                <c:pt idx="20">
                  <c:v>21.89</c:v>
                </c:pt>
                <c:pt idx="21">
                  <c:v>22.49</c:v>
                </c:pt>
                <c:pt idx="22">
                  <c:v>22.279999999999987</c:v>
                </c:pt>
                <c:pt idx="23">
                  <c:v>22.86</c:v>
                </c:pt>
                <c:pt idx="24">
                  <c:v>24.16</c:v>
                </c:pt>
                <c:pt idx="25">
                  <c:v>24.259999999999987</c:v>
                </c:pt>
                <c:pt idx="26">
                  <c:v>22.04</c:v>
                </c:pt>
                <c:pt idx="27">
                  <c:v>22.37</c:v>
                </c:pt>
                <c:pt idx="28">
                  <c:v>22.41</c:v>
                </c:pt>
                <c:pt idx="29">
                  <c:v>21.84</c:v>
                </c:pt>
                <c:pt idx="30">
                  <c:v>19.97</c:v>
                </c:pt>
                <c:pt idx="31">
                  <c:v>19.850000000000001</c:v>
                </c:pt>
                <c:pt idx="32">
                  <c:v>19.459999999999987</c:v>
                </c:pt>
                <c:pt idx="33">
                  <c:v>19.03</c:v>
                </c:pt>
                <c:pt idx="34">
                  <c:v>17.7</c:v>
                </c:pt>
                <c:pt idx="35">
                  <c:v>19.04</c:v>
                </c:pt>
                <c:pt idx="36">
                  <c:v>18.7</c:v>
                </c:pt>
                <c:pt idx="37">
                  <c:v>18.131000000000135</c:v>
                </c:pt>
                <c:pt idx="38">
                  <c:v>17.312000000000001</c:v>
                </c:pt>
                <c:pt idx="39">
                  <c:v>15.75</c:v>
                </c:pt>
                <c:pt idx="40">
                  <c:v>15.43</c:v>
                </c:pt>
                <c:pt idx="41">
                  <c:v>16.190999999999999</c:v>
                </c:pt>
                <c:pt idx="42">
                  <c:v>14.89</c:v>
                </c:pt>
                <c:pt idx="43">
                  <c:v>14.860000000000024</c:v>
                </c:pt>
                <c:pt idx="44">
                  <c:v>14.54</c:v>
                </c:pt>
                <c:pt idx="45">
                  <c:v>16.309999999999999</c:v>
                </c:pt>
                <c:pt idx="46">
                  <c:v>16.47</c:v>
                </c:pt>
                <c:pt idx="47">
                  <c:v>17.79</c:v>
                </c:pt>
                <c:pt idx="48">
                  <c:v>18.079999999999988</c:v>
                </c:pt>
                <c:pt idx="49">
                  <c:v>18.010000000000005</c:v>
                </c:pt>
                <c:pt idx="50">
                  <c:v>19.09</c:v>
                </c:pt>
                <c:pt idx="51">
                  <c:v>19.89</c:v>
                </c:pt>
                <c:pt idx="52">
                  <c:v>19.420000000000002</c:v>
                </c:pt>
                <c:pt idx="53">
                  <c:v>18.619000000000035</c:v>
                </c:pt>
                <c:pt idx="54">
                  <c:v>21.279999999999987</c:v>
                </c:pt>
                <c:pt idx="55">
                  <c:v>20.36</c:v>
                </c:pt>
                <c:pt idx="56">
                  <c:v>20.7</c:v>
                </c:pt>
                <c:pt idx="57">
                  <c:v>21.62</c:v>
                </c:pt>
                <c:pt idx="58">
                  <c:v>20.821000000000005</c:v>
                </c:pt>
                <c:pt idx="59">
                  <c:v>19.381999999999987</c:v>
                </c:pt>
                <c:pt idx="60">
                  <c:v>19.73</c:v>
                </c:pt>
                <c:pt idx="61">
                  <c:v>20.49</c:v>
                </c:pt>
                <c:pt idx="62">
                  <c:v>21.66</c:v>
                </c:pt>
                <c:pt idx="63">
                  <c:v>22.12</c:v>
                </c:pt>
                <c:pt idx="64">
                  <c:v>21.8</c:v>
                </c:pt>
                <c:pt idx="65">
                  <c:v>20.77</c:v>
                </c:pt>
                <c:pt idx="66">
                  <c:v>21.23</c:v>
                </c:pt>
                <c:pt idx="67">
                  <c:v>22.9</c:v>
                </c:pt>
                <c:pt idx="68">
                  <c:v>23.01</c:v>
                </c:pt>
                <c:pt idx="69">
                  <c:v>22.18</c:v>
                </c:pt>
                <c:pt idx="70">
                  <c:v>22.630000000000031</c:v>
                </c:pt>
                <c:pt idx="71">
                  <c:v>23.330000000000005</c:v>
                </c:pt>
                <c:pt idx="72">
                  <c:v>23.56</c:v>
                </c:pt>
                <c:pt idx="73">
                  <c:v>21.58</c:v>
                </c:pt>
                <c:pt idx="74">
                  <c:v>22.439999999999987</c:v>
                </c:pt>
                <c:pt idx="75">
                  <c:v>22.18</c:v>
                </c:pt>
                <c:pt idx="76">
                  <c:v>22.58</c:v>
                </c:pt>
                <c:pt idx="77">
                  <c:v>23.279999999999987</c:v>
                </c:pt>
                <c:pt idx="78">
                  <c:v>22.830000000000005</c:v>
                </c:pt>
                <c:pt idx="79">
                  <c:v>22.68</c:v>
                </c:pt>
                <c:pt idx="80">
                  <c:v>23.650000000000031</c:v>
                </c:pt>
                <c:pt idx="81">
                  <c:v>23.74</c:v>
                </c:pt>
                <c:pt idx="82">
                  <c:v>23.97</c:v>
                </c:pt>
                <c:pt idx="83">
                  <c:v>25.569900000000001</c:v>
                </c:pt>
                <c:pt idx="84">
                  <c:v>25.35</c:v>
                </c:pt>
                <c:pt idx="85">
                  <c:v>26.21</c:v>
                </c:pt>
                <c:pt idx="86">
                  <c:v>25.59</c:v>
                </c:pt>
                <c:pt idx="87">
                  <c:v>26.73</c:v>
                </c:pt>
                <c:pt idx="88">
                  <c:v>25.73</c:v>
                </c:pt>
                <c:pt idx="89">
                  <c:v>25.49</c:v>
                </c:pt>
                <c:pt idx="90">
                  <c:v>24.330000000000005</c:v>
                </c:pt>
                <c:pt idx="91">
                  <c:v>24.67</c:v>
                </c:pt>
                <c:pt idx="92">
                  <c:v>24.25</c:v>
                </c:pt>
                <c:pt idx="93">
                  <c:v>25.68</c:v>
                </c:pt>
                <c:pt idx="94">
                  <c:v>25.58</c:v>
                </c:pt>
                <c:pt idx="95">
                  <c:v>25.259999999999987</c:v>
                </c:pt>
                <c:pt idx="96">
                  <c:v>24.49</c:v>
                </c:pt>
                <c:pt idx="97">
                  <c:v>24.41</c:v>
                </c:pt>
                <c:pt idx="98">
                  <c:v>25.7</c:v>
                </c:pt>
                <c:pt idx="99">
                  <c:v>24.75</c:v>
                </c:pt>
                <c:pt idx="100">
                  <c:v>25.43</c:v>
                </c:pt>
                <c:pt idx="101">
                  <c:v>26.4</c:v>
                </c:pt>
                <c:pt idx="102">
                  <c:v>27.6</c:v>
                </c:pt>
                <c:pt idx="103">
                  <c:v>27.72</c:v>
                </c:pt>
                <c:pt idx="104">
                  <c:v>26.949000000000002</c:v>
                </c:pt>
                <c:pt idx="105">
                  <c:v>27.45</c:v>
                </c:pt>
                <c:pt idx="106">
                  <c:v>27.479999999999986</c:v>
                </c:pt>
                <c:pt idx="107">
                  <c:v>27.259999999999987</c:v>
                </c:pt>
                <c:pt idx="108">
                  <c:v>27.47</c:v>
                </c:pt>
                <c:pt idx="109">
                  <c:v>27.38</c:v>
                </c:pt>
                <c:pt idx="110">
                  <c:v>27.62</c:v>
                </c:pt>
                <c:pt idx="111">
                  <c:v>27.8</c:v>
                </c:pt>
                <c:pt idx="112">
                  <c:v>26.439999999999987</c:v>
                </c:pt>
                <c:pt idx="113">
                  <c:v>25.79</c:v>
                </c:pt>
                <c:pt idx="114">
                  <c:v>25.66</c:v>
                </c:pt>
                <c:pt idx="115">
                  <c:v>26.04</c:v>
                </c:pt>
                <c:pt idx="116">
                  <c:v>26.23</c:v>
                </c:pt>
                <c:pt idx="117">
                  <c:v>24.66</c:v>
                </c:pt>
                <c:pt idx="118">
                  <c:v>24.75</c:v>
                </c:pt>
                <c:pt idx="119">
                  <c:v>25.02</c:v>
                </c:pt>
                <c:pt idx="120">
                  <c:v>26.14</c:v>
                </c:pt>
                <c:pt idx="121">
                  <c:v>26.02</c:v>
                </c:pt>
                <c:pt idx="122">
                  <c:v>26.511399999999988</c:v>
                </c:pt>
                <c:pt idx="123">
                  <c:v>26.14</c:v>
                </c:pt>
                <c:pt idx="124">
                  <c:v>26.27</c:v>
                </c:pt>
                <c:pt idx="125">
                  <c:v>24.86</c:v>
                </c:pt>
                <c:pt idx="126">
                  <c:v>24.87</c:v>
                </c:pt>
                <c:pt idx="127">
                  <c:v>23.88</c:v>
                </c:pt>
                <c:pt idx="128">
                  <c:v>23.85</c:v>
                </c:pt>
                <c:pt idx="129">
                  <c:v>24</c:v>
                </c:pt>
                <c:pt idx="130">
                  <c:v>23.810000000000031</c:v>
                </c:pt>
                <c:pt idx="131">
                  <c:v>25</c:v>
                </c:pt>
                <c:pt idx="132">
                  <c:v>25.29</c:v>
                </c:pt>
                <c:pt idx="133">
                  <c:v>26.71</c:v>
                </c:pt>
                <c:pt idx="134">
                  <c:v>27.19</c:v>
                </c:pt>
                <c:pt idx="135">
                  <c:v>27.23</c:v>
                </c:pt>
                <c:pt idx="136">
                  <c:v>27.77</c:v>
                </c:pt>
                <c:pt idx="137">
                  <c:v>28.05</c:v>
                </c:pt>
                <c:pt idx="138">
                  <c:v>28.04</c:v>
                </c:pt>
                <c:pt idx="139">
                  <c:v>29.259999999999987</c:v>
                </c:pt>
                <c:pt idx="140">
                  <c:v>29.58</c:v>
                </c:pt>
                <c:pt idx="141">
                  <c:v>29.73</c:v>
                </c:pt>
                <c:pt idx="142">
                  <c:v>29.56</c:v>
                </c:pt>
                <c:pt idx="143">
                  <c:v>29.271000000000001</c:v>
                </c:pt>
                <c:pt idx="144">
                  <c:v>29.88</c:v>
                </c:pt>
                <c:pt idx="145">
                  <c:v>29.919999999999987</c:v>
                </c:pt>
                <c:pt idx="146">
                  <c:v>30.939999999999987</c:v>
                </c:pt>
                <c:pt idx="147">
                  <c:v>31.12</c:v>
                </c:pt>
                <c:pt idx="148">
                  <c:v>30.951000000000001</c:v>
                </c:pt>
                <c:pt idx="149">
                  <c:v>30.64</c:v>
                </c:pt>
                <c:pt idx="150">
                  <c:v>31.4</c:v>
                </c:pt>
                <c:pt idx="151">
                  <c:v>31.25</c:v>
                </c:pt>
                <c:pt idx="152">
                  <c:v>30.460999999999814</c:v>
                </c:pt>
                <c:pt idx="153">
                  <c:v>31.130000000000031</c:v>
                </c:pt>
                <c:pt idx="154">
                  <c:v>31.631000000000135</c:v>
                </c:pt>
                <c:pt idx="155">
                  <c:v>31.18</c:v>
                </c:pt>
                <c:pt idx="156">
                  <c:v>29.56</c:v>
                </c:pt>
                <c:pt idx="157">
                  <c:v>30.110000000000031</c:v>
                </c:pt>
                <c:pt idx="158">
                  <c:v>30.631000000000135</c:v>
                </c:pt>
                <c:pt idx="159">
                  <c:v>31.27</c:v>
                </c:pt>
                <c:pt idx="160">
                  <c:v>32.4</c:v>
                </c:pt>
                <c:pt idx="161">
                  <c:v>32.480000000000004</c:v>
                </c:pt>
                <c:pt idx="162">
                  <c:v>32.57</c:v>
                </c:pt>
                <c:pt idx="163">
                  <c:v>32.58</c:v>
                </c:pt>
                <c:pt idx="164">
                  <c:v>32.760000000000012</c:v>
                </c:pt>
                <c:pt idx="165">
                  <c:v>32.64</c:v>
                </c:pt>
                <c:pt idx="166">
                  <c:v>32.132000000000012</c:v>
                </c:pt>
                <c:pt idx="167">
                  <c:v>30.7</c:v>
                </c:pt>
                <c:pt idx="168">
                  <c:v>30.47</c:v>
                </c:pt>
                <c:pt idx="169">
                  <c:v>30.959999999999987</c:v>
                </c:pt>
                <c:pt idx="170">
                  <c:v>31.84</c:v>
                </c:pt>
                <c:pt idx="171">
                  <c:v>32.39</c:v>
                </c:pt>
                <c:pt idx="172">
                  <c:v>32.9</c:v>
                </c:pt>
                <c:pt idx="173">
                  <c:v>33.53</c:v>
                </c:pt>
                <c:pt idx="174">
                  <c:v>33.54</c:v>
                </c:pt>
                <c:pt idx="175">
                  <c:v>33.93</c:v>
                </c:pt>
                <c:pt idx="176">
                  <c:v>34.130000000000003</c:v>
                </c:pt>
                <c:pt idx="177">
                  <c:v>35.17</c:v>
                </c:pt>
                <c:pt idx="178">
                  <c:v>35.1</c:v>
                </c:pt>
                <c:pt idx="179">
                  <c:v>35.14</c:v>
                </c:pt>
                <c:pt idx="180">
                  <c:v>35</c:v>
                </c:pt>
                <c:pt idx="181">
                  <c:v>35.36</c:v>
                </c:pt>
                <c:pt idx="182">
                  <c:v>34.81</c:v>
                </c:pt>
                <c:pt idx="183">
                  <c:v>33.92</c:v>
                </c:pt>
                <c:pt idx="184">
                  <c:v>33.6</c:v>
                </c:pt>
                <c:pt idx="185">
                  <c:v>34.730000000000011</c:v>
                </c:pt>
                <c:pt idx="186">
                  <c:v>34.53</c:v>
                </c:pt>
                <c:pt idx="187">
                  <c:v>34.32</c:v>
                </c:pt>
                <c:pt idx="188">
                  <c:v>32.6066</c:v>
                </c:pt>
                <c:pt idx="189">
                  <c:v>32.31</c:v>
                </c:pt>
                <c:pt idx="190">
                  <c:v>33.220000000000013</c:v>
                </c:pt>
                <c:pt idx="191">
                  <c:v>34.18</c:v>
                </c:pt>
                <c:pt idx="192">
                  <c:v>34.39</c:v>
                </c:pt>
                <c:pt idx="193">
                  <c:v>34.93</c:v>
                </c:pt>
                <c:pt idx="194">
                  <c:v>35.300000000000004</c:v>
                </c:pt>
                <c:pt idx="195">
                  <c:v>35.630000000000003</c:v>
                </c:pt>
                <c:pt idx="196">
                  <c:v>35.5</c:v>
                </c:pt>
                <c:pt idx="197">
                  <c:v>36.68</c:v>
                </c:pt>
                <c:pt idx="198">
                  <c:v>36.9</c:v>
                </c:pt>
                <c:pt idx="199">
                  <c:v>36.380000000000003</c:v>
                </c:pt>
                <c:pt idx="200">
                  <c:v>36.99</c:v>
                </c:pt>
                <c:pt idx="201">
                  <c:v>36.630000000000003</c:v>
                </c:pt>
                <c:pt idx="202">
                  <c:v>35.94</c:v>
                </c:pt>
                <c:pt idx="203">
                  <c:v>36.620000000000012</c:v>
                </c:pt>
                <c:pt idx="204">
                  <c:v>35.870000000000005</c:v>
                </c:pt>
                <c:pt idx="205">
                  <c:v>35.050000000000004</c:v>
                </c:pt>
                <c:pt idx="206">
                  <c:v>34.720000000000013</c:v>
                </c:pt>
                <c:pt idx="207">
                  <c:v>33.44</c:v>
                </c:pt>
                <c:pt idx="208">
                  <c:v>34.82</c:v>
                </c:pt>
                <c:pt idx="209">
                  <c:v>32.85</c:v>
                </c:pt>
                <c:pt idx="210">
                  <c:v>33.31</c:v>
                </c:pt>
                <c:pt idx="211">
                  <c:v>33.480000000000004</c:v>
                </c:pt>
                <c:pt idx="212">
                  <c:v>33.630000000000003</c:v>
                </c:pt>
                <c:pt idx="213">
                  <c:v>34.9</c:v>
                </c:pt>
                <c:pt idx="214">
                  <c:v>35.1</c:v>
                </c:pt>
                <c:pt idx="215">
                  <c:v>36.71</c:v>
                </c:pt>
                <c:pt idx="216">
                  <c:v>36.71</c:v>
                </c:pt>
                <c:pt idx="217">
                  <c:v>37.08</c:v>
                </c:pt>
                <c:pt idx="218">
                  <c:v>36.33</c:v>
                </c:pt>
                <c:pt idx="219">
                  <c:v>36.730000000000011</c:v>
                </c:pt>
                <c:pt idx="220">
                  <c:v>37.790000000000013</c:v>
                </c:pt>
                <c:pt idx="221">
                  <c:v>37.870000000000005</c:v>
                </c:pt>
                <c:pt idx="222">
                  <c:v>37.85</c:v>
                </c:pt>
                <c:pt idx="223">
                  <c:v>36.85</c:v>
                </c:pt>
                <c:pt idx="224">
                  <c:v>36.620000000000012</c:v>
                </c:pt>
                <c:pt idx="225">
                  <c:v>37.57</c:v>
                </c:pt>
                <c:pt idx="226">
                  <c:v>37.61</c:v>
                </c:pt>
                <c:pt idx="227">
                  <c:v>37.870000000000005</c:v>
                </c:pt>
                <c:pt idx="228">
                  <c:v>36.660000000000011</c:v>
                </c:pt>
                <c:pt idx="229">
                  <c:v>36.9</c:v>
                </c:pt>
                <c:pt idx="230">
                  <c:v>37.74</c:v>
                </c:pt>
                <c:pt idx="231">
                  <c:v>37.800000000000004</c:v>
                </c:pt>
                <c:pt idx="232">
                  <c:v>37.200000000000003</c:v>
                </c:pt>
                <c:pt idx="233">
                  <c:v>37.6</c:v>
                </c:pt>
                <c:pt idx="234">
                  <c:v>37.46</c:v>
                </c:pt>
                <c:pt idx="235">
                  <c:v>36.68</c:v>
                </c:pt>
                <c:pt idx="236">
                  <c:v>36.910000000000004</c:v>
                </c:pt>
                <c:pt idx="237">
                  <c:v>37.33</c:v>
                </c:pt>
                <c:pt idx="238">
                  <c:v>37.68</c:v>
                </c:pt>
                <c:pt idx="239">
                  <c:v>38.17</c:v>
                </c:pt>
                <c:pt idx="240">
                  <c:v>37.81</c:v>
                </c:pt>
                <c:pt idx="241">
                  <c:v>37.94</c:v>
                </c:pt>
                <c:pt idx="242">
                  <c:v>37.03</c:v>
                </c:pt>
                <c:pt idx="243">
                  <c:v>37.43</c:v>
                </c:pt>
                <c:pt idx="244">
                  <c:v>38.14</c:v>
                </c:pt>
                <c:pt idx="245">
                  <c:v>38.450000000000003</c:v>
                </c:pt>
                <c:pt idx="246">
                  <c:v>38.61</c:v>
                </c:pt>
                <c:pt idx="247">
                  <c:v>39.03</c:v>
                </c:pt>
                <c:pt idx="248">
                  <c:v>39.14</c:v>
                </c:pt>
                <c:pt idx="249">
                  <c:v>39.06</c:v>
                </c:pt>
                <c:pt idx="250">
                  <c:v>38.96</c:v>
                </c:pt>
                <c:pt idx="251">
                  <c:v>38.239000000000011</c:v>
                </c:pt>
                <c:pt idx="252">
                  <c:v>39.47</c:v>
                </c:pt>
                <c:pt idx="253">
                  <c:v>39.730000000000011</c:v>
                </c:pt>
                <c:pt idx="254">
                  <c:v>39.760000000000012</c:v>
                </c:pt>
                <c:pt idx="255">
                  <c:v>40.090000000000003</c:v>
                </c:pt>
                <c:pt idx="256">
                  <c:v>40.370000000000005</c:v>
                </c:pt>
                <c:pt idx="257">
                  <c:v>40.5</c:v>
                </c:pt>
                <c:pt idx="258">
                  <c:v>39.74</c:v>
                </c:pt>
                <c:pt idx="259">
                  <c:v>40.380000000000003</c:v>
                </c:pt>
                <c:pt idx="260">
                  <c:v>40.61</c:v>
                </c:pt>
                <c:pt idx="261">
                  <c:v>39.720000000000013</c:v>
                </c:pt>
                <c:pt idx="262">
                  <c:v>40.700000000000003</c:v>
                </c:pt>
                <c:pt idx="263">
                  <c:v>39.85</c:v>
                </c:pt>
                <c:pt idx="264">
                  <c:v>38.33</c:v>
                </c:pt>
                <c:pt idx="265">
                  <c:v>36.660000000000011</c:v>
                </c:pt>
                <c:pt idx="266">
                  <c:v>36.971000000000004</c:v>
                </c:pt>
                <c:pt idx="267">
                  <c:v>36.67</c:v>
                </c:pt>
                <c:pt idx="268">
                  <c:v>37.020000000000003</c:v>
                </c:pt>
                <c:pt idx="269">
                  <c:v>36.17</c:v>
                </c:pt>
                <c:pt idx="270">
                  <c:v>35.370000000000005</c:v>
                </c:pt>
                <c:pt idx="271">
                  <c:v>36.450000000000003</c:v>
                </c:pt>
                <c:pt idx="272">
                  <c:v>37.35</c:v>
                </c:pt>
                <c:pt idx="273">
                  <c:v>36.99</c:v>
                </c:pt>
                <c:pt idx="274">
                  <c:v>34.730000000000011</c:v>
                </c:pt>
                <c:pt idx="275">
                  <c:v>34.910000000000004</c:v>
                </c:pt>
                <c:pt idx="276">
                  <c:v>34.35</c:v>
                </c:pt>
                <c:pt idx="277">
                  <c:v>35.190000000000012</c:v>
                </c:pt>
                <c:pt idx="278">
                  <c:v>35.041000000000004</c:v>
                </c:pt>
                <c:pt idx="279">
                  <c:v>35.760000000000012</c:v>
                </c:pt>
                <c:pt idx="280">
                  <c:v>35.71</c:v>
                </c:pt>
                <c:pt idx="281">
                  <c:v>36.840000000000003</c:v>
                </c:pt>
                <c:pt idx="282">
                  <c:v>37.190000000000012</c:v>
                </c:pt>
                <c:pt idx="283">
                  <c:v>37.64</c:v>
                </c:pt>
                <c:pt idx="284">
                  <c:v>37.840000000000003</c:v>
                </c:pt>
                <c:pt idx="285">
                  <c:v>37.800000000000004</c:v>
                </c:pt>
                <c:pt idx="286">
                  <c:v>36.910000000000004</c:v>
                </c:pt>
                <c:pt idx="287">
                  <c:v>37.54</c:v>
                </c:pt>
                <c:pt idx="288">
                  <c:v>37.477000000000004</c:v>
                </c:pt>
                <c:pt idx="289">
                  <c:v>37.532000000000011</c:v>
                </c:pt>
                <c:pt idx="290">
                  <c:v>38.28</c:v>
                </c:pt>
                <c:pt idx="291">
                  <c:v>38.47</c:v>
                </c:pt>
                <c:pt idx="292">
                  <c:v>38.56</c:v>
                </c:pt>
                <c:pt idx="293">
                  <c:v>38.770000000000003</c:v>
                </c:pt>
                <c:pt idx="294">
                  <c:v>39.909300000000002</c:v>
                </c:pt>
                <c:pt idx="295">
                  <c:v>39.92</c:v>
                </c:pt>
                <c:pt idx="296">
                  <c:v>40.04</c:v>
                </c:pt>
                <c:pt idx="297">
                  <c:v>40.39</c:v>
                </c:pt>
                <c:pt idx="298">
                  <c:v>40.74</c:v>
                </c:pt>
                <c:pt idx="299">
                  <c:v>40.74</c:v>
                </c:pt>
                <c:pt idx="300">
                  <c:v>40.770000000000003</c:v>
                </c:pt>
                <c:pt idx="301">
                  <c:v>41.42</c:v>
                </c:pt>
                <c:pt idx="302">
                  <c:v>41.91</c:v>
                </c:pt>
                <c:pt idx="303">
                  <c:v>41.87</c:v>
                </c:pt>
                <c:pt idx="304">
                  <c:v>41.45</c:v>
                </c:pt>
                <c:pt idx="305">
                  <c:v>41.87</c:v>
                </c:pt>
                <c:pt idx="306">
                  <c:v>42.48</c:v>
                </c:pt>
                <c:pt idx="307">
                  <c:v>41.91</c:v>
                </c:pt>
                <c:pt idx="308">
                  <c:v>41.730000000000011</c:v>
                </c:pt>
                <c:pt idx="309">
                  <c:v>41.77</c:v>
                </c:pt>
                <c:pt idx="310">
                  <c:v>42.21</c:v>
                </c:pt>
                <c:pt idx="311">
                  <c:v>42.290000000000013</c:v>
                </c:pt>
                <c:pt idx="312">
                  <c:v>42.01</c:v>
                </c:pt>
                <c:pt idx="313">
                  <c:v>42.57</c:v>
                </c:pt>
                <c:pt idx="314">
                  <c:v>43.260000000000012</c:v>
                </c:pt>
                <c:pt idx="315">
                  <c:v>43.47</c:v>
                </c:pt>
                <c:pt idx="316">
                  <c:v>43</c:v>
                </c:pt>
                <c:pt idx="317">
                  <c:v>43.260000000000012</c:v>
                </c:pt>
                <c:pt idx="318">
                  <c:v>43.83</c:v>
                </c:pt>
                <c:pt idx="319">
                  <c:v>43.99</c:v>
                </c:pt>
                <c:pt idx="320">
                  <c:v>44.06</c:v>
                </c:pt>
                <c:pt idx="321">
                  <c:v>45.027500000000003</c:v>
                </c:pt>
                <c:pt idx="322">
                  <c:v>45.120000000000012</c:v>
                </c:pt>
                <c:pt idx="323">
                  <c:v>43.71</c:v>
                </c:pt>
                <c:pt idx="324">
                  <c:v>44.02</c:v>
                </c:pt>
                <c:pt idx="325">
                  <c:v>44.77</c:v>
                </c:pt>
                <c:pt idx="326">
                  <c:v>44.6</c:v>
                </c:pt>
                <c:pt idx="327">
                  <c:v>44.87</c:v>
                </c:pt>
                <c:pt idx="328">
                  <c:v>45.43</c:v>
                </c:pt>
                <c:pt idx="329">
                  <c:v>45.11</c:v>
                </c:pt>
                <c:pt idx="330">
                  <c:v>43</c:v>
                </c:pt>
                <c:pt idx="331">
                  <c:v>43.6</c:v>
                </c:pt>
                <c:pt idx="332">
                  <c:v>44.67</c:v>
                </c:pt>
                <c:pt idx="333">
                  <c:v>43.190000000000012</c:v>
                </c:pt>
                <c:pt idx="334">
                  <c:v>44.36</c:v>
                </c:pt>
                <c:pt idx="335">
                  <c:v>42.24</c:v>
                </c:pt>
                <c:pt idx="336">
                  <c:v>41.690000000000012</c:v>
                </c:pt>
                <c:pt idx="337">
                  <c:v>38.895000000000003</c:v>
                </c:pt>
                <c:pt idx="338">
                  <c:v>37.78</c:v>
                </c:pt>
                <c:pt idx="339">
                  <c:v>41.1</c:v>
                </c:pt>
                <c:pt idx="340">
                  <c:v>40.85</c:v>
                </c:pt>
                <c:pt idx="341">
                  <c:v>42.01</c:v>
                </c:pt>
                <c:pt idx="342">
                  <c:v>40.97</c:v>
                </c:pt>
                <c:pt idx="343">
                  <c:v>39.501000000000005</c:v>
                </c:pt>
                <c:pt idx="344">
                  <c:v>39.53</c:v>
                </c:pt>
                <c:pt idx="345">
                  <c:v>38.457999999999998</c:v>
                </c:pt>
                <c:pt idx="346">
                  <c:v>38.03</c:v>
                </c:pt>
                <c:pt idx="347">
                  <c:v>35.120000000000012</c:v>
                </c:pt>
                <c:pt idx="348">
                  <c:v>36.15</c:v>
                </c:pt>
                <c:pt idx="349">
                  <c:v>35.220000000000013</c:v>
                </c:pt>
                <c:pt idx="350">
                  <c:v>35.300000000000004</c:v>
                </c:pt>
                <c:pt idx="351">
                  <c:v>34.83</c:v>
                </c:pt>
                <c:pt idx="352">
                  <c:v>37.200000000000003</c:v>
                </c:pt>
                <c:pt idx="353">
                  <c:v>36.24</c:v>
                </c:pt>
                <c:pt idx="354">
                  <c:v>35.020000000000003</c:v>
                </c:pt>
                <c:pt idx="355">
                  <c:v>36.82</c:v>
                </c:pt>
                <c:pt idx="356">
                  <c:v>37.160000000000011</c:v>
                </c:pt>
                <c:pt idx="357">
                  <c:v>34.57</c:v>
                </c:pt>
                <c:pt idx="358">
                  <c:v>33.620000000000012</c:v>
                </c:pt>
                <c:pt idx="359">
                  <c:v>34.32</c:v>
                </c:pt>
                <c:pt idx="360">
                  <c:v>33.97</c:v>
                </c:pt>
                <c:pt idx="361">
                  <c:v>35.99</c:v>
                </c:pt>
                <c:pt idx="362">
                  <c:v>36.32</c:v>
                </c:pt>
                <c:pt idx="363">
                  <c:v>36.25</c:v>
                </c:pt>
                <c:pt idx="364">
                  <c:v>37.870000000000005</c:v>
                </c:pt>
                <c:pt idx="365">
                  <c:v>37.83</c:v>
                </c:pt>
                <c:pt idx="366">
                  <c:v>37.94</c:v>
                </c:pt>
                <c:pt idx="367">
                  <c:v>38.01</c:v>
                </c:pt>
                <c:pt idx="368">
                  <c:v>37.800000000000004</c:v>
                </c:pt>
                <c:pt idx="369">
                  <c:v>36.480000000000004</c:v>
                </c:pt>
                <c:pt idx="370">
                  <c:v>36.230000000000011</c:v>
                </c:pt>
                <c:pt idx="371">
                  <c:v>35.050000000000004</c:v>
                </c:pt>
                <c:pt idx="372">
                  <c:v>35.36</c:v>
                </c:pt>
                <c:pt idx="373">
                  <c:v>35.090000000000003</c:v>
                </c:pt>
                <c:pt idx="374">
                  <c:v>32.96</c:v>
                </c:pt>
                <c:pt idx="375">
                  <c:v>32.208000000000013</c:v>
                </c:pt>
                <c:pt idx="376">
                  <c:v>32.07</c:v>
                </c:pt>
                <c:pt idx="377">
                  <c:v>31.66</c:v>
                </c:pt>
                <c:pt idx="378">
                  <c:v>32.07</c:v>
                </c:pt>
                <c:pt idx="379">
                  <c:v>34.090000000000003</c:v>
                </c:pt>
                <c:pt idx="380">
                  <c:v>34.75</c:v>
                </c:pt>
                <c:pt idx="381">
                  <c:v>35.260000000000012</c:v>
                </c:pt>
                <c:pt idx="382">
                  <c:v>35.340000000000003</c:v>
                </c:pt>
                <c:pt idx="383">
                  <c:v>36.42</c:v>
                </c:pt>
                <c:pt idx="384">
                  <c:v>36.39</c:v>
                </c:pt>
                <c:pt idx="385">
                  <c:v>36.42</c:v>
                </c:pt>
                <c:pt idx="386">
                  <c:v>34.380000000000003</c:v>
                </c:pt>
                <c:pt idx="387">
                  <c:v>34.81</c:v>
                </c:pt>
                <c:pt idx="388">
                  <c:v>35.550000000000004</c:v>
                </c:pt>
                <c:pt idx="389">
                  <c:v>34.660000000000011</c:v>
                </c:pt>
                <c:pt idx="390">
                  <c:v>36.190000000000012</c:v>
                </c:pt>
                <c:pt idx="391">
                  <c:v>36.800000000000004</c:v>
                </c:pt>
                <c:pt idx="392">
                  <c:v>37.64</c:v>
                </c:pt>
                <c:pt idx="393">
                  <c:v>37.56</c:v>
                </c:pt>
                <c:pt idx="394">
                  <c:v>37.090000000000003</c:v>
                </c:pt>
                <c:pt idx="395">
                  <c:v>36.720000000000013</c:v>
                </c:pt>
                <c:pt idx="396">
                  <c:v>36.741</c:v>
                </c:pt>
                <c:pt idx="397">
                  <c:v>38.35</c:v>
                </c:pt>
                <c:pt idx="398">
                  <c:v>38</c:v>
                </c:pt>
                <c:pt idx="399">
                  <c:v>38.501000000000005</c:v>
                </c:pt>
                <c:pt idx="400">
                  <c:v>38.43</c:v>
                </c:pt>
                <c:pt idx="401">
                  <c:v>38.1</c:v>
                </c:pt>
                <c:pt idx="402">
                  <c:v>38.51</c:v>
                </c:pt>
                <c:pt idx="403">
                  <c:v>38.109000000000002</c:v>
                </c:pt>
                <c:pt idx="404">
                  <c:v>36.01</c:v>
                </c:pt>
                <c:pt idx="405">
                  <c:v>35.56</c:v>
                </c:pt>
                <c:pt idx="406">
                  <c:v>35.33</c:v>
                </c:pt>
                <c:pt idx="407">
                  <c:v>35.33</c:v>
                </c:pt>
                <c:pt idx="408">
                  <c:v>36.15</c:v>
                </c:pt>
                <c:pt idx="409">
                  <c:v>36.32</c:v>
                </c:pt>
                <c:pt idx="410">
                  <c:v>35.07</c:v>
                </c:pt>
                <c:pt idx="411">
                  <c:v>34.82</c:v>
                </c:pt>
                <c:pt idx="412">
                  <c:v>34.57</c:v>
                </c:pt>
                <c:pt idx="413">
                  <c:v>33.53</c:v>
                </c:pt>
                <c:pt idx="414">
                  <c:v>33.760000000000012</c:v>
                </c:pt>
                <c:pt idx="415">
                  <c:v>33.300000000000004</c:v>
                </c:pt>
                <c:pt idx="416">
                  <c:v>34.35</c:v>
                </c:pt>
                <c:pt idx="417">
                  <c:v>33.370000000000005</c:v>
                </c:pt>
                <c:pt idx="418">
                  <c:v>33.340000000000003</c:v>
                </c:pt>
                <c:pt idx="419">
                  <c:v>35.35</c:v>
                </c:pt>
                <c:pt idx="420">
                  <c:v>36</c:v>
                </c:pt>
                <c:pt idx="421">
                  <c:v>36.950000000000003</c:v>
                </c:pt>
                <c:pt idx="422">
                  <c:v>36.130000000000003</c:v>
                </c:pt>
                <c:pt idx="423">
                  <c:v>36.6</c:v>
                </c:pt>
                <c:pt idx="424">
                  <c:v>36.96</c:v>
                </c:pt>
                <c:pt idx="425">
                  <c:v>37.35</c:v>
                </c:pt>
                <c:pt idx="426">
                  <c:v>38.17</c:v>
                </c:pt>
                <c:pt idx="427">
                  <c:v>38.1</c:v>
                </c:pt>
                <c:pt idx="428">
                  <c:v>38.39</c:v>
                </c:pt>
                <c:pt idx="429">
                  <c:v>38.36</c:v>
                </c:pt>
                <c:pt idx="430">
                  <c:v>38.44</c:v>
                </c:pt>
                <c:pt idx="431">
                  <c:v>39.57</c:v>
                </c:pt>
                <c:pt idx="432">
                  <c:v>39.300000000000004</c:v>
                </c:pt>
                <c:pt idx="433">
                  <c:v>38.950000000000003</c:v>
                </c:pt>
                <c:pt idx="434">
                  <c:v>38.270000000000003</c:v>
                </c:pt>
                <c:pt idx="435">
                  <c:v>39.82</c:v>
                </c:pt>
                <c:pt idx="436">
                  <c:v>39.480000000000004</c:v>
                </c:pt>
                <c:pt idx="437">
                  <c:v>39.770000000000003</c:v>
                </c:pt>
                <c:pt idx="438">
                  <c:v>39.58</c:v>
                </c:pt>
                <c:pt idx="439">
                  <c:v>39.370000000000005</c:v>
                </c:pt>
                <c:pt idx="440">
                  <c:v>39.690000000000012</c:v>
                </c:pt>
                <c:pt idx="441">
                  <c:v>39.08</c:v>
                </c:pt>
                <c:pt idx="442">
                  <c:v>40.67</c:v>
                </c:pt>
                <c:pt idx="443">
                  <c:v>40.68</c:v>
                </c:pt>
                <c:pt idx="444">
                  <c:v>40.58</c:v>
                </c:pt>
                <c:pt idx="445">
                  <c:v>41.01</c:v>
                </c:pt>
                <c:pt idx="446">
                  <c:v>41.1</c:v>
                </c:pt>
                <c:pt idx="447">
                  <c:v>41.35</c:v>
                </c:pt>
                <c:pt idx="448">
                  <c:v>41.97</c:v>
                </c:pt>
                <c:pt idx="449">
                  <c:v>41.71</c:v>
                </c:pt>
                <c:pt idx="450">
                  <c:v>41.831000000000003</c:v>
                </c:pt>
                <c:pt idx="451">
                  <c:v>42.27</c:v>
                </c:pt>
                <c:pt idx="452">
                  <c:v>41.09</c:v>
                </c:pt>
                <c:pt idx="453">
                  <c:v>41.92</c:v>
                </c:pt>
                <c:pt idx="454">
                  <c:v>42.09</c:v>
                </c:pt>
                <c:pt idx="455">
                  <c:v>42.28</c:v>
                </c:pt>
                <c:pt idx="456">
                  <c:v>42.48</c:v>
                </c:pt>
                <c:pt idx="457">
                  <c:v>42.5</c:v>
                </c:pt>
                <c:pt idx="458">
                  <c:v>42.27</c:v>
                </c:pt>
                <c:pt idx="459">
                  <c:v>42.33</c:v>
                </c:pt>
                <c:pt idx="460">
                  <c:v>42.35</c:v>
                </c:pt>
                <c:pt idx="461">
                  <c:v>42.38</c:v>
                </c:pt>
                <c:pt idx="462">
                  <c:v>43.04</c:v>
                </c:pt>
                <c:pt idx="463">
                  <c:v>43.42</c:v>
                </c:pt>
                <c:pt idx="464">
                  <c:v>45.06</c:v>
                </c:pt>
                <c:pt idx="465">
                  <c:v>45.42</c:v>
                </c:pt>
                <c:pt idx="466">
                  <c:v>45.27</c:v>
                </c:pt>
                <c:pt idx="467">
                  <c:v>44.58</c:v>
                </c:pt>
                <c:pt idx="468">
                  <c:v>44.94</c:v>
                </c:pt>
                <c:pt idx="469">
                  <c:v>44.59</c:v>
                </c:pt>
                <c:pt idx="470">
                  <c:v>43.531000000000006</c:v>
                </c:pt>
                <c:pt idx="471">
                  <c:v>43.4</c:v>
                </c:pt>
                <c:pt idx="472">
                  <c:v>42.04</c:v>
                </c:pt>
                <c:pt idx="473">
                  <c:v>42.05</c:v>
                </c:pt>
                <c:pt idx="474">
                  <c:v>43.35</c:v>
                </c:pt>
                <c:pt idx="475">
                  <c:v>43.56</c:v>
                </c:pt>
                <c:pt idx="476">
                  <c:v>43.5</c:v>
                </c:pt>
                <c:pt idx="477">
                  <c:v>42.24</c:v>
                </c:pt>
                <c:pt idx="478">
                  <c:v>43.48</c:v>
                </c:pt>
                <c:pt idx="479">
                  <c:v>42.54</c:v>
                </c:pt>
                <c:pt idx="480">
                  <c:v>42.74</c:v>
                </c:pt>
                <c:pt idx="481">
                  <c:v>42.18</c:v>
                </c:pt>
                <c:pt idx="482">
                  <c:v>44.01</c:v>
                </c:pt>
                <c:pt idx="483">
                  <c:v>45.160000000000011</c:v>
                </c:pt>
                <c:pt idx="484">
                  <c:v>45.38</c:v>
                </c:pt>
                <c:pt idx="485">
                  <c:v>45.281000000000006</c:v>
                </c:pt>
                <c:pt idx="486">
                  <c:v>45.35</c:v>
                </c:pt>
                <c:pt idx="487">
                  <c:v>45.71</c:v>
                </c:pt>
                <c:pt idx="488">
                  <c:v>46.03</c:v>
                </c:pt>
                <c:pt idx="489">
                  <c:v>46.6</c:v>
                </c:pt>
                <c:pt idx="490">
                  <c:v>46.620000000000012</c:v>
                </c:pt>
                <c:pt idx="491">
                  <c:v>46.71</c:v>
                </c:pt>
                <c:pt idx="492">
                  <c:v>46.31</c:v>
                </c:pt>
                <c:pt idx="493">
                  <c:v>46.790000000000013</c:v>
                </c:pt>
                <c:pt idx="494">
                  <c:v>46.92</c:v>
                </c:pt>
                <c:pt idx="495">
                  <c:v>47.11</c:v>
                </c:pt>
                <c:pt idx="496">
                  <c:v>47.7</c:v>
                </c:pt>
                <c:pt idx="497">
                  <c:v>48.01</c:v>
                </c:pt>
                <c:pt idx="498">
                  <c:v>47.89</c:v>
                </c:pt>
                <c:pt idx="499">
                  <c:v>47.948</c:v>
                </c:pt>
                <c:pt idx="500">
                  <c:v>48.04</c:v>
                </c:pt>
                <c:pt idx="501">
                  <c:v>48.11</c:v>
                </c:pt>
                <c:pt idx="502">
                  <c:v>47.99</c:v>
                </c:pt>
                <c:pt idx="503">
                  <c:v>48.05</c:v>
                </c:pt>
                <c:pt idx="504">
                  <c:v>48.97</c:v>
                </c:pt>
                <c:pt idx="505">
                  <c:v>48.902500000000003</c:v>
                </c:pt>
                <c:pt idx="506">
                  <c:v>49.41</c:v>
                </c:pt>
                <c:pt idx="507">
                  <c:v>49.230000000000011</c:v>
                </c:pt>
                <c:pt idx="508">
                  <c:v>49.04</c:v>
                </c:pt>
                <c:pt idx="509">
                  <c:v>48.91</c:v>
                </c:pt>
                <c:pt idx="510">
                  <c:v>49.24</c:v>
                </c:pt>
                <c:pt idx="511">
                  <c:v>50.15</c:v>
                </c:pt>
                <c:pt idx="512">
                  <c:v>50.04</c:v>
                </c:pt>
                <c:pt idx="513">
                  <c:v>50.68</c:v>
                </c:pt>
                <c:pt idx="514">
                  <c:v>50.88</c:v>
                </c:pt>
                <c:pt idx="515">
                  <c:v>49.87</c:v>
                </c:pt>
                <c:pt idx="516">
                  <c:v>49.75</c:v>
                </c:pt>
                <c:pt idx="517">
                  <c:v>49.95</c:v>
                </c:pt>
                <c:pt idx="518">
                  <c:v>50.57</c:v>
                </c:pt>
                <c:pt idx="519">
                  <c:v>50.55</c:v>
                </c:pt>
                <c:pt idx="520">
                  <c:v>50.94</c:v>
                </c:pt>
                <c:pt idx="521">
                  <c:v>51.230000000000011</c:v>
                </c:pt>
                <c:pt idx="522">
                  <c:v>49.43</c:v>
                </c:pt>
                <c:pt idx="523">
                  <c:v>50.13</c:v>
                </c:pt>
                <c:pt idx="524">
                  <c:v>51.78</c:v>
                </c:pt>
                <c:pt idx="525">
                  <c:v>51.55</c:v>
                </c:pt>
                <c:pt idx="526">
                  <c:v>51.790000000000013</c:v>
                </c:pt>
                <c:pt idx="527">
                  <c:v>52.1</c:v>
                </c:pt>
                <c:pt idx="528">
                  <c:v>52.75</c:v>
                </c:pt>
                <c:pt idx="529">
                  <c:v>53.230000000000011</c:v>
                </c:pt>
                <c:pt idx="530">
                  <c:v>52.95</c:v>
                </c:pt>
                <c:pt idx="531">
                  <c:v>53.02</c:v>
                </c:pt>
                <c:pt idx="532">
                  <c:v>53.64</c:v>
                </c:pt>
                <c:pt idx="533">
                  <c:v>53.89</c:v>
                </c:pt>
                <c:pt idx="534">
                  <c:v>53.6</c:v>
                </c:pt>
                <c:pt idx="535">
                  <c:v>54.2</c:v>
                </c:pt>
                <c:pt idx="536">
                  <c:v>54.56</c:v>
                </c:pt>
                <c:pt idx="537">
                  <c:v>54.78</c:v>
                </c:pt>
                <c:pt idx="538">
                  <c:v>52.59</c:v>
                </c:pt>
                <c:pt idx="539">
                  <c:v>51.9</c:v>
                </c:pt>
                <c:pt idx="540">
                  <c:v>51.87</c:v>
                </c:pt>
                <c:pt idx="541">
                  <c:v>52.95</c:v>
                </c:pt>
                <c:pt idx="542">
                  <c:v>53.61</c:v>
                </c:pt>
                <c:pt idx="543">
                  <c:v>51.8</c:v>
                </c:pt>
                <c:pt idx="544">
                  <c:v>52.02</c:v>
                </c:pt>
                <c:pt idx="545">
                  <c:v>53.8</c:v>
                </c:pt>
                <c:pt idx="546">
                  <c:v>53.03</c:v>
                </c:pt>
                <c:pt idx="547">
                  <c:v>52.17</c:v>
                </c:pt>
                <c:pt idx="548">
                  <c:v>53.06</c:v>
                </c:pt>
                <c:pt idx="549">
                  <c:v>52.93</c:v>
                </c:pt>
                <c:pt idx="550">
                  <c:v>50.97</c:v>
                </c:pt>
                <c:pt idx="551">
                  <c:v>51.68</c:v>
                </c:pt>
                <c:pt idx="552">
                  <c:v>51.06</c:v>
                </c:pt>
                <c:pt idx="553">
                  <c:v>49.92</c:v>
                </c:pt>
                <c:pt idx="554">
                  <c:v>48.03</c:v>
                </c:pt>
                <c:pt idx="555">
                  <c:v>49.230000000000011</c:v>
                </c:pt>
                <c:pt idx="556">
                  <c:v>49.63</c:v>
                </c:pt>
                <c:pt idx="557">
                  <c:v>51.15</c:v>
                </c:pt>
                <c:pt idx="558">
                  <c:v>50.790000000000013</c:v>
                </c:pt>
                <c:pt idx="559">
                  <c:v>50.99</c:v>
                </c:pt>
                <c:pt idx="560">
                  <c:v>51.94</c:v>
                </c:pt>
                <c:pt idx="561">
                  <c:v>52.27</c:v>
                </c:pt>
                <c:pt idx="562">
                  <c:v>52.02</c:v>
                </c:pt>
                <c:pt idx="563">
                  <c:v>52.74</c:v>
                </c:pt>
                <c:pt idx="564">
                  <c:v>53.4</c:v>
                </c:pt>
                <c:pt idx="565">
                  <c:v>53.27</c:v>
                </c:pt>
                <c:pt idx="566">
                  <c:v>53.7</c:v>
                </c:pt>
                <c:pt idx="567">
                  <c:v>53.83</c:v>
                </c:pt>
                <c:pt idx="568">
                  <c:v>53.798000000000357</c:v>
                </c:pt>
                <c:pt idx="569">
                  <c:v>54.11</c:v>
                </c:pt>
                <c:pt idx="570">
                  <c:v>53.9</c:v>
                </c:pt>
                <c:pt idx="571">
                  <c:v>53.47</c:v>
                </c:pt>
                <c:pt idx="572">
                  <c:v>53.18</c:v>
                </c:pt>
                <c:pt idx="573">
                  <c:v>52.354999999999997</c:v>
                </c:pt>
                <c:pt idx="574">
                  <c:v>52.33</c:v>
                </c:pt>
                <c:pt idx="575">
                  <c:v>52.42</c:v>
                </c:pt>
                <c:pt idx="576">
                  <c:v>52.84</c:v>
                </c:pt>
                <c:pt idx="577">
                  <c:v>51.6</c:v>
                </c:pt>
                <c:pt idx="578">
                  <c:v>52.18</c:v>
                </c:pt>
                <c:pt idx="579">
                  <c:v>53.61</c:v>
                </c:pt>
                <c:pt idx="580">
                  <c:v>54.14</c:v>
                </c:pt>
                <c:pt idx="581">
                  <c:v>54.09</c:v>
                </c:pt>
                <c:pt idx="582">
                  <c:v>55</c:v>
                </c:pt>
                <c:pt idx="583">
                  <c:v>55.7</c:v>
                </c:pt>
                <c:pt idx="584">
                  <c:v>56.11</c:v>
                </c:pt>
                <c:pt idx="585">
                  <c:v>56.33</c:v>
                </c:pt>
                <c:pt idx="586">
                  <c:v>56.18</c:v>
                </c:pt>
                <c:pt idx="587">
                  <c:v>55.720000000000013</c:v>
                </c:pt>
                <c:pt idx="588">
                  <c:v>54.98</c:v>
                </c:pt>
                <c:pt idx="589">
                  <c:v>54.02</c:v>
                </c:pt>
                <c:pt idx="590">
                  <c:v>54.46</c:v>
                </c:pt>
                <c:pt idx="591">
                  <c:v>54.9</c:v>
                </c:pt>
                <c:pt idx="592">
                  <c:v>55.85</c:v>
                </c:pt>
                <c:pt idx="593">
                  <c:v>54.7</c:v>
                </c:pt>
                <c:pt idx="594">
                  <c:v>55.18</c:v>
                </c:pt>
                <c:pt idx="595">
                  <c:v>54.32</c:v>
                </c:pt>
                <c:pt idx="596">
                  <c:v>53.620000000000012</c:v>
                </c:pt>
                <c:pt idx="597">
                  <c:v>53.628000000000213</c:v>
                </c:pt>
                <c:pt idx="598">
                  <c:v>54.55</c:v>
                </c:pt>
                <c:pt idx="599">
                  <c:v>54.82</c:v>
                </c:pt>
                <c:pt idx="600">
                  <c:v>53.98</c:v>
                </c:pt>
                <c:pt idx="601">
                  <c:v>52.71</c:v>
                </c:pt>
                <c:pt idx="602">
                  <c:v>52.63</c:v>
                </c:pt>
                <c:pt idx="603">
                  <c:v>52.94</c:v>
                </c:pt>
                <c:pt idx="604">
                  <c:v>53.41</c:v>
                </c:pt>
                <c:pt idx="605">
                  <c:v>53.82</c:v>
                </c:pt>
                <c:pt idx="606">
                  <c:v>54.99</c:v>
                </c:pt>
                <c:pt idx="607">
                  <c:v>52.47</c:v>
                </c:pt>
                <c:pt idx="608">
                  <c:v>52.37</c:v>
                </c:pt>
                <c:pt idx="609">
                  <c:v>51.34</c:v>
                </c:pt>
                <c:pt idx="610">
                  <c:v>50.260000000000012</c:v>
                </c:pt>
                <c:pt idx="611">
                  <c:v>50.160000000000011</c:v>
                </c:pt>
                <c:pt idx="612">
                  <c:v>49.74</c:v>
                </c:pt>
                <c:pt idx="613">
                  <c:v>50.49</c:v>
                </c:pt>
                <c:pt idx="614">
                  <c:v>49.1</c:v>
                </c:pt>
                <c:pt idx="615">
                  <c:v>49.14</c:v>
                </c:pt>
                <c:pt idx="616">
                  <c:v>50.4</c:v>
                </c:pt>
                <c:pt idx="617">
                  <c:v>48.63</c:v>
                </c:pt>
                <c:pt idx="618">
                  <c:v>48.81</c:v>
                </c:pt>
                <c:pt idx="619">
                  <c:v>49.129000000000012</c:v>
                </c:pt>
                <c:pt idx="620">
                  <c:v>49.620000000000012</c:v>
                </c:pt>
                <c:pt idx="621">
                  <c:v>50.94</c:v>
                </c:pt>
                <c:pt idx="622">
                  <c:v>50.31</c:v>
                </c:pt>
                <c:pt idx="623">
                  <c:v>50.06</c:v>
                </c:pt>
                <c:pt idx="624">
                  <c:v>48.89</c:v>
                </c:pt>
                <c:pt idx="625">
                  <c:v>49.68</c:v>
                </c:pt>
                <c:pt idx="626">
                  <c:v>51.01</c:v>
                </c:pt>
                <c:pt idx="627">
                  <c:v>51.94</c:v>
                </c:pt>
                <c:pt idx="628">
                  <c:v>52.89</c:v>
                </c:pt>
                <c:pt idx="629">
                  <c:v>54.45</c:v>
                </c:pt>
                <c:pt idx="630">
                  <c:v>54.36</c:v>
                </c:pt>
                <c:pt idx="631">
                  <c:v>54.44</c:v>
                </c:pt>
                <c:pt idx="632">
                  <c:v>55.67</c:v>
                </c:pt>
                <c:pt idx="633">
                  <c:v>54.84</c:v>
                </c:pt>
                <c:pt idx="634">
                  <c:v>52.88</c:v>
                </c:pt>
                <c:pt idx="635">
                  <c:v>52.38</c:v>
                </c:pt>
                <c:pt idx="636">
                  <c:v>52.720000000000013</c:v>
                </c:pt>
                <c:pt idx="637">
                  <c:v>52.03</c:v>
                </c:pt>
                <c:pt idx="638">
                  <c:v>52.6</c:v>
                </c:pt>
                <c:pt idx="639">
                  <c:v>51.71</c:v>
                </c:pt>
                <c:pt idx="640">
                  <c:v>53.38</c:v>
                </c:pt>
                <c:pt idx="641">
                  <c:v>53.33</c:v>
                </c:pt>
                <c:pt idx="642">
                  <c:v>54.81</c:v>
                </c:pt>
                <c:pt idx="643">
                  <c:v>54.88</c:v>
                </c:pt>
                <c:pt idx="644">
                  <c:v>54.3</c:v>
                </c:pt>
                <c:pt idx="645">
                  <c:v>53.89</c:v>
                </c:pt>
                <c:pt idx="646">
                  <c:v>51.690000000000012</c:v>
                </c:pt>
                <c:pt idx="647">
                  <c:v>51.359000000000002</c:v>
                </c:pt>
                <c:pt idx="648">
                  <c:v>50.660000000000011</c:v>
                </c:pt>
                <c:pt idx="649">
                  <c:v>50.18</c:v>
                </c:pt>
                <c:pt idx="650">
                  <c:v>47.63</c:v>
                </c:pt>
                <c:pt idx="651">
                  <c:v>48.17</c:v>
                </c:pt>
                <c:pt idx="652">
                  <c:v>43.63</c:v>
                </c:pt>
                <c:pt idx="653">
                  <c:v>43.43</c:v>
                </c:pt>
                <c:pt idx="654">
                  <c:v>37.85</c:v>
                </c:pt>
                <c:pt idx="655">
                  <c:v>41.38</c:v>
                </c:pt>
                <c:pt idx="656">
                  <c:v>37.56</c:v>
                </c:pt>
                <c:pt idx="657">
                  <c:v>41.04</c:v>
                </c:pt>
                <c:pt idx="658">
                  <c:v>41.620000000000012</c:v>
                </c:pt>
                <c:pt idx="659">
                  <c:v>43.36</c:v>
                </c:pt>
                <c:pt idx="660">
                  <c:v>42.63</c:v>
                </c:pt>
                <c:pt idx="661">
                  <c:v>42.68</c:v>
                </c:pt>
                <c:pt idx="662">
                  <c:v>38.97</c:v>
                </c:pt>
                <c:pt idx="663">
                  <c:v>37.730000000000011</c:v>
                </c:pt>
                <c:pt idx="664">
                  <c:v>37.74</c:v>
                </c:pt>
                <c:pt idx="665">
                  <c:v>40.270000000000003</c:v>
                </c:pt>
                <c:pt idx="666">
                  <c:v>41.34</c:v>
                </c:pt>
                <c:pt idx="667">
                  <c:v>40.130000000000003</c:v>
                </c:pt>
                <c:pt idx="668">
                  <c:v>41.28</c:v>
                </c:pt>
                <c:pt idx="669">
                  <c:v>43.660000000000011</c:v>
                </c:pt>
                <c:pt idx="670">
                  <c:v>43.82</c:v>
                </c:pt>
                <c:pt idx="671">
                  <c:v>44.17</c:v>
                </c:pt>
                <c:pt idx="672">
                  <c:v>43.37</c:v>
                </c:pt>
                <c:pt idx="673">
                  <c:v>41.09</c:v>
                </c:pt>
                <c:pt idx="674">
                  <c:v>40.51</c:v>
                </c:pt>
                <c:pt idx="675">
                  <c:v>42.8</c:v>
                </c:pt>
                <c:pt idx="676">
                  <c:v>41.89</c:v>
                </c:pt>
                <c:pt idx="677">
                  <c:v>39.68</c:v>
                </c:pt>
                <c:pt idx="678">
                  <c:v>40.24</c:v>
                </c:pt>
                <c:pt idx="679">
                  <c:v>40.957999999999998</c:v>
                </c:pt>
                <c:pt idx="680">
                  <c:v>42.07</c:v>
                </c:pt>
                <c:pt idx="681">
                  <c:v>43.53</c:v>
                </c:pt>
                <c:pt idx="682">
                  <c:v>44.07</c:v>
                </c:pt>
                <c:pt idx="683">
                  <c:v>43.18</c:v>
                </c:pt>
                <c:pt idx="684">
                  <c:v>43.089000000000006</c:v>
                </c:pt>
                <c:pt idx="685">
                  <c:v>40.340000000000003</c:v>
                </c:pt>
                <c:pt idx="686">
                  <c:v>37.840000000000003</c:v>
                </c:pt>
                <c:pt idx="687">
                  <c:v>38.190000000000012</c:v>
                </c:pt>
                <c:pt idx="688">
                  <c:v>40.1</c:v>
                </c:pt>
                <c:pt idx="689">
                  <c:v>41</c:v>
                </c:pt>
                <c:pt idx="690">
                  <c:v>39.290000000000013</c:v>
                </c:pt>
                <c:pt idx="691">
                  <c:v>39.950000000000003</c:v>
                </c:pt>
                <c:pt idx="692">
                  <c:v>37.97</c:v>
                </c:pt>
                <c:pt idx="693">
                  <c:v>35.82</c:v>
                </c:pt>
                <c:pt idx="694">
                  <c:v>37.230000000000011</c:v>
                </c:pt>
                <c:pt idx="695">
                  <c:v>38.75</c:v>
                </c:pt>
                <c:pt idx="696">
                  <c:v>40.142000000000003</c:v>
                </c:pt>
                <c:pt idx="697">
                  <c:v>39.64</c:v>
                </c:pt>
                <c:pt idx="698">
                  <c:v>42.25</c:v>
                </c:pt>
                <c:pt idx="699">
                  <c:v>42.295000000000357</c:v>
                </c:pt>
                <c:pt idx="700">
                  <c:v>43.05</c:v>
                </c:pt>
                <c:pt idx="701">
                  <c:v>42.89</c:v>
                </c:pt>
                <c:pt idx="702">
                  <c:v>44.38</c:v>
                </c:pt>
                <c:pt idx="703">
                  <c:v>42.68</c:v>
                </c:pt>
                <c:pt idx="704">
                  <c:v>44.37</c:v>
                </c:pt>
                <c:pt idx="705">
                  <c:v>43.27</c:v>
                </c:pt>
                <c:pt idx="706">
                  <c:v>43.629000000000012</c:v>
                </c:pt>
                <c:pt idx="707">
                  <c:v>45.27</c:v>
                </c:pt>
                <c:pt idx="708">
                  <c:v>46.42</c:v>
                </c:pt>
                <c:pt idx="709">
                  <c:v>44.660000000000011</c:v>
                </c:pt>
                <c:pt idx="710">
                  <c:v>45.54</c:v>
                </c:pt>
                <c:pt idx="711">
                  <c:v>48.68</c:v>
                </c:pt>
                <c:pt idx="712">
                  <c:v>48.683</c:v>
                </c:pt>
                <c:pt idx="713">
                  <c:v>46.25</c:v>
                </c:pt>
                <c:pt idx="714">
                  <c:v>43.760000000000012</c:v>
                </c:pt>
                <c:pt idx="715">
                  <c:v>45.15</c:v>
                </c:pt>
                <c:pt idx="716">
                  <c:v>46.81</c:v>
                </c:pt>
                <c:pt idx="717">
                  <c:v>46.21</c:v>
                </c:pt>
                <c:pt idx="718">
                  <c:v>46.802</c:v>
                </c:pt>
                <c:pt idx="719">
                  <c:v>47.99</c:v>
                </c:pt>
                <c:pt idx="720">
                  <c:v>44.42</c:v>
                </c:pt>
                <c:pt idx="721">
                  <c:v>45.260000000000012</c:v>
                </c:pt>
                <c:pt idx="722">
                  <c:v>47.02</c:v>
                </c:pt>
                <c:pt idx="723">
                  <c:v>46.11</c:v>
                </c:pt>
                <c:pt idx="724">
                  <c:v>46.6</c:v>
                </c:pt>
                <c:pt idx="725">
                  <c:v>45.14</c:v>
                </c:pt>
                <c:pt idx="726">
                  <c:v>43.631</c:v>
                </c:pt>
                <c:pt idx="727">
                  <c:v>43.56</c:v>
                </c:pt>
                <c:pt idx="728">
                  <c:v>41.89</c:v>
                </c:pt>
                <c:pt idx="729">
                  <c:v>41.54</c:v>
                </c:pt>
                <c:pt idx="730">
                  <c:v>39.733000000000011</c:v>
                </c:pt>
                <c:pt idx="731">
                  <c:v>39.53</c:v>
                </c:pt>
                <c:pt idx="732">
                  <c:v>41.83</c:v>
                </c:pt>
                <c:pt idx="733">
                  <c:v>42.06</c:v>
                </c:pt>
                <c:pt idx="734">
                  <c:v>45.53</c:v>
                </c:pt>
                <c:pt idx="735">
                  <c:v>45.55</c:v>
                </c:pt>
                <c:pt idx="736">
                  <c:v>45.49</c:v>
                </c:pt>
                <c:pt idx="737">
                  <c:v>46.46</c:v>
                </c:pt>
                <c:pt idx="738">
                  <c:v>46.49</c:v>
                </c:pt>
                <c:pt idx="739">
                  <c:v>46.743000000000002</c:v>
                </c:pt>
                <c:pt idx="740">
                  <c:v>44.790000000000013</c:v>
                </c:pt>
                <c:pt idx="741">
                  <c:v>46.260000000000012</c:v>
                </c:pt>
                <c:pt idx="742">
                  <c:v>44.9</c:v>
                </c:pt>
                <c:pt idx="743">
                  <c:v>44.11</c:v>
                </c:pt>
                <c:pt idx="744">
                  <c:v>43.137</c:v>
                </c:pt>
                <c:pt idx="745">
                  <c:v>43.44</c:v>
                </c:pt>
                <c:pt idx="746">
                  <c:v>43.55</c:v>
                </c:pt>
                <c:pt idx="747">
                  <c:v>42.65</c:v>
                </c:pt>
                <c:pt idx="748">
                  <c:v>45.190000000000012</c:v>
                </c:pt>
                <c:pt idx="749">
                  <c:v>45.38</c:v>
                </c:pt>
                <c:pt idx="750">
                  <c:v>46.24</c:v>
                </c:pt>
                <c:pt idx="751">
                  <c:v>47</c:v>
                </c:pt>
                <c:pt idx="752">
                  <c:v>47.06</c:v>
                </c:pt>
                <c:pt idx="753">
                  <c:v>45.93</c:v>
                </c:pt>
                <c:pt idx="754">
                  <c:v>46.75</c:v>
                </c:pt>
                <c:pt idx="755">
                  <c:v>46.39</c:v>
                </c:pt>
                <c:pt idx="756">
                  <c:v>47.821000000000005</c:v>
                </c:pt>
                <c:pt idx="757">
                  <c:v>47.94</c:v>
                </c:pt>
                <c:pt idx="758">
                  <c:v>48.24</c:v>
                </c:pt>
                <c:pt idx="759">
                  <c:v>48.04</c:v>
                </c:pt>
                <c:pt idx="760">
                  <c:v>48.159000000000006</c:v>
                </c:pt>
                <c:pt idx="761">
                  <c:v>49</c:v>
                </c:pt>
                <c:pt idx="762">
                  <c:v>49.071100000000001</c:v>
                </c:pt>
                <c:pt idx="763">
                  <c:v>49.28</c:v>
                </c:pt>
                <c:pt idx="764">
                  <c:v>48.96</c:v>
                </c:pt>
                <c:pt idx="765">
                  <c:v>49.1</c:v>
                </c:pt>
                <c:pt idx="766">
                  <c:v>50.2</c:v>
                </c:pt>
                <c:pt idx="767">
                  <c:v>50.760000000000012</c:v>
                </c:pt>
                <c:pt idx="768">
                  <c:v>50.83</c:v>
                </c:pt>
                <c:pt idx="769">
                  <c:v>50.88</c:v>
                </c:pt>
                <c:pt idx="770">
                  <c:v>50.77</c:v>
                </c:pt>
                <c:pt idx="771">
                  <c:v>51.61</c:v>
                </c:pt>
                <c:pt idx="772">
                  <c:v>51.073</c:v>
                </c:pt>
                <c:pt idx="773">
                  <c:v>51</c:v>
                </c:pt>
                <c:pt idx="774">
                  <c:v>50.690000000000012</c:v>
                </c:pt>
                <c:pt idx="775">
                  <c:v>50.55</c:v>
                </c:pt>
                <c:pt idx="776">
                  <c:v>51.45</c:v>
                </c:pt>
                <c:pt idx="777">
                  <c:v>51.658000000000001</c:v>
                </c:pt>
                <c:pt idx="778">
                  <c:v>53.15</c:v>
                </c:pt>
                <c:pt idx="779">
                  <c:v>53.068000000000012</c:v>
                </c:pt>
                <c:pt idx="780">
                  <c:v>53.3</c:v>
                </c:pt>
                <c:pt idx="781">
                  <c:v>53.63</c:v>
                </c:pt>
                <c:pt idx="782">
                  <c:v>53.760000000000012</c:v>
                </c:pt>
                <c:pt idx="783">
                  <c:v>53.03</c:v>
                </c:pt>
                <c:pt idx="784">
                  <c:v>53.71</c:v>
                </c:pt>
                <c:pt idx="785">
                  <c:v>53.67</c:v>
                </c:pt>
                <c:pt idx="786">
                  <c:v>53.14</c:v>
                </c:pt>
                <c:pt idx="787">
                  <c:v>54.230000000000011</c:v>
                </c:pt>
                <c:pt idx="788">
                  <c:v>54.55</c:v>
                </c:pt>
                <c:pt idx="789">
                  <c:v>54.65</c:v>
                </c:pt>
                <c:pt idx="790">
                  <c:v>54.266000000000012</c:v>
                </c:pt>
                <c:pt idx="791">
                  <c:v>54.74</c:v>
                </c:pt>
                <c:pt idx="792">
                  <c:v>54.98</c:v>
                </c:pt>
                <c:pt idx="793">
                  <c:v>55.220000000000013</c:v>
                </c:pt>
                <c:pt idx="794">
                  <c:v>55.5</c:v>
                </c:pt>
                <c:pt idx="795">
                  <c:v>54.82</c:v>
                </c:pt>
                <c:pt idx="796">
                  <c:v>55.67</c:v>
                </c:pt>
                <c:pt idx="797">
                  <c:v>55.33</c:v>
                </c:pt>
                <c:pt idx="798">
                  <c:v>54.89</c:v>
                </c:pt>
                <c:pt idx="799">
                  <c:v>53.21</c:v>
                </c:pt>
                <c:pt idx="800">
                  <c:v>53.94</c:v>
                </c:pt>
                <c:pt idx="801">
                  <c:v>55.01</c:v>
                </c:pt>
                <c:pt idx="802">
                  <c:v>55.42</c:v>
                </c:pt>
                <c:pt idx="803">
                  <c:v>55.46</c:v>
                </c:pt>
                <c:pt idx="804">
                  <c:v>57.49</c:v>
                </c:pt>
                <c:pt idx="805">
                  <c:v>57.35</c:v>
                </c:pt>
                <c:pt idx="806">
                  <c:v>57.95</c:v>
                </c:pt>
                <c:pt idx="807">
                  <c:v>58.18</c:v>
                </c:pt>
                <c:pt idx="808">
                  <c:v>58.621000000000002</c:v>
                </c:pt>
                <c:pt idx="809">
                  <c:v>58.28</c:v>
                </c:pt>
                <c:pt idx="810">
                  <c:v>57.92</c:v>
                </c:pt>
                <c:pt idx="811">
                  <c:v>57.1</c:v>
                </c:pt>
                <c:pt idx="812">
                  <c:v>57.47</c:v>
                </c:pt>
                <c:pt idx="813">
                  <c:v>59.06</c:v>
                </c:pt>
                <c:pt idx="814">
                  <c:v>58.71</c:v>
                </c:pt>
                <c:pt idx="815">
                  <c:v>58.13</c:v>
                </c:pt>
                <c:pt idx="816">
                  <c:v>57.91</c:v>
                </c:pt>
                <c:pt idx="817">
                  <c:v>58.361000000000004</c:v>
                </c:pt>
                <c:pt idx="818">
                  <c:v>59.21</c:v>
                </c:pt>
                <c:pt idx="819">
                  <c:v>58.8</c:v>
                </c:pt>
                <c:pt idx="820">
                  <c:v>57.52</c:v>
                </c:pt>
                <c:pt idx="821">
                  <c:v>57.53</c:v>
                </c:pt>
                <c:pt idx="822">
                  <c:v>56.290000000000013</c:v>
                </c:pt>
                <c:pt idx="823">
                  <c:v>54.320900000000002</c:v>
                </c:pt>
                <c:pt idx="824">
                  <c:v>55.120000000000012</c:v>
                </c:pt>
                <c:pt idx="825">
                  <c:v>56.7</c:v>
                </c:pt>
                <c:pt idx="826">
                  <c:v>55.27</c:v>
                </c:pt>
                <c:pt idx="827">
                  <c:v>55.17</c:v>
                </c:pt>
                <c:pt idx="828">
                  <c:v>56.87</c:v>
                </c:pt>
                <c:pt idx="829">
                  <c:v>56.47</c:v>
                </c:pt>
                <c:pt idx="830">
                  <c:v>55.81</c:v>
                </c:pt>
                <c:pt idx="831">
                  <c:v>55.94</c:v>
                </c:pt>
                <c:pt idx="832">
                  <c:v>54.96</c:v>
                </c:pt>
                <c:pt idx="833">
                  <c:v>55.411999999999999</c:v>
                </c:pt>
                <c:pt idx="834">
                  <c:v>56.97</c:v>
                </c:pt>
                <c:pt idx="835">
                  <c:v>57.720000000000013</c:v>
                </c:pt>
                <c:pt idx="836">
                  <c:v>57.946000000000005</c:v>
                </c:pt>
                <c:pt idx="837">
                  <c:v>57.42</c:v>
                </c:pt>
                <c:pt idx="838">
                  <c:v>58.144000000000005</c:v>
                </c:pt>
                <c:pt idx="839">
                  <c:v>57.82</c:v>
                </c:pt>
                <c:pt idx="840">
                  <c:v>56.95</c:v>
                </c:pt>
                <c:pt idx="841">
                  <c:v>55.11</c:v>
                </c:pt>
                <c:pt idx="842">
                  <c:v>55.15</c:v>
                </c:pt>
                <c:pt idx="843">
                  <c:v>54.74</c:v>
                </c:pt>
                <c:pt idx="844">
                  <c:v>54.048000000000002</c:v>
                </c:pt>
                <c:pt idx="845">
                  <c:v>54.25</c:v>
                </c:pt>
                <c:pt idx="846">
                  <c:v>53.96</c:v>
                </c:pt>
                <c:pt idx="847">
                  <c:v>52.77</c:v>
                </c:pt>
                <c:pt idx="848">
                  <c:v>52.2</c:v>
                </c:pt>
                <c:pt idx="849">
                  <c:v>51.78</c:v>
                </c:pt>
                <c:pt idx="850">
                  <c:v>50.209000000000003</c:v>
                </c:pt>
                <c:pt idx="851">
                  <c:v>49.32</c:v>
                </c:pt>
                <c:pt idx="852">
                  <c:v>51.03</c:v>
                </c:pt>
                <c:pt idx="853">
                  <c:v>51.21</c:v>
                </c:pt>
                <c:pt idx="854">
                  <c:v>51.31</c:v>
                </c:pt>
                <c:pt idx="855">
                  <c:v>51.51</c:v>
                </c:pt>
                <c:pt idx="856">
                  <c:v>51.13</c:v>
                </c:pt>
                <c:pt idx="857">
                  <c:v>52.39</c:v>
                </c:pt>
                <c:pt idx="858">
                  <c:v>50.85</c:v>
                </c:pt>
                <c:pt idx="859">
                  <c:v>50.89</c:v>
                </c:pt>
                <c:pt idx="860">
                  <c:v>48.07</c:v>
                </c:pt>
                <c:pt idx="861">
                  <c:v>48.07</c:v>
                </c:pt>
                <c:pt idx="862">
                  <c:v>48.7</c:v>
                </c:pt>
                <c:pt idx="863">
                  <c:v>50.958400000000005</c:v>
                </c:pt>
                <c:pt idx="864">
                  <c:v>50.96</c:v>
                </c:pt>
                <c:pt idx="865">
                  <c:v>51.82</c:v>
                </c:pt>
                <c:pt idx="866">
                  <c:v>50.53</c:v>
                </c:pt>
                <c:pt idx="867">
                  <c:v>51.68</c:v>
                </c:pt>
                <c:pt idx="868">
                  <c:v>50.992000000000012</c:v>
                </c:pt>
                <c:pt idx="869">
                  <c:v>52.05</c:v>
                </c:pt>
                <c:pt idx="870">
                  <c:v>53.104000000000006</c:v>
                </c:pt>
                <c:pt idx="871">
                  <c:v>53.32</c:v>
                </c:pt>
                <c:pt idx="872">
                  <c:v>54.4</c:v>
                </c:pt>
                <c:pt idx="873">
                  <c:v>54.160000000000011</c:v>
                </c:pt>
                <c:pt idx="874">
                  <c:v>51.71</c:v>
                </c:pt>
                <c:pt idx="875">
                  <c:v>52.42</c:v>
                </c:pt>
                <c:pt idx="876">
                  <c:v>50.8</c:v>
                </c:pt>
                <c:pt idx="877">
                  <c:v>51.31</c:v>
                </c:pt>
                <c:pt idx="878">
                  <c:v>52.230000000000011</c:v>
                </c:pt>
                <c:pt idx="879">
                  <c:v>51.95</c:v>
                </c:pt>
                <c:pt idx="880">
                  <c:v>54.53</c:v>
                </c:pt>
                <c:pt idx="881">
                  <c:v>54.85</c:v>
                </c:pt>
                <c:pt idx="882">
                  <c:v>55.6</c:v>
                </c:pt>
                <c:pt idx="883">
                  <c:v>55.09</c:v>
                </c:pt>
                <c:pt idx="884">
                  <c:v>54.01</c:v>
                </c:pt>
                <c:pt idx="885">
                  <c:v>53.85</c:v>
                </c:pt>
                <c:pt idx="886">
                  <c:v>53</c:v>
                </c:pt>
                <c:pt idx="887">
                  <c:v>52.99</c:v>
                </c:pt>
                <c:pt idx="888">
                  <c:v>52.5</c:v>
                </c:pt>
                <c:pt idx="889">
                  <c:v>54.11</c:v>
                </c:pt>
                <c:pt idx="890">
                  <c:v>53.95</c:v>
                </c:pt>
                <c:pt idx="891">
                  <c:v>54.67</c:v>
                </c:pt>
                <c:pt idx="892">
                  <c:v>55.46</c:v>
                </c:pt>
                <c:pt idx="893">
                  <c:v>55.74</c:v>
                </c:pt>
                <c:pt idx="894">
                  <c:v>54.75</c:v>
                </c:pt>
                <c:pt idx="895">
                  <c:v>53.68</c:v>
                </c:pt>
                <c:pt idx="896">
                  <c:v>52.83</c:v>
                </c:pt>
                <c:pt idx="897">
                  <c:v>52.720000000000013</c:v>
                </c:pt>
                <c:pt idx="898">
                  <c:v>54.39</c:v>
                </c:pt>
                <c:pt idx="899">
                  <c:v>56.51</c:v>
                </c:pt>
                <c:pt idx="900">
                  <c:v>56.464000000000006</c:v>
                </c:pt>
                <c:pt idx="901">
                  <c:v>55.91</c:v>
                </c:pt>
                <c:pt idx="902">
                  <c:v>55.61</c:v>
                </c:pt>
                <c:pt idx="903">
                  <c:v>54.86</c:v>
                </c:pt>
                <c:pt idx="904">
                  <c:v>56.978000000000002</c:v>
                </c:pt>
                <c:pt idx="905">
                  <c:v>57.18</c:v>
                </c:pt>
                <c:pt idx="906">
                  <c:v>57.730000000000011</c:v>
                </c:pt>
                <c:pt idx="907">
                  <c:v>57.91</c:v>
                </c:pt>
                <c:pt idx="908">
                  <c:v>58.04</c:v>
                </c:pt>
                <c:pt idx="909">
                  <c:v>58.21</c:v>
                </c:pt>
                <c:pt idx="910">
                  <c:v>58.21</c:v>
                </c:pt>
                <c:pt idx="911">
                  <c:v>58.160000000000011</c:v>
                </c:pt>
                <c:pt idx="912">
                  <c:v>58.220000000000013</c:v>
                </c:pt>
                <c:pt idx="913">
                  <c:v>59.13</c:v>
                </c:pt>
                <c:pt idx="914">
                  <c:v>59.319000000000003</c:v>
                </c:pt>
                <c:pt idx="915">
                  <c:v>59.32</c:v>
                </c:pt>
                <c:pt idx="916">
                  <c:v>58.93</c:v>
                </c:pt>
                <c:pt idx="917">
                  <c:v>58.96</c:v>
                </c:pt>
                <c:pt idx="918">
                  <c:v>58.03</c:v>
                </c:pt>
                <c:pt idx="919">
                  <c:v>58.730000000000011</c:v>
                </c:pt>
                <c:pt idx="920">
                  <c:v>58.730000000000011</c:v>
                </c:pt>
                <c:pt idx="921">
                  <c:v>58.660000000000011</c:v>
                </c:pt>
                <c:pt idx="922">
                  <c:v>58.7</c:v>
                </c:pt>
                <c:pt idx="923">
                  <c:v>57.88</c:v>
                </c:pt>
                <c:pt idx="924">
                  <c:v>58.49</c:v>
                </c:pt>
                <c:pt idx="925">
                  <c:v>58.1</c:v>
                </c:pt>
                <c:pt idx="926">
                  <c:v>58.17</c:v>
                </c:pt>
                <c:pt idx="927">
                  <c:v>60.54</c:v>
                </c:pt>
                <c:pt idx="928">
                  <c:v>61.07</c:v>
                </c:pt>
                <c:pt idx="929">
                  <c:v>60.35</c:v>
                </c:pt>
                <c:pt idx="930">
                  <c:v>60.67</c:v>
                </c:pt>
                <c:pt idx="931">
                  <c:v>61.07</c:v>
                </c:pt>
                <c:pt idx="932">
                  <c:v>63</c:v>
                </c:pt>
                <c:pt idx="933">
                  <c:v>63.47</c:v>
                </c:pt>
                <c:pt idx="934">
                  <c:v>63.1</c:v>
                </c:pt>
                <c:pt idx="935">
                  <c:v>63.03</c:v>
                </c:pt>
                <c:pt idx="936">
                  <c:v>63.03</c:v>
                </c:pt>
                <c:pt idx="937">
                  <c:v>63.059000000000005</c:v>
                </c:pt>
                <c:pt idx="938">
                  <c:v>62.96</c:v>
                </c:pt>
                <c:pt idx="939">
                  <c:v>62.75</c:v>
                </c:pt>
                <c:pt idx="940">
                  <c:v>61.47</c:v>
                </c:pt>
                <c:pt idx="941">
                  <c:v>60.671000000000006</c:v>
                </c:pt>
                <c:pt idx="942">
                  <c:v>61.83</c:v>
                </c:pt>
                <c:pt idx="943">
                  <c:v>61.220000000000013</c:v>
                </c:pt>
                <c:pt idx="944">
                  <c:v>61.564</c:v>
                </c:pt>
                <c:pt idx="945">
                  <c:v>61.660000000000011</c:v>
                </c:pt>
                <c:pt idx="946">
                  <c:v>62.160000000000011</c:v>
                </c:pt>
                <c:pt idx="947">
                  <c:v>63.14</c:v>
                </c:pt>
                <c:pt idx="948">
                  <c:v>63.06</c:v>
                </c:pt>
                <c:pt idx="949">
                  <c:v>62.620000000000012</c:v>
                </c:pt>
                <c:pt idx="950">
                  <c:v>61.43</c:v>
                </c:pt>
                <c:pt idx="951">
                  <c:v>60.648000000000003</c:v>
                </c:pt>
                <c:pt idx="952">
                  <c:v>60.67</c:v>
                </c:pt>
                <c:pt idx="953">
                  <c:v>60.28</c:v>
                </c:pt>
                <c:pt idx="954">
                  <c:v>61.220000000000013</c:v>
                </c:pt>
                <c:pt idx="955">
                  <c:v>62.47</c:v>
                </c:pt>
                <c:pt idx="956">
                  <c:v>63.09</c:v>
                </c:pt>
                <c:pt idx="957">
                  <c:v>62.790000000000013</c:v>
                </c:pt>
                <c:pt idx="958">
                  <c:v>60.632000000000012</c:v>
                </c:pt>
                <c:pt idx="959">
                  <c:v>60.660000000000011</c:v>
                </c:pt>
                <c:pt idx="960">
                  <c:v>58.966000000000001</c:v>
                </c:pt>
                <c:pt idx="961">
                  <c:v>58.67</c:v>
                </c:pt>
                <c:pt idx="962">
                  <c:v>58.94</c:v>
                </c:pt>
                <c:pt idx="963">
                  <c:v>58.87</c:v>
                </c:pt>
                <c:pt idx="964">
                  <c:v>58.68</c:v>
                </c:pt>
                <c:pt idx="965">
                  <c:v>60.13</c:v>
                </c:pt>
                <c:pt idx="966">
                  <c:v>59.03</c:v>
                </c:pt>
                <c:pt idx="967">
                  <c:v>59.28</c:v>
                </c:pt>
                <c:pt idx="968">
                  <c:v>60.160000000000011</c:v>
                </c:pt>
                <c:pt idx="969">
                  <c:v>57.51</c:v>
                </c:pt>
                <c:pt idx="970">
                  <c:v>56.05</c:v>
                </c:pt>
                <c:pt idx="971">
                  <c:v>56.160000000000011</c:v>
                </c:pt>
                <c:pt idx="972">
                  <c:v>56.25</c:v>
                </c:pt>
                <c:pt idx="973">
                  <c:v>55.9</c:v>
                </c:pt>
                <c:pt idx="974">
                  <c:v>54.38</c:v>
                </c:pt>
                <c:pt idx="975">
                  <c:v>54.17</c:v>
                </c:pt>
                <c:pt idx="976">
                  <c:v>54.65</c:v>
                </c:pt>
                <c:pt idx="977">
                  <c:v>56.87</c:v>
                </c:pt>
                <c:pt idx="978">
                  <c:v>57.01</c:v>
                </c:pt>
                <c:pt idx="979">
                  <c:v>57.21</c:v>
                </c:pt>
                <c:pt idx="980">
                  <c:v>58.730000000000011</c:v>
                </c:pt>
                <c:pt idx="981">
                  <c:v>58.56</c:v>
                </c:pt>
                <c:pt idx="982">
                  <c:v>58</c:v>
                </c:pt>
                <c:pt idx="983">
                  <c:v>58.77</c:v>
                </c:pt>
                <c:pt idx="984">
                  <c:v>59.4</c:v>
                </c:pt>
                <c:pt idx="985">
                  <c:v>59.230000000000011</c:v>
                </c:pt>
                <c:pt idx="986">
                  <c:v>58.77</c:v>
                </c:pt>
                <c:pt idx="987">
                  <c:v>58.6</c:v>
                </c:pt>
                <c:pt idx="988">
                  <c:v>58.846000000000004</c:v>
                </c:pt>
                <c:pt idx="989">
                  <c:v>59.17</c:v>
                </c:pt>
                <c:pt idx="990">
                  <c:v>59.61</c:v>
                </c:pt>
                <c:pt idx="991">
                  <c:v>59.65</c:v>
                </c:pt>
                <c:pt idx="992">
                  <c:v>60.44</c:v>
                </c:pt>
                <c:pt idx="993">
                  <c:v>60.5</c:v>
                </c:pt>
                <c:pt idx="994">
                  <c:v>59.84</c:v>
                </c:pt>
                <c:pt idx="995">
                  <c:v>59.34</c:v>
                </c:pt>
                <c:pt idx="996">
                  <c:v>60.7</c:v>
                </c:pt>
                <c:pt idx="997">
                  <c:v>62.1</c:v>
                </c:pt>
                <c:pt idx="998">
                  <c:v>61.13</c:v>
                </c:pt>
                <c:pt idx="999">
                  <c:v>61.86</c:v>
                </c:pt>
                <c:pt idx="1000">
                  <c:v>60.720000000000013</c:v>
                </c:pt>
                <c:pt idx="1001">
                  <c:v>60.341000000000001</c:v>
                </c:pt>
                <c:pt idx="1002">
                  <c:v>59.67</c:v>
                </c:pt>
                <c:pt idx="1003">
                  <c:v>59.620000000000012</c:v>
                </c:pt>
                <c:pt idx="1004">
                  <c:v>58.3</c:v>
                </c:pt>
                <c:pt idx="1005">
                  <c:v>60.35</c:v>
                </c:pt>
                <c:pt idx="1006">
                  <c:v>63.290100000000393</c:v>
                </c:pt>
                <c:pt idx="1007">
                  <c:v>62.98</c:v>
                </c:pt>
                <c:pt idx="1008">
                  <c:v>63.53</c:v>
                </c:pt>
                <c:pt idx="1009">
                  <c:v>63.230000000000011</c:v>
                </c:pt>
                <c:pt idx="1010">
                  <c:v>62.85</c:v>
                </c:pt>
                <c:pt idx="1011">
                  <c:v>63.2</c:v>
                </c:pt>
                <c:pt idx="1012">
                  <c:v>64.13</c:v>
                </c:pt>
                <c:pt idx="1013">
                  <c:v>64.179999999999978</c:v>
                </c:pt>
                <c:pt idx="1014">
                  <c:v>64.03</c:v>
                </c:pt>
                <c:pt idx="1015">
                  <c:v>64.14</c:v>
                </c:pt>
                <c:pt idx="1016">
                  <c:v>64.11999999999999</c:v>
                </c:pt>
                <c:pt idx="1017">
                  <c:v>64.930000000000007</c:v>
                </c:pt>
                <c:pt idx="1018">
                  <c:v>65.25</c:v>
                </c:pt>
                <c:pt idx="1019">
                  <c:v>65.929000000000002</c:v>
                </c:pt>
                <c:pt idx="1020">
                  <c:v>66.11999999999999</c:v>
                </c:pt>
                <c:pt idx="1021">
                  <c:v>66.171999999999983</c:v>
                </c:pt>
                <c:pt idx="1022">
                  <c:v>66.95</c:v>
                </c:pt>
                <c:pt idx="1023">
                  <c:v>66.819999999999993</c:v>
                </c:pt>
                <c:pt idx="1024">
                  <c:v>67.3</c:v>
                </c:pt>
                <c:pt idx="1025">
                  <c:v>66.790000000000006</c:v>
                </c:pt>
                <c:pt idx="1026">
                  <c:v>66.554000000000002</c:v>
                </c:pt>
                <c:pt idx="1027">
                  <c:v>67.75</c:v>
                </c:pt>
                <c:pt idx="1028">
                  <c:v>66.293999999999997</c:v>
                </c:pt>
                <c:pt idx="1029">
                  <c:v>67.631999999999991</c:v>
                </c:pt>
                <c:pt idx="1030">
                  <c:v>67.709999999999994</c:v>
                </c:pt>
                <c:pt idx="1031">
                  <c:v>67.569999999999993</c:v>
                </c:pt>
                <c:pt idx="1032">
                  <c:v>68.25</c:v>
                </c:pt>
                <c:pt idx="1033">
                  <c:v>68.239999999999995</c:v>
                </c:pt>
                <c:pt idx="1034">
                  <c:v>68.459999999999994</c:v>
                </c:pt>
                <c:pt idx="1035">
                  <c:v>68.592000000000013</c:v>
                </c:pt>
                <c:pt idx="1036">
                  <c:v>68.739999999999995</c:v>
                </c:pt>
                <c:pt idx="1037">
                  <c:v>68.58</c:v>
                </c:pt>
                <c:pt idx="1038">
                  <c:v>69.540000000000006</c:v>
                </c:pt>
                <c:pt idx="1039">
                  <c:v>67.790000000000006</c:v>
                </c:pt>
                <c:pt idx="1040">
                  <c:v>67.006</c:v>
                </c:pt>
                <c:pt idx="1041">
                  <c:v>68.28</c:v>
                </c:pt>
                <c:pt idx="1042">
                  <c:v>65.77</c:v>
                </c:pt>
                <c:pt idx="1043">
                  <c:v>66.598000000000013</c:v>
                </c:pt>
                <c:pt idx="1044">
                  <c:v>68.27</c:v>
                </c:pt>
                <c:pt idx="1045">
                  <c:v>67.989999999999995</c:v>
                </c:pt>
                <c:pt idx="1046">
                  <c:v>68.430000000000007</c:v>
                </c:pt>
                <c:pt idx="1047">
                  <c:v>69.14</c:v>
                </c:pt>
                <c:pt idx="1048">
                  <c:v>70.400000000000006</c:v>
                </c:pt>
                <c:pt idx="1049">
                  <c:v>70.63</c:v>
                </c:pt>
                <c:pt idx="1050">
                  <c:v>70.930000000000007</c:v>
                </c:pt>
                <c:pt idx="1051">
                  <c:v>71.52</c:v>
                </c:pt>
                <c:pt idx="1052">
                  <c:v>72.02</c:v>
                </c:pt>
                <c:pt idx="1053">
                  <c:v>71.692499999999981</c:v>
                </c:pt>
                <c:pt idx="1054">
                  <c:v>71.849999999999994</c:v>
                </c:pt>
                <c:pt idx="1055">
                  <c:v>72.61999999999999</c:v>
                </c:pt>
                <c:pt idx="1056">
                  <c:v>72.430000000000007</c:v>
                </c:pt>
                <c:pt idx="1057">
                  <c:v>71.669999999999987</c:v>
                </c:pt>
                <c:pt idx="1058">
                  <c:v>71.312000000000012</c:v>
                </c:pt>
                <c:pt idx="1059">
                  <c:v>72.2</c:v>
                </c:pt>
                <c:pt idx="1060">
                  <c:v>71.040000000000006</c:v>
                </c:pt>
                <c:pt idx="1061">
                  <c:v>72.11</c:v>
                </c:pt>
                <c:pt idx="1062">
                  <c:v>71.61999999999999</c:v>
                </c:pt>
                <c:pt idx="1063">
                  <c:v>72.709999999999994</c:v>
                </c:pt>
                <c:pt idx="1064">
                  <c:v>72.64</c:v>
                </c:pt>
                <c:pt idx="1065">
                  <c:v>72.98</c:v>
                </c:pt>
                <c:pt idx="1066">
                  <c:v>72.56</c:v>
                </c:pt>
                <c:pt idx="1067">
                  <c:v>73.27</c:v>
                </c:pt>
                <c:pt idx="1068">
                  <c:v>71.77</c:v>
                </c:pt>
                <c:pt idx="1069">
                  <c:v>72.36</c:v>
                </c:pt>
                <c:pt idx="1070">
                  <c:v>71.703999999999994</c:v>
                </c:pt>
                <c:pt idx="1071">
                  <c:v>72.69</c:v>
                </c:pt>
                <c:pt idx="1072">
                  <c:v>73.149999999999991</c:v>
                </c:pt>
                <c:pt idx="1073">
                  <c:v>75</c:v>
                </c:pt>
                <c:pt idx="1074">
                  <c:v>75.47</c:v>
                </c:pt>
                <c:pt idx="1075">
                  <c:v>75.08</c:v>
                </c:pt>
                <c:pt idx="1076">
                  <c:v>71.63</c:v>
                </c:pt>
                <c:pt idx="1077">
                  <c:v>73.669999999999987</c:v>
                </c:pt>
                <c:pt idx="1078">
                  <c:v>71.510000000000005</c:v>
                </c:pt>
                <c:pt idx="1079">
                  <c:v>70.599999999999994</c:v>
                </c:pt>
                <c:pt idx="1080">
                  <c:v>71.760000000000005</c:v>
                </c:pt>
                <c:pt idx="1081">
                  <c:v>72.53</c:v>
                </c:pt>
                <c:pt idx="1082">
                  <c:v>74.010000000000005</c:v>
                </c:pt>
                <c:pt idx="1083">
                  <c:v>74.2</c:v>
                </c:pt>
                <c:pt idx="1084">
                  <c:v>74.75</c:v>
                </c:pt>
                <c:pt idx="1085">
                  <c:v>74.441000000000727</c:v>
                </c:pt>
                <c:pt idx="1086">
                  <c:v>75.38</c:v>
                </c:pt>
                <c:pt idx="1087">
                  <c:v>75.8</c:v>
                </c:pt>
                <c:pt idx="1088">
                  <c:v>74.430000000000007</c:v>
                </c:pt>
                <c:pt idx="1089">
                  <c:v>75.77</c:v>
                </c:pt>
                <c:pt idx="1090">
                  <c:v>77.25</c:v>
                </c:pt>
                <c:pt idx="1091">
                  <c:v>77.78</c:v>
                </c:pt>
                <c:pt idx="1092">
                  <c:v>78.529899999999998</c:v>
                </c:pt>
                <c:pt idx="1093">
                  <c:v>79.245999999999995</c:v>
                </c:pt>
                <c:pt idx="1094">
                  <c:v>78.86</c:v>
                </c:pt>
                <c:pt idx="1095">
                  <c:v>79.353999999999999</c:v>
                </c:pt>
                <c:pt idx="1096">
                  <c:v>79.45</c:v>
                </c:pt>
                <c:pt idx="1097">
                  <c:v>81.11999999999999</c:v>
                </c:pt>
                <c:pt idx="1098">
                  <c:v>81.97</c:v>
                </c:pt>
                <c:pt idx="1099">
                  <c:v>81.2</c:v>
                </c:pt>
                <c:pt idx="1100">
                  <c:v>82.79</c:v>
                </c:pt>
                <c:pt idx="1101">
                  <c:v>82.740000000000023</c:v>
                </c:pt>
                <c:pt idx="1102">
                  <c:v>83.03</c:v>
                </c:pt>
                <c:pt idx="1103">
                  <c:v>81.61</c:v>
                </c:pt>
                <c:pt idx="1104">
                  <c:v>81.319999999999993</c:v>
                </c:pt>
                <c:pt idx="1105">
                  <c:v>81.099999999999994</c:v>
                </c:pt>
                <c:pt idx="1106">
                  <c:v>82</c:v>
                </c:pt>
                <c:pt idx="1107">
                  <c:v>81.040000000000006</c:v>
                </c:pt>
                <c:pt idx="1108">
                  <c:v>81.599999999999994</c:v>
                </c:pt>
                <c:pt idx="1109">
                  <c:v>79.25</c:v>
                </c:pt>
                <c:pt idx="1110">
                  <c:v>80.09</c:v>
                </c:pt>
                <c:pt idx="1111">
                  <c:v>79.400000000000006</c:v>
                </c:pt>
                <c:pt idx="1112">
                  <c:v>77.11</c:v>
                </c:pt>
                <c:pt idx="1113">
                  <c:v>78.47</c:v>
                </c:pt>
                <c:pt idx="1114">
                  <c:v>80.42</c:v>
                </c:pt>
                <c:pt idx="1115">
                  <c:v>80.42</c:v>
                </c:pt>
                <c:pt idx="1116">
                  <c:v>78.838999999999999</c:v>
                </c:pt>
                <c:pt idx="1117">
                  <c:v>77.569999999999993</c:v>
                </c:pt>
                <c:pt idx="1118">
                  <c:v>79.86999999999999</c:v>
                </c:pt>
                <c:pt idx="1119">
                  <c:v>78.86</c:v>
                </c:pt>
                <c:pt idx="1120">
                  <c:v>80.069999999999993</c:v>
                </c:pt>
                <c:pt idx="1121">
                  <c:v>81.27</c:v>
                </c:pt>
                <c:pt idx="1122">
                  <c:v>79.092000000000013</c:v>
                </c:pt>
                <c:pt idx="1123">
                  <c:v>75.179999999999978</c:v>
                </c:pt>
                <c:pt idx="1124">
                  <c:v>75.59</c:v>
                </c:pt>
                <c:pt idx="1125">
                  <c:v>73.72</c:v>
                </c:pt>
                <c:pt idx="1126">
                  <c:v>75.14</c:v>
                </c:pt>
                <c:pt idx="1127">
                  <c:v>76.510999999999996</c:v>
                </c:pt>
                <c:pt idx="1128">
                  <c:v>77.400000000000006</c:v>
                </c:pt>
                <c:pt idx="1129">
                  <c:v>76.73</c:v>
                </c:pt>
                <c:pt idx="1130">
                  <c:v>77.59</c:v>
                </c:pt>
                <c:pt idx="1131">
                  <c:v>77.400000000000006</c:v>
                </c:pt>
                <c:pt idx="1132">
                  <c:v>77.58</c:v>
                </c:pt>
                <c:pt idx="1133">
                  <c:v>79.28</c:v>
                </c:pt>
                <c:pt idx="1134">
                  <c:v>80.149999999999991</c:v>
                </c:pt>
                <c:pt idx="1135">
                  <c:v>81.33</c:v>
                </c:pt>
                <c:pt idx="1136">
                  <c:v>81.36999999999999</c:v>
                </c:pt>
                <c:pt idx="1137">
                  <c:v>83.599900000000005</c:v>
                </c:pt>
                <c:pt idx="1138">
                  <c:v>83.58</c:v>
                </c:pt>
                <c:pt idx="1139">
                  <c:v>84.36999999999999</c:v>
                </c:pt>
                <c:pt idx="1140">
                  <c:v>83.66</c:v>
                </c:pt>
                <c:pt idx="1141">
                  <c:v>84.11</c:v>
                </c:pt>
                <c:pt idx="1142">
                  <c:v>85.012</c:v>
                </c:pt>
                <c:pt idx="1143">
                  <c:v>85.36999999999999</c:v>
                </c:pt>
                <c:pt idx="1144">
                  <c:v>85.669999999999987</c:v>
                </c:pt>
                <c:pt idx="1145">
                  <c:v>85.31</c:v>
                </c:pt>
                <c:pt idx="1146">
                  <c:v>84.669999999999987</c:v>
                </c:pt>
                <c:pt idx="1147">
                  <c:v>85</c:v>
                </c:pt>
                <c:pt idx="1148">
                  <c:v>85.179999999999978</c:v>
                </c:pt>
                <c:pt idx="1149">
                  <c:v>84.69</c:v>
                </c:pt>
                <c:pt idx="1150">
                  <c:v>84.710000000000022</c:v>
                </c:pt>
                <c:pt idx="1151">
                  <c:v>84.715000000000003</c:v>
                </c:pt>
                <c:pt idx="1152">
                  <c:v>86.759</c:v>
                </c:pt>
                <c:pt idx="1153">
                  <c:v>87.07</c:v>
                </c:pt>
                <c:pt idx="1154">
                  <c:v>86.83</c:v>
                </c:pt>
                <c:pt idx="1155">
                  <c:v>85.9</c:v>
                </c:pt>
                <c:pt idx="1156">
                  <c:v>85.31</c:v>
                </c:pt>
                <c:pt idx="1157">
                  <c:v>85.78</c:v>
                </c:pt>
                <c:pt idx="1158">
                  <c:v>85.33</c:v>
                </c:pt>
                <c:pt idx="1159">
                  <c:v>85.149999999999991</c:v>
                </c:pt>
                <c:pt idx="1160">
                  <c:v>85.69</c:v>
                </c:pt>
                <c:pt idx="1161">
                  <c:v>84.85</c:v>
                </c:pt>
                <c:pt idx="1162">
                  <c:v>82.33</c:v>
                </c:pt>
                <c:pt idx="1163">
                  <c:v>81.89</c:v>
                </c:pt>
                <c:pt idx="1164">
                  <c:v>80.83</c:v>
                </c:pt>
                <c:pt idx="1165">
                  <c:v>81.569999999999993</c:v>
                </c:pt>
                <c:pt idx="1166">
                  <c:v>80.569999999999993</c:v>
                </c:pt>
                <c:pt idx="1167">
                  <c:v>82.01</c:v>
                </c:pt>
                <c:pt idx="1168">
                  <c:v>82.55</c:v>
                </c:pt>
                <c:pt idx="1169">
                  <c:v>81.990000000000023</c:v>
                </c:pt>
                <c:pt idx="1170">
                  <c:v>79.3</c:v>
                </c:pt>
                <c:pt idx="1171">
                  <c:v>79.84</c:v>
                </c:pt>
                <c:pt idx="1172">
                  <c:v>80.11</c:v>
                </c:pt>
                <c:pt idx="1173">
                  <c:v>79.569999999999993</c:v>
                </c:pt>
                <c:pt idx="1174">
                  <c:v>80.28</c:v>
                </c:pt>
                <c:pt idx="1175">
                  <c:v>81.649999999999991</c:v>
                </c:pt>
                <c:pt idx="1176">
                  <c:v>81.75</c:v>
                </c:pt>
                <c:pt idx="1177">
                  <c:v>81.86999999999999</c:v>
                </c:pt>
                <c:pt idx="1178">
                  <c:v>83.53</c:v>
                </c:pt>
                <c:pt idx="1179">
                  <c:v>84.73</c:v>
                </c:pt>
                <c:pt idx="1180">
                  <c:v>85.23</c:v>
                </c:pt>
                <c:pt idx="1181">
                  <c:v>84.86999999999999</c:v>
                </c:pt>
                <c:pt idx="1182">
                  <c:v>85.149999999999991</c:v>
                </c:pt>
                <c:pt idx="1183">
                  <c:v>86.2</c:v>
                </c:pt>
                <c:pt idx="1184">
                  <c:v>86.95</c:v>
                </c:pt>
                <c:pt idx="1185">
                  <c:v>88.95</c:v>
                </c:pt>
                <c:pt idx="1186">
                  <c:v>88.679999999999978</c:v>
                </c:pt>
                <c:pt idx="1187">
                  <c:v>87.34</c:v>
                </c:pt>
                <c:pt idx="1188">
                  <c:v>86.64</c:v>
                </c:pt>
                <c:pt idx="1189">
                  <c:v>86.179999999999978</c:v>
                </c:pt>
                <c:pt idx="1190">
                  <c:v>85.679999999999978</c:v>
                </c:pt>
                <c:pt idx="1191">
                  <c:v>86.22</c:v>
                </c:pt>
                <c:pt idx="1192">
                  <c:v>85.5</c:v>
                </c:pt>
                <c:pt idx="1193">
                  <c:v>84.64</c:v>
                </c:pt>
                <c:pt idx="1194">
                  <c:v>85.897999999999996</c:v>
                </c:pt>
                <c:pt idx="1195">
                  <c:v>85.61999999999999</c:v>
                </c:pt>
                <c:pt idx="1196">
                  <c:v>84.2</c:v>
                </c:pt>
                <c:pt idx="1197">
                  <c:v>85.36</c:v>
                </c:pt>
                <c:pt idx="1198">
                  <c:v>83.95</c:v>
                </c:pt>
                <c:pt idx="1199">
                  <c:v>81.990000000000023</c:v>
                </c:pt>
                <c:pt idx="1200">
                  <c:v>82</c:v>
                </c:pt>
                <c:pt idx="1201">
                  <c:v>85.54</c:v>
                </c:pt>
                <c:pt idx="1202">
                  <c:v>86.69</c:v>
                </c:pt>
                <c:pt idx="1203">
                  <c:v>87.42</c:v>
                </c:pt>
                <c:pt idx="1204">
                  <c:v>86.16</c:v>
                </c:pt>
                <c:pt idx="1205">
                  <c:v>88.52</c:v>
                </c:pt>
                <c:pt idx="1206">
                  <c:v>89.710000000000022</c:v>
                </c:pt>
                <c:pt idx="1207">
                  <c:v>90.9</c:v>
                </c:pt>
                <c:pt idx="1208">
                  <c:v>90.910000000000025</c:v>
                </c:pt>
                <c:pt idx="1209">
                  <c:v>91.93</c:v>
                </c:pt>
                <c:pt idx="1210">
                  <c:v>91.11999999999999</c:v>
                </c:pt>
                <c:pt idx="1211">
                  <c:v>91.76</c:v>
                </c:pt>
                <c:pt idx="1212">
                  <c:v>92.48</c:v>
                </c:pt>
                <c:pt idx="1213">
                  <c:v>92.84</c:v>
                </c:pt>
                <c:pt idx="1214">
                  <c:v>93.85</c:v>
                </c:pt>
                <c:pt idx="1215">
                  <c:v>92.88</c:v>
                </c:pt>
                <c:pt idx="1216">
                  <c:v>92.32</c:v>
                </c:pt>
                <c:pt idx="1217">
                  <c:v>92.679999999999978</c:v>
                </c:pt>
                <c:pt idx="1218">
                  <c:v>93.4</c:v>
                </c:pt>
                <c:pt idx="1219">
                  <c:v>92.86999999999999</c:v>
                </c:pt>
                <c:pt idx="1220">
                  <c:v>93.75</c:v>
                </c:pt>
                <c:pt idx="1221">
                  <c:v>91.36</c:v>
                </c:pt>
                <c:pt idx="1222">
                  <c:v>93.79</c:v>
                </c:pt>
                <c:pt idx="1223">
                  <c:v>93.85</c:v>
                </c:pt>
                <c:pt idx="1224">
                  <c:v>93.460000000000022</c:v>
                </c:pt>
                <c:pt idx="1225">
                  <c:v>94.98</c:v>
                </c:pt>
                <c:pt idx="1226">
                  <c:v>95.97</c:v>
                </c:pt>
                <c:pt idx="1227">
                  <c:v>96.77</c:v>
                </c:pt>
                <c:pt idx="1228">
                  <c:v>96.11999999999999</c:v>
                </c:pt>
                <c:pt idx="1229">
                  <c:v>95.64</c:v>
                </c:pt>
                <c:pt idx="1230">
                  <c:v>95.11</c:v>
                </c:pt>
                <c:pt idx="1231">
                  <c:v>96.61</c:v>
                </c:pt>
                <c:pt idx="1232">
                  <c:v>97.5</c:v>
                </c:pt>
                <c:pt idx="1233">
                  <c:v>97.47</c:v>
                </c:pt>
                <c:pt idx="1234">
                  <c:v>97.410000000000025</c:v>
                </c:pt>
                <c:pt idx="1235">
                  <c:v>97.8</c:v>
                </c:pt>
                <c:pt idx="1236">
                  <c:v>97.649999999999991</c:v>
                </c:pt>
                <c:pt idx="1237">
                  <c:v>97.28</c:v>
                </c:pt>
                <c:pt idx="1238">
                  <c:v>96.5</c:v>
                </c:pt>
                <c:pt idx="1239">
                  <c:v>96.3</c:v>
                </c:pt>
                <c:pt idx="1240">
                  <c:v>95.51</c:v>
                </c:pt>
                <c:pt idx="1241">
                  <c:v>97.66</c:v>
                </c:pt>
                <c:pt idx="1242">
                  <c:v>98.08</c:v>
                </c:pt>
                <c:pt idx="1243">
                  <c:v>97.38</c:v>
                </c:pt>
                <c:pt idx="1244">
                  <c:v>95.19</c:v>
                </c:pt>
                <c:pt idx="1245">
                  <c:v>94.61999999999999</c:v>
                </c:pt>
                <c:pt idx="1246">
                  <c:v>94.54</c:v>
                </c:pt>
                <c:pt idx="1247">
                  <c:v>95.73</c:v>
                </c:pt>
                <c:pt idx="1248">
                  <c:v>95.01</c:v>
                </c:pt>
                <c:pt idx="1249">
                  <c:v>98.23</c:v>
                </c:pt>
                <c:pt idx="1250">
                  <c:v>98.2</c:v>
                </c:pt>
                <c:pt idx="1251">
                  <c:v>99.19</c:v>
                </c:pt>
                <c:pt idx="1252">
                  <c:v>100.3</c:v>
                </c:pt>
                <c:pt idx="1253">
                  <c:v>100.66999999999999</c:v>
                </c:pt>
                <c:pt idx="1254">
                  <c:v>101.69</c:v>
                </c:pt>
                <c:pt idx="1255">
                  <c:v>101.67999999999998</c:v>
                </c:pt>
                <c:pt idx="1256">
                  <c:v>101.58</c:v>
                </c:pt>
                <c:pt idx="1257">
                  <c:v>102.56</c:v>
                </c:pt>
              </c:numCache>
            </c:numRef>
          </c:val>
        </c:ser>
        <c:marker val="1"/>
        <c:axId val="169928960"/>
        <c:axId val="169918464"/>
      </c:lineChart>
      <c:dateAx>
        <c:axId val="169928960"/>
        <c:scaling>
          <c:orientation val="minMax"/>
        </c:scaling>
        <c:axPos val="b"/>
        <c:numFmt formatCode="d\.m\.yyyy" sourceLinked="1"/>
        <c:tickLblPos val="nextTo"/>
        <c:crossAx val="169918464"/>
        <c:crosses val="autoZero"/>
        <c:auto val="1"/>
        <c:lblOffset val="100"/>
        <c:baseTimeUnit val="days"/>
      </c:dateAx>
      <c:valAx>
        <c:axId val="169918464"/>
        <c:scaling>
          <c:orientation val="minMax"/>
        </c:scaling>
        <c:axPos val="l"/>
        <c:majorGridlines/>
        <c:numFmt formatCode="General" sourceLinked="1"/>
        <c:tickLblPos val="nextTo"/>
        <c:crossAx val="169928960"/>
        <c:crosses val="autoZero"/>
        <c:crossBetween val="between"/>
      </c:valAx>
    </c:plotArea>
    <c:plotVisOnly val="1"/>
    <c:dispBlanksAs val="gap"/>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cs-CZ"/>
  <c:style val="3"/>
  <c:chart>
    <c:plotArea>
      <c:layout/>
      <c:barChart>
        <c:barDir val="col"/>
        <c:grouping val="clustered"/>
        <c:ser>
          <c:idx val="0"/>
          <c:order val="0"/>
          <c:tx>
            <c:strRef>
              <c:f>List1!$B$1</c:f>
              <c:strCache>
                <c:ptCount val="1"/>
                <c:pt idx="0">
                  <c:v>ProShares Ultra S&amp;P500</c:v>
                </c:pt>
              </c:strCache>
            </c:strRef>
          </c:tx>
          <c:cat>
            <c:numRef>
              <c:f>List1!$A$2:$A$6</c:f>
              <c:numCache>
                <c:formatCode>General</c:formatCode>
                <c:ptCount val="5"/>
                <c:pt idx="0">
                  <c:v>2009</c:v>
                </c:pt>
                <c:pt idx="1">
                  <c:v>2010</c:v>
                </c:pt>
                <c:pt idx="2">
                  <c:v>2011</c:v>
                </c:pt>
                <c:pt idx="3">
                  <c:v>2012</c:v>
                </c:pt>
                <c:pt idx="4">
                  <c:v>2013</c:v>
                </c:pt>
              </c:numCache>
            </c:numRef>
          </c:cat>
          <c:val>
            <c:numRef>
              <c:f>List1!$B$2:$B$6</c:f>
              <c:numCache>
                <c:formatCode>0.00%</c:formatCode>
                <c:ptCount val="5"/>
                <c:pt idx="0">
                  <c:v>0.37110000000000032</c:v>
                </c:pt>
                <c:pt idx="1">
                  <c:v>0.25660000000000005</c:v>
                </c:pt>
                <c:pt idx="2">
                  <c:v>-3.4500000000000003E-2</c:v>
                </c:pt>
                <c:pt idx="3">
                  <c:v>0.30090000000000239</c:v>
                </c:pt>
                <c:pt idx="4">
                  <c:v>0.69940000000000002</c:v>
                </c:pt>
              </c:numCache>
            </c:numRef>
          </c:val>
        </c:ser>
        <c:ser>
          <c:idx val="1"/>
          <c:order val="1"/>
          <c:tx>
            <c:strRef>
              <c:f>List1!$C$1</c:f>
              <c:strCache>
                <c:ptCount val="1"/>
                <c:pt idx="0">
                  <c:v>Index S&amp;P500</c:v>
                </c:pt>
              </c:strCache>
            </c:strRef>
          </c:tx>
          <c:cat>
            <c:numRef>
              <c:f>List1!$A$2:$A$6</c:f>
              <c:numCache>
                <c:formatCode>General</c:formatCode>
                <c:ptCount val="5"/>
                <c:pt idx="0">
                  <c:v>2009</c:v>
                </c:pt>
                <c:pt idx="1">
                  <c:v>2010</c:v>
                </c:pt>
                <c:pt idx="2">
                  <c:v>2011</c:v>
                </c:pt>
                <c:pt idx="3">
                  <c:v>2012</c:v>
                </c:pt>
                <c:pt idx="4">
                  <c:v>2013</c:v>
                </c:pt>
              </c:numCache>
            </c:numRef>
          </c:cat>
          <c:val>
            <c:numRef>
              <c:f>List1!$C$2:$C$6</c:f>
              <c:numCache>
                <c:formatCode>0.00%</c:formatCode>
                <c:ptCount val="5"/>
                <c:pt idx="0">
                  <c:v>0.23450000000000001</c:v>
                </c:pt>
                <c:pt idx="1">
                  <c:v>0.12783</c:v>
                </c:pt>
                <c:pt idx="2" formatCode="0%">
                  <c:v>0</c:v>
                </c:pt>
                <c:pt idx="3">
                  <c:v>0.1341</c:v>
                </c:pt>
                <c:pt idx="4">
                  <c:v>0.29600000000000032</c:v>
                </c:pt>
              </c:numCache>
            </c:numRef>
          </c:val>
        </c:ser>
        <c:axId val="169909632"/>
        <c:axId val="169923712"/>
      </c:barChart>
      <c:catAx>
        <c:axId val="169909632"/>
        <c:scaling>
          <c:orientation val="minMax"/>
        </c:scaling>
        <c:axPos val="b"/>
        <c:numFmt formatCode="General" sourceLinked="1"/>
        <c:tickLblPos val="nextTo"/>
        <c:crossAx val="169923712"/>
        <c:crosses val="autoZero"/>
        <c:auto val="1"/>
        <c:lblAlgn val="ctr"/>
        <c:lblOffset val="100"/>
      </c:catAx>
      <c:valAx>
        <c:axId val="169923712"/>
        <c:scaling>
          <c:orientation val="minMax"/>
        </c:scaling>
        <c:axPos val="l"/>
        <c:majorGridlines/>
        <c:numFmt formatCode="0.00%" sourceLinked="1"/>
        <c:tickLblPos val="nextTo"/>
        <c:crossAx val="169909632"/>
        <c:crosses val="autoZero"/>
        <c:crossBetween val="between"/>
      </c:valAx>
    </c:plotArea>
    <c:legend>
      <c:legendPos val="b"/>
    </c:legend>
    <c:plotVisOnly val="1"/>
    <c:dispBlanksAs val="gap"/>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marker>
            <c:symbol val="none"/>
          </c:marker>
          <c:cat>
            <c:numRef>
              <c:f>List1!$A$3:$A$1260</c:f>
              <c:numCache>
                <c:formatCode>d/m/yyyy</c:formatCode>
                <c:ptCount val="1258"/>
                <c:pt idx="0" formatCode="d\.m\.yyyy">
                  <c:v>39813</c:v>
                </c:pt>
                <c:pt idx="1">
                  <c:v>39818</c:v>
                </c:pt>
                <c:pt idx="2">
                  <c:v>39819</c:v>
                </c:pt>
                <c:pt idx="3">
                  <c:v>39820</c:v>
                </c:pt>
                <c:pt idx="4">
                  <c:v>39821</c:v>
                </c:pt>
                <c:pt idx="5">
                  <c:v>39822</c:v>
                </c:pt>
                <c:pt idx="6">
                  <c:v>39825</c:v>
                </c:pt>
                <c:pt idx="7">
                  <c:v>39826</c:v>
                </c:pt>
                <c:pt idx="8">
                  <c:v>39827</c:v>
                </c:pt>
                <c:pt idx="9">
                  <c:v>39828</c:v>
                </c:pt>
                <c:pt idx="10">
                  <c:v>39829</c:v>
                </c:pt>
                <c:pt idx="11">
                  <c:v>39833</c:v>
                </c:pt>
                <c:pt idx="12">
                  <c:v>39834</c:v>
                </c:pt>
                <c:pt idx="13">
                  <c:v>39835</c:v>
                </c:pt>
                <c:pt idx="14">
                  <c:v>39836</c:v>
                </c:pt>
                <c:pt idx="15">
                  <c:v>39839</c:v>
                </c:pt>
                <c:pt idx="16">
                  <c:v>39840</c:v>
                </c:pt>
                <c:pt idx="17">
                  <c:v>39841</c:v>
                </c:pt>
                <c:pt idx="18">
                  <c:v>39842</c:v>
                </c:pt>
                <c:pt idx="19">
                  <c:v>39843</c:v>
                </c:pt>
                <c:pt idx="20">
                  <c:v>39846</c:v>
                </c:pt>
                <c:pt idx="21">
                  <c:v>39847</c:v>
                </c:pt>
                <c:pt idx="22">
                  <c:v>39848</c:v>
                </c:pt>
                <c:pt idx="23">
                  <c:v>39849</c:v>
                </c:pt>
                <c:pt idx="24">
                  <c:v>39850</c:v>
                </c:pt>
                <c:pt idx="25">
                  <c:v>39853</c:v>
                </c:pt>
                <c:pt idx="26">
                  <c:v>39854</c:v>
                </c:pt>
                <c:pt idx="27">
                  <c:v>39855</c:v>
                </c:pt>
                <c:pt idx="28">
                  <c:v>39856</c:v>
                </c:pt>
                <c:pt idx="29">
                  <c:v>39857</c:v>
                </c:pt>
                <c:pt idx="30">
                  <c:v>39861</c:v>
                </c:pt>
                <c:pt idx="31">
                  <c:v>39862</c:v>
                </c:pt>
                <c:pt idx="32">
                  <c:v>39863</c:v>
                </c:pt>
                <c:pt idx="33">
                  <c:v>39864</c:v>
                </c:pt>
                <c:pt idx="34">
                  <c:v>39867</c:v>
                </c:pt>
                <c:pt idx="35">
                  <c:v>39868</c:v>
                </c:pt>
                <c:pt idx="36">
                  <c:v>39869</c:v>
                </c:pt>
                <c:pt idx="37">
                  <c:v>39870</c:v>
                </c:pt>
                <c:pt idx="38">
                  <c:v>39871</c:v>
                </c:pt>
                <c:pt idx="39">
                  <c:v>39874</c:v>
                </c:pt>
                <c:pt idx="40">
                  <c:v>39875</c:v>
                </c:pt>
                <c:pt idx="41">
                  <c:v>39876</c:v>
                </c:pt>
                <c:pt idx="42">
                  <c:v>39877</c:v>
                </c:pt>
                <c:pt idx="43">
                  <c:v>39878</c:v>
                </c:pt>
                <c:pt idx="44">
                  <c:v>39881</c:v>
                </c:pt>
                <c:pt idx="45">
                  <c:v>39882</c:v>
                </c:pt>
                <c:pt idx="46">
                  <c:v>39883</c:v>
                </c:pt>
                <c:pt idx="47">
                  <c:v>39884</c:v>
                </c:pt>
                <c:pt idx="48">
                  <c:v>39885</c:v>
                </c:pt>
                <c:pt idx="49">
                  <c:v>39888</c:v>
                </c:pt>
                <c:pt idx="50">
                  <c:v>39889</c:v>
                </c:pt>
                <c:pt idx="51">
                  <c:v>39890</c:v>
                </c:pt>
                <c:pt idx="52">
                  <c:v>39891</c:v>
                </c:pt>
                <c:pt idx="53">
                  <c:v>39892</c:v>
                </c:pt>
                <c:pt idx="54">
                  <c:v>39895</c:v>
                </c:pt>
                <c:pt idx="55">
                  <c:v>39896</c:v>
                </c:pt>
                <c:pt idx="56">
                  <c:v>39897</c:v>
                </c:pt>
                <c:pt idx="57">
                  <c:v>39898</c:v>
                </c:pt>
                <c:pt idx="58">
                  <c:v>39899</c:v>
                </c:pt>
                <c:pt idx="59">
                  <c:v>39902</c:v>
                </c:pt>
                <c:pt idx="60">
                  <c:v>39903</c:v>
                </c:pt>
                <c:pt idx="61">
                  <c:v>39904</c:v>
                </c:pt>
                <c:pt idx="62">
                  <c:v>39905</c:v>
                </c:pt>
                <c:pt idx="63">
                  <c:v>39906</c:v>
                </c:pt>
                <c:pt idx="64">
                  <c:v>39909</c:v>
                </c:pt>
                <c:pt idx="65">
                  <c:v>39910</c:v>
                </c:pt>
                <c:pt idx="66">
                  <c:v>39911</c:v>
                </c:pt>
                <c:pt idx="67">
                  <c:v>39912</c:v>
                </c:pt>
                <c:pt idx="68">
                  <c:v>39916</c:v>
                </c:pt>
                <c:pt idx="69">
                  <c:v>39917</c:v>
                </c:pt>
                <c:pt idx="70">
                  <c:v>39918</c:v>
                </c:pt>
                <c:pt idx="71">
                  <c:v>39919</c:v>
                </c:pt>
                <c:pt idx="72">
                  <c:v>39920</c:v>
                </c:pt>
                <c:pt idx="73">
                  <c:v>39923</c:v>
                </c:pt>
                <c:pt idx="74">
                  <c:v>39924</c:v>
                </c:pt>
                <c:pt idx="75">
                  <c:v>39925</c:v>
                </c:pt>
                <c:pt idx="76">
                  <c:v>39926</c:v>
                </c:pt>
                <c:pt idx="77">
                  <c:v>39927</c:v>
                </c:pt>
                <c:pt idx="78">
                  <c:v>39930</c:v>
                </c:pt>
                <c:pt idx="79">
                  <c:v>39931</c:v>
                </c:pt>
                <c:pt idx="80">
                  <c:v>39932</c:v>
                </c:pt>
                <c:pt idx="81">
                  <c:v>39933</c:v>
                </c:pt>
                <c:pt idx="82">
                  <c:v>39934</c:v>
                </c:pt>
                <c:pt idx="83">
                  <c:v>39937</c:v>
                </c:pt>
                <c:pt idx="84">
                  <c:v>39938</c:v>
                </c:pt>
                <c:pt idx="85">
                  <c:v>39939</c:v>
                </c:pt>
                <c:pt idx="86">
                  <c:v>39940</c:v>
                </c:pt>
                <c:pt idx="87">
                  <c:v>39941</c:v>
                </c:pt>
                <c:pt idx="88">
                  <c:v>39944</c:v>
                </c:pt>
                <c:pt idx="89">
                  <c:v>39945</c:v>
                </c:pt>
                <c:pt idx="90">
                  <c:v>39946</c:v>
                </c:pt>
                <c:pt idx="91">
                  <c:v>39947</c:v>
                </c:pt>
                <c:pt idx="92">
                  <c:v>39948</c:v>
                </c:pt>
                <c:pt idx="93">
                  <c:v>39951</c:v>
                </c:pt>
                <c:pt idx="94">
                  <c:v>39952</c:v>
                </c:pt>
                <c:pt idx="95">
                  <c:v>39953</c:v>
                </c:pt>
                <c:pt idx="96">
                  <c:v>39954</c:v>
                </c:pt>
                <c:pt idx="97">
                  <c:v>39955</c:v>
                </c:pt>
                <c:pt idx="98">
                  <c:v>39959</c:v>
                </c:pt>
                <c:pt idx="99">
                  <c:v>39960</c:v>
                </c:pt>
                <c:pt idx="100">
                  <c:v>39961</c:v>
                </c:pt>
                <c:pt idx="101">
                  <c:v>39962</c:v>
                </c:pt>
                <c:pt idx="102">
                  <c:v>39965</c:v>
                </c:pt>
                <c:pt idx="103">
                  <c:v>39966</c:v>
                </c:pt>
                <c:pt idx="104">
                  <c:v>39967</c:v>
                </c:pt>
                <c:pt idx="105">
                  <c:v>39968</c:v>
                </c:pt>
                <c:pt idx="106">
                  <c:v>39969</c:v>
                </c:pt>
                <c:pt idx="107">
                  <c:v>39972</c:v>
                </c:pt>
                <c:pt idx="108">
                  <c:v>39973</c:v>
                </c:pt>
                <c:pt idx="109">
                  <c:v>39974</c:v>
                </c:pt>
                <c:pt idx="110">
                  <c:v>39975</c:v>
                </c:pt>
                <c:pt idx="111">
                  <c:v>39976</c:v>
                </c:pt>
                <c:pt idx="112">
                  <c:v>39979</c:v>
                </c:pt>
                <c:pt idx="113">
                  <c:v>39980</c:v>
                </c:pt>
                <c:pt idx="114">
                  <c:v>39981</c:v>
                </c:pt>
                <c:pt idx="115">
                  <c:v>39982</c:v>
                </c:pt>
                <c:pt idx="116">
                  <c:v>39983</c:v>
                </c:pt>
                <c:pt idx="117">
                  <c:v>39986</c:v>
                </c:pt>
                <c:pt idx="118">
                  <c:v>39987</c:v>
                </c:pt>
                <c:pt idx="119">
                  <c:v>39988</c:v>
                </c:pt>
                <c:pt idx="120">
                  <c:v>39989</c:v>
                </c:pt>
                <c:pt idx="121">
                  <c:v>39990</c:v>
                </c:pt>
                <c:pt idx="122">
                  <c:v>39993</c:v>
                </c:pt>
                <c:pt idx="123">
                  <c:v>39994</c:v>
                </c:pt>
                <c:pt idx="124">
                  <c:v>39995</c:v>
                </c:pt>
                <c:pt idx="125">
                  <c:v>39996</c:v>
                </c:pt>
                <c:pt idx="126">
                  <c:v>40000</c:v>
                </c:pt>
                <c:pt idx="127">
                  <c:v>40001</c:v>
                </c:pt>
                <c:pt idx="128">
                  <c:v>40002</c:v>
                </c:pt>
                <c:pt idx="129">
                  <c:v>40003</c:v>
                </c:pt>
                <c:pt idx="130">
                  <c:v>40004</c:v>
                </c:pt>
                <c:pt idx="131">
                  <c:v>40007</c:v>
                </c:pt>
                <c:pt idx="132">
                  <c:v>40008</c:v>
                </c:pt>
                <c:pt idx="133">
                  <c:v>40009</c:v>
                </c:pt>
                <c:pt idx="134">
                  <c:v>40010</c:v>
                </c:pt>
                <c:pt idx="135">
                  <c:v>40011</c:v>
                </c:pt>
                <c:pt idx="136">
                  <c:v>40014</c:v>
                </c:pt>
                <c:pt idx="137">
                  <c:v>40015</c:v>
                </c:pt>
                <c:pt idx="138">
                  <c:v>40016</c:v>
                </c:pt>
                <c:pt idx="139">
                  <c:v>40017</c:v>
                </c:pt>
                <c:pt idx="140">
                  <c:v>40018</c:v>
                </c:pt>
                <c:pt idx="141">
                  <c:v>40021</c:v>
                </c:pt>
                <c:pt idx="142">
                  <c:v>40022</c:v>
                </c:pt>
                <c:pt idx="143">
                  <c:v>40023</c:v>
                </c:pt>
                <c:pt idx="144">
                  <c:v>40024</c:v>
                </c:pt>
                <c:pt idx="145">
                  <c:v>40025</c:v>
                </c:pt>
                <c:pt idx="146">
                  <c:v>40028</c:v>
                </c:pt>
                <c:pt idx="147">
                  <c:v>40029</c:v>
                </c:pt>
                <c:pt idx="148">
                  <c:v>40030</c:v>
                </c:pt>
                <c:pt idx="149">
                  <c:v>40031</c:v>
                </c:pt>
                <c:pt idx="150">
                  <c:v>40032</c:v>
                </c:pt>
                <c:pt idx="151">
                  <c:v>40035</c:v>
                </c:pt>
                <c:pt idx="152">
                  <c:v>40036</c:v>
                </c:pt>
                <c:pt idx="153">
                  <c:v>40037</c:v>
                </c:pt>
                <c:pt idx="154">
                  <c:v>40038</c:v>
                </c:pt>
                <c:pt idx="155">
                  <c:v>40039</c:v>
                </c:pt>
                <c:pt idx="156">
                  <c:v>40042</c:v>
                </c:pt>
                <c:pt idx="157">
                  <c:v>40043</c:v>
                </c:pt>
                <c:pt idx="158">
                  <c:v>40044</c:v>
                </c:pt>
                <c:pt idx="159">
                  <c:v>40045</c:v>
                </c:pt>
                <c:pt idx="160">
                  <c:v>40046</c:v>
                </c:pt>
                <c:pt idx="161">
                  <c:v>40049</c:v>
                </c:pt>
                <c:pt idx="162">
                  <c:v>40050</c:v>
                </c:pt>
                <c:pt idx="163">
                  <c:v>40051</c:v>
                </c:pt>
                <c:pt idx="164">
                  <c:v>40052</c:v>
                </c:pt>
                <c:pt idx="165">
                  <c:v>40053</c:v>
                </c:pt>
                <c:pt idx="166">
                  <c:v>40056</c:v>
                </c:pt>
                <c:pt idx="167">
                  <c:v>40057</c:v>
                </c:pt>
                <c:pt idx="168">
                  <c:v>40058</c:v>
                </c:pt>
                <c:pt idx="169">
                  <c:v>40059</c:v>
                </c:pt>
                <c:pt idx="170">
                  <c:v>40060</c:v>
                </c:pt>
                <c:pt idx="171">
                  <c:v>40064</c:v>
                </c:pt>
                <c:pt idx="172">
                  <c:v>40065</c:v>
                </c:pt>
                <c:pt idx="173">
                  <c:v>40066</c:v>
                </c:pt>
                <c:pt idx="174">
                  <c:v>40067</c:v>
                </c:pt>
                <c:pt idx="175">
                  <c:v>40070</c:v>
                </c:pt>
                <c:pt idx="176">
                  <c:v>40071</c:v>
                </c:pt>
                <c:pt idx="177">
                  <c:v>40072</c:v>
                </c:pt>
                <c:pt idx="178">
                  <c:v>40073</c:v>
                </c:pt>
                <c:pt idx="179">
                  <c:v>40074</c:v>
                </c:pt>
                <c:pt idx="180">
                  <c:v>40077</c:v>
                </c:pt>
                <c:pt idx="181">
                  <c:v>40078</c:v>
                </c:pt>
                <c:pt idx="182">
                  <c:v>40079</c:v>
                </c:pt>
                <c:pt idx="183">
                  <c:v>40080</c:v>
                </c:pt>
                <c:pt idx="184">
                  <c:v>40081</c:v>
                </c:pt>
                <c:pt idx="185">
                  <c:v>40084</c:v>
                </c:pt>
                <c:pt idx="186">
                  <c:v>40085</c:v>
                </c:pt>
                <c:pt idx="187">
                  <c:v>40086</c:v>
                </c:pt>
                <c:pt idx="188">
                  <c:v>40087</c:v>
                </c:pt>
                <c:pt idx="189">
                  <c:v>40088</c:v>
                </c:pt>
                <c:pt idx="190">
                  <c:v>40091</c:v>
                </c:pt>
                <c:pt idx="191">
                  <c:v>40092</c:v>
                </c:pt>
                <c:pt idx="192">
                  <c:v>40093</c:v>
                </c:pt>
                <c:pt idx="193">
                  <c:v>40094</c:v>
                </c:pt>
                <c:pt idx="194">
                  <c:v>40095</c:v>
                </c:pt>
                <c:pt idx="195">
                  <c:v>40098</c:v>
                </c:pt>
                <c:pt idx="196">
                  <c:v>40099</c:v>
                </c:pt>
                <c:pt idx="197">
                  <c:v>40100</c:v>
                </c:pt>
                <c:pt idx="198">
                  <c:v>40101</c:v>
                </c:pt>
                <c:pt idx="199">
                  <c:v>40102</c:v>
                </c:pt>
                <c:pt idx="200">
                  <c:v>40105</c:v>
                </c:pt>
                <c:pt idx="201">
                  <c:v>40106</c:v>
                </c:pt>
                <c:pt idx="202">
                  <c:v>40107</c:v>
                </c:pt>
                <c:pt idx="203">
                  <c:v>40108</c:v>
                </c:pt>
                <c:pt idx="204">
                  <c:v>40109</c:v>
                </c:pt>
                <c:pt idx="205">
                  <c:v>40112</c:v>
                </c:pt>
                <c:pt idx="206">
                  <c:v>40113</c:v>
                </c:pt>
                <c:pt idx="207">
                  <c:v>40114</c:v>
                </c:pt>
                <c:pt idx="208">
                  <c:v>40115</c:v>
                </c:pt>
                <c:pt idx="209">
                  <c:v>40116</c:v>
                </c:pt>
                <c:pt idx="210">
                  <c:v>40119</c:v>
                </c:pt>
                <c:pt idx="211">
                  <c:v>40120</c:v>
                </c:pt>
                <c:pt idx="212">
                  <c:v>40121</c:v>
                </c:pt>
                <c:pt idx="213">
                  <c:v>40122</c:v>
                </c:pt>
                <c:pt idx="214">
                  <c:v>40123</c:v>
                </c:pt>
                <c:pt idx="215">
                  <c:v>40126</c:v>
                </c:pt>
                <c:pt idx="216">
                  <c:v>40127</c:v>
                </c:pt>
                <c:pt idx="217">
                  <c:v>40128</c:v>
                </c:pt>
                <c:pt idx="218">
                  <c:v>40129</c:v>
                </c:pt>
                <c:pt idx="219">
                  <c:v>40130</c:v>
                </c:pt>
                <c:pt idx="220">
                  <c:v>40133</c:v>
                </c:pt>
                <c:pt idx="221">
                  <c:v>40134</c:v>
                </c:pt>
                <c:pt idx="222">
                  <c:v>40135</c:v>
                </c:pt>
                <c:pt idx="223">
                  <c:v>40136</c:v>
                </c:pt>
                <c:pt idx="224">
                  <c:v>40137</c:v>
                </c:pt>
                <c:pt idx="225">
                  <c:v>40140</c:v>
                </c:pt>
                <c:pt idx="226">
                  <c:v>40141</c:v>
                </c:pt>
                <c:pt idx="227">
                  <c:v>40142</c:v>
                </c:pt>
                <c:pt idx="228">
                  <c:v>40144</c:v>
                </c:pt>
                <c:pt idx="229">
                  <c:v>40147</c:v>
                </c:pt>
                <c:pt idx="230">
                  <c:v>40148</c:v>
                </c:pt>
                <c:pt idx="231">
                  <c:v>40149</c:v>
                </c:pt>
                <c:pt idx="232">
                  <c:v>40150</c:v>
                </c:pt>
                <c:pt idx="233">
                  <c:v>40151</c:v>
                </c:pt>
                <c:pt idx="234">
                  <c:v>40154</c:v>
                </c:pt>
                <c:pt idx="235">
                  <c:v>40155</c:v>
                </c:pt>
                <c:pt idx="236">
                  <c:v>40156</c:v>
                </c:pt>
                <c:pt idx="237">
                  <c:v>40157</c:v>
                </c:pt>
                <c:pt idx="238">
                  <c:v>40158</c:v>
                </c:pt>
                <c:pt idx="239">
                  <c:v>40161</c:v>
                </c:pt>
                <c:pt idx="240">
                  <c:v>40162</c:v>
                </c:pt>
                <c:pt idx="241">
                  <c:v>40163</c:v>
                </c:pt>
                <c:pt idx="242">
                  <c:v>40164</c:v>
                </c:pt>
                <c:pt idx="243">
                  <c:v>40165</c:v>
                </c:pt>
                <c:pt idx="244">
                  <c:v>40168</c:v>
                </c:pt>
                <c:pt idx="245">
                  <c:v>40169</c:v>
                </c:pt>
                <c:pt idx="246">
                  <c:v>40170</c:v>
                </c:pt>
                <c:pt idx="247">
                  <c:v>40171</c:v>
                </c:pt>
                <c:pt idx="248">
                  <c:v>40175</c:v>
                </c:pt>
                <c:pt idx="249">
                  <c:v>40176</c:v>
                </c:pt>
                <c:pt idx="250">
                  <c:v>40177</c:v>
                </c:pt>
                <c:pt idx="251">
                  <c:v>40178</c:v>
                </c:pt>
                <c:pt idx="252">
                  <c:v>40182</c:v>
                </c:pt>
                <c:pt idx="253">
                  <c:v>40183</c:v>
                </c:pt>
                <c:pt idx="254">
                  <c:v>40184</c:v>
                </c:pt>
                <c:pt idx="255">
                  <c:v>40185</c:v>
                </c:pt>
                <c:pt idx="256">
                  <c:v>40186</c:v>
                </c:pt>
                <c:pt idx="257">
                  <c:v>40189</c:v>
                </c:pt>
                <c:pt idx="258">
                  <c:v>40190</c:v>
                </c:pt>
                <c:pt idx="259">
                  <c:v>40191</c:v>
                </c:pt>
                <c:pt idx="260">
                  <c:v>40192</c:v>
                </c:pt>
                <c:pt idx="261">
                  <c:v>40193</c:v>
                </c:pt>
                <c:pt idx="262">
                  <c:v>40197</c:v>
                </c:pt>
                <c:pt idx="263">
                  <c:v>40198</c:v>
                </c:pt>
                <c:pt idx="264">
                  <c:v>40199</c:v>
                </c:pt>
                <c:pt idx="265">
                  <c:v>40200</c:v>
                </c:pt>
                <c:pt idx="266">
                  <c:v>40203</c:v>
                </c:pt>
                <c:pt idx="267">
                  <c:v>40204</c:v>
                </c:pt>
                <c:pt idx="268">
                  <c:v>40205</c:v>
                </c:pt>
                <c:pt idx="269">
                  <c:v>40206</c:v>
                </c:pt>
                <c:pt idx="270">
                  <c:v>40207</c:v>
                </c:pt>
                <c:pt idx="271">
                  <c:v>40210</c:v>
                </c:pt>
                <c:pt idx="272">
                  <c:v>40211</c:v>
                </c:pt>
                <c:pt idx="273">
                  <c:v>40212</c:v>
                </c:pt>
                <c:pt idx="274">
                  <c:v>40213</c:v>
                </c:pt>
                <c:pt idx="275">
                  <c:v>40214</c:v>
                </c:pt>
                <c:pt idx="276">
                  <c:v>40217</c:v>
                </c:pt>
                <c:pt idx="277">
                  <c:v>40218</c:v>
                </c:pt>
                <c:pt idx="278">
                  <c:v>40219</c:v>
                </c:pt>
                <c:pt idx="279">
                  <c:v>40220</c:v>
                </c:pt>
                <c:pt idx="280">
                  <c:v>40221</c:v>
                </c:pt>
                <c:pt idx="281">
                  <c:v>40225</c:v>
                </c:pt>
                <c:pt idx="282">
                  <c:v>40226</c:v>
                </c:pt>
                <c:pt idx="283">
                  <c:v>40227</c:v>
                </c:pt>
                <c:pt idx="284">
                  <c:v>40228</c:v>
                </c:pt>
                <c:pt idx="285">
                  <c:v>40231</c:v>
                </c:pt>
                <c:pt idx="286">
                  <c:v>40232</c:v>
                </c:pt>
                <c:pt idx="287">
                  <c:v>40233</c:v>
                </c:pt>
                <c:pt idx="288">
                  <c:v>40234</c:v>
                </c:pt>
                <c:pt idx="289">
                  <c:v>40235</c:v>
                </c:pt>
                <c:pt idx="290">
                  <c:v>40238</c:v>
                </c:pt>
                <c:pt idx="291">
                  <c:v>40239</c:v>
                </c:pt>
                <c:pt idx="292">
                  <c:v>40240</c:v>
                </c:pt>
                <c:pt idx="293">
                  <c:v>40241</c:v>
                </c:pt>
                <c:pt idx="294">
                  <c:v>40242</c:v>
                </c:pt>
                <c:pt idx="295">
                  <c:v>40245</c:v>
                </c:pt>
                <c:pt idx="296">
                  <c:v>40246</c:v>
                </c:pt>
                <c:pt idx="297">
                  <c:v>40247</c:v>
                </c:pt>
                <c:pt idx="298">
                  <c:v>40248</c:v>
                </c:pt>
                <c:pt idx="299">
                  <c:v>40249</c:v>
                </c:pt>
                <c:pt idx="300">
                  <c:v>40252</c:v>
                </c:pt>
                <c:pt idx="301">
                  <c:v>40253</c:v>
                </c:pt>
                <c:pt idx="302">
                  <c:v>40254</c:v>
                </c:pt>
                <c:pt idx="303">
                  <c:v>40255</c:v>
                </c:pt>
                <c:pt idx="304">
                  <c:v>40256</c:v>
                </c:pt>
                <c:pt idx="305">
                  <c:v>40259</c:v>
                </c:pt>
                <c:pt idx="306">
                  <c:v>40260</c:v>
                </c:pt>
                <c:pt idx="307">
                  <c:v>40261</c:v>
                </c:pt>
                <c:pt idx="308">
                  <c:v>40262</c:v>
                </c:pt>
                <c:pt idx="309">
                  <c:v>40263</c:v>
                </c:pt>
                <c:pt idx="310">
                  <c:v>40266</c:v>
                </c:pt>
                <c:pt idx="311">
                  <c:v>40267</c:v>
                </c:pt>
                <c:pt idx="312">
                  <c:v>40268</c:v>
                </c:pt>
                <c:pt idx="313">
                  <c:v>40269</c:v>
                </c:pt>
                <c:pt idx="314">
                  <c:v>40273</c:v>
                </c:pt>
                <c:pt idx="315">
                  <c:v>40274</c:v>
                </c:pt>
                <c:pt idx="316">
                  <c:v>40275</c:v>
                </c:pt>
                <c:pt idx="317">
                  <c:v>40276</c:v>
                </c:pt>
                <c:pt idx="318">
                  <c:v>40277</c:v>
                </c:pt>
                <c:pt idx="319">
                  <c:v>40280</c:v>
                </c:pt>
                <c:pt idx="320">
                  <c:v>40281</c:v>
                </c:pt>
                <c:pt idx="321">
                  <c:v>40282</c:v>
                </c:pt>
                <c:pt idx="322">
                  <c:v>40283</c:v>
                </c:pt>
                <c:pt idx="323">
                  <c:v>40284</c:v>
                </c:pt>
                <c:pt idx="324">
                  <c:v>40287</c:v>
                </c:pt>
                <c:pt idx="325">
                  <c:v>40288</c:v>
                </c:pt>
                <c:pt idx="326">
                  <c:v>40289</c:v>
                </c:pt>
                <c:pt idx="327">
                  <c:v>40290</c:v>
                </c:pt>
                <c:pt idx="328">
                  <c:v>40291</c:v>
                </c:pt>
                <c:pt idx="329">
                  <c:v>40294</c:v>
                </c:pt>
                <c:pt idx="330">
                  <c:v>40295</c:v>
                </c:pt>
                <c:pt idx="331">
                  <c:v>40296</c:v>
                </c:pt>
                <c:pt idx="332">
                  <c:v>40297</c:v>
                </c:pt>
                <c:pt idx="333">
                  <c:v>40298</c:v>
                </c:pt>
                <c:pt idx="334">
                  <c:v>40301</c:v>
                </c:pt>
                <c:pt idx="335">
                  <c:v>40302</c:v>
                </c:pt>
                <c:pt idx="336">
                  <c:v>40303</c:v>
                </c:pt>
                <c:pt idx="337">
                  <c:v>40304</c:v>
                </c:pt>
                <c:pt idx="338">
                  <c:v>40305</c:v>
                </c:pt>
                <c:pt idx="339">
                  <c:v>40308</c:v>
                </c:pt>
                <c:pt idx="340">
                  <c:v>40309</c:v>
                </c:pt>
                <c:pt idx="341">
                  <c:v>40310</c:v>
                </c:pt>
                <c:pt idx="342">
                  <c:v>40311</c:v>
                </c:pt>
                <c:pt idx="343">
                  <c:v>40312</c:v>
                </c:pt>
                <c:pt idx="344">
                  <c:v>40315</c:v>
                </c:pt>
                <c:pt idx="345">
                  <c:v>40316</c:v>
                </c:pt>
                <c:pt idx="346">
                  <c:v>40317</c:v>
                </c:pt>
                <c:pt idx="347">
                  <c:v>40318</c:v>
                </c:pt>
                <c:pt idx="348">
                  <c:v>40319</c:v>
                </c:pt>
                <c:pt idx="349">
                  <c:v>40322</c:v>
                </c:pt>
                <c:pt idx="350">
                  <c:v>40323</c:v>
                </c:pt>
                <c:pt idx="351">
                  <c:v>40324</c:v>
                </c:pt>
                <c:pt idx="352">
                  <c:v>40325</c:v>
                </c:pt>
                <c:pt idx="353">
                  <c:v>40326</c:v>
                </c:pt>
                <c:pt idx="354">
                  <c:v>40330</c:v>
                </c:pt>
                <c:pt idx="355">
                  <c:v>40331</c:v>
                </c:pt>
                <c:pt idx="356">
                  <c:v>40332</c:v>
                </c:pt>
                <c:pt idx="357">
                  <c:v>40333</c:v>
                </c:pt>
                <c:pt idx="358">
                  <c:v>40336</c:v>
                </c:pt>
                <c:pt idx="359">
                  <c:v>40337</c:v>
                </c:pt>
                <c:pt idx="360">
                  <c:v>40338</c:v>
                </c:pt>
                <c:pt idx="361">
                  <c:v>40339</c:v>
                </c:pt>
                <c:pt idx="362">
                  <c:v>40340</c:v>
                </c:pt>
                <c:pt idx="363">
                  <c:v>40343</c:v>
                </c:pt>
                <c:pt idx="364">
                  <c:v>40344</c:v>
                </c:pt>
                <c:pt idx="365">
                  <c:v>40345</c:v>
                </c:pt>
                <c:pt idx="366">
                  <c:v>40346</c:v>
                </c:pt>
                <c:pt idx="367">
                  <c:v>40347</c:v>
                </c:pt>
                <c:pt idx="368">
                  <c:v>40350</c:v>
                </c:pt>
                <c:pt idx="369">
                  <c:v>40351</c:v>
                </c:pt>
                <c:pt idx="370">
                  <c:v>40352</c:v>
                </c:pt>
                <c:pt idx="371">
                  <c:v>40353</c:v>
                </c:pt>
                <c:pt idx="372">
                  <c:v>40354</c:v>
                </c:pt>
                <c:pt idx="373">
                  <c:v>40357</c:v>
                </c:pt>
                <c:pt idx="374">
                  <c:v>40358</c:v>
                </c:pt>
                <c:pt idx="375">
                  <c:v>40359</c:v>
                </c:pt>
                <c:pt idx="376">
                  <c:v>40360</c:v>
                </c:pt>
                <c:pt idx="377">
                  <c:v>40361</c:v>
                </c:pt>
                <c:pt idx="378">
                  <c:v>40365</c:v>
                </c:pt>
                <c:pt idx="379">
                  <c:v>40366</c:v>
                </c:pt>
                <c:pt idx="380">
                  <c:v>40367</c:v>
                </c:pt>
                <c:pt idx="381">
                  <c:v>40368</c:v>
                </c:pt>
                <c:pt idx="382">
                  <c:v>40371</c:v>
                </c:pt>
                <c:pt idx="383">
                  <c:v>40372</c:v>
                </c:pt>
                <c:pt idx="384">
                  <c:v>40373</c:v>
                </c:pt>
                <c:pt idx="385">
                  <c:v>40374</c:v>
                </c:pt>
                <c:pt idx="386">
                  <c:v>40375</c:v>
                </c:pt>
                <c:pt idx="387">
                  <c:v>40378</c:v>
                </c:pt>
                <c:pt idx="388">
                  <c:v>40379</c:v>
                </c:pt>
                <c:pt idx="389">
                  <c:v>40380</c:v>
                </c:pt>
                <c:pt idx="390">
                  <c:v>40381</c:v>
                </c:pt>
                <c:pt idx="391">
                  <c:v>40382</c:v>
                </c:pt>
                <c:pt idx="392">
                  <c:v>40385</c:v>
                </c:pt>
                <c:pt idx="393">
                  <c:v>40386</c:v>
                </c:pt>
                <c:pt idx="394">
                  <c:v>40387</c:v>
                </c:pt>
                <c:pt idx="395">
                  <c:v>40388</c:v>
                </c:pt>
                <c:pt idx="396">
                  <c:v>40389</c:v>
                </c:pt>
                <c:pt idx="397">
                  <c:v>40392</c:v>
                </c:pt>
                <c:pt idx="398">
                  <c:v>40393</c:v>
                </c:pt>
                <c:pt idx="399">
                  <c:v>40394</c:v>
                </c:pt>
                <c:pt idx="400">
                  <c:v>40395</c:v>
                </c:pt>
                <c:pt idx="401">
                  <c:v>40396</c:v>
                </c:pt>
                <c:pt idx="402">
                  <c:v>40399</c:v>
                </c:pt>
                <c:pt idx="403">
                  <c:v>40400</c:v>
                </c:pt>
                <c:pt idx="404">
                  <c:v>40401</c:v>
                </c:pt>
                <c:pt idx="405">
                  <c:v>40402</c:v>
                </c:pt>
                <c:pt idx="406">
                  <c:v>40403</c:v>
                </c:pt>
                <c:pt idx="407">
                  <c:v>40406</c:v>
                </c:pt>
                <c:pt idx="408">
                  <c:v>40407</c:v>
                </c:pt>
                <c:pt idx="409">
                  <c:v>40408</c:v>
                </c:pt>
                <c:pt idx="410">
                  <c:v>40409</c:v>
                </c:pt>
                <c:pt idx="411">
                  <c:v>40410</c:v>
                </c:pt>
                <c:pt idx="412">
                  <c:v>40413</c:v>
                </c:pt>
                <c:pt idx="413">
                  <c:v>40414</c:v>
                </c:pt>
                <c:pt idx="414">
                  <c:v>40415</c:v>
                </c:pt>
                <c:pt idx="415">
                  <c:v>40416</c:v>
                </c:pt>
                <c:pt idx="416">
                  <c:v>40417</c:v>
                </c:pt>
                <c:pt idx="417">
                  <c:v>40420</c:v>
                </c:pt>
                <c:pt idx="418">
                  <c:v>40421</c:v>
                </c:pt>
                <c:pt idx="419">
                  <c:v>40422</c:v>
                </c:pt>
                <c:pt idx="420">
                  <c:v>40423</c:v>
                </c:pt>
                <c:pt idx="421">
                  <c:v>40424</c:v>
                </c:pt>
                <c:pt idx="422">
                  <c:v>40428</c:v>
                </c:pt>
                <c:pt idx="423">
                  <c:v>40429</c:v>
                </c:pt>
                <c:pt idx="424">
                  <c:v>40430</c:v>
                </c:pt>
                <c:pt idx="425">
                  <c:v>40431</c:v>
                </c:pt>
                <c:pt idx="426">
                  <c:v>40434</c:v>
                </c:pt>
                <c:pt idx="427">
                  <c:v>40435</c:v>
                </c:pt>
                <c:pt idx="428">
                  <c:v>40436</c:v>
                </c:pt>
                <c:pt idx="429">
                  <c:v>40437</c:v>
                </c:pt>
                <c:pt idx="430">
                  <c:v>40438</c:v>
                </c:pt>
                <c:pt idx="431">
                  <c:v>40441</c:v>
                </c:pt>
                <c:pt idx="432">
                  <c:v>40442</c:v>
                </c:pt>
                <c:pt idx="433">
                  <c:v>40443</c:v>
                </c:pt>
                <c:pt idx="434">
                  <c:v>40444</c:v>
                </c:pt>
                <c:pt idx="435">
                  <c:v>40445</c:v>
                </c:pt>
                <c:pt idx="436">
                  <c:v>40448</c:v>
                </c:pt>
                <c:pt idx="437">
                  <c:v>40449</c:v>
                </c:pt>
                <c:pt idx="438">
                  <c:v>40450</c:v>
                </c:pt>
                <c:pt idx="439">
                  <c:v>40451</c:v>
                </c:pt>
                <c:pt idx="440">
                  <c:v>40452</c:v>
                </c:pt>
                <c:pt idx="441">
                  <c:v>40455</c:v>
                </c:pt>
                <c:pt idx="442">
                  <c:v>40456</c:v>
                </c:pt>
                <c:pt idx="443">
                  <c:v>40457</c:v>
                </c:pt>
                <c:pt idx="444">
                  <c:v>40458</c:v>
                </c:pt>
                <c:pt idx="445">
                  <c:v>40459</c:v>
                </c:pt>
                <c:pt idx="446">
                  <c:v>40462</c:v>
                </c:pt>
                <c:pt idx="447">
                  <c:v>40463</c:v>
                </c:pt>
                <c:pt idx="448">
                  <c:v>40464</c:v>
                </c:pt>
                <c:pt idx="449">
                  <c:v>40465</c:v>
                </c:pt>
                <c:pt idx="450">
                  <c:v>40466</c:v>
                </c:pt>
                <c:pt idx="451">
                  <c:v>40469</c:v>
                </c:pt>
                <c:pt idx="452">
                  <c:v>40470</c:v>
                </c:pt>
                <c:pt idx="453">
                  <c:v>40471</c:v>
                </c:pt>
                <c:pt idx="454">
                  <c:v>40472</c:v>
                </c:pt>
                <c:pt idx="455">
                  <c:v>40473</c:v>
                </c:pt>
                <c:pt idx="456">
                  <c:v>40476</c:v>
                </c:pt>
                <c:pt idx="457">
                  <c:v>40477</c:v>
                </c:pt>
                <c:pt idx="458">
                  <c:v>40478</c:v>
                </c:pt>
                <c:pt idx="459">
                  <c:v>40479</c:v>
                </c:pt>
                <c:pt idx="460">
                  <c:v>40480</c:v>
                </c:pt>
                <c:pt idx="461">
                  <c:v>40483</c:v>
                </c:pt>
                <c:pt idx="462">
                  <c:v>40484</c:v>
                </c:pt>
                <c:pt idx="463">
                  <c:v>40485</c:v>
                </c:pt>
                <c:pt idx="464">
                  <c:v>40486</c:v>
                </c:pt>
                <c:pt idx="465">
                  <c:v>40487</c:v>
                </c:pt>
                <c:pt idx="466">
                  <c:v>40490</c:v>
                </c:pt>
                <c:pt idx="467">
                  <c:v>40491</c:v>
                </c:pt>
                <c:pt idx="468">
                  <c:v>40492</c:v>
                </c:pt>
                <c:pt idx="469">
                  <c:v>40493</c:v>
                </c:pt>
                <c:pt idx="470">
                  <c:v>40494</c:v>
                </c:pt>
                <c:pt idx="471">
                  <c:v>40497</c:v>
                </c:pt>
                <c:pt idx="472">
                  <c:v>40498</c:v>
                </c:pt>
                <c:pt idx="473">
                  <c:v>40499</c:v>
                </c:pt>
                <c:pt idx="474">
                  <c:v>40500</c:v>
                </c:pt>
                <c:pt idx="475">
                  <c:v>40501</c:v>
                </c:pt>
                <c:pt idx="476">
                  <c:v>40504</c:v>
                </c:pt>
                <c:pt idx="477">
                  <c:v>40505</c:v>
                </c:pt>
                <c:pt idx="478">
                  <c:v>40506</c:v>
                </c:pt>
                <c:pt idx="479">
                  <c:v>40508</c:v>
                </c:pt>
                <c:pt idx="480">
                  <c:v>40511</c:v>
                </c:pt>
                <c:pt idx="481">
                  <c:v>40512</c:v>
                </c:pt>
                <c:pt idx="482">
                  <c:v>40513</c:v>
                </c:pt>
                <c:pt idx="483">
                  <c:v>40514</c:v>
                </c:pt>
                <c:pt idx="484">
                  <c:v>40515</c:v>
                </c:pt>
                <c:pt idx="485">
                  <c:v>40518</c:v>
                </c:pt>
                <c:pt idx="486">
                  <c:v>40519</c:v>
                </c:pt>
                <c:pt idx="487">
                  <c:v>40520</c:v>
                </c:pt>
                <c:pt idx="488">
                  <c:v>40521</c:v>
                </c:pt>
                <c:pt idx="489">
                  <c:v>40522</c:v>
                </c:pt>
                <c:pt idx="490">
                  <c:v>40525</c:v>
                </c:pt>
                <c:pt idx="491">
                  <c:v>40526</c:v>
                </c:pt>
                <c:pt idx="492">
                  <c:v>40527</c:v>
                </c:pt>
                <c:pt idx="493">
                  <c:v>40528</c:v>
                </c:pt>
                <c:pt idx="494">
                  <c:v>40529</c:v>
                </c:pt>
                <c:pt idx="495">
                  <c:v>40532</c:v>
                </c:pt>
                <c:pt idx="496">
                  <c:v>40533</c:v>
                </c:pt>
                <c:pt idx="497">
                  <c:v>40534</c:v>
                </c:pt>
                <c:pt idx="498">
                  <c:v>40535</c:v>
                </c:pt>
                <c:pt idx="499">
                  <c:v>40539</c:v>
                </c:pt>
                <c:pt idx="500">
                  <c:v>40540</c:v>
                </c:pt>
                <c:pt idx="501">
                  <c:v>40541</c:v>
                </c:pt>
                <c:pt idx="502">
                  <c:v>40542</c:v>
                </c:pt>
                <c:pt idx="503">
                  <c:v>40543</c:v>
                </c:pt>
                <c:pt idx="504">
                  <c:v>40546</c:v>
                </c:pt>
                <c:pt idx="505">
                  <c:v>40547</c:v>
                </c:pt>
                <c:pt idx="506">
                  <c:v>40548</c:v>
                </c:pt>
                <c:pt idx="507">
                  <c:v>40549</c:v>
                </c:pt>
                <c:pt idx="508">
                  <c:v>40550</c:v>
                </c:pt>
                <c:pt idx="509">
                  <c:v>40553</c:v>
                </c:pt>
                <c:pt idx="510">
                  <c:v>40554</c:v>
                </c:pt>
                <c:pt idx="511">
                  <c:v>40555</c:v>
                </c:pt>
                <c:pt idx="512">
                  <c:v>40556</c:v>
                </c:pt>
                <c:pt idx="513">
                  <c:v>40557</c:v>
                </c:pt>
                <c:pt idx="514">
                  <c:v>40561</c:v>
                </c:pt>
                <c:pt idx="515">
                  <c:v>40562</c:v>
                </c:pt>
                <c:pt idx="516">
                  <c:v>40563</c:v>
                </c:pt>
                <c:pt idx="517">
                  <c:v>40564</c:v>
                </c:pt>
                <c:pt idx="518">
                  <c:v>40567</c:v>
                </c:pt>
                <c:pt idx="519">
                  <c:v>40568</c:v>
                </c:pt>
                <c:pt idx="520">
                  <c:v>40569</c:v>
                </c:pt>
                <c:pt idx="521">
                  <c:v>40570</c:v>
                </c:pt>
                <c:pt idx="522">
                  <c:v>40571</c:v>
                </c:pt>
                <c:pt idx="523">
                  <c:v>40574</c:v>
                </c:pt>
                <c:pt idx="524">
                  <c:v>40575</c:v>
                </c:pt>
                <c:pt idx="525">
                  <c:v>40576</c:v>
                </c:pt>
                <c:pt idx="526">
                  <c:v>40577</c:v>
                </c:pt>
                <c:pt idx="527">
                  <c:v>40578</c:v>
                </c:pt>
                <c:pt idx="528">
                  <c:v>40581</c:v>
                </c:pt>
                <c:pt idx="529">
                  <c:v>40582</c:v>
                </c:pt>
                <c:pt idx="530">
                  <c:v>40583</c:v>
                </c:pt>
                <c:pt idx="531">
                  <c:v>40584</c:v>
                </c:pt>
                <c:pt idx="532">
                  <c:v>40585</c:v>
                </c:pt>
                <c:pt idx="533">
                  <c:v>40588</c:v>
                </c:pt>
                <c:pt idx="534">
                  <c:v>40589</c:v>
                </c:pt>
                <c:pt idx="535">
                  <c:v>40590</c:v>
                </c:pt>
                <c:pt idx="536">
                  <c:v>40591</c:v>
                </c:pt>
                <c:pt idx="537">
                  <c:v>40592</c:v>
                </c:pt>
                <c:pt idx="538">
                  <c:v>40596</c:v>
                </c:pt>
                <c:pt idx="539">
                  <c:v>40597</c:v>
                </c:pt>
                <c:pt idx="540">
                  <c:v>40598</c:v>
                </c:pt>
                <c:pt idx="541">
                  <c:v>40599</c:v>
                </c:pt>
                <c:pt idx="542">
                  <c:v>40602</c:v>
                </c:pt>
                <c:pt idx="543">
                  <c:v>40603</c:v>
                </c:pt>
                <c:pt idx="544">
                  <c:v>40604</c:v>
                </c:pt>
                <c:pt idx="545">
                  <c:v>40605</c:v>
                </c:pt>
                <c:pt idx="546">
                  <c:v>40606</c:v>
                </c:pt>
                <c:pt idx="547">
                  <c:v>40609</c:v>
                </c:pt>
                <c:pt idx="548">
                  <c:v>40610</c:v>
                </c:pt>
                <c:pt idx="549">
                  <c:v>40611</c:v>
                </c:pt>
                <c:pt idx="550">
                  <c:v>40612</c:v>
                </c:pt>
                <c:pt idx="551">
                  <c:v>40613</c:v>
                </c:pt>
                <c:pt idx="552">
                  <c:v>40616</c:v>
                </c:pt>
                <c:pt idx="553">
                  <c:v>40617</c:v>
                </c:pt>
                <c:pt idx="554">
                  <c:v>40618</c:v>
                </c:pt>
                <c:pt idx="555">
                  <c:v>40619</c:v>
                </c:pt>
                <c:pt idx="556">
                  <c:v>40620</c:v>
                </c:pt>
                <c:pt idx="557">
                  <c:v>40623</c:v>
                </c:pt>
                <c:pt idx="558">
                  <c:v>40624</c:v>
                </c:pt>
                <c:pt idx="559">
                  <c:v>40625</c:v>
                </c:pt>
                <c:pt idx="560">
                  <c:v>40626</c:v>
                </c:pt>
                <c:pt idx="561">
                  <c:v>40627</c:v>
                </c:pt>
                <c:pt idx="562">
                  <c:v>40630</c:v>
                </c:pt>
                <c:pt idx="563">
                  <c:v>40631</c:v>
                </c:pt>
                <c:pt idx="564">
                  <c:v>40632</c:v>
                </c:pt>
                <c:pt idx="565">
                  <c:v>40633</c:v>
                </c:pt>
                <c:pt idx="566">
                  <c:v>40634</c:v>
                </c:pt>
                <c:pt idx="567">
                  <c:v>40637</c:v>
                </c:pt>
                <c:pt idx="568">
                  <c:v>40638</c:v>
                </c:pt>
                <c:pt idx="569">
                  <c:v>40639</c:v>
                </c:pt>
                <c:pt idx="570">
                  <c:v>40640</c:v>
                </c:pt>
                <c:pt idx="571">
                  <c:v>40641</c:v>
                </c:pt>
                <c:pt idx="572">
                  <c:v>40644</c:v>
                </c:pt>
                <c:pt idx="573">
                  <c:v>40645</c:v>
                </c:pt>
                <c:pt idx="574">
                  <c:v>40646</c:v>
                </c:pt>
                <c:pt idx="575">
                  <c:v>40647</c:v>
                </c:pt>
                <c:pt idx="576">
                  <c:v>40648</c:v>
                </c:pt>
                <c:pt idx="577">
                  <c:v>40651</c:v>
                </c:pt>
                <c:pt idx="578">
                  <c:v>40652</c:v>
                </c:pt>
                <c:pt idx="579">
                  <c:v>40653</c:v>
                </c:pt>
                <c:pt idx="580">
                  <c:v>40654</c:v>
                </c:pt>
                <c:pt idx="581">
                  <c:v>40658</c:v>
                </c:pt>
                <c:pt idx="582">
                  <c:v>40659</c:v>
                </c:pt>
                <c:pt idx="583">
                  <c:v>40660</c:v>
                </c:pt>
                <c:pt idx="584">
                  <c:v>40661</c:v>
                </c:pt>
                <c:pt idx="585">
                  <c:v>40662</c:v>
                </c:pt>
                <c:pt idx="586">
                  <c:v>40665</c:v>
                </c:pt>
                <c:pt idx="587">
                  <c:v>40666</c:v>
                </c:pt>
                <c:pt idx="588">
                  <c:v>40667</c:v>
                </c:pt>
                <c:pt idx="589">
                  <c:v>40668</c:v>
                </c:pt>
                <c:pt idx="590">
                  <c:v>40669</c:v>
                </c:pt>
                <c:pt idx="591">
                  <c:v>40672</c:v>
                </c:pt>
                <c:pt idx="592">
                  <c:v>40673</c:v>
                </c:pt>
                <c:pt idx="593">
                  <c:v>40674</c:v>
                </c:pt>
                <c:pt idx="594">
                  <c:v>40675</c:v>
                </c:pt>
                <c:pt idx="595">
                  <c:v>40676</c:v>
                </c:pt>
                <c:pt idx="596">
                  <c:v>40679</c:v>
                </c:pt>
                <c:pt idx="597">
                  <c:v>40680</c:v>
                </c:pt>
                <c:pt idx="598">
                  <c:v>40681</c:v>
                </c:pt>
                <c:pt idx="599">
                  <c:v>40682</c:v>
                </c:pt>
                <c:pt idx="600">
                  <c:v>40683</c:v>
                </c:pt>
                <c:pt idx="601">
                  <c:v>40686</c:v>
                </c:pt>
                <c:pt idx="602">
                  <c:v>40687</c:v>
                </c:pt>
                <c:pt idx="603">
                  <c:v>40688</c:v>
                </c:pt>
                <c:pt idx="604">
                  <c:v>40689</c:v>
                </c:pt>
                <c:pt idx="605">
                  <c:v>40690</c:v>
                </c:pt>
                <c:pt idx="606">
                  <c:v>40694</c:v>
                </c:pt>
                <c:pt idx="607">
                  <c:v>40695</c:v>
                </c:pt>
                <c:pt idx="608">
                  <c:v>40696</c:v>
                </c:pt>
                <c:pt idx="609">
                  <c:v>40697</c:v>
                </c:pt>
                <c:pt idx="610">
                  <c:v>40700</c:v>
                </c:pt>
                <c:pt idx="611">
                  <c:v>40701</c:v>
                </c:pt>
                <c:pt idx="612">
                  <c:v>40702</c:v>
                </c:pt>
                <c:pt idx="613">
                  <c:v>40703</c:v>
                </c:pt>
                <c:pt idx="614">
                  <c:v>40704</c:v>
                </c:pt>
                <c:pt idx="615">
                  <c:v>40707</c:v>
                </c:pt>
                <c:pt idx="616">
                  <c:v>40708</c:v>
                </c:pt>
                <c:pt idx="617">
                  <c:v>40709</c:v>
                </c:pt>
                <c:pt idx="618">
                  <c:v>40710</c:v>
                </c:pt>
                <c:pt idx="619">
                  <c:v>40711</c:v>
                </c:pt>
                <c:pt idx="620">
                  <c:v>40714</c:v>
                </c:pt>
                <c:pt idx="621">
                  <c:v>40715</c:v>
                </c:pt>
                <c:pt idx="622">
                  <c:v>40716</c:v>
                </c:pt>
                <c:pt idx="623">
                  <c:v>40717</c:v>
                </c:pt>
                <c:pt idx="624">
                  <c:v>40718</c:v>
                </c:pt>
                <c:pt idx="625">
                  <c:v>40721</c:v>
                </c:pt>
                <c:pt idx="626">
                  <c:v>40722</c:v>
                </c:pt>
                <c:pt idx="627">
                  <c:v>40723</c:v>
                </c:pt>
                <c:pt idx="628">
                  <c:v>40724</c:v>
                </c:pt>
                <c:pt idx="629">
                  <c:v>40725</c:v>
                </c:pt>
                <c:pt idx="630">
                  <c:v>40729</c:v>
                </c:pt>
                <c:pt idx="631">
                  <c:v>40730</c:v>
                </c:pt>
                <c:pt idx="632">
                  <c:v>40731</c:v>
                </c:pt>
                <c:pt idx="633">
                  <c:v>40732</c:v>
                </c:pt>
                <c:pt idx="634">
                  <c:v>40735</c:v>
                </c:pt>
                <c:pt idx="635">
                  <c:v>40736</c:v>
                </c:pt>
                <c:pt idx="636">
                  <c:v>40737</c:v>
                </c:pt>
                <c:pt idx="637">
                  <c:v>40738</c:v>
                </c:pt>
                <c:pt idx="638">
                  <c:v>40739</c:v>
                </c:pt>
                <c:pt idx="639">
                  <c:v>40742</c:v>
                </c:pt>
                <c:pt idx="640">
                  <c:v>40743</c:v>
                </c:pt>
                <c:pt idx="641">
                  <c:v>40744</c:v>
                </c:pt>
                <c:pt idx="642">
                  <c:v>40745</c:v>
                </c:pt>
                <c:pt idx="643">
                  <c:v>40746</c:v>
                </c:pt>
                <c:pt idx="644">
                  <c:v>40749</c:v>
                </c:pt>
                <c:pt idx="645">
                  <c:v>40750</c:v>
                </c:pt>
                <c:pt idx="646">
                  <c:v>40751</c:v>
                </c:pt>
                <c:pt idx="647">
                  <c:v>40752</c:v>
                </c:pt>
                <c:pt idx="648">
                  <c:v>40753</c:v>
                </c:pt>
                <c:pt idx="649">
                  <c:v>40756</c:v>
                </c:pt>
                <c:pt idx="650">
                  <c:v>40757</c:v>
                </c:pt>
                <c:pt idx="651">
                  <c:v>40758</c:v>
                </c:pt>
                <c:pt idx="652">
                  <c:v>40759</c:v>
                </c:pt>
                <c:pt idx="653">
                  <c:v>40760</c:v>
                </c:pt>
                <c:pt idx="654">
                  <c:v>40763</c:v>
                </c:pt>
                <c:pt idx="655">
                  <c:v>40764</c:v>
                </c:pt>
                <c:pt idx="656">
                  <c:v>40765</c:v>
                </c:pt>
                <c:pt idx="657">
                  <c:v>40766</c:v>
                </c:pt>
                <c:pt idx="658">
                  <c:v>40767</c:v>
                </c:pt>
                <c:pt idx="659">
                  <c:v>40770</c:v>
                </c:pt>
                <c:pt idx="660">
                  <c:v>40771</c:v>
                </c:pt>
                <c:pt idx="661">
                  <c:v>40772</c:v>
                </c:pt>
                <c:pt idx="662">
                  <c:v>40773</c:v>
                </c:pt>
                <c:pt idx="663">
                  <c:v>40774</c:v>
                </c:pt>
                <c:pt idx="664">
                  <c:v>40777</c:v>
                </c:pt>
                <c:pt idx="665">
                  <c:v>40778</c:v>
                </c:pt>
                <c:pt idx="666">
                  <c:v>40779</c:v>
                </c:pt>
                <c:pt idx="667">
                  <c:v>40780</c:v>
                </c:pt>
                <c:pt idx="668">
                  <c:v>40781</c:v>
                </c:pt>
                <c:pt idx="669">
                  <c:v>40784</c:v>
                </c:pt>
                <c:pt idx="670">
                  <c:v>40785</c:v>
                </c:pt>
                <c:pt idx="671">
                  <c:v>40786</c:v>
                </c:pt>
                <c:pt idx="672">
                  <c:v>40787</c:v>
                </c:pt>
                <c:pt idx="673">
                  <c:v>40788</c:v>
                </c:pt>
                <c:pt idx="674">
                  <c:v>40792</c:v>
                </c:pt>
                <c:pt idx="675">
                  <c:v>40793</c:v>
                </c:pt>
                <c:pt idx="676">
                  <c:v>40794</c:v>
                </c:pt>
                <c:pt idx="677">
                  <c:v>40795</c:v>
                </c:pt>
                <c:pt idx="678">
                  <c:v>40798</c:v>
                </c:pt>
                <c:pt idx="679">
                  <c:v>40799</c:v>
                </c:pt>
                <c:pt idx="680">
                  <c:v>40800</c:v>
                </c:pt>
                <c:pt idx="681">
                  <c:v>40801</c:v>
                </c:pt>
                <c:pt idx="682">
                  <c:v>40802</c:v>
                </c:pt>
                <c:pt idx="683">
                  <c:v>40805</c:v>
                </c:pt>
                <c:pt idx="684">
                  <c:v>40806</c:v>
                </c:pt>
                <c:pt idx="685">
                  <c:v>40807</c:v>
                </c:pt>
                <c:pt idx="686">
                  <c:v>40808</c:v>
                </c:pt>
                <c:pt idx="687">
                  <c:v>40809</c:v>
                </c:pt>
                <c:pt idx="688">
                  <c:v>40812</c:v>
                </c:pt>
                <c:pt idx="689">
                  <c:v>40813</c:v>
                </c:pt>
                <c:pt idx="690">
                  <c:v>40814</c:v>
                </c:pt>
                <c:pt idx="691">
                  <c:v>40815</c:v>
                </c:pt>
                <c:pt idx="692">
                  <c:v>40816</c:v>
                </c:pt>
                <c:pt idx="693">
                  <c:v>40819</c:v>
                </c:pt>
                <c:pt idx="694">
                  <c:v>40820</c:v>
                </c:pt>
                <c:pt idx="695">
                  <c:v>40821</c:v>
                </c:pt>
                <c:pt idx="696">
                  <c:v>40822</c:v>
                </c:pt>
                <c:pt idx="697">
                  <c:v>40823</c:v>
                </c:pt>
                <c:pt idx="698">
                  <c:v>40826</c:v>
                </c:pt>
                <c:pt idx="699">
                  <c:v>40827</c:v>
                </c:pt>
                <c:pt idx="700">
                  <c:v>40828</c:v>
                </c:pt>
                <c:pt idx="701">
                  <c:v>40829</c:v>
                </c:pt>
                <c:pt idx="702">
                  <c:v>40830</c:v>
                </c:pt>
                <c:pt idx="703">
                  <c:v>40833</c:v>
                </c:pt>
                <c:pt idx="704">
                  <c:v>40834</c:v>
                </c:pt>
                <c:pt idx="705">
                  <c:v>40835</c:v>
                </c:pt>
                <c:pt idx="706">
                  <c:v>40836</c:v>
                </c:pt>
                <c:pt idx="707">
                  <c:v>40837</c:v>
                </c:pt>
                <c:pt idx="708">
                  <c:v>40840</c:v>
                </c:pt>
                <c:pt idx="709">
                  <c:v>40841</c:v>
                </c:pt>
                <c:pt idx="710">
                  <c:v>40842</c:v>
                </c:pt>
                <c:pt idx="711">
                  <c:v>40843</c:v>
                </c:pt>
                <c:pt idx="712">
                  <c:v>40844</c:v>
                </c:pt>
                <c:pt idx="713">
                  <c:v>40847</c:v>
                </c:pt>
                <c:pt idx="714">
                  <c:v>40848</c:v>
                </c:pt>
                <c:pt idx="715">
                  <c:v>40849</c:v>
                </c:pt>
                <c:pt idx="716">
                  <c:v>40850</c:v>
                </c:pt>
                <c:pt idx="717">
                  <c:v>40851</c:v>
                </c:pt>
                <c:pt idx="718">
                  <c:v>40854</c:v>
                </c:pt>
                <c:pt idx="719">
                  <c:v>40855</c:v>
                </c:pt>
                <c:pt idx="720">
                  <c:v>40856</c:v>
                </c:pt>
                <c:pt idx="721">
                  <c:v>40857</c:v>
                </c:pt>
                <c:pt idx="722">
                  <c:v>40858</c:v>
                </c:pt>
                <c:pt idx="723">
                  <c:v>40861</c:v>
                </c:pt>
                <c:pt idx="724">
                  <c:v>40862</c:v>
                </c:pt>
                <c:pt idx="725">
                  <c:v>40863</c:v>
                </c:pt>
                <c:pt idx="726">
                  <c:v>40864</c:v>
                </c:pt>
                <c:pt idx="727">
                  <c:v>40865</c:v>
                </c:pt>
                <c:pt idx="728">
                  <c:v>40868</c:v>
                </c:pt>
                <c:pt idx="729">
                  <c:v>40869</c:v>
                </c:pt>
                <c:pt idx="730">
                  <c:v>40870</c:v>
                </c:pt>
                <c:pt idx="731">
                  <c:v>40872</c:v>
                </c:pt>
                <c:pt idx="732">
                  <c:v>40875</c:v>
                </c:pt>
                <c:pt idx="733">
                  <c:v>40876</c:v>
                </c:pt>
                <c:pt idx="734">
                  <c:v>40877</c:v>
                </c:pt>
                <c:pt idx="735">
                  <c:v>40878</c:v>
                </c:pt>
                <c:pt idx="736">
                  <c:v>40879</c:v>
                </c:pt>
                <c:pt idx="737">
                  <c:v>40882</c:v>
                </c:pt>
                <c:pt idx="738">
                  <c:v>40883</c:v>
                </c:pt>
                <c:pt idx="739">
                  <c:v>40884</c:v>
                </c:pt>
                <c:pt idx="740">
                  <c:v>40885</c:v>
                </c:pt>
                <c:pt idx="741">
                  <c:v>40886</c:v>
                </c:pt>
                <c:pt idx="742">
                  <c:v>40889</c:v>
                </c:pt>
                <c:pt idx="743">
                  <c:v>40890</c:v>
                </c:pt>
                <c:pt idx="744">
                  <c:v>40891</c:v>
                </c:pt>
                <c:pt idx="745">
                  <c:v>40892</c:v>
                </c:pt>
                <c:pt idx="746">
                  <c:v>40893</c:v>
                </c:pt>
                <c:pt idx="747">
                  <c:v>40896</c:v>
                </c:pt>
                <c:pt idx="748">
                  <c:v>40897</c:v>
                </c:pt>
                <c:pt idx="749">
                  <c:v>40898</c:v>
                </c:pt>
                <c:pt idx="750">
                  <c:v>40899</c:v>
                </c:pt>
                <c:pt idx="751">
                  <c:v>40900</c:v>
                </c:pt>
                <c:pt idx="752">
                  <c:v>40904</c:v>
                </c:pt>
                <c:pt idx="753">
                  <c:v>40905</c:v>
                </c:pt>
                <c:pt idx="754">
                  <c:v>40906</c:v>
                </c:pt>
                <c:pt idx="755">
                  <c:v>40907</c:v>
                </c:pt>
                <c:pt idx="756">
                  <c:v>40911</c:v>
                </c:pt>
                <c:pt idx="757">
                  <c:v>40912</c:v>
                </c:pt>
                <c:pt idx="758">
                  <c:v>40913</c:v>
                </c:pt>
                <c:pt idx="759">
                  <c:v>40914</c:v>
                </c:pt>
                <c:pt idx="760">
                  <c:v>40917</c:v>
                </c:pt>
                <c:pt idx="761">
                  <c:v>40918</c:v>
                </c:pt>
                <c:pt idx="762">
                  <c:v>40919</c:v>
                </c:pt>
                <c:pt idx="763">
                  <c:v>40920</c:v>
                </c:pt>
                <c:pt idx="764">
                  <c:v>40921</c:v>
                </c:pt>
                <c:pt idx="765">
                  <c:v>40925</c:v>
                </c:pt>
                <c:pt idx="766">
                  <c:v>40926</c:v>
                </c:pt>
                <c:pt idx="767">
                  <c:v>40927</c:v>
                </c:pt>
                <c:pt idx="768">
                  <c:v>40928</c:v>
                </c:pt>
                <c:pt idx="769">
                  <c:v>40931</c:v>
                </c:pt>
                <c:pt idx="770">
                  <c:v>40932</c:v>
                </c:pt>
                <c:pt idx="771">
                  <c:v>40933</c:v>
                </c:pt>
                <c:pt idx="772">
                  <c:v>40934</c:v>
                </c:pt>
                <c:pt idx="773">
                  <c:v>40935</c:v>
                </c:pt>
                <c:pt idx="774">
                  <c:v>40938</c:v>
                </c:pt>
                <c:pt idx="775">
                  <c:v>40939</c:v>
                </c:pt>
                <c:pt idx="776">
                  <c:v>40940</c:v>
                </c:pt>
                <c:pt idx="777">
                  <c:v>40941</c:v>
                </c:pt>
                <c:pt idx="778">
                  <c:v>40942</c:v>
                </c:pt>
                <c:pt idx="779">
                  <c:v>40945</c:v>
                </c:pt>
                <c:pt idx="780">
                  <c:v>40946</c:v>
                </c:pt>
                <c:pt idx="781">
                  <c:v>40947</c:v>
                </c:pt>
                <c:pt idx="782">
                  <c:v>40948</c:v>
                </c:pt>
                <c:pt idx="783">
                  <c:v>40949</c:v>
                </c:pt>
                <c:pt idx="784">
                  <c:v>40952</c:v>
                </c:pt>
                <c:pt idx="785">
                  <c:v>40953</c:v>
                </c:pt>
                <c:pt idx="786">
                  <c:v>40954</c:v>
                </c:pt>
                <c:pt idx="787">
                  <c:v>40955</c:v>
                </c:pt>
                <c:pt idx="788">
                  <c:v>40956</c:v>
                </c:pt>
                <c:pt idx="789">
                  <c:v>40960</c:v>
                </c:pt>
                <c:pt idx="790">
                  <c:v>40961</c:v>
                </c:pt>
                <c:pt idx="791">
                  <c:v>40962</c:v>
                </c:pt>
                <c:pt idx="792">
                  <c:v>40963</c:v>
                </c:pt>
                <c:pt idx="793">
                  <c:v>40966</c:v>
                </c:pt>
                <c:pt idx="794">
                  <c:v>40967</c:v>
                </c:pt>
                <c:pt idx="795">
                  <c:v>40968</c:v>
                </c:pt>
                <c:pt idx="796">
                  <c:v>40969</c:v>
                </c:pt>
                <c:pt idx="797">
                  <c:v>40970</c:v>
                </c:pt>
                <c:pt idx="798">
                  <c:v>40973</c:v>
                </c:pt>
                <c:pt idx="799">
                  <c:v>40974</c:v>
                </c:pt>
                <c:pt idx="800">
                  <c:v>40975</c:v>
                </c:pt>
                <c:pt idx="801">
                  <c:v>40976</c:v>
                </c:pt>
                <c:pt idx="802">
                  <c:v>40977</c:v>
                </c:pt>
                <c:pt idx="803">
                  <c:v>40980</c:v>
                </c:pt>
                <c:pt idx="804">
                  <c:v>40981</c:v>
                </c:pt>
                <c:pt idx="805">
                  <c:v>40982</c:v>
                </c:pt>
                <c:pt idx="806">
                  <c:v>40983</c:v>
                </c:pt>
                <c:pt idx="807">
                  <c:v>40984</c:v>
                </c:pt>
                <c:pt idx="808">
                  <c:v>40987</c:v>
                </c:pt>
                <c:pt idx="809">
                  <c:v>40988</c:v>
                </c:pt>
                <c:pt idx="810">
                  <c:v>40989</c:v>
                </c:pt>
                <c:pt idx="811">
                  <c:v>40990</c:v>
                </c:pt>
                <c:pt idx="812">
                  <c:v>40991</c:v>
                </c:pt>
                <c:pt idx="813">
                  <c:v>40994</c:v>
                </c:pt>
                <c:pt idx="814">
                  <c:v>40995</c:v>
                </c:pt>
                <c:pt idx="815">
                  <c:v>40996</c:v>
                </c:pt>
                <c:pt idx="816">
                  <c:v>40997</c:v>
                </c:pt>
                <c:pt idx="817">
                  <c:v>40998</c:v>
                </c:pt>
                <c:pt idx="818">
                  <c:v>41001</c:v>
                </c:pt>
                <c:pt idx="819">
                  <c:v>41002</c:v>
                </c:pt>
                <c:pt idx="820">
                  <c:v>41003</c:v>
                </c:pt>
                <c:pt idx="821">
                  <c:v>41004</c:v>
                </c:pt>
                <c:pt idx="822">
                  <c:v>41008</c:v>
                </c:pt>
                <c:pt idx="823">
                  <c:v>41009</c:v>
                </c:pt>
                <c:pt idx="824">
                  <c:v>41010</c:v>
                </c:pt>
                <c:pt idx="825">
                  <c:v>41011</c:v>
                </c:pt>
                <c:pt idx="826">
                  <c:v>41012</c:v>
                </c:pt>
                <c:pt idx="827">
                  <c:v>41015</c:v>
                </c:pt>
                <c:pt idx="828">
                  <c:v>41016</c:v>
                </c:pt>
                <c:pt idx="829">
                  <c:v>41017</c:v>
                </c:pt>
                <c:pt idx="830">
                  <c:v>41018</c:v>
                </c:pt>
                <c:pt idx="831">
                  <c:v>41019</c:v>
                </c:pt>
                <c:pt idx="832">
                  <c:v>41022</c:v>
                </c:pt>
                <c:pt idx="833">
                  <c:v>41023</c:v>
                </c:pt>
                <c:pt idx="834">
                  <c:v>41024</c:v>
                </c:pt>
                <c:pt idx="835">
                  <c:v>41025</c:v>
                </c:pt>
                <c:pt idx="836">
                  <c:v>41026</c:v>
                </c:pt>
                <c:pt idx="837">
                  <c:v>41029</c:v>
                </c:pt>
                <c:pt idx="838">
                  <c:v>41030</c:v>
                </c:pt>
                <c:pt idx="839">
                  <c:v>41031</c:v>
                </c:pt>
                <c:pt idx="840">
                  <c:v>41032</c:v>
                </c:pt>
                <c:pt idx="841">
                  <c:v>41033</c:v>
                </c:pt>
                <c:pt idx="842">
                  <c:v>41036</c:v>
                </c:pt>
                <c:pt idx="843">
                  <c:v>41037</c:v>
                </c:pt>
                <c:pt idx="844">
                  <c:v>41038</c:v>
                </c:pt>
                <c:pt idx="845">
                  <c:v>41039</c:v>
                </c:pt>
                <c:pt idx="846">
                  <c:v>41040</c:v>
                </c:pt>
                <c:pt idx="847">
                  <c:v>41043</c:v>
                </c:pt>
                <c:pt idx="848">
                  <c:v>41044</c:v>
                </c:pt>
                <c:pt idx="849">
                  <c:v>41045</c:v>
                </c:pt>
                <c:pt idx="850">
                  <c:v>41046</c:v>
                </c:pt>
                <c:pt idx="851">
                  <c:v>41047</c:v>
                </c:pt>
                <c:pt idx="852">
                  <c:v>41050</c:v>
                </c:pt>
                <c:pt idx="853">
                  <c:v>41051</c:v>
                </c:pt>
                <c:pt idx="854">
                  <c:v>41052</c:v>
                </c:pt>
                <c:pt idx="855">
                  <c:v>41053</c:v>
                </c:pt>
                <c:pt idx="856">
                  <c:v>41054</c:v>
                </c:pt>
                <c:pt idx="857">
                  <c:v>41058</c:v>
                </c:pt>
                <c:pt idx="858">
                  <c:v>41059</c:v>
                </c:pt>
                <c:pt idx="859">
                  <c:v>41060</c:v>
                </c:pt>
                <c:pt idx="860">
                  <c:v>41061</c:v>
                </c:pt>
                <c:pt idx="861">
                  <c:v>41064</c:v>
                </c:pt>
                <c:pt idx="862">
                  <c:v>41065</c:v>
                </c:pt>
                <c:pt idx="863">
                  <c:v>41066</c:v>
                </c:pt>
                <c:pt idx="864">
                  <c:v>41067</c:v>
                </c:pt>
                <c:pt idx="865">
                  <c:v>41068</c:v>
                </c:pt>
                <c:pt idx="866">
                  <c:v>41071</c:v>
                </c:pt>
                <c:pt idx="867">
                  <c:v>41072</c:v>
                </c:pt>
                <c:pt idx="868">
                  <c:v>41073</c:v>
                </c:pt>
                <c:pt idx="869">
                  <c:v>41074</c:v>
                </c:pt>
                <c:pt idx="870">
                  <c:v>41075</c:v>
                </c:pt>
                <c:pt idx="871">
                  <c:v>41078</c:v>
                </c:pt>
                <c:pt idx="872">
                  <c:v>41079</c:v>
                </c:pt>
                <c:pt idx="873">
                  <c:v>41080</c:v>
                </c:pt>
                <c:pt idx="874">
                  <c:v>41081</c:v>
                </c:pt>
                <c:pt idx="875">
                  <c:v>41082</c:v>
                </c:pt>
                <c:pt idx="876">
                  <c:v>41085</c:v>
                </c:pt>
                <c:pt idx="877">
                  <c:v>41086</c:v>
                </c:pt>
                <c:pt idx="878">
                  <c:v>41087</c:v>
                </c:pt>
                <c:pt idx="879">
                  <c:v>41088</c:v>
                </c:pt>
                <c:pt idx="880">
                  <c:v>41089</c:v>
                </c:pt>
                <c:pt idx="881">
                  <c:v>41092</c:v>
                </c:pt>
                <c:pt idx="882">
                  <c:v>41093</c:v>
                </c:pt>
                <c:pt idx="883">
                  <c:v>41095</c:v>
                </c:pt>
                <c:pt idx="884">
                  <c:v>41096</c:v>
                </c:pt>
                <c:pt idx="885">
                  <c:v>41099</c:v>
                </c:pt>
                <c:pt idx="886">
                  <c:v>41100</c:v>
                </c:pt>
                <c:pt idx="887">
                  <c:v>41101</c:v>
                </c:pt>
                <c:pt idx="888">
                  <c:v>41102</c:v>
                </c:pt>
                <c:pt idx="889">
                  <c:v>41103</c:v>
                </c:pt>
                <c:pt idx="890">
                  <c:v>41106</c:v>
                </c:pt>
                <c:pt idx="891">
                  <c:v>41107</c:v>
                </c:pt>
                <c:pt idx="892">
                  <c:v>41108</c:v>
                </c:pt>
                <c:pt idx="893">
                  <c:v>41109</c:v>
                </c:pt>
                <c:pt idx="894">
                  <c:v>41110</c:v>
                </c:pt>
                <c:pt idx="895">
                  <c:v>41113</c:v>
                </c:pt>
                <c:pt idx="896">
                  <c:v>41114</c:v>
                </c:pt>
                <c:pt idx="897">
                  <c:v>41115</c:v>
                </c:pt>
                <c:pt idx="898">
                  <c:v>41116</c:v>
                </c:pt>
                <c:pt idx="899">
                  <c:v>41117</c:v>
                </c:pt>
                <c:pt idx="900">
                  <c:v>41120</c:v>
                </c:pt>
                <c:pt idx="901">
                  <c:v>41121</c:v>
                </c:pt>
                <c:pt idx="902">
                  <c:v>41122</c:v>
                </c:pt>
                <c:pt idx="903">
                  <c:v>41123</c:v>
                </c:pt>
                <c:pt idx="904">
                  <c:v>41124</c:v>
                </c:pt>
                <c:pt idx="905">
                  <c:v>41127</c:v>
                </c:pt>
                <c:pt idx="906">
                  <c:v>41128</c:v>
                </c:pt>
                <c:pt idx="907">
                  <c:v>41129</c:v>
                </c:pt>
                <c:pt idx="908">
                  <c:v>41130</c:v>
                </c:pt>
                <c:pt idx="909">
                  <c:v>41131</c:v>
                </c:pt>
                <c:pt idx="910">
                  <c:v>41134</c:v>
                </c:pt>
                <c:pt idx="911">
                  <c:v>41135</c:v>
                </c:pt>
                <c:pt idx="912">
                  <c:v>41136</c:v>
                </c:pt>
                <c:pt idx="913">
                  <c:v>41137</c:v>
                </c:pt>
                <c:pt idx="914">
                  <c:v>41138</c:v>
                </c:pt>
                <c:pt idx="915">
                  <c:v>41141</c:v>
                </c:pt>
                <c:pt idx="916">
                  <c:v>41142</c:v>
                </c:pt>
                <c:pt idx="917">
                  <c:v>41143</c:v>
                </c:pt>
                <c:pt idx="918">
                  <c:v>41144</c:v>
                </c:pt>
                <c:pt idx="919">
                  <c:v>41145</c:v>
                </c:pt>
                <c:pt idx="920">
                  <c:v>41148</c:v>
                </c:pt>
                <c:pt idx="921">
                  <c:v>41149</c:v>
                </c:pt>
                <c:pt idx="922">
                  <c:v>41150</c:v>
                </c:pt>
                <c:pt idx="923">
                  <c:v>41151</c:v>
                </c:pt>
                <c:pt idx="924">
                  <c:v>41152</c:v>
                </c:pt>
                <c:pt idx="925">
                  <c:v>41156</c:v>
                </c:pt>
                <c:pt idx="926">
                  <c:v>41157</c:v>
                </c:pt>
                <c:pt idx="927">
                  <c:v>41158</c:v>
                </c:pt>
                <c:pt idx="928">
                  <c:v>41159</c:v>
                </c:pt>
                <c:pt idx="929">
                  <c:v>41162</c:v>
                </c:pt>
                <c:pt idx="930">
                  <c:v>41163</c:v>
                </c:pt>
                <c:pt idx="931">
                  <c:v>41164</c:v>
                </c:pt>
                <c:pt idx="932">
                  <c:v>41165</c:v>
                </c:pt>
                <c:pt idx="933">
                  <c:v>41166</c:v>
                </c:pt>
                <c:pt idx="934">
                  <c:v>41169</c:v>
                </c:pt>
                <c:pt idx="935">
                  <c:v>41170</c:v>
                </c:pt>
                <c:pt idx="936">
                  <c:v>41171</c:v>
                </c:pt>
                <c:pt idx="937">
                  <c:v>41172</c:v>
                </c:pt>
                <c:pt idx="938">
                  <c:v>41173</c:v>
                </c:pt>
                <c:pt idx="939">
                  <c:v>41176</c:v>
                </c:pt>
                <c:pt idx="940">
                  <c:v>41177</c:v>
                </c:pt>
                <c:pt idx="941">
                  <c:v>41178</c:v>
                </c:pt>
                <c:pt idx="942">
                  <c:v>41179</c:v>
                </c:pt>
                <c:pt idx="943">
                  <c:v>41180</c:v>
                </c:pt>
                <c:pt idx="944">
                  <c:v>41183</c:v>
                </c:pt>
                <c:pt idx="945">
                  <c:v>41184</c:v>
                </c:pt>
                <c:pt idx="946">
                  <c:v>41185</c:v>
                </c:pt>
                <c:pt idx="947">
                  <c:v>41186</c:v>
                </c:pt>
                <c:pt idx="948">
                  <c:v>41187</c:v>
                </c:pt>
                <c:pt idx="949">
                  <c:v>41190</c:v>
                </c:pt>
                <c:pt idx="950">
                  <c:v>41191</c:v>
                </c:pt>
                <c:pt idx="951">
                  <c:v>41192</c:v>
                </c:pt>
                <c:pt idx="952">
                  <c:v>41193</c:v>
                </c:pt>
                <c:pt idx="953">
                  <c:v>41194</c:v>
                </c:pt>
                <c:pt idx="954">
                  <c:v>41197</c:v>
                </c:pt>
                <c:pt idx="955">
                  <c:v>41198</c:v>
                </c:pt>
                <c:pt idx="956">
                  <c:v>41199</c:v>
                </c:pt>
                <c:pt idx="957">
                  <c:v>41200</c:v>
                </c:pt>
                <c:pt idx="958">
                  <c:v>41201</c:v>
                </c:pt>
                <c:pt idx="959">
                  <c:v>41204</c:v>
                </c:pt>
                <c:pt idx="960">
                  <c:v>41205</c:v>
                </c:pt>
                <c:pt idx="961">
                  <c:v>41206</c:v>
                </c:pt>
                <c:pt idx="962">
                  <c:v>41207</c:v>
                </c:pt>
                <c:pt idx="963">
                  <c:v>41208</c:v>
                </c:pt>
                <c:pt idx="964">
                  <c:v>41213</c:v>
                </c:pt>
                <c:pt idx="965">
                  <c:v>41214</c:v>
                </c:pt>
                <c:pt idx="966">
                  <c:v>41215</c:v>
                </c:pt>
                <c:pt idx="967">
                  <c:v>41218</c:v>
                </c:pt>
                <c:pt idx="968">
                  <c:v>41219</c:v>
                </c:pt>
                <c:pt idx="969">
                  <c:v>41220</c:v>
                </c:pt>
                <c:pt idx="970">
                  <c:v>41221</c:v>
                </c:pt>
                <c:pt idx="971">
                  <c:v>41222</c:v>
                </c:pt>
                <c:pt idx="972">
                  <c:v>41225</c:v>
                </c:pt>
                <c:pt idx="973">
                  <c:v>41226</c:v>
                </c:pt>
                <c:pt idx="974">
                  <c:v>41227</c:v>
                </c:pt>
                <c:pt idx="975">
                  <c:v>41228</c:v>
                </c:pt>
                <c:pt idx="976">
                  <c:v>41229</c:v>
                </c:pt>
                <c:pt idx="977">
                  <c:v>41232</c:v>
                </c:pt>
                <c:pt idx="978">
                  <c:v>41233</c:v>
                </c:pt>
                <c:pt idx="979">
                  <c:v>41234</c:v>
                </c:pt>
                <c:pt idx="980">
                  <c:v>41236</c:v>
                </c:pt>
                <c:pt idx="981">
                  <c:v>41239</c:v>
                </c:pt>
                <c:pt idx="982">
                  <c:v>41240</c:v>
                </c:pt>
                <c:pt idx="983">
                  <c:v>41241</c:v>
                </c:pt>
                <c:pt idx="984">
                  <c:v>41242</c:v>
                </c:pt>
                <c:pt idx="985">
                  <c:v>41243</c:v>
                </c:pt>
                <c:pt idx="986">
                  <c:v>41246</c:v>
                </c:pt>
                <c:pt idx="987">
                  <c:v>41247</c:v>
                </c:pt>
                <c:pt idx="988">
                  <c:v>41248</c:v>
                </c:pt>
                <c:pt idx="989">
                  <c:v>41249</c:v>
                </c:pt>
                <c:pt idx="990">
                  <c:v>41250</c:v>
                </c:pt>
                <c:pt idx="991">
                  <c:v>41253</c:v>
                </c:pt>
                <c:pt idx="992">
                  <c:v>41254</c:v>
                </c:pt>
                <c:pt idx="993">
                  <c:v>41255</c:v>
                </c:pt>
                <c:pt idx="994">
                  <c:v>41256</c:v>
                </c:pt>
                <c:pt idx="995">
                  <c:v>41257</c:v>
                </c:pt>
                <c:pt idx="996">
                  <c:v>41260</c:v>
                </c:pt>
                <c:pt idx="997">
                  <c:v>41261</c:v>
                </c:pt>
                <c:pt idx="998">
                  <c:v>41262</c:v>
                </c:pt>
                <c:pt idx="999">
                  <c:v>41263</c:v>
                </c:pt>
                <c:pt idx="1000">
                  <c:v>41264</c:v>
                </c:pt>
                <c:pt idx="1001">
                  <c:v>41267</c:v>
                </c:pt>
                <c:pt idx="1002">
                  <c:v>41269</c:v>
                </c:pt>
                <c:pt idx="1003">
                  <c:v>41270</c:v>
                </c:pt>
                <c:pt idx="1004">
                  <c:v>41271</c:v>
                </c:pt>
                <c:pt idx="1005">
                  <c:v>41274</c:v>
                </c:pt>
                <c:pt idx="1006">
                  <c:v>41276</c:v>
                </c:pt>
                <c:pt idx="1007">
                  <c:v>41277</c:v>
                </c:pt>
                <c:pt idx="1008">
                  <c:v>41278</c:v>
                </c:pt>
                <c:pt idx="1009">
                  <c:v>41281</c:v>
                </c:pt>
                <c:pt idx="1010">
                  <c:v>41282</c:v>
                </c:pt>
                <c:pt idx="1011">
                  <c:v>41283</c:v>
                </c:pt>
                <c:pt idx="1012">
                  <c:v>41284</c:v>
                </c:pt>
                <c:pt idx="1013">
                  <c:v>41285</c:v>
                </c:pt>
                <c:pt idx="1014">
                  <c:v>41288</c:v>
                </c:pt>
                <c:pt idx="1015">
                  <c:v>41289</c:v>
                </c:pt>
                <c:pt idx="1016">
                  <c:v>41290</c:v>
                </c:pt>
                <c:pt idx="1017">
                  <c:v>41291</c:v>
                </c:pt>
                <c:pt idx="1018">
                  <c:v>41292</c:v>
                </c:pt>
                <c:pt idx="1019">
                  <c:v>41296</c:v>
                </c:pt>
                <c:pt idx="1020">
                  <c:v>41297</c:v>
                </c:pt>
                <c:pt idx="1021">
                  <c:v>41298</c:v>
                </c:pt>
                <c:pt idx="1022">
                  <c:v>41299</c:v>
                </c:pt>
                <c:pt idx="1023">
                  <c:v>41302</c:v>
                </c:pt>
                <c:pt idx="1024">
                  <c:v>41303</c:v>
                </c:pt>
                <c:pt idx="1025">
                  <c:v>41304</c:v>
                </c:pt>
                <c:pt idx="1026">
                  <c:v>41305</c:v>
                </c:pt>
                <c:pt idx="1027">
                  <c:v>41306</c:v>
                </c:pt>
                <c:pt idx="1028">
                  <c:v>41309</c:v>
                </c:pt>
                <c:pt idx="1029">
                  <c:v>41310</c:v>
                </c:pt>
                <c:pt idx="1030">
                  <c:v>41311</c:v>
                </c:pt>
                <c:pt idx="1031">
                  <c:v>41312</c:v>
                </c:pt>
                <c:pt idx="1032">
                  <c:v>41313</c:v>
                </c:pt>
                <c:pt idx="1033">
                  <c:v>41316</c:v>
                </c:pt>
                <c:pt idx="1034">
                  <c:v>41317</c:v>
                </c:pt>
                <c:pt idx="1035">
                  <c:v>41318</c:v>
                </c:pt>
                <c:pt idx="1036">
                  <c:v>41319</c:v>
                </c:pt>
                <c:pt idx="1037">
                  <c:v>41320</c:v>
                </c:pt>
                <c:pt idx="1038">
                  <c:v>41324</c:v>
                </c:pt>
                <c:pt idx="1039">
                  <c:v>41325</c:v>
                </c:pt>
                <c:pt idx="1040">
                  <c:v>41326</c:v>
                </c:pt>
                <c:pt idx="1041">
                  <c:v>41327</c:v>
                </c:pt>
                <c:pt idx="1042">
                  <c:v>41330</c:v>
                </c:pt>
                <c:pt idx="1043">
                  <c:v>41331</c:v>
                </c:pt>
                <c:pt idx="1044">
                  <c:v>41332</c:v>
                </c:pt>
                <c:pt idx="1045">
                  <c:v>41333</c:v>
                </c:pt>
                <c:pt idx="1046">
                  <c:v>41334</c:v>
                </c:pt>
                <c:pt idx="1047">
                  <c:v>41337</c:v>
                </c:pt>
                <c:pt idx="1048">
                  <c:v>41338</c:v>
                </c:pt>
                <c:pt idx="1049">
                  <c:v>41339</c:v>
                </c:pt>
                <c:pt idx="1050">
                  <c:v>41340</c:v>
                </c:pt>
                <c:pt idx="1051">
                  <c:v>41341</c:v>
                </c:pt>
                <c:pt idx="1052">
                  <c:v>41344</c:v>
                </c:pt>
                <c:pt idx="1053">
                  <c:v>41345</c:v>
                </c:pt>
                <c:pt idx="1054">
                  <c:v>41346</c:v>
                </c:pt>
                <c:pt idx="1055">
                  <c:v>41347</c:v>
                </c:pt>
                <c:pt idx="1056">
                  <c:v>41348</c:v>
                </c:pt>
                <c:pt idx="1057">
                  <c:v>41351</c:v>
                </c:pt>
                <c:pt idx="1058">
                  <c:v>41352</c:v>
                </c:pt>
                <c:pt idx="1059">
                  <c:v>41353</c:v>
                </c:pt>
                <c:pt idx="1060">
                  <c:v>41354</c:v>
                </c:pt>
                <c:pt idx="1061">
                  <c:v>41355</c:v>
                </c:pt>
                <c:pt idx="1062">
                  <c:v>41358</c:v>
                </c:pt>
                <c:pt idx="1063">
                  <c:v>41359</c:v>
                </c:pt>
                <c:pt idx="1064">
                  <c:v>41360</c:v>
                </c:pt>
                <c:pt idx="1065">
                  <c:v>41361</c:v>
                </c:pt>
                <c:pt idx="1066">
                  <c:v>41365</c:v>
                </c:pt>
                <c:pt idx="1067">
                  <c:v>41366</c:v>
                </c:pt>
                <c:pt idx="1068">
                  <c:v>41367</c:v>
                </c:pt>
                <c:pt idx="1069">
                  <c:v>41368</c:v>
                </c:pt>
                <c:pt idx="1070">
                  <c:v>41369</c:v>
                </c:pt>
                <c:pt idx="1071">
                  <c:v>41372</c:v>
                </c:pt>
                <c:pt idx="1072">
                  <c:v>41373</c:v>
                </c:pt>
                <c:pt idx="1073">
                  <c:v>41374</c:v>
                </c:pt>
                <c:pt idx="1074">
                  <c:v>41375</c:v>
                </c:pt>
                <c:pt idx="1075">
                  <c:v>41376</c:v>
                </c:pt>
                <c:pt idx="1076">
                  <c:v>41379</c:v>
                </c:pt>
                <c:pt idx="1077">
                  <c:v>41380</c:v>
                </c:pt>
                <c:pt idx="1078">
                  <c:v>41381</c:v>
                </c:pt>
                <c:pt idx="1079">
                  <c:v>41382</c:v>
                </c:pt>
                <c:pt idx="1080">
                  <c:v>41383</c:v>
                </c:pt>
                <c:pt idx="1081">
                  <c:v>41386</c:v>
                </c:pt>
                <c:pt idx="1082">
                  <c:v>41387</c:v>
                </c:pt>
                <c:pt idx="1083">
                  <c:v>41388</c:v>
                </c:pt>
                <c:pt idx="1084">
                  <c:v>41389</c:v>
                </c:pt>
                <c:pt idx="1085">
                  <c:v>41390</c:v>
                </c:pt>
                <c:pt idx="1086">
                  <c:v>41393</c:v>
                </c:pt>
                <c:pt idx="1087">
                  <c:v>41394</c:v>
                </c:pt>
                <c:pt idx="1088">
                  <c:v>41395</c:v>
                </c:pt>
                <c:pt idx="1089">
                  <c:v>41396</c:v>
                </c:pt>
                <c:pt idx="1090">
                  <c:v>41397</c:v>
                </c:pt>
                <c:pt idx="1091">
                  <c:v>41400</c:v>
                </c:pt>
                <c:pt idx="1092">
                  <c:v>41401</c:v>
                </c:pt>
                <c:pt idx="1093">
                  <c:v>41402</c:v>
                </c:pt>
                <c:pt idx="1094">
                  <c:v>41403</c:v>
                </c:pt>
                <c:pt idx="1095">
                  <c:v>41404</c:v>
                </c:pt>
                <c:pt idx="1096">
                  <c:v>41407</c:v>
                </c:pt>
                <c:pt idx="1097">
                  <c:v>41408</c:v>
                </c:pt>
                <c:pt idx="1098">
                  <c:v>41409</c:v>
                </c:pt>
                <c:pt idx="1099">
                  <c:v>41410</c:v>
                </c:pt>
                <c:pt idx="1100">
                  <c:v>41411</c:v>
                </c:pt>
                <c:pt idx="1101">
                  <c:v>41414</c:v>
                </c:pt>
                <c:pt idx="1102">
                  <c:v>41415</c:v>
                </c:pt>
                <c:pt idx="1103">
                  <c:v>41416</c:v>
                </c:pt>
                <c:pt idx="1104">
                  <c:v>41417</c:v>
                </c:pt>
                <c:pt idx="1105">
                  <c:v>41418</c:v>
                </c:pt>
                <c:pt idx="1106">
                  <c:v>41422</c:v>
                </c:pt>
                <c:pt idx="1107">
                  <c:v>41423</c:v>
                </c:pt>
                <c:pt idx="1108">
                  <c:v>41424</c:v>
                </c:pt>
                <c:pt idx="1109">
                  <c:v>41425</c:v>
                </c:pt>
                <c:pt idx="1110">
                  <c:v>41428</c:v>
                </c:pt>
                <c:pt idx="1111">
                  <c:v>41429</c:v>
                </c:pt>
                <c:pt idx="1112">
                  <c:v>41430</c:v>
                </c:pt>
                <c:pt idx="1113">
                  <c:v>41431</c:v>
                </c:pt>
                <c:pt idx="1114">
                  <c:v>41432</c:v>
                </c:pt>
                <c:pt idx="1115">
                  <c:v>41435</c:v>
                </c:pt>
                <c:pt idx="1116">
                  <c:v>41436</c:v>
                </c:pt>
                <c:pt idx="1117">
                  <c:v>41437</c:v>
                </c:pt>
                <c:pt idx="1118">
                  <c:v>41438</c:v>
                </c:pt>
                <c:pt idx="1119">
                  <c:v>41439</c:v>
                </c:pt>
                <c:pt idx="1120">
                  <c:v>41442</c:v>
                </c:pt>
                <c:pt idx="1121">
                  <c:v>41443</c:v>
                </c:pt>
                <c:pt idx="1122">
                  <c:v>41444</c:v>
                </c:pt>
                <c:pt idx="1123">
                  <c:v>41445</c:v>
                </c:pt>
                <c:pt idx="1124">
                  <c:v>41446</c:v>
                </c:pt>
                <c:pt idx="1125">
                  <c:v>41449</c:v>
                </c:pt>
                <c:pt idx="1126">
                  <c:v>41450</c:v>
                </c:pt>
                <c:pt idx="1127">
                  <c:v>41451</c:v>
                </c:pt>
                <c:pt idx="1128">
                  <c:v>41452</c:v>
                </c:pt>
                <c:pt idx="1129">
                  <c:v>41453</c:v>
                </c:pt>
                <c:pt idx="1130">
                  <c:v>41456</c:v>
                </c:pt>
                <c:pt idx="1131">
                  <c:v>41457</c:v>
                </c:pt>
                <c:pt idx="1132">
                  <c:v>41458</c:v>
                </c:pt>
                <c:pt idx="1133">
                  <c:v>41460</c:v>
                </c:pt>
                <c:pt idx="1134">
                  <c:v>41463</c:v>
                </c:pt>
                <c:pt idx="1135">
                  <c:v>41464</c:v>
                </c:pt>
                <c:pt idx="1136">
                  <c:v>41465</c:v>
                </c:pt>
                <c:pt idx="1137">
                  <c:v>41466</c:v>
                </c:pt>
                <c:pt idx="1138">
                  <c:v>41467</c:v>
                </c:pt>
                <c:pt idx="1139">
                  <c:v>41470</c:v>
                </c:pt>
                <c:pt idx="1140">
                  <c:v>41471</c:v>
                </c:pt>
                <c:pt idx="1141">
                  <c:v>41472</c:v>
                </c:pt>
                <c:pt idx="1142">
                  <c:v>41473</c:v>
                </c:pt>
                <c:pt idx="1143">
                  <c:v>41474</c:v>
                </c:pt>
                <c:pt idx="1144">
                  <c:v>41477</c:v>
                </c:pt>
                <c:pt idx="1145">
                  <c:v>41478</c:v>
                </c:pt>
                <c:pt idx="1146">
                  <c:v>41479</c:v>
                </c:pt>
                <c:pt idx="1147">
                  <c:v>41480</c:v>
                </c:pt>
                <c:pt idx="1148">
                  <c:v>41481</c:v>
                </c:pt>
                <c:pt idx="1149">
                  <c:v>41484</c:v>
                </c:pt>
                <c:pt idx="1150">
                  <c:v>41485</c:v>
                </c:pt>
                <c:pt idx="1151">
                  <c:v>41486</c:v>
                </c:pt>
                <c:pt idx="1152">
                  <c:v>41487</c:v>
                </c:pt>
                <c:pt idx="1153">
                  <c:v>41488</c:v>
                </c:pt>
                <c:pt idx="1154">
                  <c:v>41491</c:v>
                </c:pt>
                <c:pt idx="1155">
                  <c:v>41492</c:v>
                </c:pt>
                <c:pt idx="1156">
                  <c:v>41493</c:v>
                </c:pt>
                <c:pt idx="1157">
                  <c:v>41494</c:v>
                </c:pt>
                <c:pt idx="1158">
                  <c:v>41495</c:v>
                </c:pt>
                <c:pt idx="1159">
                  <c:v>41498</c:v>
                </c:pt>
                <c:pt idx="1160">
                  <c:v>41499</c:v>
                </c:pt>
                <c:pt idx="1161">
                  <c:v>41500</c:v>
                </c:pt>
                <c:pt idx="1162">
                  <c:v>41501</c:v>
                </c:pt>
                <c:pt idx="1163">
                  <c:v>41502</c:v>
                </c:pt>
                <c:pt idx="1164">
                  <c:v>41505</c:v>
                </c:pt>
                <c:pt idx="1165">
                  <c:v>41506</c:v>
                </c:pt>
                <c:pt idx="1166">
                  <c:v>41507</c:v>
                </c:pt>
                <c:pt idx="1167">
                  <c:v>41508</c:v>
                </c:pt>
                <c:pt idx="1168">
                  <c:v>41509</c:v>
                </c:pt>
                <c:pt idx="1169">
                  <c:v>41512</c:v>
                </c:pt>
                <c:pt idx="1170">
                  <c:v>41513</c:v>
                </c:pt>
                <c:pt idx="1171">
                  <c:v>41514</c:v>
                </c:pt>
                <c:pt idx="1172">
                  <c:v>41515</c:v>
                </c:pt>
                <c:pt idx="1173">
                  <c:v>41516</c:v>
                </c:pt>
                <c:pt idx="1174">
                  <c:v>41520</c:v>
                </c:pt>
                <c:pt idx="1175">
                  <c:v>41521</c:v>
                </c:pt>
                <c:pt idx="1176">
                  <c:v>41522</c:v>
                </c:pt>
                <c:pt idx="1177">
                  <c:v>41523</c:v>
                </c:pt>
                <c:pt idx="1178">
                  <c:v>41526</c:v>
                </c:pt>
                <c:pt idx="1179">
                  <c:v>41527</c:v>
                </c:pt>
                <c:pt idx="1180">
                  <c:v>41528</c:v>
                </c:pt>
                <c:pt idx="1181">
                  <c:v>41529</c:v>
                </c:pt>
                <c:pt idx="1182">
                  <c:v>41530</c:v>
                </c:pt>
                <c:pt idx="1183">
                  <c:v>41533</c:v>
                </c:pt>
                <c:pt idx="1184">
                  <c:v>41534</c:v>
                </c:pt>
                <c:pt idx="1185">
                  <c:v>41535</c:v>
                </c:pt>
                <c:pt idx="1186">
                  <c:v>41536</c:v>
                </c:pt>
                <c:pt idx="1187">
                  <c:v>41537</c:v>
                </c:pt>
                <c:pt idx="1188">
                  <c:v>41540</c:v>
                </c:pt>
                <c:pt idx="1189">
                  <c:v>41541</c:v>
                </c:pt>
                <c:pt idx="1190">
                  <c:v>41542</c:v>
                </c:pt>
                <c:pt idx="1191">
                  <c:v>41543</c:v>
                </c:pt>
                <c:pt idx="1192">
                  <c:v>41544</c:v>
                </c:pt>
                <c:pt idx="1193">
                  <c:v>41547</c:v>
                </c:pt>
                <c:pt idx="1194">
                  <c:v>41548</c:v>
                </c:pt>
                <c:pt idx="1195">
                  <c:v>41549</c:v>
                </c:pt>
                <c:pt idx="1196">
                  <c:v>41550</c:v>
                </c:pt>
                <c:pt idx="1197">
                  <c:v>41551</c:v>
                </c:pt>
                <c:pt idx="1198">
                  <c:v>41554</c:v>
                </c:pt>
                <c:pt idx="1199">
                  <c:v>41555</c:v>
                </c:pt>
                <c:pt idx="1200">
                  <c:v>41556</c:v>
                </c:pt>
                <c:pt idx="1201">
                  <c:v>41557</c:v>
                </c:pt>
                <c:pt idx="1202">
                  <c:v>41558</c:v>
                </c:pt>
                <c:pt idx="1203">
                  <c:v>41561</c:v>
                </c:pt>
                <c:pt idx="1204">
                  <c:v>41562</c:v>
                </c:pt>
                <c:pt idx="1205">
                  <c:v>41563</c:v>
                </c:pt>
                <c:pt idx="1206">
                  <c:v>41564</c:v>
                </c:pt>
                <c:pt idx="1207">
                  <c:v>41565</c:v>
                </c:pt>
                <c:pt idx="1208">
                  <c:v>41568</c:v>
                </c:pt>
                <c:pt idx="1209">
                  <c:v>41569</c:v>
                </c:pt>
                <c:pt idx="1210">
                  <c:v>41570</c:v>
                </c:pt>
                <c:pt idx="1211">
                  <c:v>41571</c:v>
                </c:pt>
                <c:pt idx="1212">
                  <c:v>41572</c:v>
                </c:pt>
                <c:pt idx="1213">
                  <c:v>41575</c:v>
                </c:pt>
                <c:pt idx="1214">
                  <c:v>41576</c:v>
                </c:pt>
                <c:pt idx="1215">
                  <c:v>41577</c:v>
                </c:pt>
                <c:pt idx="1216">
                  <c:v>41578</c:v>
                </c:pt>
                <c:pt idx="1217">
                  <c:v>41579</c:v>
                </c:pt>
                <c:pt idx="1218">
                  <c:v>41582</c:v>
                </c:pt>
                <c:pt idx="1219">
                  <c:v>41583</c:v>
                </c:pt>
                <c:pt idx="1220">
                  <c:v>41584</c:v>
                </c:pt>
                <c:pt idx="1221">
                  <c:v>41585</c:v>
                </c:pt>
                <c:pt idx="1222">
                  <c:v>41586</c:v>
                </c:pt>
                <c:pt idx="1223">
                  <c:v>41589</c:v>
                </c:pt>
                <c:pt idx="1224">
                  <c:v>41590</c:v>
                </c:pt>
                <c:pt idx="1225">
                  <c:v>41591</c:v>
                </c:pt>
                <c:pt idx="1226">
                  <c:v>41592</c:v>
                </c:pt>
                <c:pt idx="1227">
                  <c:v>41593</c:v>
                </c:pt>
                <c:pt idx="1228">
                  <c:v>41596</c:v>
                </c:pt>
                <c:pt idx="1229">
                  <c:v>41597</c:v>
                </c:pt>
                <c:pt idx="1230">
                  <c:v>41598</c:v>
                </c:pt>
                <c:pt idx="1231">
                  <c:v>41599</c:v>
                </c:pt>
                <c:pt idx="1232">
                  <c:v>41600</c:v>
                </c:pt>
                <c:pt idx="1233">
                  <c:v>41603</c:v>
                </c:pt>
                <c:pt idx="1234">
                  <c:v>41604</c:v>
                </c:pt>
                <c:pt idx="1235">
                  <c:v>41605</c:v>
                </c:pt>
                <c:pt idx="1236">
                  <c:v>41607</c:v>
                </c:pt>
                <c:pt idx="1237">
                  <c:v>41610</c:v>
                </c:pt>
                <c:pt idx="1238">
                  <c:v>41611</c:v>
                </c:pt>
                <c:pt idx="1239">
                  <c:v>41612</c:v>
                </c:pt>
                <c:pt idx="1240">
                  <c:v>41613</c:v>
                </c:pt>
                <c:pt idx="1241">
                  <c:v>41614</c:v>
                </c:pt>
                <c:pt idx="1242">
                  <c:v>41617</c:v>
                </c:pt>
                <c:pt idx="1243">
                  <c:v>41618</c:v>
                </c:pt>
                <c:pt idx="1244">
                  <c:v>41619</c:v>
                </c:pt>
                <c:pt idx="1245">
                  <c:v>41620</c:v>
                </c:pt>
                <c:pt idx="1246">
                  <c:v>41621</c:v>
                </c:pt>
                <c:pt idx="1247">
                  <c:v>41624</c:v>
                </c:pt>
                <c:pt idx="1248">
                  <c:v>41625</c:v>
                </c:pt>
                <c:pt idx="1249">
                  <c:v>41626</c:v>
                </c:pt>
                <c:pt idx="1250">
                  <c:v>41627</c:v>
                </c:pt>
                <c:pt idx="1251">
                  <c:v>41628</c:v>
                </c:pt>
                <c:pt idx="1252">
                  <c:v>41631</c:v>
                </c:pt>
                <c:pt idx="1253">
                  <c:v>41632</c:v>
                </c:pt>
                <c:pt idx="1254">
                  <c:v>41634</c:v>
                </c:pt>
                <c:pt idx="1255">
                  <c:v>41635</c:v>
                </c:pt>
                <c:pt idx="1256">
                  <c:v>41638</c:v>
                </c:pt>
                <c:pt idx="1257">
                  <c:v>41639</c:v>
                </c:pt>
              </c:numCache>
            </c:numRef>
          </c:cat>
          <c:val>
            <c:numRef>
              <c:f>List1!$B$3:$B$1260</c:f>
              <c:numCache>
                <c:formatCode>General</c:formatCode>
                <c:ptCount val="1258"/>
                <c:pt idx="0">
                  <c:v>266.27999999999969</c:v>
                </c:pt>
                <c:pt idx="1">
                  <c:v>266.04000000000002</c:v>
                </c:pt>
                <c:pt idx="2">
                  <c:v>262.8</c:v>
                </c:pt>
                <c:pt idx="3">
                  <c:v>278.2</c:v>
                </c:pt>
                <c:pt idx="4">
                  <c:v>276.27999999999969</c:v>
                </c:pt>
                <c:pt idx="5">
                  <c:v>287.8</c:v>
                </c:pt>
                <c:pt idx="6">
                  <c:v>301.39999999999969</c:v>
                </c:pt>
                <c:pt idx="7">
                  <c:v>301.12</c:v>
                </c:pt>
                <c:pt idx="8">
                  <c:v>319.33199999999869</c:v>
                </c:pt>
                <c:pt idx="9">
                  <c:v>318.91999999999899</c:v>
                </c:pt>
                <c:pt idx="10">
                  <c:v>314.95999999999964</c:v>
                </c:pt>
                <c:pt idx="11">
                  <c:v>347.52</c:v>
                </c:pt>
                <c:pt idx="12">
                  <c:v>317.72000000000003</c:v>
                </c:pt>
                <c:pt idx="13">
                  <c:v>326.44</c:v>
                </c:pt>
                <c:pt idx="14">
                  <c:v>324.452</c:v>
                </c:pt>
                <c:pt idx="15">
                  <c:v>320.83999999999969</c:v>
                </c:pt>
                <c:pt idx="16">
                  <c:v>314</c:v>
                </c:pt>
                <c:pt idx="17">
                  <c:v>292.32</c:v>
                </c:pt>
                <c:pt idx="18">
                  <c:v>310.12</c:v>
                </c:pt>
                <c:pt idx="19">
                  <c:v>324.17599999999999</c:v>
                </c:pt>
                <c:pt idx="20">
                  <c:v>325.72000000000003</c:v>
                </c:pt>
                <c:pt idx="21">
                  <c:v>315.89599999999899</c:v>
                </c:pt>
                <c:pt idx="22">
                  <c:v>318.68</c:v>
                </c:pt>
                <c:pt idx="23">
                  <c:v>309.50400000000002</c:v>
                </c:pt>
                <c:pt idx="24">
                  <c:v>292.84800000000001</c:v>
                </c:pt>
                <c:pt idx="25">
                  <c:v>291.44</c:v>
                </c:pt>
                <c:pt idx="26">
                  <c:v>318.32</c:v>
                </c:pt>
                <c:pt idx="27">
                  <c:v>314.08</c:v>
                </c:pt>
                <c:pt idx="28">
                  <c:v>313.64000000000038</c:v>
                </c:pt>
                <c:pt idx="29">
                  <c:v>319.95999999999964</c:v>
                </c:pt>
                <c:pt idx="30">
                  <c:v>347.52</c:v>
                </c:pt>
                <c:pt idx="31">
                  <c:v>350</c:v>
                </c:pt>
                <c:pt idx="32">
                  <c:v>356.12</c:v>
                </c:pt>
                <c:pt idx="33">
                  <c:v>364.04399999999993</c:v>
                </c:pt>
                <c:pt idx="34">
                  <c:v>389.08</c:v>
                </c:pt>
                <c:pt idx="35">
                  <c:v>359.71999999999969</c:v>
                </c:pt>
                <c:pt idx="36">
                  <c:v>365.76</c:v>
                </c:pt>
                <c:pt idx="37">
                  <c:v>377.6</c:v>
                </c:pt>
                <c:pt idx="38">
                  <c:v>394.88</c:v>
                </c:pt>
                <c:pt idx="39">
                  <c:v>429.68</c:v>
                </c:pt>
                <c:pt idx="40">
                  <c:v>437.44</c:v>
                </c:pt>
                <c:pt idx="41">
                  <c:v>416.42799999999869</c:v>
                </c:pt>
                <c:pt idx="42">
                  <c:v>450.84000000000032</c:v>
                </c:pt>
                <c:pt idx="43">
                  <c:v>448.904</c:v>
                </c:pt>
                <c:pt idx="44">
                  <c:v>460.36</c:v>
                </c:pt>
                <c:pt idx="45">
                  <c:v>404</c:v>
                </c:pt>
                <c:pt idx="46">
                  <c:v>399.08</c:v>
                </c:pt>
                <c:pt idx="47">
                  <c:v>366.75599999999969</c:v>
                </c:pt>
                <c:pt idx="48">
                  <c:v>361</c:v>
                </c:pt>
                <c:pt idx="49">
                  <c:v>362.56</c:v>
                </c:pt>
                <c:pt idx="50">
                  <c:v>340.56</c:v>
                </c:pt>
                <c:pt idx="51">
                  <c:v>325.36</c:v>
                </c:pt>
                <c:pt idx="52">
                  <c:v>333.24</c:v>
                </c:pt>
                <c:pt idx="53">
                  <c:v>347.91999999999899</c:v>
                </c:pt>
                <c:pt idx="54">
                  <c:v>298.12</c:v>
                </c:pt>
                <c:pt idx="55">
                  <c:v>309.47999999999894</c:v>
                </c:pt>
                <c:pt idx="56">
                  <c:v>303.76</c:v>
                </c:pt>
                <c:pt idx="57">
                  <c:v>291.12</c:v>
                </c:pt>
                <c:pt idx="58">
                  <c:v>300.68</c:v>
                </c:pt>
                <c:pt idx="59">
                  <c:v>322.12</c:v>
                </c:pt>
                <c:pt idx="60">
                  <c:v>317.2</c:v>
                </c:pt>
                <c:pt idx="61">
                  <c:v>303.76</c:v>
                </c:pt>
                <c:pt idx="62">
                  <c:v>286.24</c:v>
                </c:pt>
                <c:pt idx="63">
                  <c:v>280.39999999999969</c:v>
                </c:pt>
                <c:pt idx="64">
                  <c:v>284.52</c:v>
                </c:pt>
                <c:pt idx="65">
                  <c:v>297.60000000000002</c:v>
                </c:pt>
                <c:pt idx="66">
                  <c:v>291.41999999999899</c:v>
                </c:pt>
                <c:pt idx="67">
                  <c:v>268.52</c:v>
                </c:pt>
                <c:pt idx="68">
                  <c:v>268.048</c:v>
                </c:pt>
                <c:pt idx="69">
                  <c:v>277.52</c:v>
                </c:pt>
                <c:pt idx="70">
                  <c:v>271.464</c:v>
                </c:pt>
                <c:pt idx="71">
                  <c:v>263.452</c:v>
                </c:pt>
                <c:pt idx="72">
                  <c:v>260.04000000000002</c:v>
                </c:pt>
                <c:pt idx="73">
                  <c:v>281.60399999999993</c:v>
                </c:pt>
                <c:pt idx="74">
                  <c:v>271.04000000000002</c:v>
                </c:pt>
                <c:pt idx="75">
                  <c:v>274.024</c:v>
                </c:pt>
                <c:pt idx="76">
                  <c:v>268.74400000000031</c:v>
                </c:pt>
                <c:pt idx="77">
                  <c:v>260.39999999999969</c:v>
                </c:pt>
                <c:pt idx="78">
                  <c:v>264.8</c:v>
                </c:pt>
                <c:pt idx="79">
                  <c:v>266.52</c:v>
                </c:pt>
                <c:pt idx="80">
                  <c:v>255.32000000000087</c:v>
                </c:pt>
                <c:pt idx="81">
                  <c:v>254.72</c:v>
                </c:pt>
                <c:pt idx="82">
                  <c:v>252.56</c:v>
                </c:pt>
                <c:pt idx="83">
                  <c:v>235.23949999999999</c:v>
                </c:pt>
                <c:pt idx="84">
                  <c:v>236.64</c:v>
                </c:pt>
                <c:pt idx="85">
                  <c:v>228.83200000000087</c:v>
                </c:pt>
                <c:pt idx="86">
                  <c:v>235</c:v>
                </c:pt>
                <c:pt idx="87">
                  <c:v>224.12</c:v>
                </c:pt>
                <c:pt idx="88">
                  <c:v>232.2</c:v>
                </c:pt>
                <c:pt idx="89">
                  <c:v>233.376</c:v>
                </c:pt>
                <c:pt idx="90">
                  <c:v>244.52</c:v>
                </c:pt>
                <c:pt idx="91">
                  <c:v>241.6</c:v>
                </c:pt>
                <c:pt idx="92">
                  <c:v>245.48000000000027</c:v>
                </c:pt>
                <c:pt idx="93">
                  <c:v>231.36</c:v>
                </c:pt>
                <c:pt idx="94">
                  <c:v>231.8</c:v>
                </c:pt>
                <c:pt idx="95">
                  <c:v>234.36</c:v>
                </c:pt>
                <c:pt idx="96">
                  <c:v>241.28</c:v>
                </c:pt>
                <c:pt idx="97">
                  <c:v>242.17599999999999</c:v>
                </c:pt>
                <c:pt idx="98">
                  <c:v>229.8</c:v>
                </c:pt>
                <c:pt idx="99">
                  <c:v>237.96</c:v>
                </c:pt>
                <c:pt idx="100">
                  <c:v>231.4</c:v>
                </c:pt>
                <c:pt idx="101">
                  <c:v>222</c:v>
                </c:pt>
                <c:pt idx="102">
                  <c:v>212.416</c:v>
                </c:pt>
                <c:pt idx="103">
                  <c:v>212</c:v>
                </c:pt>
                <c:pt idx="104">
                  <c:v>217.36</c:v>
                </c:pt>
                <c:pt idx="105">
                  <c:v>213.32000000000087</c:v>
                </c:pt>
                <c:pt idx="106">
                  <c:v>213.16</c:v>
                </c:pt>
                <c:pt idx="107">
                  <c:v>214.12</c:v>
                </c:pt>
                <c:pt idx="108">
                  <c:v>212.96</c:v>
                </c:pt>
                <c:pt idx="109">
                  <c:v>214.08</c:v>
                </c:pt>
                <c:pt idx="110">
                  <c:v>211.56</c:v>
                </c:pt>
                <c:pt idx="111">
                  <c:v>210.52</c:v>
                </c:pt>
                <c:pt idx="112">
                  <c:v>220.404</c:v>
                </c:pt>
                <c:pt idx="113">
                  <c:v>226.28</c:v>
                </c:pt>
                <c:pt idx="114">
                  <c:v>226.792</c:v>
                </c:pt>
                <c:pt idx="115">
                  <c:v>224.28</c:v>
                </c:pt>
                <c:pt idx="116">
                  <c:v>222.4</c:v>
                </c:pt>
                <c:pt idx="117">
                  <c:v>234.92000000000004</c:v>
                </c:pt>
                <c:pt idx="118">
                  <c:v>234.8</c:v>
                </c:pt>
                <c:pt idx="119">
                  <c:v>231.03200000000001</c:v>
                </c:pt>
                <c:pt idx="120">
                  <c:v>221.15600000000001</c:v>
                </c:pt>
                <c:pt idx="121">
                  <c:v>222.14</c:v>
                </c:pt>
                <c:pt idx="122">
                  <c:v>217.64</c:v>
                </c:pt>
                <c:pt idx="123">
                  <c:v>221.32000000000087</c:v>
                </c:pt>
                <c:pt idx="124">
                  <c:v>219.4</c:v>
                </c:pt>
                <c:pt idx="125">
                  <c:v>231.36</c:v>
                </c:pt>
                <c:pt idx="126">
                  <c:v>230.84800000000001</c:v>
                </c:pt>
                <c:pt idx="127">
                  <c:v>240</c:v>
                </c:pt>
                <c:pt idx="128">
                  <c:v>240.64</c:v>
                </c:pt>
                <c:pt idx="129">
                  <c:v>239.68</c:v>
                </c:pt>
                <c:pt idx="130">
                  <c:v>241</c:v>
                </c:pt>
                <c:pt idx="131">
                  <c:v>229.2</c:v>
                </c:pt>
                <c:pt idx="132">
                  <c:v>226.28</c:v>
                </c:pt>
                <c:pt idx="133">
                  <c:v>212.91200000000001</c:v>
                </c:pt>
                <c:pt idx="134">
                  <c:v>209.08</c:v>
                </c:pt>
                <c:pt idx="135">
                  <c:v>209</c:v>
                </c:pt>
                <c:pt idx="136">
                  <c:v>204.96</c:v>
                </c:pt>
                <c:pt idx="137">
                  <c:v>202.84</c:v>
                </c:pt>
                <c:pt idx="138">
                  <c:v>202.8</c:v>
                </c:pt>
                <c:pt idx="139">
                  <c:v>193.72</c:v>
                </c:pt>
                <c:pt idx="140">
                  <c:v>192.232</c:v>
                </c:pt>
                <c:pt idx="141">
                  <c:v>190.72</c:v>
                </c:pt>
                <c:pt idx="142">
                  <c:v>192.04</c:v>
                </c:pt>
                <c:pt idx="143">
                  <c:v>193.68</c:v>
                </c:pt>
                <c:pt idx="144">
                  <c:v>189.64</c:v>
                </c:pt>
                <c:pt idx="145">
                  <c:v>189.04399999999998</c:v>
                </c:pt>
                <c:pt idx="146">
                  <c:v>183.11599999999999</c:v>
                </c:pt>
                <c:pt idx="147">
                  <c:v>182</c:v>
                </c:pt>
                <c:pt idx="148">
                  <c:v>182.96</c:v>
                </c:pt>
                <c:pt idx="149">
                  <c:v>184.84</c:v>
                </c:pt>
                <c:pt idx="150">
                  <c:v>180.2</c:v>
                </c:pt>
                <c:pt idx="151">
                  <c:v>180.68</c:v>
                </c:pt>
                <c:pt idx="152">
                  <c:v>185.49600000000001</c:v>
                </c:pt>
                <c:pt idx="153">
                  <c:v>181.36</c:v>
                </c:pt>
                <c:pt idx="154">
                  <c:v>178.48000000000027</c:v>
                </c:pt>
                <c:pt idx="155">
                  <c:v>181.4</c:v>
                </c:pt>
                <c:pt idx="156">
                  <c:v>190.2</c:v>
                </c:pt>
                <c:pt idx="157">
                  <c:v>186.8</c:v>
                </c:pt>
                <c:pt idx="158">
                  <c:v>183.6</c:v>
                </c:pt>
                <c:pt idx="159">
                  <c:v>179.92000000000004</c:v>
                </c:pt>
                <c:pt idx="160">
                  <c:v>173.12</c:v>
                </c:pt>
                <c:pt idx="161">
                  <c:v>173.04</c:v>
                </c:pt>
                <c:pt idx="162">
                  <c:v>172.2</c:v>
                </c:pt>
                <c:pt idx="163">
                  <c:v>172.36</c:v>
                </c:pt>
                <c:pt idx="164">
                  <c:v>171.2</c:v>
                </c:pt>
                <c:pt idx="165">
                  <c:v>171.68</c:v>
                </c:pt>
                <c:pt idx="166">
                  <c:v>174.56</c:v>
                </c:pt>
                <c:pt idx="167">
                  <c:v>182.404</c:v>
                </c:pt>
                <c:pt idx="168">
                  <c:v>183.84</c:v>
                </c:pt>
                <c:pt idx="169">
                  <c:v>180.88000000000122</c:v>
                </c:pt>
                <c:pt idx="170">
                  <c:v>175.624</c:v>
                </c:pt>
                <c:pt idx="171">
                  <c:v>172.52</c:v>
                </c:pt>
                <c:pt idx="172">
                  <c:v>169.8</c:v>
                </c:pt>
                <c:pt idx="173">
                  <c:v>166.4</c:v>
                </c:pt>
                <c:pt idx="174">
                  <c:v>166.48400000000001</c:v>
                </c:pt>
                <c:pt idx="175">
                  <c:v>164.596</c:v>
                </c:pt>
                <c:pt idx="176">
                  <c:v>163.4</c:v>
                </c:pt>
                <c:pt idx="177">
                  <c:v>158.4</c:v>
                </c:pt>
                <c:pt idx="178">
                  <c:v>158.88000000000122</c:v>
                </c:pt>
                <c:pt idx="179">
                  <c:v>158.68</c:v>
                </c:pt>
                <c:pt idx="180">
                  <c:v>159.44</c:v>
                </c:pt>
                <c:pt idx="181">
                  <c:v>157.6</c:v>
                </c:pt>
                <c:pt idx="182">
                  <c:v>160.476</c:v>
                </c:pt>
                <c:pt idx="183">
                  <c:v>163.76</c:v>
                </c:pt>
                <c:pt idx="184">
                  <c:v>165.23999999999998</c:v>
                </c:pt>
                <c:pt idx="185">
                  <c:v>159.6</c:v>
                </c:pt>
                <c:pt idx="186">
                  <c:v>160.47999999999999</c:v>
                </c:pt>
                <c:pt idx="187">
                  <c:v>161.56</c:v>
                </c:pt>
                <c:pt idx="188">
                  <c:v>169.72</c:v>
                </c:pt>
                <c:pt idx="189">
                  <c:v>171.16</c:v>
                </c:pt>
                <c:pt idx="190">
                  <c:v>166.2</c:v>
                </c:pt>
                <c:pt idx="191">
                  <c:v>161.28</c:v>
                </c:pt>
                <c:pt idx="192">
                  <c:v>160.52000000000001</c:v>
                </c:pt>
                <c:pt idx="193">
                  <c:v>158.04</c:v>
                </c:pt>
                <c:pt idx="194">
                  <c:v>156.12800000000001</c:v>
                </c:pt>
                <c:pt idx="195">
                  <c:v>154.68</c:v>
                </c:pt>
                <c:pt idx="196">
                  <c:v>155.44</c:v>
                </c:pt>
                <c:pt idx="197">
                  <c:v>150.04</c:v>
                </c:pt>
                <c:pt idx="198">
                  <c:v>149.08000000000001</c:v>
                </c:pt>
                <c:pt idx="199">
                  <c:v>151.19999999999999</c:v>
                </c:pt>
                <c:pt idx="200">
                  <c:v>148.56</c:v>
                </c:pt>
                <c:pt idx="201">
                  <c:v>150.16</c:v>
                </c:pt>
                <c:pt idx="202">
                  <c:v>153.04</c:v>
                </c:pt>
                <c:pt idx="203">
                  <c:v>149.76</c:v>
                </c:pt>
                <c:pt idx="204">
                  <c:v>153.12</c:v>
                </c:pt>
                <c:pt idx="205">
                  <c:v>156.63999999999999</c:v>
                </c:pt>
                <c:pt idx="206">
                  <c:v>158</c:v>
                </c:pt>
                <c:pt idx="207">
                  <c:v>163.84</c:v>
                </c:pt>
                <c:pt idx="208">
                  <c:v>156.96</c:v>
                </c:pt>
                <c:pt idx="209">
                  <c:v>165.64</c:v>
                </c:pt>
                <c:pt idx="210">
                  <c:v>163.6</c:v>
                </c:pt>
                <c:pt idx="211">
                  <c:v>162.52000000000001</c:v>
                </c:pt>
                <c:pt idx="212">
                  <c:v>161.84</c:v>
                </c:pt>
                <c:pt idx="213">
                  <c:v>155.75949999999997</c:v>
                </c:pt>
                <c:pt idx="214">
                  <c:v>154.88000000000122</c:v>
                </c:pt>
                <c:pt idx="215">
                  <c:v>147.88000000000122</c:v>
                </c:pt>
                <c:pt idx="216">
                  <c:v>147.72</c:v>
                </c:pt>
                <c:pt idx="217">
                  <c:v>146.19999999999999</c:v>
                </c:pt>
                <c:pt idx="218">
                  <c:v>149.08000000000001</c:v>
                </c:pt>
                <c:pt idx="219">
                  <c:v>147.56</c:v>
                </c:pt>
                <c:pt idx="220">
                  <c:v>143.28</c:v>
                </c:pt>
                <c:pt idx="221">
                  <c:v>142.88000000000122</c:v>
                </c:pt>
                <c:pt idx="222">
                  <c:v>143</c:v>
                </c:pt>
                <c:pt idx="223">
                  <c:v>146.91999999999999</c:v>
                </c:pt>
                <c:pt idx="224">
                  <c:v>147.63999999999999</c:v>
                </c:pt>
                <c:pt idx="225">
                  <c:v>143.80000000000001</c:v>
                </c:pt>
                <c:pt idx="226">
                  <c:v>143.83600000000001</c:v>
                </c:pt>
                <c:pt idx="227">
                  <c:v>142.6</c:v>
                </c:pt>
                <c:pt idx="228">
                  <c:v>147.23999999999998</c:v>
                </c:pt>
                <c:pt idx="229">
                  <c:v>146.19999999999999</c:v>
                </c:pt>
                <c:pt idx="230">
                  <c:v>142.672</c:v>
                </c:pt>
                <c:pt idx="231">
                  <c:v>142.6</c:v>
                </c:pt>
                <c:pt idx="232">
                  <c:v>144.91999999999999</c:v>
                </c:pt>
                <c:pt idx="233">
                  <c:v>143.28</c:v>
                </c:pt>
                <c:pt idx="234">
                  <c:v>143.80000000000001</c:v>
                </c:pt>
                <c:pt idx="235">
                  <c:v>146.80000000000001</c:v>
                </c:pt>
                <c:pt idx="236">
                  <c:v>145.76399999999998</c:v>
                </c:pt>
                <c:pt idx="237">
                  <c:v>144.19999999999999</c:v>
                </c:pt>
                <c:pt idx="238">
                  <c:v>142.80000000000001</c:v>
                </c:pt>
                <c:pt idx="239">
                  <c:v>140.91999999999999</c:v>
                </c:pt>
                <c:pt idx="240">
                  <c:v>142.28399999999999</c:v>
                </c:pt>
                <c:pt idx="241">
                  <c:v>141.80000000000001</c:v>
                </c:pt>
                <c:pt idx="242">
                  <c:v>145.32000000000087</c:v>
                </c:pt>
                <c:pt idx="243">
                  <c:v>143.512</c:v>
                </c:pt>
                <c:pt idx="244">
                  <c:v>140.76</c:v>
                </c:pt>
                <c:pt idx="245">
                  <c:v>139.6</c:v>
                </c:pt>
                <c:pt idx="246">
                  <c:v>139.04</c:v>
                </c:pt>
                <c:pt idx="247">
                  <c:v>137.47999999999999</c:v>
                </c:pt>
                <c:pt idx="248">
                  <c:v>137.16</c:v>
                </c:pt>
                <c:pt idx="249">
                  <c:v>137.44</c:v>
                </c:pt>
                <c:pt idx="250">
                  <c:v>137.68</c:v>
                </c:pt>
                <c:pt idx="251">
                  <c:v>140.19999999999999</c:v>
                </c:pt>
                <c:pt idx="252">
                  <c:v>135.63999999999999</c:v>
                </c:pt>
                <c:pt idx="253">
                  <c:v>134.80000000000001</c:v>
                </c:pt>
                <c:pt idx="254">
                  <c:v>134.56</c:v>
                </c:pt>
                <c:pt idx="255">
                  <c:v>133.44399999999999</c:v>
                </c:pt>
                <c:pt idx="256">
                  <c:v>132.56</c:v>
                </c:pt>
                <c:pt idx="257">
                  <c:v>132.12</c:v>
                </c:pt>
                <c:pt idx="258">
                  <c:v>134.6</c:v>
                </c:pt>
                <c:pt idx="259">
                  <c:v>132.32000000000087</c:v>
                </c:pt>
                <c:pt idx="260">
                  <c:v>131.68</c:v>
                </c:pt>
                <c:pt idx="261">
                  <c:v>134.56</c:v>
                </c:pt>
                <c:pt idx="262">
                  <c:v>131.36000000000001</c:v>
                </c:pt>
                <c:pt idx="263">
                  <c:v>133.91999999999999</c:v>
                </c:pt>
                <c:pt idx="264">
                  <c:v>139.04</c:v>
                </c:pt>
                <c:pt idx="265">
                  <c:v>145.16800000000001</c:v>
                </c:pt>
                <c:pt idx="266">
                  <c:v>143.80000000000001</c:v>
                </c:pt>
                <c:pt idx="267">
                  <c:v>145.08000000000001</c:v>
                </c:pt>
                <c:pt idx="268">
                  <c:v>143.56</c:v>
                </c:pt>
                <c:pt idx="269">
                  <c:v>146.91999999999999</c:v>
                </c:pt>
                <c:pt idx="270">
                  <c:v>150.16</c:v>
                </c:pt>
                <c:pt idx="271">
                  <c:v>145.60399999999998</c:v>
                </c:pt>
                <c:pt idx="272">
                  <c:v>141.91999999999999</c:v>
                </c:pt>
                <c:pt idx="273">
                  <c:v>143.28</c:v>
                </c:pt>
                <c:pt idx="274">
                  <c:v>152.12</c:v>
                </c:pt>
                <c:pt idx="275">
                  <c:v>151.32000000000087</c:v>
                </c:pt>
                <c:pt idx="276">
                  <c:v>153.83200000000087</c:v>
                </c:pt>
                <c:pt idx="277">
                  <c:v>149.84</c:v>
                </c:pt>
                <c:pt idx="278">
                  <c:v>150.44</c:v>
                </c:pt>
                <c:pt idx="279">
                  <c:v>147.23999999999998</c:v>
                </c:pt>
                <c:pt idx="280">
                  <c:v>147.56</c:v>
                </c:pt>
                <c:pt idx="281">
                  <c:v>142.84</c:v>
                </c:pt>
                <c:pt idx="282">
                  <c:v>141.47999999999999</c:v>
                </c:pt>
                <c:pt idx="283">
                  <c:v>139.68</c:v>
                </c:pt>
                <c:pt idx="284">
                  <c:v>139</c:v>
                </c:pt>
                <c:pt idx="285">
                  <c:v>139.08000000000001</c:v>
                </c:pt>
                <c:pt idx="286">
                  <c:v>142.44</c:v>
                </c:pt>
                <c:pt idx="287">
                  <c:v>139.88000000000122</c:v>
                </c:pt>
                <c:pt idx="288">
                  <c:v>140.13200000000001</c:v>
                </c:pt>
                <c:pt idx="289">
                  <c:v>140</c:v>
                </c:pt>
                <c:pt idx="290">
                  <c:v>137.12</c:v>
                </c:pt>
                <c:pt idx="291">
                  <c:v>136.32000000000087</c:v>
                </c:pt>
                <c:pt idx="292">
                  <c:v>135.88000000000122</c:v>
                </c:pt>
                <c:pt idx="293">
                  <c:v>135.28</c:v>
                </c:pt>
                <c:pt idx="294">
                  <c:v>131.32000000000087</c:v>
                </c:pt>
                <c:pt idx="295">
                  <c:v>131.24799999999999</c:v>
                </c:pt>
                <c:pt idx="296">
                  <c:v>130.80000000000001</c:v>
                </c:pt>
                <c:pt idx="297">
                  <c:v>129.68</c:v>
                </c:pt>
                <c:pt idx="298">
                  <c:v>128.55600000000001</c:v>
                </c:pt>
                <c:pt idx="299">
                  <c:v>128.63999999999999</c:v>
                </c:pt>
                <c:pt idx="300">
                  <c:v>128.6</c:v>
                </c:pt>
                <c:pt idx="301">
                  <c:v>126.48</c:v>
                </c:pt>
                <c:pt idx="302">
                  <c:v>124.88</c:v>
                </c:pt>
                <c:pt idx="303">
                  <c:v>125.08</c:v>
                </c:pt>
                <c:pt idx="304">
                  <c:v>126.32</c:v>
                </c:pt>
                <c:pt idx="305">
                  <c:v>124.96000000000002</c:v>
                </c:pt>
                <c:pt idx="306">
                  <c:v>123.11999999999999</c:v>
                </c:pt>
                <c:pt idx="307">
                  <c:v>124.32</c:v>
                </c:pt>
                <c:pt idx="308">
                  <c:v>124.72</c:v>
                </c:pt>
                <c:pt idx="309">
                  <c:v>124.67999999999998</c:v>
                </c:pt>
                <c:pt idx="310">
                  <c:v>123.32</c:v>
                </c:pt>
                <c:pt idx="311">
                  <c:v>123.16800000000001</c:v>
                </c:pt>
                <c:pt idx="312">
                  <c:v>123.96000000000002</c:v>
                </c:pt>
                <c:pt idx="313">
                  <c:v>122.2</c:v>
                </c:pt>
                <c:pt idx="314">
                  <c:v>120.2</c:v>
                </c:pt>
                <c:pt idx="315">
                  <c:v>119.76</c:v>
                </c:pt>
                <c:pt idx="316">
                  <c:v>121</c:v>
                </c:pt>
                <c:pt idx="317">
                  <c:v>120.2</c:v>
                </c:pt>
                <c:pt idx="318">
                  <c:v>118.64</c:v>
                </c:pt>
                <c:pt idx="319">
                  <c:v>118.16</c:v>
                </c:pt>
                <c:pt idx="320">
                  <c:v>118</c:v>
                </c:pt>
                <c:pt idx="321">
                  <c:v>115.36</c:v>
                </c:pt>
                <c:pt idx="322">
                  <c:v>115.11999999999999</c:v>
                </c:pt>
                <c:pt idx="323">
                  <c:v>118.88</c:v>
                </c:pt>
                <c:pt idx="324">
                  <c:v>117.884</c:v>
                </c:pt>
                <c:pt idx="325">
                  <c:v>115.88</c:v>
                </c:pt>
                <c:pt idx="326">
                  <c:v>116.28</c:v>
                </c:pt>
                <c:pt idx="327">
                  <c:v>115.56</c:v>
                </c:pt>
                <c:pt idx="328">
                  <c:v>113.96000000000002</c:v>
                </c:pt>
                <c:pt idx="329">
                  <c:v>114.928</c:v>
                </c:pt>
                <c:pt idx="330">
                  <c:v>120.32</c:v>
                </c:pt>
                <c:pt idx="331">
                  <c:v>118.6</c:v>
                </c:pt>
                <c:pt idx="332">
                  <c:v>115.52</c:v>
                </c:pt>
                <c:pt idx="333">
                  <c:v>119.48</c:v>
                </c:pt>
                <c:pt idx="334">
                  <c:v>116.28</c:v>
                </c:pt>
                <c:pt idx="335">
                  <c:v>121.86</c:v>
                </c:pt>
                <c:pt idx="336">
                  <c:v>123.24000000000002</c:v>
                </c:pt>
                <c:pt idx="337">
                  <c:v>131.4</c:v>
                </c:pt>
                <c:pt idx="338">
                  <c:v>135.88000000000122</c:v>
                </c:pt>
                <c:pt idx="339">
                  <c:v>123.48</c:v>
                </c:pt>
                <c:pt idx="340">
                  <c:v>124.164</c:v>
                </c:pt>
                <c:pt idx="341">
                  <c:v>120.64400000000002</c:v>
                </c:pt>
                <c:pt idx="342">
                  <c:v>123.72</c:v>
                </c:pt>
                <c:pt idx="343">
                  <c:v>128.232</c:v>
                </c:pt>
                <c:pt idx="344">
                  <c:v>128</c:v>
                </c:pt>
                <c:pt idx="345">
                  <c:v>131.56</c:v>
                </c:pt>
                <c:pt idx="346">
                  <c:v>133</c:v>
                </c:pt>
                <c:pt idx="347">
                  <c:v>143.09</c:v>
                </c:pt>
                <c:pt idx="348">
                  <c:v>138.72</c:v>
                </c:pt>
                <c:pt idx="349">
                  <c:v>142.36800000000122</c:v>
                </c:pt>
                <c:pt idx="350">
                  <c:v>142.12</c:v>
                </c:pt>
                <c:pt idx="351">
                  <c:v>144.04</c:v>
                </c:pt>
                <c:pt idx="352">
                  <c:v>134.08000000000001</c:v>
                </c:pt>
                <c:pt idx="353">
                  <c:v>137.54</c:v>
                </c:pt>
                <c:pt idx="354">
                  <c:v>142.16</c:v>
                </c:pt>
                <c:pt idx="355">
                  <c:v>134.80000000000001</c:v>
                </c:pt>
                <c:pt idx="356">
                  <c:v>133.65</c:v>
                </c:pt>
                <c:pt idx="357">
                  <c:v>143</c:v>
                </c:pt>
                <c:pt idx="358">
                  <c:v>146.84</c:v>
                </c:pt>
                <c:pt idx="359">
                  <c:v>143.56</c:v>
                </c:pt>
                <c:pt idx="360">
                  <c:v>145.28</c:v>
                </c:pt>
                <c:pt idx="361">
                  <c:v>136.56</c:v>
                </c:pt>
                <c:pt idx="362">
                  <c:v>135.4</c:v>
                </c:pt>
                <c:pt idx="363">
                  <c:v>135.79599999999999</c:v>
                </c:pt>
                <c:pt idx="364">
                  <c:v>129.56</c:v>
                </c:pt>
                <c:pt idx="365">
                  <c:v>129.63999999999999</c:v>
                </c:pt>
                <c:pt idx="366">
                  <c:v>129.28</c:v>
                </c:pt>
                <c:pt idx="367">
                  <c:v>129</c:v>
                </c:pt>
                <c:pt idx="368">
                  <c:v>129.68</c:v>
                </c:pt>
                <c:pt idx="369">
                  <c:v>133.93</c:v>
                </c:pt>
                <c:pt idx="370">
                  <c:v>134.80000000000001</c:v>
                </c:pt>
                <c:pt idx="371">
                  <c:v>139.24399999999972</c:v>
                </c:pt>
                <c:pt idx="372">
                  <c:v>137.97999999999999</c:v>
                </c:pt>
                <c:pt idx="373">
                  <c:v>139.08000000000001</c:v>
                </c:pt>
                <c:pt idx="374">
                  <c:v>147.52000000000001</c:v>
                </c:pt>
                <c:pt idx="375">
                  <c:v>150.80800000000067</c:v>
                </c:pt>
                <c:pt idx="376">
                  <c:v>151.52000000000001</c:v>
                </c:pt>
                <c:pt idx="377">
                  <c:v>153.32000000000087</c:v>
                </c:pt>
                <c:pt idx="378">
                  <c:v>151.4</c:v>
                </c:pt>
                <c:pt idx="379">
                  <c:v>141.76999999999998</c:v>
                </c:pt>
                <c:pt idx="380">
                  <c:v>139</c:v>
                </c:pt>
                <c:pt idx="381">
                  <c:v>136.96</c:v>
                </c:pt>
                <c:pt idx="382">
                  <c:v>136.68</c:v>
                </c:pt>
                <c:pt idx="383">
                  <c:v>132.68</c:v>
                </c:pt>
                <c:pt idx="384">
                  <c:v>132.6</c:v>
                </c:pt>
                <c:pt idx="385">
                  <c:v>132.4</c:v>
                </c:pt>
                <c:pt idx="386">
                  <c:v>139.72</c:v>
                </c:pt>
                <c:pt idx="387">
                  <c:v>138.04</c:v>
                </c:pt>
                <c:pt idx="388">
                  <c:v>135.08000000000001</c:v>
                </c:pt>
                <c:pt idx="389">
                  <c:v>138.56</c:v>
                </c:pt>
                <c:pt idx="390">
                  <c:v>132.32800000000128</c:v>
                </c:pt>
                <c:pt idx="391">
                  <c:v>130.08000000000001</c:v>
                </c:pt>
                <c:pt idx="392">
                  <c:v>127.208</c:v>
                </c:pt>
                <c:pt idx="393">
                  <c:v>127.36</c:v>
                </c:pt>
                <c:pt idx="394">
                  <c:v>129</c:v>
                </c:pt>
                <c:pt idx="395">
                  <c:v>130.23999999999998</c:v>
                </c:pt>
                <c:pt idx="396">
                  <c:v>130.23999999999998</c:v>
                </c:pt>
                <c:pt idx="397">
                  <c:v>124.44000000000032</c:v>
                </c:pt>
                <c:pt idx="398">
                  <c:v>125.56</c:v>
                </c:pt>
                <c:pt idx="399">
                  <c:v>123.84</c:v>
                </c:pt>
                <c:pt idx="400">
                  <c:v>124.16</c:v>
                </c:pt>
                <c:pt idx="401">
                  <c:v>125.16</c:v>
                </c:pt>
                <c:pt idx="402">
                  <c:v>123.84</c:v>
                </c:pt>
                <c:pt idx="403">
                  <c:v>125.16</c:v>
                </c:pt>
                <c:pt idx="404">
                  <c:v>131.96</c:v>
                </c:pt>
                <c:pt idx="405">
                  <c:v>133.54</c:v>
                </c:pt>
                <c:pt idx="406">
                  <c:v>134.56</c:v>
                </c:pt>
                <c:pt idx="407">
                  <c:v>134.52000000000001</c:v>
                </c:pt>
                <c:pt idx="408">
                  <c:v>131.28</c:v>
                </c:pt>
                <c:pt idx="409">
                  <c:v>130.76</c:v>
                </c:pt>
                <c:pt idx="410">
                  <c:v>135.24399999999972</c:v>
                </c:pt>
                <c:pt idx="411">
                  <c:v>136.23999999999998</c:v>
                </c:pt>
                <c:pt idx="412">
                  <c:v>137.23999999999998</c:v>
                </c:pt>
                <c:pt idx="413">
                  <c:v>141.36000000000001</c:v>
                </c:pt>
                <c:pt idx="414">
                  <c:v>140.23999999999998</c:v>
                </c:pt>
                <c:pt idx="415">
                  <c:v>142.19999999999999</c:v>
                </c:pt>
                <c:pt idx="416">
                  <c:v>137.72</c:v>
                </c:pt>
                <c:pt idx="417">
                  <c:v>141.68</c:v>
                </c:pt>
                <c:pt idx="418">
                  <c:v>141.36000000000001</c:v>
                </c:pt>
                <c:pt idx="419">
                  <c:v>133.16399999999999</c:v>
                </c:pt>
                <c:pt idx="420">
                  <c:v>130.68</c:v>
                </c:pt>
                <c:pt idx="421">
                  <c:v>127.24000000000002</c:v>
                </c:pt>
                <c:pt idx="422">
                  <c:v>130.08000000000001</c:v>
                </c:pt>
                <c:pt idx="423">
                  <c:v>128.36000000000001</c:v>
                </c:pt>
                <c:pt idx="424">
                  <c:v>127.15600000000001</c:v>
                </c:pt>
                <c:pt idx="425">
                  <c:v>125.76</c:v>
                </c:pt>
                <c:pt idx="426">
                  <c:v>123.04</c:v>
                </c:pt>
                <c:pt idx="427">
                  <c:v>123.196</c:v>
                </c:pt>
                <c:pt idx="428">
                  <c:v>122.28</c:v>
                </c:pt>
                <c:pt idx="429">
                  <c:v>122.24000000000002</c:v>
                </c:pt>
                <c:pt idx="430">
                  <c:v>122.04</c:v>
                </c:pt>
                <c:pt idx="431">
                  <c:v>118.4</c:v>
                </c:pt>
                <c:pt idx="432">
                  <c:v>118.92</c:v>
                </c:pt>
                <c:pt idx="433">
                  <c:v>120.04</c:v>
                </c:pt>
                <c:pt idx="434">
                  <c:v>122.04</c:v>
                </c:pt>
                <c:pt idx="435">
                  <c:v>117.004</c:v>
                </c:pt>
                <c:pt idx="436">
                  <c:v>118.11999999999999</c:v>
                </c:pt>
                <c:pt idx="437">
                  <c:v>117.04</c:v>
                </c:pt>
                <c:pt idx="438">
                  <c:v>117.76</c:v>
                </c:pt>
                <c:pt idx="439">
                  <c:v>118.36</c:v>
                </c:pt>
                <c:pt idx="440">
                  <c:v>117.32</c:v>
                </c:pt>
                <c:pt idx="441">
                  <c:v>119.08</c:v>
                </c:pt>
                <c:pt idx="442">
                  <c:v>114.28</c:v>
                </c:pt>
                <c:pt idx="443">
                  <c:v>114.24000000000002</c:v>
                </c:pt>
                <c:pt idx="444">
                  <c:v>114.56</c:v>
                </c:pt>
                <c:pt idx="445">
                  <c:v>113.24000000000002</c:v>
                </c:pt>
                <c:pt idx="446">
                  <c:v>113.04</c:v>
                </c:pt>
                <c:pt idx="447">
                  <c:v>112.32</c:v>
                </c:pt>
                <c:pt idx="448">
                  <c:v>110.6</c:v>
                </c:pt>
                <c:pt idx="449">
                  <c:v>111.4</c:v>
                </c:pt>
                <c:pt idx="450">
                  <c:v>110.96000000000002</c:v>
                </c:pt>
                <c:pt idx="451">
                  <c:v>109.6</c:v>
                </c:pt>
                <c:pt idx="452">
                  <c:v>112.8</c:v>
                </c:pt>
                <c:pt idx="453">
                  <c:v>110.56</c:v>
                </c:pt>
                <c:pt idx="454">
                  <c:v>110.04</c:v>
                </c:pt>
                <c:pt idx="455">
                  <c:v>109.52</c:v>
                </c:pt>
                <c:pt idx="456">
                  <c:v>109</c:v>
                </c:pt>
                <c:pt idx="457">
                  <c:v>108.96000000000002</c:v>
                </c:pt>
                <c:pt idx="458">
                  <c:v>109.6</c:v>
                </c:pt>
                <c:pt idx="459">
                  <c:v>109.4</c:v>
                </c:pt>
                <c:pt idx="460">
                  <c:v>109.32</c:v>
                </c:pt>
                <c:pt idx="461">
                  <c:v>109.28</c:v>
                </c:pt>
                <c:pt idx="462">
                  <c:v>107.52</c:v>
                </c:pt>
                <c:pt idx="463">
                  <c:v>106.67999999999998</c:v>
                </c:pt>
                <c:pt idx="464">
                  <c:v>102.55200000000001</c:v>
                </c:pt>
                <c:pt idx="465">
                  <c:v>101.72</c:v>
                </c:pt>
                <c:pt idx="466">
                  <c:v>102.08</c:v>
                </c:pt>
                <c:pt idx="467">
                  <c:v>103.64</c:v>
                </c:pt>
                <c:pt idx="468">
                  <c:v>102.72</c:v>
                </c:pt>
                <c:pt idx="469">
                  <c:v>103.56</c:v>
                </c:pt>
                <c:pt idx="470">
                  <c:v>106</c:v>
                </c:pt>
                <c:pt idx="471">
                  <c:v>106.28</c:v>
                </c:pt>
                <c:pt idx="472">
                  <c:v>109.56</c:v>
                </c:pt>
                <c:pt idx="473">
                  <c:v>109.52</c:v>
                </c:pt>
                <c:pt idx="474">
                  <c:v>106.24000000000002</c:v>
                </c:pt>
                <c:pt idx="475">
                  <c:v>105.64</c:v>
                </c:pt>
                <c:pt idx="476">
                  <c:v>105.96000000000002</c:v>
                </c:pt>
                <c:pt idx="477">
                  <c:v>109</c:v>
                </c:pt>
                <c:pt idx="478">
                  <c:v>105.64</c:v>
                </c:pt>
                <c:pt idx="479">
                  <c:v>107.94000000000032</c:v>
                </c:pt>
                <c:pt idx="480">
                  <c:v>107.52</c:v>
                </c:pt>
                <c:pt idx="481">
                  <c:v>108.67999999999998</c:v>
                </c:pt>
                <c:pt idx="482">
                  <c:v>104.08</c:v>
                </c:pt>
                <c:pt idx="483">
                  <c:v>101.44000000000032</c:v>
                </c:pt>
                <c:pt idx="484">
                  <c:v>100.8</c:v>
                </c:pt>
                <c:pt idx="485">
                  <c:v>101.08</c:v>
                </c:pt>
                <c:pt idx="486">
                  <c:v>100.92</c:v>
                </c:pt>
                <c:pt idx="487">
                  <c:v>100.24000000000002</c:v>
                </c:pt>
                <c:pt idx="488">
                  <c:v>99.36</c:v>
                </c:pt>
                <c:pt idx="489">
                  <c:v>98.2</c:v>
                </c:pt>
                <c:pt idx="490">
                  <c:v>98.08</c:v>
                </c:pt>
                <c:pt idx="491">
                  <c:v>97.88</c:v>
                </c:pt>
                <c:pt idx="492">
                  <c:v>98.8</c:v>
                </c:pt>
                <c:pt idx="493">
                  <c:v>97.679999999999978</c:v>
                </c:pt>
                <c:pt idx="494">
                  <c:v>97.440000000000026</c:v>
                </c:pt>
                <c:pt idx="495">
                  <c:v>96.960000000000022</c:v>
                </c:pt>
                <c:pt idx="496">
                  <c:v>95.84</c:v>
                </c:pt>
                <c:pt idx="497">
                  <c:v>95.11999999999999</c:v>
                </c:pt>
                <c:pt idx="498">
                  <c:v>95.4</c:v>
                </c:pt>
                <c:pt idx="499">
                  <c:v>95.32</c:v>
                </c:pt>
                <c:pt idx="500">
                  <c:v>95.11999999999999</c:v>
                </c:pt>
                <c:pt idx="501">
                  <c:v>94.960000000000022</c:v>
                </c:pt>
                <c:pt idx="502">
                  <c:v>95.240000000000023</c:v>
                </c:pt>
                <c:pt idx="503">
                  <c:v>95.04</c:v>
                </c:pt>
                <c:pt idx="504">
                  <c:v>93.2</c:v>
                </c:pt>
                <c:pt idx="505">
                  <c:v>93.36</c:v>
                </c:pt>
                <c:pt idx="506">
                  <c:v>92.4</c:v>
                </c:pt>
                <c:pt idx="507">
                  <c:v>92.76</c:v>
                </c:pt>
                <c:pt idx="508">
                  <c:v>93.04</c:v>
                </c:pt>
                <c:pt idx="509">
                  <c:v>93.32</c:v>
                </c:pt>
                <c:pt idx="510">
                  <c:v>92.6</c:v>
                </c:pt>
                <c:pt idx="511">
                  <c:v>90.92</c:v>
                </c:pt>
                <c:pt idx="512">
                  <c:v>91.28</c:v>
                </c:pt>
                <c:pt idx="513">
                  <c:v>89.88</c:v>
                </c:pt>
                <c:pt idx="514">
                  <c:v>89.63</c:v>
                </c:pt>
                <c:pt idx="515">
                  <c:v>91.367999999999995</c:v>
                </c:pt>
                <c:pt idx="516">
                  <c:v>91.64</c:v>
                </c:pt>
                <c:pt idx="517">
                  <c:v>91.16</c:v>
                </c:pt>
                <c:pt idx="518">
                  <c:v>90.16</c:v>
                </c:pt>
                <c:pt idx="519">
                  <c:v>90.11999999999999</c:v>
                </c:pt>
                <c:pt idx="520">
                  <c:v>89.28</c:v>
                </c:pt>
                <c:pt idx="521">
                  <c:v>88.92</c:v>
                </c:pt>
                <c:pt idx="522">
                  <c:v>92.04</c:v>
                </c:pt>
                <c:pt idx="523">
                  <c:v>90.64</c:v>
                </c:pt>
                <c:pt idx="524">
                  <c:v>87.76</c:v>
                </c:pt>
                <c:pt idx="525">
                  <c:v>88.11999999999999</c:v>
                </c:pt>
                <c:pt idx="526">
                  <c:v>87.56</c:v>
                </c:pt>
                <c:pt idx="527">
                  <c:v>87.16</c:v>
                </c:pt>
                <c:pt idx="528">
                  <c:v>86</c:v>
                </c:pt>
                <c:pt idx="529">
                  <c:v>85.27</c:v>
                </c:pt>
                <c:pt idx="530">
                  <c:v>85.72</c:v>
                </c:pt>
                <c:pt idx="531">
                  <c:v>85.6</c:v>
                </c:pt>
                <c:pt idx="532">
                  <c:v>84.52</c:v>
                </c:pt>
                <c:pt idx="533">
                  <c:v>84.2</c:v>
                </c:pt>
                <c:pt idx="534">
                  <c:v>84.64</c:v>
                </c:pt>
                <c:pt idx="535">
                  <c:v>83.6</c:v>
                </c:pt>
                <c:pt idx="536">
                  <c:v>83.08</c:v>
                </c:pt>
                <c:pt idx="537">
                  <c:v>82.76</c:v>
                </c:pt>
                <c:pt idx="538">
                  <c:v>86.11999999999999</c:v>
                </c:pt>
                <c:pt idx="539">
                  <c:v>87.11999999999999</c:v>
                </c:pt>
                <c:pt idx="540">
                  <c:v>87.240000000000023</c:v>
                </c:pt>
                <c:pt idx="541">
                  <c:v>85.32</c:v>
                </c:pt>
                <c:pt idx="542">
                  <c:v>84.36</c:v>
                </c:pt>
                <c:pt idx="543">
                  <c:v>87.11999999999999</c:v>
                </c:pt>
                <c:pt idx="544">
                  <c:v>86.8</c:v>
                </c:pt>
                <c:pt idx="545">
                  <c:v>83.8</c:v>
                </c:pt>
                <c:pt idx="546">
                  <c:v>85</c:v>
                </c:pt>
                <c:pt idx="547">
                  <c:v>86.4</c:v>
                </c:pt>
                <c:pt idx="548">
                  <c:v>84.88</c:v>
                </c:pt>
                <c:pt idx="549">
                  <c:v>85.08</c:v>
                </c:pt>
                <c:pt idx="550">
                  <c:v>88.28</c:v>
                </c:pt>
                <c:pt idx="551">
                  <c:v>87</c:v>
                </c:pt>
                <c:pt idx="552">
                  <c:v>88.04</c:v>
                </c:pt>
                <c:pt idx="553">
                  <c:v>89.995999999999995</c:v>
                </c:pt>
                <c:pt idx="554">
                  <c:v>93.440000000000026</c:v>
                </c:pt>
                <c:pt idx="555">
                  <c:v>91.08</c:v>
                </c:pt>
                <c:pt idx="556">
                  <c:v>90.2</c:v>
                </c:pt>
                <c:pt idx="557">
                  <c:v>87.52</c:v>
                </c:pt>
                <c:pt idx="558">
                  <c:v>88.09</c:v>
                </c:pt>
                <c:pt idx="559">
                  <c:v>87.56</c:v>
                </c:pt>
                <c:pt idx="560">
                  <c:v>85.88</c:v>
                </c:pt>
                <c:pt idx="561">
                  <c:v>85.33</c:v>
                </c:pt>
                <c:pt idx="562">
                  <c:v>85.76</c:v>
                </c:pt>
                <c:pt idx="563">
                  <c:v>84.56</c:v>
                </c:pt>
                <c:pt idx="564">
                  <c:v>83.440000000000026</c:v>
                </c:pt>
                <c:pt idx="565">
                  <c:v>83.679999999999978</c:v>
                </c:pt>
                <c:pt idx="566">
                  <c:v>83</c:v>
                </c:pt>
                <c:pt idx="567">
                  <c:v>82.88</c:v>
                </c:pt>
                <c:pt idx="568">
                  <c:v>82.88</c:v>
                </c:pt>
                <c:pt idx="569">
                  <c:v>82.36</c:v>
                </c:pt>
                <c:pt idx="570">
                  <c:v>82.64</c:v>
                </c:pt>
                <c:pt idx="571">
                  <c:v>83.32</c:v>
                </c:pt>
                <c:pt idx="572">
                  <c:v>83.76</c:v>
                </c:pt>
                <c:pt idx="573">
                  <c:v>85.08</c:v>
                </c:pt>
                <c:pt idx="574">
                  <c:v>85</c:v>
                </c:pt>
                <c:pt idx="575">
                  <c:v>84.92</c:v>
                </c:pt>
                <c:pt idx="576">
                  <c:v>84.36</c:v>
                </c:pt>
                <c:pt idx="577">
                  <c:v>86.16</c:v>
                </c:pt>
                <c:pt idx="578">
                  <c:v>85.240000000000023</c:v>
                </c:pt>
                <c:pt idx="579">
                  <c:v>82.88</c:v>
                </c:pt>
                <c:pt idx="580">
                  <c:v>82.04</c:v>
                </c:pt>
                <c:pt idx="581">
                  <c:v>82.240000000000023</c:v>
                </c:pt>
                <c:pt idx="582">
                  <c:v>80.760000000000005</c:v>
                </c:pt>
                <c:pt idx="583">
                  <c:v>79.760000000000005</c:v>
                </c:pt>
                <c:pt idx="584">
                  <c:v>79.16</c:v>
                </c:pt>
                <c:pt idx="585">
                  <c:v>78.8</c:v>
                </c:pt>
                <c:pt idx="586">
                  <c:v>79.08</c:v>
                </c:pt>
                <c:pt idx="587">
                  <c:v>79.679999999999978</c:v>
                </c:pt>
                <c:pt idx="588">
                  <c:v>80.72</c:v>
                </c:pt>
                <c:pt idx="589">
                  <c:v>82.08</c:v>
                </c:pt>
                <c:pt idx="590">
                  <c:v>81.444000000000685</c:v>
                </c:pt>
                <c:pt idx="591">
                  <c:v>80.760000000000005</c:v>
                </c:pt>
                <c:pt idx="592">
                  <c:v>79.400000000000006</c:v>
                </c:pt>
                <c:pt idx="593">
                  <c:v>81</c:v>
                </c:pt>
                <c:pt idx="594">
                  <c:v>80.28</c:v>
                </c:pt>
                <c:pt idx="595">
                  <c:v>81.56</c:v>
                </c:pt>
                <c:pt idx="596">
                  <c:v>82.52</c:v>
                </c:pt>
                <c:pt idx="597">
                  <c:v>82.56</c:v>
                </c:pt>
                <c:pt idx="598">
                  <c:v>81.11999999999999</c:v>
                </c:pt>
                <c:pt idx="599">
                  <c:v>80.760000000000005</c:v>
                </c:pt>
                <c:pt idx="600">
                  <c:v>81.92</c:v>
                </c:pt>
                <c:pt idx="601">
                  <c:v>83.84</c:v>
                </c:pt>
                <c:pt idx="602">
                  <c:v>84</c:v>
                </c:pt>
                <c:pt idx="603">
                  <c:v>83.48</c:v>
                </c:pt>
                <c:pt idx="604">
                  <c:v>82.72</c:v>
                </c:pt>
                <c:pt idx="605">
                  <c:v>82.04</c:v>
                </c:pt>
                <c:pt idx="606">
                  <c:v>80.323999999999998</c:v>
                </c:pt>
                <c:pt idx="607">
                  <c:v>83.960000000000022</c:v>
                </c:pt>
                <c:pt idx="608">
                  <c:v>84.11999999999999</c:v>
                </c:pt>
                <c:pt idx="609">
                  <c:v>85.763999999999996</c:v>
                </c:pt>
                <c:pt idx="610">
                  <c:v>87.603999999999999</c:v>
                </c:pt>
                <c:pt idx="611">
                  <c:v>87.76</c:v>
                </c:pt>
                <c:pt idx="612">
                  <c:v>88.52</c:v>
                </c:pt>
                <c:pt idx="613">
                  <c:v>87.194000000000003</c:v>
                </c:pt>
                <c:pt idx="614">
                  <c:v>89.6</c:v>
                </c:pt>
                <c:pt idx="615">
                  <c:v>89.440000000000026</c:v>
                </c:pt>
                <c:pt idx="616">
                  <c:v>87.08</c:v>
                </c:pt>
                <c:pt idx="617">
                  <c:v>90.2</c:v>
                </c:pt>
                <c:pt idx="618">
                  <c:v>89.84</c:v>
                </c:pt>
                <c:pt idx="619">
                  <c:v>89.28</c:v>
                </c:pt>
                <c:pt idx="620">
                  <c:v>88.36</c:v>
                </c:pt>
                <c:pt idx="621">
                  <c:v>86</c:v>
                </c:pt>
                <c:pt idx="622">
                  <c:v>87</c:v>
                </c:pt>
                <c:pt idx="623">
                  <c:v>87.48</c:v>
                </c:pt>
                <c:pt idx="624">
                  <c:v>89.52</c:v>
                </c:pt>
                <c:pt idx="625">
                  <c:v>87.92</c:v>
                </c:pt>
                <c:pt idx="626">
                  <c:v>85.6</c:v>
                </c:pt>
                <c:pt idx="627">
                  <c:v>84.16</c:v>
                </c:pt>
                <c:pt idx="628">
                  <c:v>82.555999999999983</c:v>
                </c:pt>
                <c:pt idx="629">
                  <c:v>80.08</c:v>
                </c:pt>
                <c:pt idx="630">
                  <c:v>80.319999999999993</c:v>
                </c:pt>
                <c:pt idx="631">
                  <c:v>80</c:v>
                </c:pt>
                <c:pt idx="632">
                  <c:v>78.319999999999993</c:v>
                </c:pt>
                <c:pt idx="633">
                  <c:v>79.440000000000026</c:v>
                </c:pt>
                <c:pt idx="634">
                  <c:v>82.32</c:v>
                </c:pt>
                <c:pt idx="635">
                  <c:v>83</c:v>
                </c:pt>
                <c:pt idx="636">
                  <c:v>82.440000000000026</c:v>
                </c:pt>
                <c:pt idx="637">
                  <c:v>83.48</c:v>
                </c:pt>
                <c:pt idx="638">
                  <c:v>82.6</c:v>
                </c:pt>
                <c:pt idx="639">
                  <c:v>83.995999999999995</c:v>
                </c:pt>
                <c:pt idx="640">
                  <c:v>81.28</c:v>
                </c:pt>
                <c:pt idx="641">
                  <c:v>81.28</c:v>
                </c:pt>
                <c:pt idx="642">
                  <c:v>79.040000000000006</c:v>
                </c:pt>
                <c:pt idx="643">
                  <c:v>79</c:v>
                </c:pt>
                <c:pt idx="644">
                  <c:v>79.84</c:v>
                </c:pt>
                <c:pt idx="645">
                  <c:v>80.400000000000006</c:v>
                </c:pt>
                <c:pt idx="646">
                  <c:v>83.683999999999983</c:v>
                </c:pt>
                <c:pt idx="647">
                  <c:v>84.240000000000023</c:v>
                </c:pt>
                <c:pt idx="648">
                  <c:v>85.4</c:v>
                </c:pt>
                <c:pt idx="649">
                  <c:v>86.16</c:v>
                </c:pt>
                <c:pt idx="650">
                  <c:v>90.48</c:v>
                </c:pt>
                <c:pt idx="651">
                  <c:v>89.48</c:v>
                </c:pt>
                <c:pt idx="652">
                  <c:v>97.927999999999997</c:v>
                </c:pt>
                <c:pt idx="653">
                  <c:v>98.32</c:v>
                </c:pt>
                <c:pt idx="654">
                  <c:v>111</c:v>
                </c:pt>
                <c:pt idx="655">
                  <c:v>100.48</c:v>
                </c:pt>
                <c:pt idx="656">
                  <c:v>109.76</c:v>
                </c:pt>
                <c:pt idx="657">
                  <c:v>99.64</c:v>
                </c:pt>
                <c:pt idx="658">
                  <c:v>98.16</c:v>
                </c:pt>
                <c:pt idx="659">
                  <c:v>93.968000000000004</c:v>
                </c:pt>
                <c:pt idx="660">
                  <c:v>95.64</c:v>
                </c:pt>
                <c:pt idx="661">
                  <c:v>95.56</c:v>
                </c:pt>
                <c:pt idx="662">
                  <c:v>103.56</c:v>
                </c:pt>
                <c:pt idx="663">
                  <c:v>106.96000000000002</c:v>
                </c:pt>
                <c:pt idx="664">
                  <c:v>107.08</c:v>
                </c:pt>
                <c:pt idx="665">
                  <c:v>99.835999999999999</c:v>
                </c:pt>
                <c:pt idx="666">
                  <c:v>97.11999999999999</c:v>
                </c:pt>
                <c:pt idx="667">
                  <c:v>100.08</c:v>
                </c:pt>
                <c:pt idx="668">
                  <c:v>97.11999999999999</c:v>
                </c:pt>
                <c:pt idx="669">
                  <c:v>91.56</c:v>
                </c:pt>
                <c:pt idx="670">
                  <c:v>91.2</c:v>
                </c:pt>
                <c:pt idx="671">
                  <c:v>90.11999999999999</c:v>
                </c:pt>
                <c:pt idx="672">
                  <c:v>91.960000000000022</c:v>
                </c:pt>
                <c:pt idx="673">
                  <c:v>96.88</c:v>
                </c:pt>
                <c:pt idx="674">
                  <c:v>98.22</c:v>
                </c:pt>
                <c:pt idx="675">
                  <c:v>92.72</c:v>
                </c:pt>
                <c:pt idx="676">
                  <c:v>94.679999999999978</c:v>
                </c:pt>
                <c:pt idx="677">
                  <c:v>99.56</c:v>
                </c:pt>
                <c:pt idx="678">
                  <c:v>98.2</c:v>
                </c:pt>
                <c:pt idx="679">
                  <c:v>96.448000000000022</c:v>
                </c:pt>
                <c:pt idx="680">
                  <c:v>93.76</c:v>
                </c:pt>
                <c:pt idx="681">
                  <c:v>90.56</c:v>
                </c:pt>
                <c:pt idx="682">
                  <c:v>89.48</c:v>
                </c:pt>
                <c:pt idx="683">
                  <c:v>91.16</c:v>
                </c:pt>
                <c:pt idx="684">
                  <c:v>91.440000000000026</c:v>
                </c:pt>
                <c:pt idx="685">
                  <c:v>97.04</c:v>
                </c:pt>
                <c:pt idx="686">
                  <c:v>102.92</c:v>
                </c:pt>
                <c:pt idx="687">
                  <c:v>102</c:v>
                </c:pt>
                <c:pt idx="688">
                  <c:v>97.007999999999996</c:v>
                </c:pt>
                <c:pt idx="689">
                  <c:v>94.835999999999999</c:v>
                </c:pt>
                <c:pt idx="690">
                  <c:v>98.72</c:v>
                </c:pt>
                <c:pt idx="691">
                  <c:v>97.16</c:v>
                </c:pt>
                <c:pt idx="692">
                  <c:v>101.96000000000002</c:v>
                </c:pt>
                <c:pt idx="693">
                  <c:v>107.72</c:v>
                </c:pt>
                <c:pt idx="694">
                  <c:v>103.11999999999999</c:v>
                </c:pt>
                <c:pt idx="695">
                  <c:v>99.2</c:v>
                </c:pt>
                <c:pt idx="696">
                  <c:v>95.48</c:v>
                </c:pt>
                <c:pt idx="697">
                  <c:v>96.72</c:v>
                </c:pt>
                <c:pt idx="698">
                  <c:v>90.440000000000026</c:v>
                </c:pt>
                <c:pt idx="699">
                  <c:v>90.32</c:v>
                </c:pt>
                <c:pt idx="700">
                  <c:v>88.64</c:v>
                </c:pt>
                <c:pt idx="701">
                  <c:v>89</c:v>
                </c:pt>
                <c:pt idx="702">
                  <c:v>85.84</c:v>
                </c:pt>
                <c:pt idx="703">
                  <c:v>89.2</c:v>
                </c:pt>
                <c:pt idx="704">
                  <c:v>85.56</c:v>
                </c:pt>
                <c:pt idx="705">
                  <c:v>87.76</c:v>
                </c:pt>
                <c:pt idx="706">
                  <c:v>86.88</c:v>
                </c:pt>
                <c:pt idx="707">
                  <c:v>83.64</c:v>
                </c:pt>
                <c:pt idx="708">
                  <c:v>81.48</c:v>
                </c:pt>
                <c:pt idx="709">
                  <c:v>84.64</c:v>
                </c:pt>
                <c:pt idx="710">
                  <c:v>82.960000000000022</c:v>
                </c:pt>
                <c:pt idx="711">
                  <c:v>77.16</c:v>
                </c:pt>
                <c:pt idx="712">
                  <c:v>77.2</c:v>
                </c:pt>
                <c:pt idx="713">
                  <c:v>81</c:v>
                </c:pt>
                <c:pt idx="714">
                  <c:v>85.364000000000004</c:v>
                </c:pt>
                <c:pt idx="715">
                  <c:v>82.679999999999978</c:v>
                </c:pt>
                <c:pt idx="716">
                  <c:v>79.64</c:v>
                </c:pt>
                <c:pt idx="717">
                  <c:v>80.679999999999978</c:v>
                </c:pt>
                <c:pt idx="718">
                  <c:v>79.56</c:v>
                </c:pt>
                <c:pt idx="719">
                  <c:v>77.599999999999994</c:v>
                </c:pt>
                <c:pt idx="720">
                  <c:v>83.171999999999983</c:v>
                </c:pt>
                <c:pt idx="721">
                  <c:v>81.72</c:v>
                </c:pt>
                <c:pt idx="722">
                  <c:v>78.52</c:v>
                </c:pt>
                <c:pt idx="723">
                  <c:v>80.040000000000006</c:v>
                </c:pt>
                <c:pt idx="724">
                  <c:v>79.35599999999998</c:v>
                </c:pt>
                <c:pt idx="725">
                  <c:v>81.760000000000005</c:v>
                </c:pt>
                <c:pt idx="726">
                  <c:v>84.4</c:v>
                </c:pt>
                <c:pt idx="727">
                  <c:v>84.6</c:v>
                </c:pt>
                <c:pt idx="728">
                  <c:v>87.763999999999996</c:v>
                </c:pt>
                <c:pt idx="729">
                  <c:v>88.56</c:v>
                </c:pt>
                <c:pt idx="730">
                  <c:v>92.440000000000026</c:v>
                </c:pt>
                <c:pt idx="731">
                  <c:v>92.768000000000001</c:v>
                </c:pt>
                <c:pt idx="732">
                  <c:v>87.36</c:v>
                </c:pt>
                <c:pt idx="733">
                  <c:v>86.88</c:v>
                </c:pt>
                <c:pt idx="734">
                  <c:v>79.679999999999978</c:v>
                </c:pt>
                <c:pt idx="735">
                  <c:v>79.599999999999994</c:v>
                </c:pt>
                <c:pt idx="736">
                  <c:v>79.760000000000005</c:v>
                </c:pt>
                <c:pt idx="737">
                  <c:v>78.075999999999979</c:v>
                </c:pt>
                <c:pt idx="738">
                  <c:v>77.915999999999997</c:v>
                </c:pt>
                <c:pt idx="739">
                  <c:v>77.56</c:v>
                </c:pt>
                <c:pt idx="740">
                  <c:v>80.84</c:v>
                </c:pt>
                <c:pt idx="741">
                  <c:v>78.11999999999999</c:v>
                </c:pt>
                <c:pt idx="742">
                  <c:v>80.28</c:v>
                </c:pt>
                <c:pt idx="743">
                  <c:v>81.92</c:v>
                </c:pt>
                <c:pt idx="744">
                  <c:v>83.6</c:v>
                </c:pt>
                <c:pt idx="745">
                  <c:v>82.995999999999995</c:v>
                </c:pt>
                <c:pt idx="746">
                  <c:v>82.8</c:v>
                </c:pt>
                <c:pt idx="747">
                  <c:v>84.42</c:v>
                </c:pt>
                <c:pt idx="748">
                  <c:v>79.440000000000026</c:v>
                </c:pt>
                <c:pt idx="749">
                  <c:v>79</c:v>
                </c:pt>
                <c:pt idx="750">
                  <c:v>77.599999999999994</c:v>
                </c:pt>
                <c:pt idx="751">
                  <c:v>76.348000000000013</c:v>
                </c:pt>
                <c:pt idx="752">
                  <c:v>76.28</c:v>
                </c:pt>
                <c:pt idx="753">
                  <c:v>78.040000000000006</c:v>
                </c:pt>
                <c:pt idx="754">
                  <c:v>76.56</c:v>
                </c:pt>
                <c:pt idx="755">
                  <c:v>77.155999999999949</c:v>
                </c:pt>
                <c:pt idx="756">
                  <c:v>74.8</c:v>
                </c:pt>
                <c:pt idx="757">
                  <c:v>74.679999999999978</c:v>
                </c:pt>
                <c:pt idx="758">
                  <c:v>74.16</c:v>
                </c:pt>
                <c:pt idx="759">
                  <c:v>74.400000000000006</c:v>
                </c:pt>
                <c:pt idx="760">
                  <c:v>74.239999999999995</c:v>
                </c:pt>
                <c:pt idx="761">
                  <c:v>72.92</c:v>
                </c:pt>
                <c:pt idx="762">
                  <c:v>72.84</c:v>
                </c:pt>
                <c:pt idx="763">
                  <c:v>72.52</c:v>
                </c:pt>
                <c:pt idx="764">
                  <c:v>73.11999999999999</c:v>
                </c:pt>
                <c:pt idx="765">
                  <c:v>72.760000000000005</c:v>
                </c:pt>
                <c:pt idx="766">
                  <c:v>71.11999999999999</c:v>
                </c:pt>
                <c:pt idx="767">
                  <c:v>70.36</c:v>
                </c:pt>
                <c:pt idx="768">
                  <c:v>70.212000000000003</c:v>
                </c:pt>
                <c:pt idx="769">
                  <c:v>70.2</c:v>
                </c:pt>
                <c:pt idx="770">
                  <c:v>70.348000000000013</c:v>
                </c:pt>
                <c:pt idx="771">
                  <c:v>69.16</c:v>
                </c:pt>
                <c:pt idx="772">
                  <c:v>69.88</c:v>
                </c:pt>
                <c:pt idx="773">
                  <c:v>70.040000000000006</c:v>
                </c:pt>
                <c:pt idx="774">
                  <c:v>70.319999999999993</c:v>
                </c:pt>
                <c:pt idx="775">
                  <c:v>70.52</c:v>
                </c:pt>
                <c:pt idx="776">
                  <c:v>69.2</c:v>
                </c:pt>
                <c:pt idx="777">
                  <c:v>69</c:v>
                </c:pt>
                <c:pt idx="778">
                  <c:v>67.031999999999996</c:v>
                </c:pt>
                <c:pt idx="779">
                  <c:v>67.087999999999994</c:v>
                </c:pt>
                <c:pt idx="780">
                  <c:v>66.8</c:v>
                </c:pt>
                <c:pt idx="781">
                  <c:v>66.440000000000026</c:v>
                </c:pt>
                <c:pt idx="782">
                  <c:v>66.239999999999995</c:v>
                </c:pt>
                <c:pt idx="783">
                  <c:v>67.08</c:v>
                </c:pt>
                <c:pt idx="784">
                  <c:v>66.2</c:v>
                </c:pt>
                <c:pt idx="785">
                  <c:v>66.36</c:v>
                </c:pt>
                <c:pt idx="786">
                  <c:v>67</c:v>
                </c:pt>
                <c:pt idx="787">
                  <c:v>65.52</c:v>
                </c:pt>
                <c:pt idx="788">
                  <c:v>65.040000000000006</c:v>
                </c:pt>
                <c:pt idx="789">
                  <c:v>65.08</c:v>
                </c:pt>
                <c:pt idx="790">
                  <c:v>65.56</c:v>
                </c:pt>
                <c:pt idx="791">
                  <c:v>64.84</c:v>
                </c:pt>
                <c:pt idx="792">
                  <c:v>64.679999999999978</c:v>
                </c:pt>
                <c:pt idx="793">
                  <c:v>64.440000000000026</c:v>
                </c:pt>
                <c:pt idx="794">
                  <c:v>64.036000000000001</c:v>
                </c:pt>
                <c:pt idx="795">
                  <c:v>64.644000000000005</c:v>
                </c:pt>
                <c:pt idx="796">
                  <c:v>63.796000000000063</c:v>
                </c:pt>
                <c:pt idx="797">
                  <c:v>64.239999999999995</c:v>
                </c:pt>
                <c:pt idx="798">
                  <c:v>64.72</c:v>
                </c:pt>
                <c:pt idx="799">
                  <c:v>66.64</c:v>
                </c:pt>
                <c:pt idx="800">
                  <c:v>65.679999999999978</c:v>
                </c:pt>
                <c:pt idx="801">
                  <c:v>64.400000000000006</c:v>
                </c:pt>
                <c:pt idx="802">
                  <c:v>63.92</c:v>
                </c:pt>
                <c:pt idx="803">
                  <c:v>63.879999999999995</c:v>
                </c:pt>
                <c:pt idx="804">
                  <c:v>61.556000000000004</c:v>
                </c:pt>
                <c:pt idx="805">
                  <c:v>61.6</c:v>
                </c:pt>
                <c:pt idx="806">
                  <c:v>61.04</c:v>
                </c:pt>
                <c:pt idx="807">
                  <c:v>60.784000000000006</c:v>
                </c:pt>
                <c:pt idx="808">
                  <c:v>60.28</c:v>
                </c:pt>
                <c:pt idx="809">
                  <c:v>60.68</c:v>
                </c:pt>
                <c:pt idx="810">
                  <c:v>60.839999999999996</c:v>
                </c:pt>
                <c:pt idx="811">
                  <c:v>61.760000000000012</c:v>
                </c:pt>
                <c:pt idx="812">
                  <c:v>61.32</c:v>
                </c:pt>
                <c:pt idx="813">
                  <c:v>59.660800000000002</c:v>
                </c:pt>
                <c:pt idx="814">
                  <c:v>60</c:v>
                </c:pt>
                <c:pt idx="815">
                  <c:v>60.6</c:v>
                </c:pt>
                <c:pt idx="816">
                  <c:v>60.8</c:v>
                </c:pt>
                <c:pt idx="817">
                  <c:v>60.36</c:v>
                </c:pt>
                <c:pt idx="818">
                  <c:v>59.44</c:v>
                </c:pt>
                <c:pt idx="819">
                  <c:v>59.879999999999995</c:v>
                </c:pt>
                <c:pt idx="820">
                  <c:v>61.08</c:v>
                </c:pt>
                <c:pt idx="821">
                  <c:v>61.08</c:v>
                </c:pt>
                <c:pt idx="822">
                  <c:v>62.42</c:v>
                </c:pt>
                <c:pt idx="823">
                  <c:v>64.540000000000006</c:v>
                </c:pt>
                <c:pt idx="824">
                  <c:v>63.64</c:v>
                </c:pt>
                <c:pt idx="825">
                  <c:v>61.92</c:v>
                </c:pt>
                <c:pt idx="826">
                  <c:v>63.36</c:v>
                </c:pt>
                <c:pt idx="827">
                  <c:v>63.44</c:v>
                </c:pt>
                <c:pt idx="828">
                  <c:v>61.56</c:v>
                </c:pt>
                <c:pt idx="829">
                  <c:v>61.96</c:v>
                </c:pt>
                <c:pt idx="830">
                  <c:v>62.720000000000013</c:v>
                </c:pt>
                <c:pt idx="831">
                  <c:v>62.6</c:v>
                </c:pt>
                <c:pt idx="832">
                  <c:v>63.64</c:v>
                </c:pt>
                <c:pt idx="833">
                  <c:v>63.120000000000012</c:v>
                </c:pt>
                <c:pt idx="834">
                  <c:v>61.28</c:v>
                </c:pt>
                <c:pt idx="835">
                  <c:v>60.52</c:v>
                </c:pt>
                <c:pt idx="836">
                  <c:v>60.244</c:v>
                </c:pt>
                <c:pt idx="837">
                  <c:v>60.8</c:v>
                </c:pt>
                <c:pt idx="838">
                  <c:v>60</c:v>
                </c:pt>
                <c:pt idx="839">
                  <c:v>60.355999999999995</c:v>
                </c:pt>
                <c:pt idx="840">
                  <c:v>61.24</c:v>
                </c:pt>
                <c:pt idx="841">
                  <c:v>63.204000000000001</c:v>
                </c:pt>
                <c:pt idx="842">
                  <c:v>63.160000000000011</c:v>
                </c:pt>
                <c:pt idx="843">
                  <c:v>63.68</c:v>
                </c:pt>
                <c:pt idx="844">
                  <c:v>64.440000000000026</c:v>
                </c:pt>
                <c:pt idx="845">
                  <c:v>64.2</c:v>
                </c:pt>
                <c:pt idx="846">
                  <c:v>64.599999999999994</c:v>
                </c:pt>
                <c:pt idx="847">
                  <c:v>65.92</c:v>
                </c:pt>
                <c:pt idx="848">
                  <c:v>66.691999999999993</c:v>
                </c:pt>
                <c:pt idx="849">
                  <c:v>67.2</c:v>
                </c:pt>
                <c:pt idx="850">
                  <c:v>69.239999999999995</c:v>
                </c:pt>
                <c:pt idx="851">
                  <c:v>70.274799999999999</c:v>
                </c:pt>
                <c:pt idx="852">
                  <c:v>67.959999999999994</c:v>
                </c:pt>
                <c:pt idx="853">
                  <c:v>67.88</c:v>
                </c:pt>
                <c:pt idx="854">
                  <c:v>67.760000000000005</c:v>
                </c:pt>
                <c:pt idx="855">
                  <c:v>67.52</c:v>
                </c:pt>
                <c:pt idx="856">
                  <c:v>67.763999999999996</c:v>
                </c:pt>
                <c:pt idx="857">
                  <c:v>66.28</c:v>
                </c:pt>
                <c:pt idx="858">
                  <c:v>68.2</c:v>
                </c:pt>
                <c:pt idx="859">
                  <c:v>68.400000000000006</c:v>
                </c:pt>
                <c:pt idx="860">
                  <c:v>71.84</c:v>
                </c:pt>
                <c:pt idx="861">
                  <c:v>71.831999999999994</c:v>
                </c:pt>
                <c:pt idx="862">
                  <c:v>70.88</c:v>
                </c:pt>
                <c:pt idx="863">
                  <c:v>67.679999999999978</c:v>
                </c:pt>
                <c:pt idx="864">
                  <c:v>67.599999999999994</c:v>
                </c:pt>
                <c:pt idx="865">
                  <c:v>66.512</c:v>
                </c:pt>
                <c:pt idx="866">
                  <c:v>68.2</c:v>
                </c:pt>
                <c:pt idx="867">
                  <c:v>66.679499999999948</c:v>
                </c:pt>
                <c:pt idx="868">
                  <c:v>67.444000000000685</c:v>
                </c:pt>
                <c:pt idx="869">
                  <c:v>65.988</c:v>
                </c:pt>
                <c:pt idx="870">
                  <c:v>64.64</c:v>
                </c:pt>
                <c:pt idx="871">
                  <c:v>64.48</c:v>
                </c:pt>
                <c:pt idx="872">
                  <c:v>63.2</c:v>
                </c:pt>
                <c:pt idx="873">
                  <c:v>63.32</c:v>
                </c:pt>
                <c:pt idx="874">
                  <c:v>66.239999999999995</c:v>
                </c:pt>
                <c:pt idx="875">
                  <c:v>65.11999999999999</c:v>
                </c:pt>
                <c:pt idx="876">
                  <c:v>67.36</c:v>
                </c:pt>
                <c:pt idx="877">
                  <c:v>66.64</c:v>
                </c:pt>
                <c:pt idx="878">
                  <c:v>65.48</c:v>
                </c:pt>
                <c:pt idx="879">
                  <c:v>65.8</c:v>
                </c:pt>
                <c:pt idx="880">
                  <c:v>62.36</c:v>
                </c:pt>
                <c:pt idx="881">
                  <c:v>62.2</c:v>
                </c:pt>
                <c:pt idx="882">
                  <c:v>61.28</c:v>
                </c:pt>
                <c:pt idx="883">
                  <c:v>61.879999999999995</c:v>
                </c:pt>
                <c:pt idx="884">
                  <c:v>63.04</c:v>
                </c:pt>
                <c:pt idx="885">
                  <c:v>63.24</c:v>
                </c:pt>
                <c:pt idx="886">
                  <c:v>64.319999999999993</c:v>
                </c:pt>
                <c:pt idx="887">
                  <c:v>64.28</c:v>
                </c:pt>
                <c:pt idx="888">
                  <c:v>64.88</c:v>
                </c:pt>
                <c:pt idx="889">
                  <c:v>62.8</c:v>
                </c:pt>
                <c:pt idx="890">
                  <c:v>62.96</c:v>
                </c:pt>
                <c:pt idx="891">
                  <c:v>62.08</c:v>
                </c:pt>
                <c:pt idx="892">
                  <c:v>61.28</c:v>
                </c:pt>
                <c:pt idx="893">
                  <c:v>60.847999999999999</c:v>
                </c:pt>
                <c:pt idx="894">
                  <c:v>61.92</c:v>
                </c:pt>
                <c:pt idx="895">
                  <c:v>63.2</c:v>
                </c:pt>
                <c:pt idx="896">
                  <c:v>64.28</c:v>
                </c:pt>
                <c:pt idx="897">
                  <c:v>64.36</c:v>
                </c:pt>
                <c:pt idx="898">
                  <c:v>62.160000000000011</c:v>
                </c:pt>
                <c:pt idx="899">
                  <c:v>59.879999999999995</c:v>
                </c:pt>
                <c:pt idx="900">
                  <c:v>59.839999999999996</c:v>
                </c:pt>
                <c:pt idx="901">
                  <c:v>60.64</c:v>
                </c:pt>
                <c:pt idx="902">
                  <c:v>60.724000000000011</c:v>
                </c:pt>
                <c:pt idx="903">
                  <c:v>61.64</c:v>
                </c:pt>
                <c:pt idx="904">
                  <c:v>59.24</c:v>
                </c:pt>
                <c:pt idx="905">
                  <c:v>58.96</c:v>
                </c:pt>
                <c:pt idx="906">
                  <c:v>58.36</c:v>
                </c:pt>
                <c:pt idx="907">
                  <c:v>58.28</c:v>
                </c:pt>
                <c:pt idx="908">
                  <c:v>58.120000000000012</c:v>
                </c:pt>
                <c:pt idx="909">
                  <c:v>57.955999999999996</c:v>
                </c:pt>
                <c:pt idx="910">
                  <c:v>57.92</c:v>
                </c:pt>
                <c:pt idx="911">
                  <c:v>57.96</c:v>
                </c:pt>
                <c:pt idx="912">
                  <c:v>57.879999999999995</c:v>
                </c:pt>
                <c:pt idx="913">
                  <c:v>57</c:v>
                </c:pt>
                <c:pt idx="914">
                  <c:v>56.760000000000012</c:v>
                </c:pt>
                <c:pt idx="915">
                  <c:v>56.879999999999995</c:v>
                </c:pt>
                <c:pt idx="916">
                  <c:v>57.2</c:v>
                </c:pt>
                <c:pt idx="917">
                  <c:v>57.160000000000011</c:v>
                </c:pt>
                <c:pt idx="918">
                  <c:v>58.04</c:v>
                </c:pt>
                <c:pt idx="919">
                  <c:v>57.32</c:v>
                </c:pt>
                <c:pt idx="920">
                  <c:v>57.36</c:v>
                </c:pt>
                <c:pt idx="921">
                  <c:v>57.44</c:v>
                </c:pt>
                <c:pt idx="922">
                  <c:v>57.276000000000003</c:v>
                </c:pt>
                <c:pt idx="923">
                  <c:v>58.2</c:v>
                </c:pt>
                <c:pt idx="924">
                  <c:v>57.64</c:v>
                </c:pt>
                <c:pt idx="925">
                  <c:v>57.760000000000012</c:v>
                </c:pt>
                <c:pt idx="926">
                  <c:v>57.8</c:v>
                </c:pt>
                <c:pt idx="927">
                  <c:v>55.48</c:v>
                </c:pt>
                <c:pt idx="928">
                  <c:v>54.96</c:v>
                </c:pt>
                <c:pt idx="929">
                  <c:v>55.6</c:v>
                </c:pt>
                <c:pt idx="930">
                  <c:v>55.36</c:v>
                </c:pt>
                <c:pt idx="931">
                  <c:v>54.96</c:v>
                </c:pt>
                <c:pt idx="932">
                  <c:v>53.2</c:v>
                </c:pt>
                <c:pt idx="933">
                  <c:v>52.760000000000012</c:v>
                </c:pt>
                <c:pt idx="934">
                  <c:v>53.120000000000012</c:v>
                </c:pt>
                <c:pt idx="935">
                  <c:v>53.160000000000011</c:v>
                </c:pt>
                <c:pt idx="936">
                  <c:v>53.120000000000012</c:v>
                </c:pt>
                <c:pt idx="937">
                  <c:v>53.153300000000002</c:v>
                </c:pt>
                <c:pt idx="938">
                  <c:v>53.18</c:v>
                </c:pt>
                <c:pt idx="939">
                  <c:v>53.32</c:v>
                </c:pt>
                <c:pt idx="940">
                  <c:v>54.4</c:v>
                </c:pt>
                <c:pt idx="941">
                  <c:v>55.04</c:v>
                </c:pt>
                <c:pt idx="942">
                  <c:v>54</c:v>
                </c:pt>
                <c:pt idx="943">
                  <c:v>54.52</c:v>
                </c:pt>
                <c:pt idx="944">
                  <c:v>54.28</c:v>
                </c:pt>
                <c:pt idx="945">
                  <c:v>54.2</c:v>
                </c:pt>
                <c:pt idx="946">
                  <c:v>53.720000000000013</c:v>
                </c:pt>
                <c:pt idx="947">
                  <c:v>52.924000000000007</c:v>
                </c:pt>
                <c:pt idx="948">
                  <c:v>52.921000000000006</c:v>
                </c:pt>
                <c:pt idx="949">
                  <c:v>53.260000000000012</c:v>
                </c:pt>
                <c:pt idx="950">
                  <c:v>54.290000000000013</c:v>
                </c:pt>
                <c:pt idx="951">
                  <c:v>55.01</c:v>
                </c:pt>
                <c:pt idx="952">
                  <c:v>54.924000000000007</c:v>
                </c:pt>
                <c:pt idx="953">
                  <c:v>55.36</c:v>
                </c:pt>
                <c:pt idx="954">
                  <c:v>54.379999999999995</c:v>
                </c:pt>
                <c:pt idx="955">
                  <c:v>53.32</c:v>
                </c:pt>
                <c:pt idx="956">
                  <c:v>52.839999999999996</c:v>
                </c:pt>
                <c:pt idx="957">
                  <c:v>53.049000000000007</c:v>
                </c:pt>
                <c:pt idx="958">
                  <c:v>54.839999999999996</c:v>
                </c:pt>
                <c:pt idx="959">
                  <c:v>54.82</c:v>
                </c:pt>
                <c:pt idx="960">
                  <c:v>56.36</c:v>
                </c:pt>
                <c:pt idx="961">
                  <c:v>56.653999999999996</c:v>
                </c:pt>
                <c:pt idx="962">
                  <c:v>56.32</c:v>
                </c:pt>
                <c:pt idx="963">
                  <c:v>56.39</c:v>
                </c:pt>
                <c:pt idx="964">
                  <c:v>56.55</c:v>
                </c:pt>
                <c:pt idx="965">
                  <c:v>55.160000000000011</c:v>
                </c:pt>
                <c:pt idx="966">
                  <c:v>56.202000000000012</c:v>
                </c:pt>
                <c:pt idx="967">
                  <c:v>55.9</c:v>
                </c:pt>
                <c:pt idx="968">
                  <c:v>55.120000000000012</c:v>
                </c:pt>
                <c:pt idx="969">
                  <c:v>57.56</c:v>
                </c:pt>
                <c:pt idx="970">
                  <c:v>58.97</c:v>
                </c:pt>
                <c:pt idx="971">
                  <c:v>58.748000000000012</c:v>
                </c:pt>
                <c:pt idx="972">
                  <c:v>58.720000000000013</c:v>
                </c:pt>
                <c:pt idx="973">
                  <c:v>59.120000000000012</c:v>
                </c:pt>
                <c:pt idx="974">
                  <c:v>60.726000000000013</c:v>
                </c:pt>
                <c:pt idx="975">
                  <c:v>60.98</c:v>
                </c:pt>
                <c:pt idx="976">
                  <c:v>60.349999999999994</c:v>
                </c:pt>
                <c:pt idx="977">
                  <c:v>57.9</c:v>
                </c:pt>
                <c:pt idx="978">
                  <c:v>57.809000000000005</c:v>
                </c:pt>
                <c:pt idx="979">
                  <c:v>57.57</c:v>
                </c:pt>
                <c:pt idx="980">
                  <c:v>56.09</c:v>
                </c:pt>
                <c:pt idx="981">
                  <c:v>56.252000000000002</c:v>
                </c:pt>
                <c:pt idx="982">
                  <c:v>56.8</c:v>
                </c:pt>
                <c:pt idx="983">
                  <c:v>55.93</c:v>
                </c:pt>
                <c:pt idx="984">
                  <c:v>55.44</c:v>
                </c:pt>
                <c:pt idx="985">
                  <c:v>55.41</c:v>
                </c:pt>
                <c:pt idx="986">
                  <c:v>55.92</c:v>
                </c:pt>
                <c:pt idx="987">
                  <c:v>56.118000000000002</c:v>
                </c:pt>
                <c:pt idx="988">
                  <c:v>55.94</c:v>
                </c:pt>
                <c:pt idx="989">
                  <c:v>55.534000000000006</c:v>
                </c:pt>
                <c:pt idx="990">
                  <c:v>55.190000000000012</c:v>
                </c:pt>
                <c:pt idx="991">
                  <c:v>55.124000000000002</c:v>
                </c:pt>
                <c:pt idx="992">
                  <c:v>54.373999999999995</c:v>
                </c:pt>
                <c:pt idx="993">
                  <c:v>54.349999999999994</c:v>
                </c:pt>
                <c:pt idx="994">
                  <c:v>54.91</c:v>
                </c:pt>
                <c:pt idx="995">
                  <c:v>55.380399999999995</c:v>
                </c:pt>
                <c:pt idx="996">
                  <c:v>54.09</c:v>
                </c:pt>
                <c:pt idx="997">
                  <c:v>52.8626</c:v>
                </c:pt>
                <c:pt idx="998">
                  <c:v>53.620000000000012</c:v>
                </c:pt>
                <c:pt idx="999">
                  <c:v>53.05</c:v>
                </c:pt>
                <c:pt idx="1000">
                  <c:v>54</c:v>
                </c:pt>
                <c:pt idx="1001">
                  <c:v>54.318999999999996</c:v>
                </c:pt>
                <c:pt idx="1002">
                  <c:v>54.82</c:v>
                </c:pt>
                <c:pt idx="1003">
                  <c:v>54.913999999999994</c:v>
                </c:pt>
                <c:pt idx="1004">
                  <c:v>56.18</c:v>
                </c:pt>
                <c:pt idx="1005">
                  <c:v>54.11</c:v>
                </c:pt>
                <c:pt idx="1006">
                  <c:v>51.405000000000001</c:v>
                </c:pt>
                <c:pt idx="1007">
                  <c:v>51.656800000000004</c:v>
                </c:pt>
                <c:pt idx="1008">
                  <c:v>51.165900000000306</c:v>
                </c:pt>
                <c:pt idx="1009">
                  <c:v>51.460300000000011</c:v>
                </c:pt>
                <c:pt idx="1010">
                  <c:v>51.760000000000012</c:v>
                </c:pt>
                <c:pt idx="1011">
                  <c:v>51.440999999999995</c:v>
                </c:pt>
                <c:pt idx="1012">
                  <c:v>50.704000000000001</c:v>
                </c:pt>
                <c:pt idx="1013">
                  <c:v>50.71</c:v>
                </c:pt>
                <c:pt idx="1014">
                  <c:v>50.75</c:v>
                </c:pt>
                <c:pt idx="1015">
                  <c:v>50.67</c:v>
                </c:pt>
                <c:pt idx="1016">
                  <c:v>50.730000000000011</c:v>
                </c:pt>
                <c:pt idx="1017">
                  <c:v>50.08</c:v>
                </c:pt>
                <c:pt idx="1018">
                  <c:v>49.78</c:v>
                </c:pt>
                <c:pt idx="1019">
                  <c:v>49.271000000000001</c:v>
                </c:pt>
                <c:pt idx="1020">
                  <c:v>49.14</c:v>
                </c:pt>
                <c:pt idx="1021">
                  <c:v>49.08</c:v>
                </c:pt>
                <c:pt idx="1022">
                  <c:v>48.56</c:v>
                </c:pt>
                <c:pt idx="1023">
                  <c:v>48.68</c:v>
                </c:pt>
                <c:pt idx="1024">
                  <c:v>48.24</c:v>
                </c:pt>
                <c:pt idx="1025">
                  <c:v>48.64</c:v>
                </c:pt>
                <c:pt idx="1026">
                  <c:v>48.86</c:v>
                </c:pt>
                <c:pt idx="1027">
                  <c:v>47.87</c:v>
                </c:pt>
                <c:pt idx="1028">
                  <c:v>48.879999999999995</c:v>
                </c:pt>
                <c:pt idx="1029">
                  <c:v>47.98</c:v>
                </c:pt>
                <c:pt idx="1030">
                  <c:v>47.87</c:v>
                </c:pt>
                <c:pt idx="1031">
                  <c:v>47.99</c:v>
                </c:pt>
                <c:pt idx="1032">
                  <c:v>47.49</c:v>
                </c:pt>
                <c:pt idx="1033">
                  <c:v>47.51</c:v>
                </c:pt>
                <c:pt idx="1034">
                  <c:v>47.33</c:v>
                </c:pt>
                <c:pt idx="1035">
                  <c:v>47.27</c:v>
                </c:pt>
                <c:pt idx="1036">
                  <c:v>47.13</c:v>
                </c:pt>
                <c:pt idx="1037">
                  <c:v>47.266000000000012</c:v>
                </c:pt>
                <c:pt idx="1038">
                  <c:v>46.61</c:v>
                </c:pt>
                <c:pt idx="1039">
                  <c:v>47.75</c:v>
                </c:pt>
                <c:pt idx="1040">
                  <c:v>48.28</c:v>
                </c:pt>
                <c:pt idx="1041">
                  <c:v>47.4</c:v>
                </c:pt>
                <c:pt idx="1042">
                  <c:v>49.120000000000012</c:v>
                </c:pt>
                <c:pt idx="1043">
                  <c:v>48.488</c:v>
                </c:pt>
                <c:pt idx="1044">
                  <c:v>47.261000000000003</c:v>
                </c:pt>
                <c:pt idx="1045">
                  <c:v>47.451999999999998</c:v>
                </c:pt>
                <c:pt idx="1046">
                  <c:v>47.109000000000002</c:v>
                </c:pt>
                <c:pt idx="1047">
                  <c:v>46.67</c:v>
                </c:pt>
                <c:pt idx="1048">
                  <c:v>45.788000000000011</c:v>
                </c:pt>
                <c:pt idx="1049">
                  <c:v>45.68</c:v>
                </c:pt>
                <c:pt idx="1050">
                  <c:v>45.48</c:v>
                </c:pt>
                <c:pt idx="1051">
                  <c:v>45.1</c:v>
                </c:pt>
                <c:pt idx="1052">
                  <c:v>44.78</c:v>
                </c:pt>
                <c:pt idx="1053">
                  <c:v>44.98</c:v>
                </c:pt>
                <c:pt idx="1054">
                  <c:v>44.879999999999995</c:v>
                </c:pt>
                <c:pt idx="1055">
                  <c:v>44.37</c:v>
                </c:pt>
                <c:pt idx="1056">
                  <c:v>44.49</c:v>
                </c:pt>
                <c:pt idx="1057">
                  <c:v>44.98</c:v>
                </c:pt>
                <c:pt idx="1058">
                  <c:v>45.17</c:v>
                </c:pt>
                <c:pt idx="1059">
                  <c:v>44.56</c:v>
                </c:pt>
                <c:pt idx="1060">
                  <c:v>45.309999999999995</c:v>
                </c:pt>
                <c:pt idx="1061">
                  <c:v>44.6</c:v>
                </c:pt>
                <c:pt idx="1062">
                  <c:v>44.87</c:v>
                </c:pt>
                <c:pt idx="1063">
                  <c:v>44.24</c:v>
                </c:pt>
                <c:pt idx="1064">
                  <c:v>44.27</c:v>
                </c:pt>
                <c:pt idx="1065">
                  <c:v>43.94</c:v>
                </c:pt>
                <c:pt idx="1066">
                  <c:v>44.3</c:v>
                </c:pt>
                <c:pt idx="1067">
                  <c:v>43.879999999999995</c:v>
                </c:pt>
                <c:pt idx="1068">
                  <c:v>44.78</c:v>
                </c:pt>
                <c:pt idx="1069">
                  <c:v>44.42</c:v>
                </c:pt>
                <c:pt idx="1070">
                  <c:v>44.790000000000013</c:v>
                </c:pt>
                <c:pt idx="1071">
                  <c:v>44.2</c:v>
                </c:pt>
                <c:pt idx="1072">
                  <c:v>43.91</c:v>
                </c:pt>
                <c:pt idx="1073">
                  <c:v>42.808</c:v>
                </c:pt>
                <c:pt idx="1074">
                  <c:v>42.51</c:v>
                </c:pt>
                <c:pt idx="1075">
                  <c:v>42.720000000000013</c:v>
                </c:pt>
                <c:pt idx="1076">
                  <c:v>44.660000000000011</c:v>
                </c:pt>
                <c:pt idx="1077">
                  <c:v>43.379999999999995</c:v>
                </c:pt>
                <c:pt idx="1078">
                  <c:v>44.730000000000011</c:v>
                </c:pt>
                <c:pt idx="1079">
                  <c:v>45.2</c:v>
                </c:pt>
                <c:pt idx="1080">
                  <c:v>44.42</c:v>
                </c:pt>
                <c:pt idx="1081">
                  <c:v>44.04</c:v>
                </c:pt>
                <c:pt idx="1082">
                  <c:v>43.13</c:v>
                </c:pt>
                <c:pt idx="1083">
                  <c:v>43.1</c:v>
                </c:pt>
                <c:pt idx="1084">
                  <c:v>42.721000000000011</c:v>
                </c:pt>
                <c:pt idx="1085">
                  <c:v>42.87</c:v>
                </c:pt>
                <c:pt idx="1086">
                  <c:v>42.339999999999996</c:v>
                </c:pt>
                <c:pt idx="1087">
                  <c:v>42.120000000000012</c:v>
                </c:pt>
                <c:pt idx="1088">
                  <c:v>42.83</c:v>
                </c:pt>
                <c:pt idx="1089">
                  <c:v>42.04</c:v>
                </c:pt>
                <c:pt idx="1090">
                  <c:v>41.174000000000007</c:v>
                </c:pt>
                <c:pt idx="1091">
                  <c:v>40.949999999999996</c:v>
                </c:pt>
                <c:pt idx="1092">
                  <c:v>40.520000000000003</c:v>
                </c:pt>
                <c:pt idx="1093">
                  <c:v>40.160000000000011</c:v>
                </c:pt>
                <c:pt idx="1094">
                  <c:v>40.4</c:v>
                </c:pt>
                <c:pt idx="1095">
                  <c:v>40.11</c:v>
                </c:pt>
                <c:pt idx="1096">
                  <c:v>40.090000000000003</c:v>
                </c:pt>
                <c:pt idx="1097">
                  <c:v>39.21</c:v>
                </c:pt>
                <c:pt idx="1098">
                  <c:v>38.809999999999995</c:v>
                </c:pt>
                <c:pt idx="1099">
                  <c:v>39.17</c:v>
                </c:pt>
                <c:pt idx="1100">
                  <c:v>38.43</c:v>
                </c:pt>
                <c:pt idx="1101">
                  <c:v>38.42</c:v>
                </c:pt>
                <c:pt idx="1102">
                  <c:v>38.290000000000013</c:v>
                </c:pt>
                <c:pt idx="1103">
                  <c:v>38.94</c:v>
                </c:pt>
                <c:pt idx="1104">
                  <c:v>39.08</c:v>
                </c:pt>
                <c:pt idx="1105">
                  <c:v>39.15</c:v>
                </c:pt>
                <c:pt idx="1106">
                  <c:v>38.720000000000013</c:v>
                </c:pt>
                <c:pt idx="1107">
                  <c:v>39.17</c:v>
                </c:pt>
                <c:pt idx="1108">
                  <c:v>38.879999999999995</c:v>
                </c:pt>
                <c:pt idx="1109">
                  <c:v>40.04</c:v>
                </c:pt>
                <c:pt idx="1110">
                  <c:v>39.58</c:v>
                </c:pt>
                <c:pt idx="1111">
                  <c:v>39.97</c:v>
                </c:pt>
                <c:pt idx="1112">
                  <c:v>41.1</c:v>
                </c:pt>
                <c:pt idx="1113">
                  <c:v>40.340999999999994</c:v>
                </c:pt>
                <c:pt idx="1114">
                  <c:v>39.339999999999996</c:v>
                </c:pt>
                <c:pt idx="1115">
                  <c:v>39.33</c:v>
                </c:pt>
                <c:pt idx="1116">
                  <c:v>40.11</c:v>
                </c:pt>
                <c:pt idx="1117">
                  <c:v>40.776000000000003</c:v>
                </c:pt>
                <c:pt idx="1118">
                  <c:v>39.541000000000004</c:v>
                </c:pt>
                <c:pt idx="1119">
                  <c:v>40.04</c:v>
                </c:pt>
                <c:pt idx="1120">
                  <c:v>39.410000000000004</c:v>
                </c:pt>
                <c:pt idx="1121">
                  <c:v>38.800000000000004</c:v>
                </c:pt>
                <c:pt idx="1122">
                  <c:v>39.839999999999996</c:v>
                </c:pt>
                <c:pt idx="1123">
                  <c:v>41.839999999999996</c:v>
                </c:pt>
                <c:pt idx="1124">
                  <c:v>41.620000000000012</c:v>
                </c:pt>
                <c:pt idx="1125">
                  <c:v>42.611000000000004</c:v>
                </c:pt>
                <c:pt idx="1126">
                  <c:v>41.790000000000013</c:v>
                </c:pt>
                <c:pt idx="1127">
                  <c:v>40.99</c:v>
                </c:pt>
                <c:pt idx="1128">
                  <c:v>40.480000000000004</c:v>
                </c:pt>
                <c:pt idx="1129">
                  <c:v>40.849999999999994</c:v>
                </c:pt>
                <c:pt idx="1130">
                  <c:v>40.349999999999994</c:v>
                </c:pt>
                <c:pt idx="1131">
                  <c:v>40.44</c:v>
                </c:pt>
                <c:pt idx="1132">
                  <c:v>40.39</c:v>
                </c:pt>
                <c:pt idx="1133">
                  <c:v>39.51</c:v>
                </c:pt>
                <c:pt idx="1134">
                  <c:v>39.071000000000005</c:v>
                </c:pt>
                <c:pt idx="1135">
                  <c:v>38.51</c:v>
                </c:pt>
                <c:pt idx="1136">
                  <c:v>38.46</c:v>
                </c:pt>
                <c:pt idx="1137">
                  <c:v>37.42</c:v>
                </c:pt>
                <c:pt idx="1138">
                  <c:v>37.290000000000013</c:v>
                </c:pt>
                <c:pt idx="1139">
                  <c:v>37.090000000000003</c:v>
                </c:pt>
                <c:pt idx="1140">
                  <c:v>37.379999999999995</c:v>
                </c:pt>
                <c:pt idx="1141">
                  <c:v>37.179000000000002</c:v>
                </c:pt>
                <c:pt idx="1142">
                  <c:v>36.769000000000013</c:v>
                </c:pt>
                <c:pt idx="1143">
                  <c:v>36.65</c:v>
                </c:pt>
                <c:pt idx="1144">
                  <c:v>36.51</c:v>
                </c:pt>
                <c:pt idx="1145">
                  <c:v>36.630000000000003</c:v>
                </c:pt>
                <c:pt idx="1146">
                  <c:v>36.89</c:v>
                </c:pt>
                <c:pt idx="1147">
                  <c:v>36.760000000000012</c:v>
                </c:pt>
                <c:pt idx="1148">
                  <c:v>36.700000000000003</c:v>
                </c:pt>
                <c:pt idx="1149">
                  <c:v>36.89</c:v>
                </c:pt>
                <c:pt idx="1150">
                  <c:v>36.9</c:v>
                </c:pt>
                <c:pt idx="1151">
                  <c:v>36.83</c:v>
                </c:pt>
                <c:pt idx="1152">
                  <c:v>35.980000000000004</c:v>
                </c:pt>
                <c:pt idx="1153">
                  <c:v>35.849999999999994</c:v>
                </c:pt>
                <c:pt idx="1154">
                  <c:v>35.94</c:v>
                </c:pt>
                <c:pt idx="1155">
                  <c:v>36.349999999999994</c:v>
                </c:pt>
                <c:pt idx="1156">
                  <c:v>36.61</c:v>
                </c:pt>
                <c:pt idx="1157">
                  <c:v>36.33</c:v>
                </c:pt>
                <c:pt idx="1158">
                  <c:v>36.54</c:v>
                </c:pt>
                <c:pt idx="1159">
                  <c:v>36.64</c:v>
                </c:pt>
                <c:pt idx="1160">
                  <c:v>36.39</c:v>
                </c:pt>
                <c:pt idx="1161">
                  <c:v>36.790000000000013</c:v>
                </c:pt>
                <c:pt idx="1162">
                  <c:v>37.849999999999994</c:v>
                </c:pt>
                <c:pt idx="1163">
                  <c:v>38.03</c:v>
                </c:pt>
                <c:pt idx="1164">
                  <c:v>38.531000000000006</c:v>
                </c:pt>
                <c:pt idx="1165">
                  <c:v>38.160000000000011</c:v>
                </c:pt>
                <c:pt idx="1166">
                  <c:v>38.64</c:v>
                </c:pt>
                <c:pt idx="1167">
                  <c:v>37.97</c:v>
                </c:pt>
                <c:pt idx="1168">
                  <c:v>37.67</c:v>
                </c:pt>
                <c:pt idx="1169">
                  <c:v>37.97</c:v>
                </c:pt>
                <c:pt idx="1170">
                  <c:v>39.18</c:v>
                </c:pt>
                <c:pt idx="1171">
                  <c:v>38.94</c:v>
                </c:pt>
                <c:pt idx="1172">
                  <c:v>38.790000000000013</c:v>
                </c:pt>
                <c:pt idx="1173">
                  <c:v>39.08</c:v>
                </c:pt>
                <c:pt idx="1174">
                  <c:v>38.68</c:v>
                </c:pt>
                <c:pt idx="1175">
                  <c:v>38.020000000000003</c:v>
                </c:pt>
                <c:pt idx="1176">
                  <c:v>38</c:v>
                </c:pt>
                <c:pt idx="1177">
                  <c:v>37.92</c:v>
                </c:pt>
                <c:pt idx="1178">
                  <c:v>37.17</c:v>
                </c:pt>
                <c:pt idx="1179">
                  <c:v>36.630000000000003</c:v>
                </c:pt>
                <c:pt idx="1180">
                  <c:v>36.383999999999993</c:v>
                </c:pt>
                <c:pt idx="1181">
                  <c:v>36.630000000000003</c:v>
                </c:pt>
                <c:pt idx="1182">
                  <c:v>36.43</c:v>
                </c:pt>
                <c:pt idx="1183">
                  <c:v>35.980000000000004</c:v>
                </c:pt>
                <c:pt idx="1184">
                  <c:v>35.68</c:v>
                </c:pt>
                <c:pt idx="1185">
                  <c:v>34.839999999999996</c:v>
                </c:pt>
                <c:pt idx="1186">
                  <c:v>34.93</c:v>
                </c:pt>
                <c:pt idx="1187">
                  <c:v>35.449999999999996</c:v>
                </c:pt>
                <c:pt idx="1188">
                  <c:v>35.75</c:v>
                </c:pt>
                <c:pt idx="1189">
                  <c:v>35.93</c:v>
                </c:pt>
                <c:pt idx="1190">
                  <c:v>36.11</c:v>
                </c:pt>
                <c:pt idx="1191">
                  <c:v>35.89</c:v>
                </c:pt>
                <c:pt idx="1192">
                  <c:v>36.17</c:v>
                </c:pt>
                <c:pt idx="1193">
                  <c:v>36.58</c:v>
                </c:pt>
                <c:pt idx="1194">
                  <c:v>35.99</c:v>
                </c:pt>
                <c:pt idx="1195">
                  <c:v>36.11</c:v>
                </c:pt>
                <c:pt idx="1196">
                  <c:v>36.74</c:v>
                </c:pt>
                <c:pt idx="1197">
                  <c:v>36.18</c:v>
                </c:pt>
                <c:pt idx="1198">
                  <c:v>36.800000000000004</c:v>
                </c:pt>
                <c:pt idx="1199">
                  <c:v>37.67</c:v>
                </c:pt>
                <c:pt idx="1200">
                  <c:v>37.6</c:v>
                </c:pt>
                <c:pt idx="1201">
                  <c:v>35.97</c:v>
                </c:pt>
                <c:pt idx="1202">
                  <c:v>35.5</c:v>
                </c:pt>
                <c:pt idx="1203">
                  <c:v>35.21</c:v>
                </c:pt>
                <c:pt idx="1204">
                  <c:v>35.75</c:v>
                </c:pt>
                <c:pt idx="1205">
                  <c:v>34.74</c:v>
                </c:pt>
                <c:pt idx="1206">
                  <c:v>34.270000000000003</c:v>
                </c:pt>
                <c:pt idx="1207">
                  <c:v>33.849999999999994</c:v>
                </c:pt>
                <c:pt idx="1208">
                  <c:v>33.82</c:v>
                </c:pt>
                <c:pt idx="1209">
                  <c:v>33.42</c:v>
                </c:pt>
                <c:pt idx="1210">
                  <c:v>33.71</c:v>
                </c:pt>
                <c:pt idx="1211">
                  <c:v>33.49</c:v>
                </c:pt>
                <c:pt idx="1212">
                  <c:v>33.21</c:v>
                </c:pt>
                <c:pt idx="1213">
                  <c:v>33.090000000000003</c:v>
                </c:pt>
                <c:pt idx="1214">
                  <c:v>32.730000000000011</c:v>
                </c:pt>
                <c:pt idx="1215">
                  <c:v>33.06</c:v>
                </c:pt>
                <c:pt idx="1216">
                  <c:v>33.290000000000013</c:v>
                </c:pt>
                <c:pt idx="1217">
                  <c:v>33.11</c:v>
                </c:pt>
                <c:pt idx="1218">
                  <c:v>32.839999999999996</c:v>
                </c:pt>
                <c:pt idx="1219">
                  <c:v>33.07</c:v>
                </c:pt>
                <c:pt idx="1220">
                  <c:v>32.75</c:v>
                </c:pt>
                <c:pt idx="1221">
                  <c:v>33.56</c:v>
                </c:pt>
                <c:pt idx="1222">
                  <c:v>32.68</c:v>
                </c:pt>
                <c:pt idx="1223">
                  <c:v>32.660000000000011</c:v>
                </c:pt>
                <c:pt idx="1224">
                  <c:v>32.78</c:v>
                </c:pt>
                <c:pt idx="1225">
                  <c:v>32.260000000000012</c:v>
                </c:pt>
                <c:pt idx="1226">
                  <c:v>31.9</c:v>
                </c:pt>
                <c:pt idx="1227">
                  <c:v>31.66</c:v>
                </c:pt>
                <c:pt idx="1228">
                  <c:v>31.850999999999999</c:v>
                </c:pt>
                <c:pt idx="1229">
                  <c:v>32</c:v>
                </c:pt>
                <c:pt idx="1230">
                  <c:v>32.18</c:v>
                </c:pt>
                <c:pt idx="1231">
                  <c:v>31.69</c:v>
                </c:pt>
                <c:pt idx="1232">
                  <c:v>31.37</c:v>
                </c:pt>
                <c:pt idx="1233">
                  <c:v>31.4</c:v>
                </c:pt>
                <c:pt idx="1234">
                  <c:v>31.419999999999987</c:v>
                </c:pt>
                <c:pt idx="1235">
                  <c:v>31.259999999999987</c:v>
                </c:pt>
                <c:pt idx="1236">
                  <c:v>31.32</c:v>
                </c:pt>
                <c:pt idx="1237">
                  <c:v>31.45</c:v>
                </c:pt>
                <c:pt idx="1238">
                  <c:v>31.71</c:v>
                </c:pt>
                <c:pt idx="1239">
                  <c:v>31.759999999999987</c:v>
                </c:pt>
                <c:pt idx="1240">
                  <c:v>31.979999999999986</c:v>
                </c:pt>
                <c:pt idx="1241">
                  <c:v>31.29</c:v>
                </c:pt>
                <c:pt idx="1242">
                  <c:v>31.14</c:v>
                </c:pt>
                <c:pt idx="1243">
                  <c:v>31.34</c:v>
                </c:pt>
                <c:pt idx="1244">
                  <c:v>32.08</c:v>
                </c:pt>
                <c:pt idx="1245">
                  <c:v>32.260000000000012</c:v>
                </c:pt>
                <c:pt idx="1246">
                  <c:v>32.290000000000013</c:v>
                </c:pt>
                <c:pt idx="1247">
                  <c:v>31.87</c:v>
                </c:pt>
                <c:pt idx="1248">
                  <c:v>32.120000000000012</c:v>
                </c:pt>
                <c:pt idx="1249">
                  <c:v>31</c:v>
                </c:pt>
                <c:pt idx="1250">
                  <c:v>31.06</c:v>
                </c:pt>
                <c:pt idx="1251">
                  <c:v>30.68</c:v>
                </c:pt>
                <c:pt idx="1252">
                  <c:v>30.37</c:v>
                </c:pt>
                <c:pt idx="1253">
                  <c:v>30.24</c:v>
                </c:pt>
                <c:pt idx="1254">
                  <c:v>29.919999999999987</c:v>
                </c:pt>
                <c:pt idx="1255">
                  <c:v>29.939999999999987</c:v>
                </c:pt>
                <c:pt idx="1256">
                  <c:v>29.95</c:v>
                </c:pt>
                <c:pt idx="1257">
                  <c:v>29.66</c:v>
                </c:pt>
              </c:numCache>
            </c:numRef>
          </c:val>
        </c:ser>
        <c:marker val="1"/>
        <c:axId val="169931136"/>
        <c:axId val="169932672"/>
      </c:lineChart>
      <c:dateAx>
        <c:axId val="169931136"/>
        <c:scaling>
          <c:orientation val="minMax"/>
        </c:scaling>
        <c:axPos val="b"/>
        <c:numFmt formatCode="d\.m\.yyyy" sourceLinked="1"/>
        <c:tickLblPos val="nextTo"/>
        <c:crossAx val="169932672"/>
        <c:crosses val="autoZero"/>
        <c:auto val="1"/>
        <c:lblOffset val="100"/>
        <c:baseTimeUnit val="days"/>
      </c:dateAx>
      <c:valAx>
        <c:axId val="169932672"/>
        <c:scaling>
          <c:orientation val="minMax"/>
        </c:scaling>
        <c:axPos val="l"/>
        <c:majorGridlines/>
        <c:numFmt formatCode="General" sourceLinked="1"/>
        <c:tickLblPos val="nextTo"/>
        <c:crossAx val="169931136"/>
        <c:crosses val="autoZero"/>
        <c:crossBetween val="between"/>
      </c:valAx>
      <c:spPr>
        <a:ln>
          <a:noFill/>
        </a:ln>
      </c:spPr>
    </c:plotArea>
    <c:plotVisOnly val="1"/>
    <c:dispBlanksAs val="gap"/>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cs-CZ"/>
  <c:style val="3"/>
  <c:chart>
    <c:plotArea>
      <c:layout/>
      <c:barChart>
        <c:barDir val="col"/>
        <c:grouping val="clustered"/>
        <c:ser>
          <c:idx val="0"/>
          <c:order val="0"/>
          <c:tx>
            <c:strRef>
              <c:f>List1!$B$1</c:f>
              <c:strCache>
                <c:ptCount val="1"/>
                <c:pt idx="0">
                  <c:v>ProShares UltraShort S&amp;P500 </c:v>
                </c:pt>
              </c:strCache>
            </c:strRef>
          </c:tx>
          <c:cat>
            <c:numRef>
              <c:f>List1!$A$2:$A$6</c:f>
              <c:numCache>
                <c:formatCode>General</c:formatCode>
                <c:ptCount val="5"/>
                <c:pt idx="0">
                  <c:v>2009</c:v>
                </c:pt>
                <c:pt idx="1">
                  <c:v>2010</c:v>
                </c:pt>
                <c:pt idx="2">
                  <c:v>2011</c:v>
                </c:pt>
                <c:pt idx="3">
                  <c:v>2012</c:v>
                </c:pt>
                <c:pt idx="4">
                  <c:v>2013</c:v>
                </c:pt>
              </c:numCache>
            </c:numRef>
          </c:cat>
          <c:val>
            <c:numRef>
              <c:f>List1!$B$2:$B$6</c:f>
              <c:numCache>
                <c:formatCode>0.00%</c:formatCode>
                <c:ptCount val="5"/>
                <c:pt idx="0">
                  <c:v>-0.47350000000000031</c:v>
                </c:pt>
                <c:pt idx="1">
                  <c:v>-0.32210000000000188</c:v>
                </c:pt>
                <c:pt idx="2">
                  <c:v>-0.18820000000000145</c:v>
                </c:pt>
                <c:pt idx="3">
                  <c:v>-0.29870000000000002</c:v>
                </c:pt>
                <c:pt idx="4">
                  <c:v>-0.45190000000000002</c:v>
                </c:pt>
              </c:numCache>
            </c:numRef>
          </c:val>
        </c:ser>
        <c:ser>
          <c:idx val="1"/>
          <c:order val="1"/>
          <c:tx>
            <c:strRef>
              <c:f>List1!$C$1</c:f>
              <c:strCache>
                <c:ptCount val="1"/>
                <c:pt idx="0">
                  <c:v>Index S&amp;P500</c:v>
                </c:pt>
              </c:strCache>
            </c:strRef>
          </c:tx>
          <c:cat>
            <c:numRef>
              <c:f>List1!$A$2:$A$6</c:f>
              <c:numCache>
                <c:formatCode>General</c:formatCode>
                <c:ptCount val="5"/>
                <c:pt idx="0">
                  <c:v>2009</c:v>
                </c:pt>
                <c:pt idx="1">
                  <c:v>2010</c:v>
                </c:pt>
                <c:pt idx="2">
                  <c:v>2011</c:v>
                </c:pt>
                <c:pt idx="3">
                  <c:v>2012</c:v>
                </c:pt>
                <c:pt idx="4">
                  <c:v>2013</c:v>
                </c:pt>
              </c:numCache>
            </c:numRef>
          </c:cat>
          <c:val>
            <c:numRef>
              <c:f>List1!$C$2:$C$6</c:f>
              <c:numCache>
                <c:formatCode>0.00%</c:formatCode>
                <c:ptCount val="5"/>
                <c:pt idx="0">
                  <c:v>0.23450000000000001</c:v>
                </c:pt>
                <c:pt idx="1">
                  <c:v>0.1278</c:v>
                </c:pt>
                <c:pt idx="2" formatCode="0%">
                  <c:v>0</c:v>
                </c:pt>
                <c:pt idx="3">
                  <c:v>0.1341</c:v>
                </c:pt>
                <c:pt idx="4">
                  <c:v>0.29600000000000032</c:v>
                </c:pt>
              </c:numCache>
            </c:numRef>
          </c:val>
        </c:ser>
        <c:axId val="169993728"/>
        <c:axId val="169995264"/>
      </c:barChart>
      <c:catAx>
        <c:axId val="169993728"/>
        <c:scaling>
          <c:orientation val="minMax"/>
        </c:scaling>
        <c:axPos val="b"/>
        <c:numFmt formatCode="General" sourceLinked="1"/>
        <c:tickLblPos val="nextTo"/>
        <c:crossAx val="169995264"/>
        <c:crosses val="autoZero"/>
        <c:auto val="1"/>
        <c:lblAlgn val="ctr"/>
        <c:lblOffset val="100"/>
      </c:catAx>
      <c:valAx>
        <c:axId val="169995264"/>
        <c:scaling>
          <c:orientation val="minMax"/>
        </c:scaling>
        <c:axPos val="l"/>
        <c:majorGridlines/>
        <c:numFmt formatCode="0.00%" sourceLinked="1"/>
        <c:tickLblPos val="nextTo"/>
        <c:crossAx val="169993728"/>
        <c:crosses val="autoZero"/>
        <c:crossBetween val="between"/>
      </c:valAx>
    </c:plotArea>
    <c:legend>
      <c:legendPos val="b"/>
    </c:legend>
    <c:plotVisOnly val="1"/>
    <c:dispBlanksAs val="gap"/>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cs-CZ"/>
  <c:chart>
    <c:autoTitleDeleted val="1"/>
    <c:plotArea>
      <c:layout/>
      <c:barChart>
        <c:barDir val="col"/>
        <c:grouping val="clustered"/>
        <c:ser>
          <c:idx val="0"/>
          <c:order val="0"/>
          <c:tx>
            <c:strRef>
              <c:f>List1!$B$1</c:f>
              <c:strCache>
                <c:ptCount val="1"/>
                <c:pt idx="0">
                  <c:v>Sloupec1</c:v>
                </c:pt>
              </c:strCache>
            </c:strRef>
          </c:tx>
          <c:cat>
            <c:strRef>
              <c:f>List1!$A$2:$A$5</c:f>
              <c:strCache>
                <c:ptCount val="4"/>
                <c:pt idx="0">
                  <c:v>KBC Index Fund United States</c:v>
                </c:pt>
                <c:pt idx="1">
                  <c:v>SPDR S&amp;P 500 ETF</c:v>
                </c:pt>
                <c:pt idx="2">
                  <c:v>ProShares Ultra S&amp;P500</c:v>
                </c:pt>
                <c:pt idx="3">
                  <c:v>ProShares UltraShort S&amp;P500</c:v>
                </c:pt>
              </c:strCache>
            </c:strRef>
          </c:cat>
          <c:val>
            <c:numRef>
              <c:f>List1!$B$2:$B$5</c:f>
              <c:numCache>
                <c:formatCode>General</c:formatCode>
                <c:ptCount val="4"/>
                <c:pt idx="0">
                  <c:v>1.466</c:v>
                </c:pt>
                <c:pt idx="1">
                  <c:v>1.2329999999999892</c:v>
                </c:pt>
                <c:pt idx="2">
                  <c:v>1.1220000000000001</c:v>
                </c:pt>
                <c:pt idx="3">
                  <c:v>-3.1789999999999998</c:v>
                </c:pt>
              </c:numCache>
            </c:numRef>
          </c:val>
        </c:ser>
        <c:axId val="170264832"/>
        <c:axId val="170258432"/>
      </c:barChart>
      <c:catAx>
        <c:axId val="170264832"/>
        <c:scaling>
          <c:orientation val="minMax"/>
        </c:scaling>
        <c:axPos val="b"/>
        <c:tickLblPos val="nextTo"/>
        <c:crossAx val="170258432"/>
        <c:crosses val="autoZero"/>
        <c:auto val="1"/>
        <c:lblAlgn val="ctr"/>
        <c:lblOffset val="100"/>
      </c:catAx>
      <c:valAx>
        <c:axId val="170258432"/>
        <c:scaling>
          <c:orientation val="minMax"/>
        </c:scaling>
        <c:axPos val="l"/>
        <c:majorGridlines/>
        <c:numFmt formatCode="General" sourceLinked="1"/>
        <c:tickLblPos val="nextTo"/>
        <c:crossAx val="170264832"/>
        <c:crosses val="autoZero"/>
        <c:crossBetween val="between"/>
      </c:valAx>
    </c:plotArea>
    <c:plotVisOnly val="1"/>
    <c:dispBlanksAs val="gap"/>
  </c:chart>
  <c:spPr>
    <a:ln>
      <a:noFill/>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cs-CZ"/>
  <c:chart>
    <c:autoTitleDeleted val="1"/>
    <c:plotArea>
      <c:layout/>
      <c:lineChart>
        <c:grouping val="stacked"/>
        <c:ser>
          <c:idx val="0"/>
          <c:order val="0"/>
          <c:marker>
            <c:symbol val="none"/>
          </c:marker>
          <c:cat>
            <c:numRef>
              <c:f>BE0166769266_03012000_15042014!$A$2:$A$3330</c:f>
              <c:numCache>
                <c:formatCode>d/m/yyyy</c:formatCode>
                <c:ptCount val="3329"/>
                <c:pt idx="0">
                  <c:v>36529</c:v>
                </c:pt>
                <c:pt idx="1">
                  <c:v>36529</c:v>
                </c:pt>
                <c:pt idx="2">
                  <c:v>36530</c:v>
                </c:pt>
                <c:pt idx="3">
                  <c:v>36531</c:v>
                </c:pt>
                <c:pt idx="4">
                  <c:v>36532</c:v>
                </c:pt>
                <c:pt idx="5">
                  <c:v>36535</c:v>
                </c:pt>
                <c:pt idx="6">
                  <c:v>36549</c:v>
                </c:pt>
                <c:pt idx="7">
                  <c:v>36551</c:v>
                </c:pt>
                <c:pt idx="8">
                  <c:v>36552</c:v>
                </c:pt>
                <c:pt idx="9">
                  <c:v>36553</c:v>
                </c:pt>
                <c:pt idx="10">
                  <c:v>36557</c:v>
                </c:pt>
                <c:pt idx="11">
                  <c:v>36558</c:v>
                </c:pt>
                <c:pt idx="12">
                  <c:v>36563</c:v>
                </c:pt>
                <c:pt idx="13">
                  <c:v>36565</c:v>
                </c:pt>
                <c:pt idx="14">
                  <c:v>36566</c:v>
                </c:pt>
                <c:pt idx="15">
                  <c:v>36572</c:v>
                </c:pt>
                <c:pt idx="16">
                  <c:v>36573</c:v>
                </c:pt>
                <c:pt idx="17">
                  <c:v>36574</c:v>
                </c:pt>
                <c:pt idx="18">
                  <c:v>36577</c:v>
                </c:pt>
                <c:pt idx="19">
                  <c:v>36578</c:v>
                </c:pt>
                <c:pt idx="20">
                  <c:v>36579</c:v>
                </c:pt>
                <c:pt idx="21">
                  <c:v>36580</c:v>
                </c:pt>
                <c:pt idx="22">
                  <c:v>36581</c:v>
                </c:pt>
                <c:pt idx="23">
                  <c:v>36584</c:v>
                </c:pt>
                <c:pt idx="24">
                  <c:v>36585</c:v>
                </c:pt>
                <c:pt idx="25">
                  <c:v>36586</c:v>
                </c:pt>
                <c:pt idx="26">
                  <c:v>36587</c:v>
                </c:pt>
                <c:pt idx="27">
                  <c:v>36588</c:v>
                </c:pt>
                <c:pt idx="28">
                  <c:v>36593</c:v>
                </c:pt>
                <c:pt idx="29">
                  <c:v>36594</c:v>
                </c:pt>
                <c:pt idx="30">
                  <c:v>36595</c:v>
                </c:pt>
                <c:pt idx="31">
                  <c:v>36598</c:v>
                </c:pt>
                <c:pt idx="32">
                  <c:v>36599</c:v>
                </c:pt>
                <c:pt idx="33">
                  <c:v>36601</c:v>
                </c:pt>
                <c:pt idx="34">
                  <c:v>36602</c:v>
                </c:pt>
                <c:pt idx="35">
                  <c:v>36605</c:v>
                </c:pt>
                <c:pt idx="36">
                  <c:v>36606</c:v>
                </c:pt>
                <c:pt idx="37">
                  <c:v>36607</c:v>
                </c:pt>
                <c:pt idx="38">
                  <c:v>36608</c:v>
                </c:pt>
                <c:pt idx="39">
                  <c:v>36609</c:v>
                </c:pt>
                <c:pt idx="40">
                  <c:v>36612</c:v>
                </c:pt>
                <c:pt idx="41">
                  <c:v>36613</c:v>
                </c:pt>
                <c:pt idx="42">
                  <c:v>36614</c:v>
                </c:pt>
                <c:pt idx="43">
                  <c:v>36615</c:v>
                </c:pt>
                <c:pt idx="44">
                  <c:v>36616</c:v>
                </c:pt>
                <c:pt idx="45">
                  <c:v>36619</c:v>
                </c:pt>
                <c:pt idx="46">
                  <c:v>36620</c:v>
                </c:pt>
                <c:pt idx="47">
                  <c:v>36621</c:v>
                </c:pt>
                <c:pt idx="48">
                  <c:v>36623</c:v>
                </c:pt>
                <c:pt idx="49">
                  <c:v>36626</c:v>
                </c:pt>
                <c:pt idx="50">
                  <c:v>36627</c:v>
                </c:pt>
                <c:pt idx="51">
                  <c:v>36628</c:v>
                </c:pt>
                <c:pt idx="52">
                  <c:v>36629</c:v>
                </c:pt>
                <c:pt idx="53">
                  <c:v>36630</c:v>
                </c:pt>
                <c:pt idx="54">
                  <c:v>36633</c:v>
                </c:pt>
                <c:pt idx="55">
                  <c:v>36634</c:v>
                </c:pt>
                <c:pt idx="56">
                  <c:v>36635</c:v>
                </c:pt>
                <c:pt idx="57">
                  <c:v>36636</c:v>
                </c:pt>
                <c:pt idx="58">
                  <c:v>36637</c:v>
                </c:pt>
                <c:pt idx="59">
                  <c:v>36641</c:v>
                </c:pt>
                <c:pt idx="60">
                  <c:v>36642</c:v>
                </c:pt>
                <c:pt idx="61">
                  <c:v>36643</c:v>
                </c:pt>
                <c:pt idx="62">
                  <c:v>36644</c:v>
                </c:pt>
                <c:pt idx="63">
                  <c:v>36648</c:v>
                </c:pt>
                <c:pt idx="64">
                  <c:v>36649</c:v>
                </c:pt>
                <c:pt idx="65">
                  <c:v>36650</c:v>
                </c:pt>
                <c:pt idx="66">
                  <c:v>36651</c:v>
                </c:pt>
                <c:pt idx="67">
                  <c:v>36655</c:v>
                </c:pt>
                <c:pt idx="68">
                  <c:v>36656</c:v>
                </c:pt>
                <c:pt idx="69">
                  <c:v>36657</c:v>
                </c:pt>
                <c:pt idx="70">
                  <c:v>36658</c:v>
                </c:pt>
                <c:pt idx="71">
                  <c:v>36661</c:v>
                </c:pt>
                <c:pt idx="72">
                  <c:v>36662</c:v>
                </c:pt>
                <c:pt idx="73">
                  <c:v>36663</c:v>
                </c:pt>
                <c:pt idx="74">
                  <c:v>36664</c:v>
                </c:pt>
                <c:pt idx="75">
                  <c:v>36665</c:v>
                </c:pt>
                <c:pt idx="76">
                  <c:v>36669</c:v>
                </c:pt>
                <c:pt idx="77">
                  <c:v>36670</c:v>
                </c:pt>
                <c:pt idx="78">
                  <c:v>36671</c:v>
                </c:pt>
                <c:pt idx="79">
                  <c:v>36672</c:v>
                </c:pt>
                <c:pt idx="80">
                  <c:v>36675</c:v>
                </c:pt>
                <c:pt idx="81">
                  <c:v>36676</c:v>
                </c:pt>
                <c:pt idx="82">
                  <c:v>36677</c:v>
                </c:pt>
                <c:pt idx="83">
                  <c:v>36684</c:v>
                </c:pt>
                <c:pt idx="84">
                  <c:v>36685</c:v>
                </c:pt>
                <c:pt idx="85">
                  <c:v>36686</c:v>
                </c:pt>
                <c:pt idx="86">
                  <c:v>36690</c:v>
                </c:pt>
                <c:pt idx="87">
                  <c:v>36691</c:v>
                </c:pt>
                <c:pt idx="88">
                  <c:v>36692</c:v>
                </c:pt>
                <c:pt idx="89">
                  <c:v>36693</c:v>
                </c:pt>
                <c:pt idx="90">
                  <c:v>36696</c:v>
                </c:pt>
                <c:pt idx="91">
                  <c:v>36697</c:v>
                </c:pt>
                <c:pt idx="92">
                  <c:v>36698</c:v>
                </c:pt>
                <c:pt idx="93">
                  <c:v>36699</c:v>
                </c:pt>
                <c:pt idx="94">
                  <c:v>36700</c:v>
                </c:pt>
                <c:pt idx="95">
                  <c:v>36703</c:v>
                </c:pt>
                <c:pt idx="96">
                  <c:v>36704</c:v>
                </c:pt>
                <c:pt idx="97">
                  <c:v>36705</c:v>
                </c:pt>
                <c:pt idx="98">
                  <c:v>36706</c:v>
                </c:pt>
                <c:pt idx="99">
                  <c:v>36707</c:v>
                </c:pt>
                <c:pt idx="100">
                  <c:v>36710</c:v>
                </c:pt>
                <c:pt idx="101">
                  <c:v>36711</c:v>
                </c:pt>
                <c:pt idx="102">
                  <c:v>36712</c:v>
                </c:pt>
                <c:pt idx="103">
                  <c:v>36713</c:v>
                </c:pt>
                <c:pt idx="104">
                  <c:v>36717</c:v>
                </c:pt>
                <c:pt idx="105">
                  <c:v>36718</c:v>
                </c:pt>
                <c:pt idx="106">
                  <c:v>36719</c:v>
                </c:pt>
                <c:pt idx="107">
                  <c:v>36720</c:v>
                </c:pt>
                <c:pt idx="108">
                  <c:v>36721</c:v>
                </c:pt>
                <c:pt idx="109">
                  <c:v>36724</c:v>
                </c:pt>
                <c:pt idx="110">
                  <c:v>36725</c:v>
                </c:pt>
                <c:pt idx="111">
                  <c:v>36726</c:v>
                </c:pt>
                <c:pt idx="112">
                  <c:v>36727</c:v>
                </c:pt>
                <c:pt idx="113">
                  <c:v>36731</c:v>
                </c:pt>
                <c:pt idx="114">
                  <c:v>36732</c:v>
                </c:pt>
                <c:pt idx="115">
                  <c:v>36733</c:v>
                </c:pt>
                <c:pt idx="116">
                  <c:v>36734</c:v>
                </c:pt>
                <c:pt idx="117">
                  <c:v>36738</c:v>
                </c:pt>
                <c:pt idx="118">
                  <c:v>36739</c:v>
                </c:pt>
                <c:pt idx="119">
                  <c:v>36740</c:v>
                </c:pt>
                <c:pt idx="120">
                  <c:v>36741</c:v>
                </c:pt>
                <c:pt idx="121">
                  <c:v>36742</c:v>
                </c:pt>
                <c:pt idx="122">
                  <c:v>36745</c:v>
                </c:pt>
                <c:pt idx="123">
                  <c:v>36746</c:v>
                </c:pt>
                <c:pt idx="124">
                  <c:v>36747</c:v>
                </c:pt>
                <c:pt idx="125">
                  <c:v>36748</c:v>
                </c:pt>
                <c:pt idx="126">
                  <c:v>36749</c:v>
                </c:pt>
                <c:pt idx="127">
                  <c:v>36752</c:v>
                </c:pt>
                <c:pt idx="128">
                  <c:v>36754</c:v>
                </c:pt>
                <c:pt idx="129">
                  <c:v>36755</c:v>
                </c:pt>
                <c:pt idx="130">
                  <c:v>36756</c:v>
                </c:pt>
                <c:pt idx="131">
                  <c:v>36759</c:v>
                </c:pt>
                <c:pt idx="132">
                  <c:v>36760</c:v>
                </c:pt>
                <c:pt idx="133">
                  <c:v>36761</c:v>
                </c:pt>
                <c:pt idx="134">
                  <c:v>36762</c:v>
                </c:pt>
                <c:pt idx="135">
                  <c:v>36763</c:v>
                </c:pt>
                <c:pt idx="136">
                  <c:v>36766</c:v>
                </c:pt>
                <c:pt idx="137">
                  <c:v>36767</c:v>
                </c:pt>
                <c:pt idx="138">
                  <c:v>36768</c:v>
                </c:pt>
                <c:pt idx="139">
                  <c:v>36769</c:v>
                </c:pt>
                <c:pt idx="140">
                  <c:v>36770</c:v>
                </c:pt>
                <c:pt idx="141">
                  <c:v>36773</c:v>
                </c:pt>
                <c:pt idx="142">
                  <c:v>36774</c:v>
                </c:pt>
                <c:pt idx="143">
                  <c:v>36775</c:v>
                </c:pt>
                <c:pt idx="144">
                  <c:v>36776</c:v>
                </c:pt>
                <c:pt idx="145">
                  <c:v>36777</c:v>
                </c:pt>
                <c:pt idx="146">
                  <c:v>36780</c:v>
                </c:pt>
                <c:pt idx="147">
                  <c:v>36781</c:v>
                </c:pt>
                <c:pt idx="148">
                  <c:v>36782</c:v>
                </c:pt>
                <c:pt idx="149">
                  <c:v>36783</c:v>
                </c:pt>
                <c:pt idx="150">
                  <c:v>36784</c:v>
                </c:pt>
                <c:pt idx="151">
                  <c:v>36787</c:v>
                </c:pt>
                <c:pt idx="152">
                  <c:v>36788</c:v>
                </c:pt>
                <c:pt idx="153">
                  <c:v>36789</c:v>
                </c:pt>
                <c:pt idx="154">
                  <c:v>36790</c:v>
                </c:pt>
                <c:pt idx="155">
                  <c:v>36791</c:v>
                </c:pt>
                <c:pt idx="156">
                  <c:v>36794</c:v>
                </c:pt>
                <c:pt idx="157">
                  <c:v>36795</c:v>
                </c:pt>
                <c:pt idx="158">
                  <c:v>36796</c:v>
                </c:pt>
                <c:pt idx="159">
                  <c:v>36797</c:v>
                </c:pt>
                <c:pt idx="160">
                  <c:v>36798</c:v>
                </c:pt>
                <c:pt idx="161">
                  <c:v>36801</c:v>
                </c:pt>
                <c:pt idx="162">
                  <c:v>36802</c:v>
                </c:pt>
                <c:pt idx="163">
                  <c:v>36803</c:v>
                </c:pt>
                <c:pt idx="164">
                  <c:v>36804</c:v>
                </c:pt>
                <c:pt idx="165">
                  <c:v>36805</c:v>
                </c:pt>
                <c:pt idx="166">
                  <c:v>36808</c:v>
                </c:pt>
                <c:pt idx="167">
                  <c:v>36809</c:v>
                </c:pt>
                <c:pt idx="168">
                  <c:v>36810</c:v>
                </c:pt>
                <c:pt idx="169">
                  <c:v>36811</c:v>
                </c:pt>
                <c:pt idx="170">
                  <c:v>36812</c:v>
                </c:pt>
                <c:pt idx="171">
                  <c:v>36815</c:v>
                </c:pt>
                <c:pt idx="172">
                  <c:v>36816</c:v>
                </c:pt>
                <c:pt idx="173">
                  <c:v>36817</c:v>
                </c:pt>
                <c:pt idx="174">
                  <c:v>36818</c:v>
                </c:pt>
                <c:pt idx="175">
                  <c:v>36819</c:v>
                </c:pt>
                <c:pt idx="176">
                  <c:v>36822</c:v>
                </c:pt>
                <c:pt idx="177">
                  <c:v>36823</c:v>
                </c:pt>
                <c:pt idx="178">
                  <c:v>36824</c:v>
                </c:pt>
                <c:pt idx="179">
                  <c:v>36825</c:v>
                </c:pt>
                <c:pt idx="180">
                  <c:v>36826</c:v>
                </c:pt>
                <c:pt idx="181">
                  <c:v>36829</c:v>
                </c:pt>
                <c:pt idx="182">
                  <c:v>36830</c:v>
                </c:pt>
                <c:pt idx="183">
                  <c:v>36832</c:v>
                </c:pt>
                <c:pt idx="184">
                  <c:v>36833</c:v>
                </c:pt>
                <c:pt idx="185">
                  <c:v>36836</c:v>
                </c:pt>
                <c:pt idx="186">
                  <c:v>36837</c:v>
                </c:pt>
                <c:pt idx="187">
                  <c:v>36838</c:v>
                </c:pt>
                <c:pt idx="188">
                  <c:v>36839</c:v>
                </c:pt>
                <c:pt idx="189">
                  <c:v>36840</c:v>
                </c:pt>
                <c:pt idx="190">
                  <c:v>36844</c:v>
                </c:pt>
                <c:pt idx="191">
                  <c:v>36845</c:v>
                </c:pt>
                <c:pt idx="192">
                  <c:v>36846</c:v>
                </c:pt>
                <c:pt idx="193">
                  <c:v>36847</c:v>
                </c:pt>
                <c:pt idx="194">
                  <c:v>36850</c:v>
                </c:pt>
                <c:pt idx="195">
                  <c:v>36851</c:v>
                </c:pt>
                <c:pt idx="196">
                  <c:v>36852</c:v>
                </c:pt>
                <c:pt idx="197">
                  <c:v>36853</c:v>
                </c:pt>
                <c:pt idx="198">
                  <c:v>36854</c:v>
                </c:pt>
                <c:pt idx="199">
                  <c:v>36857</c:v>
                </c:pt>
                <c:pt idx="200">
                  <c:v>36858</c:v>
                </c:pt>
                <c:pt idx="201">
                  <c:v>36859</c:v>
                </c:pt>
                <c:pt idx="202">
                  <c:v>36860</c:v>
                </c:pt>
                <c:pt idx="203">
                  <c:v>36861</c:v>
                </c:pt>
                <c:pt idx="204">
                  <c:v>36864</c:v>
                </c:pt>
                <c:pt idx="205">
                  <c:v>36865</c:v>
                </c:pt>
                <c:pt idx="206">
                  <c:v>36866</c:v>
                </c:pt>
                <c:pt idx="207">
                  <c:v>36867</c:v>
                </c:pt>
                <c:pt idx="208">
                  <c:v>36868</c:v>
                </c:pt>
                <c:pt idx="209">
                  <c:v>36871</c:v>
                </c:pt>
                <c:pt idx="210">
                  <c:v>36872</c:v>
                </c:pt>
                <c:pt idx="211">
                  <c:v>36873</c:v>
                </c:pt>
                <c:pt idx="212">
                  <c:v>36874</c:v>
                </c:pt>
                <c:pt idx="213">
                  <c:v>36875</c:v>
                </c:pt>
                <c:pt idx="214">
                  <c:v>36878</c:v>
                </c:pt>
                <c:pt idx="215">
                  <c:v>36879</c:v>
                </c:pt>
                <c:pt idx="216">
                  <c:v>36880</c:v>
                </c:pt>
                <c:pt idx="217">
                  <c:v>36881</c:v>
                </c:pt>
                <c:pt idx="218">
                  <c:v>36882</c:v>
                </c:pt>
                <c:pt idx="219">
                  <c:v>36887</c:v>
                </c:pt>
                <c:pt idx="220">
                  <c:v>36888</c:v>
                </c:pt>
                <c:pt idx="221">
                  <c:v>36889</c:v>
                </c:pt>
                <c:pt idx="222">
                  <c:v>36893</c:v>
                </c:pt>
                <c:pt idx="223">
                  <c:v>36894</c:v>
                </c:pt>
                <c:pt idx="224">
                  <c:v>36895</c:v>
                </c:pt>
                <c:pt idx="225">
                  <c:v>36896</c:v>
                </c:pt>
                <c:pt idx="226">
                  <c:v>36899</c:v>
                </c:pt>
                <c:pt idx="227">
                  <c:v>36900</c:v>
                </c:pt>
                <c:pt idx="228">
                  <c:v>36901</c:v>
                </c:pt>
                <c:pt idx="229">
                  <c:v>36902</c:v>
                </c:pt>
                <c:pt idx="230">
                  <c:v>36903</c:v>
                </c:pt>
                <c:pt idx="231">
                  <c:v>36906</c:v>
                </c:pt>
                <c:pt idx="232">
                  <c:v>36907</c:v>
                </c:pt>
                <c:pt idx="233">
                  <c:v>36908</c:v>
                </c:pt>
                <c:pt idx="234">
                  <c:v>36909</c:v>
                </c:pt>
                <c:pt idx="235">
                  <c:v>36910</c:v>
                </c:pt>
                <c:pt idx="236">
                  <c:v>36913</c:v>
                </c:pt>
                <c:pt idx="237">
                  <c:v>36914</c:v>
                </c:pt>
                <c:pt idx="238">
                  <c:v>36915</c:v>
                </c:pt>
                <c:pt idx="239">
                  <c:v>36916</c:v>
                </c:pt>
                <c:pt idx="240">
                  <c:v>36917</c:v>
                </c:pt>
                <c:pt idx="241">
                  <c:v>36920</c:v>
                </c:pt>
                <c:pt idx="242">
                  <c:v>36921</c:v>
                </c:pt>
                <c:pt idx="243">
                  <c:v>36922</c:v>
                </c:pt>
                <c:pt idx="244">
                  <c:v>36923</c:v>
                </c:pt>
                <c:pt idx="245">
                  <c:v>36924</c:v>
                </c:pt>
                <c:pt idx="246">
                  <c:v>36927</c:v>
                </c:pt>
                <c:pt idx="247">
                  <c:v>36928</c:v>
                </c:pt>
                <c:pt idx="248">
                  <c:v>36929</c:v>
                </c:pt>
                <c:pt idx="249">
                  <c:v>36930</c:v>
                </c:pt>
                <c:pt idx="250">
                  <c:v>36931</c:v>
                </c:pt>
                <c:pt idx="251">
                  <c:v>36934</c:v>
                </c:pt>
                <c:pt idx="252">
                  <c:v>36935</c:v>
                </c:pt>
                <c:pt idx="253">
                  <c:v>36936</c:v>
                </c:pt>
                <c:pt idx="254">
                  <c:v>36937</c:v>
                </c:pt>
                <c:pt idx="255">
                  <c:v>36938</c:v>
                </c:pt>
                <c:pt idx="256">
                  <c:v>36941</c:v>
                </c:pt>
                <c:pt idx="257">
                  <c:v>36942</c:v>
                </c:pt>
                <c:pt idx="258">
                  <c:v>36943</c:v>
                </c:pt>
                <c:pt idx="259">
                  <c:v>36944</c:v>
                </c:pt>
                <c:pt idx="260">
                  <c:v>36945</c:v>
                </c:pt>
                <c:pt idx="261">
                  <c:v>36948</c:v>
                </c:pt>
                <c:pt idx="262">
                  <c:v>36949</c:v>
                </c:pt>
                <c:pt idx="263">
                  <c:v>36950</c:v>
                </c:pt>
                <c:pt idx="264">
                  <c:v>36951</c:v>
                </c:pt>
                <c:pt idx="265">
                  <c:v>36952</c:v>
                </c:pt>
                <c:pt idx="266">
                  <c:v>36955</c:v>
                </c:pt>
                <c:pt idx="267">
                  <c:v>36957</c:v>
                </c:pt>
                <c:pt idx="268">
                  <c:v>36958</c:v>
                </c:pt>
                <c:pt idx="269">
                  <c:v>36959</c:v>
                </c:pt>
                <c:pt idx="270">
                  <c:v>36962</c:v>
                </c:pt>
                <c:pt idx="271">
                  <c:v>36963</c:v>
                </c:pt>
                <c:pt idx="272">
                  <c:v>36964</c:v>
                </c:pt>
                <c:pt idx="273">
                  <c:v>36965</c:v>
                </c:pt>
                <c:pt idx="274">
                  <c:v>36966</c:v>
                </c:pt>
                <c:pt idx="275">
                  <c:v>36969</c:v>
                </c:pt>
                <c:pt idx="276">
                  <c:v>36970</c:v>
                </c:pt>
                <c:pt idx="277">
                  <c:v>36971</c:v>
                </c:pt>
                <c:pt idx="278">
                  <c:v>36972</c:v>
                </c:pt>
                <c:pt idx="279">
                  <c:v>36973</c:v>
                </c:pt>
                <c:pt idx="280">
                  <c:v>36976</c:v>
                </c:pt>
                <c:pt idx="281">
                  <c:v>36977</c:v>
                </c:pt>
                <c:pt idx="282">
                  <c:v>36978</c:v>
                </c:pt>
                <c:pt idx="283">
                  <c:v>36979</c:v>
                </c:pt>
                <c:pt idx="284">
                  <c:v>36980</c:v>
                </c:pt>
                <c:pt idx="285">
                  <c:v>36983</c:v>
                </c:pt>
                <c:pt idx="286">
                  <c:v>36984</c:v>
                </c:pt>
                <c:pt idx="287">
                  <c:v>36985</c:v>
                </c:pt>
                <c:pt idx="288">
                  <c:v>36986</c:v>
                </c:pt>
                <c:pt idx="289">
                  <c:v>36987</c:v>
                </c:pt>
                <c:pt idx="290">
                  <c:v>36990</c:v>
                </c:pt>
                <c:pt idx="291">
                  <c:v>36991</c:v>
                </c:pt>
                <c:pt idx="292">
                  <c:v>36992</c:v>
                </c:pt>
                <c:pt idx="293">
                  <c:v>36993</c:v>
                </c:pt>
                <c:pt idx="294">
                  <c:v>36994</c:v>
                </c:pt>
                <c:pt idx="295">
                  <c:v>36998</c:v>
                </c:pt>
                <c:pt idx="296">
                  <c:v>36999</c:v>
                </c:pt>
                <c:pt idx="297">
                  <c:v>37000</c:v>
                </c:pt>
                <c:pt idx="298">
                  <c:v>37004</c:v>
                </c:pt>
                <c:pt idx="299">
                  <c:v>37005</c:v>
                </c:pt>
                <c:pt idx="300">
                  <c:v>37006</c:v>
                </c:pt>
                <c:pt idx="301">
                  <c:v>37007</c:v>
                </c:pt>
                <c:pt idx="302">
                  <c:v>37008</c:v>
                </c:pt>
                <c:pt idx="303">
                  <c:v>37011</c:v>
                </c:pt>
                <c:pt idx="304">
                  <c:v>37013</c:v>
                </c:pt>
                <c:pt idx="305">
                  <c:v>37014</c:v>
                </c:pt>
                <c:pt idx="306">
                  <c:v>37015</c:v>
                </c:pt>
                <c:pt idx="307">
                  <c:v>37018</c:v>
                </c:pt>
                <c:pt idx="308">
                  <c:v>37019</c:v>
                </c:pt>
                <c:pt idx="309">
                  <c:v>37020</c:v>
                </c:pt>
                <c:pt idx="310">
                  <c:v>37021</c:v>
                </c:pt>
                <c:pt idx="311">
                  <c:v>37022</c:v>
                </c:pt>
                <c:pt idx="312">
                  <c:v>37025</c:v>
                </c:pt>
                <c:pt idx="313">
                  <c:v>37026</c:v>
                </c:pt>
                <c:pt idx="314">
                  <c:v>37027</c:v>
                </c:pt>
                <c:pt idx="315">
                  <c:v>37028</c:v>
                </c:pt>
                <c:pt idx="316">
                  <c:v>37029</c:v>
                </c:pt>
                <c:pt idx="317">
                  <c:v>37032</c:v>
                </c:pt>
                <c:pt idx="318">
                  <c:v>37033</c:v>
                </c:pt>
                <c:pt idx="319">
                  <c:v>37034</c:v>
                </c:pt>
                <c:pt idx="320">
                  <c:v>37039</c:v>
                </c:pt>
                <c:pt idx="321">
                  <c:v>37040</c:v>
                </c:pt>
                <c:pt idx="322">
                  <c:v>37041</c:v>
                </c:pt>
                <c:pt idx="323">
                  <c:v>37042</c:v>
                </c:pt>
                <c:pt idx="324">
                  <c:v>37043</c:v>
                </c:pt>
                <c:pt idx="325">
                  <c:v>37048</c:v>
                </c:pt>
                <c:pt idx="326">
                  <c:v>37049</c:v>
                </c:pt>
                <c:pt idx="327">
                  <c:v>37050</c:v>
                </c:pt>
                <c:pt idx="328">
                  <c:v>37053</c:v>
                </c:pt>
                <c:pt idx="329">
                  <c:v>37054</c:v>
                </c:pt>
                <c:pt idx="330">
                  <c:v>37055</c:v>
                </c:pt>
                <c:pt idx="331">
                  <c:v>37056</c:v>
                </c:pt>
                <c:pt idx="332">
                  <c:v>37057</c:v>
                </c:pt>
                <c:pt idx="333">
                  <c:v>37060</c:v>
                </c:pt>
                <c:pt idx="334">
                  <c:v>37061</c:v>
                </c:pt>
                <c:pt idx="335">
                  <c:v>37062</c:v>
                </c:pt>
                <c:pt idx="336">
                  <c:v>37063</c:v>
                </c:pt>
                <c:pt idx="337">
                  <c:v>37064</c:v>
                </c:pt>
                <c:pt idx="338">
                  <c:v>37067</c:v>
                </c:pt>
                <c:pt idx="339">
                  <c:v>37068</c:v>
                </c:pt>
                <c:pt idx="340">
                  <c:v>37069</c:v>
                </c:pt>
                <c:pt idx="341">
                  <c:v>37070</c:v>
                </c:pt>
                <c:pt idx="342">
                  <c:v>37071</c:v>
                </c:pt>
                <c:pt idx="343">
                  <c:v>37074</c:v>
                </c:pt>
                <c:pt idx="344">
                  <c:v>37075</c:v>
                </c:pt>
                <c:pt idx="345">
                  <c:v>37076</c:v>
                </c:pt>
                <c:pt idx="346">
                  <c:v>37077</c:v>
                </c:pt>
                <c:pt idx="347">
                  <c:v>37078</c:v>
                </c:pt>
                <c:pt idx="348">
                  <c:v>37081</c:v>
                </c:pt>
                <c:pt idx="349">
                  <c:v>37082</c:v>
                </c:pt>
                <c:pt idx="350">
                  <c:v>37083</c:v>
                </c:pt>
                <c:pt idx="351">
                  <c:v>37084</c:v>
                </c:pt>
                <c:pt idx="352">
                  <c:v>37085</c:v>
                </c:pt>
                <c:pt idx="353">
                  <c:v>37088</c:v>
                </c:pt>
                <c:pt idx="354">
                  <c:v>37089</c:v>
                </c:pt>
                <c:pt idx="355">
                  <c:v>37090</c:v>
                </c:pt>
                <c:pt idx="356">
                  <c:v>37091</c:v>
                </c:pt>
                <c:pt idx="357">
                  <c:v>37092</c:v>
                </c:pt>
                <c:pt idx="358">
                  <c:v>37096</c:v>
                </c:pt>
                <c:pt idx="359">
                  <c:v>37097</c:v>
                </c:pt>
                <c:pt idx="360">
                  <c:v>37098</c:v>
                </c:pt>
                <c:pt idx="361">
                  <c:v>37099</c:v>
                </c:pt>
                <c:pt idx="362">
                  <c:v>37102</c:v>
                </c:pt>
                <c:pt idx="363">
                  <c:v>37103</c:v>
                </c:pt>
                <c:pt idx="364">
                  <c:v>37104</c:v>
                </c:pt>
                <c:pt idx="365">
                  <c:v>37105</c:v>
                </c:pt>
                <c:pt idx="366">
                  <c:v>37106</c:v>
                </c:pt>
                <c:pt idx="367">
                  <c:v>37109</c:v>
                </c:pt>
                <c:pt idx="368">
                  <c:v>37110</c:v>
                </c:pt>
                <c:pt idx="369">
                  <c:v>37111</c:v>
                </c:pt>
                <c:pt idx="370">
                  <c:v>37112</c:v>
                </c:pt>
                <c:pt idx="371">
                  <c:v>37113</c:v>
                </c:pt>
                <c:pt idx="372">
                  <c:v>37116</c:v>
                </c:pt>
                <c:pt idx="373">
                  <c:v>37117</c:v>
                </c:pt>
                <c:pt idx="374">
                  <c:v>37127</c:v>
                </c:pt>
                <c:pt idx="375">
                  <c:v>37130</c:v>
                </c:pt>
                <c:pt idx="376">
                  <c:v>37131</c:v>
                </c:pt>
                <c:pt idx="377">
                  <c:v>37132</c:v>
                </c:pt>
                <c:pt idx="378">
                  <c:v>37133</c:v>
                </c:pt>
                <c:pt idx="379">
                  <c:v>37134</c:v>
                </c:pt>
                <c:pt idx="380">
                  <c:v>37137</c:v>
                </c:pt>
                <c:pt idx="381">
                  <c:v>37138</c:v>
                </c:pt>
                <c:pt idx="382">
                  <c:v>37139</c:v>
                </c:pt>
                <c:pt idx="383">
                  <c:v>37140</c:v>
                </c:pt>
                <c:pt idx="384">
                  <c:v>37141</c:v>
                </c:pt>
                <c:pt idx="385">
                  <c:v>37144</c:v>
                </c:pt>
                <c:pt idx="386">
                  <c:v>37151</c:v>
                </c:pt>
                <c:pt idx="387">
                  <c:v>37152</c:v>
                </c:pt>
                <c:pt idx="388">
                  <c:v>37153</c:v>
                </c:pt>
                <c:pt idx="389">
                  <c:v>37154</c:v>
                </c:pt>
                <c:pt idx="390">
                  <c:v>37155</c:v>
                </c:pt>
                <c:pt idx="391">
                  <c:v>37158</c:v>
                </c:pt>
                <c:pt idx="392">
                  <c:v>37159</c:v>
                </c:pt>
                <c:pt idx="393">
                  <c:v>37160</c:v>
                </c:pt>
                <c:pt idx="394">
                  <c:v>37161</c:v>
                </c:pt>
                <c:pt idx="395">
                  <c:v>37162</c:v>
                </c:pt>
                <c:pt idx="396">
                  <c:v>37165</c:v>
                </c:pt>
                <c:pt idx="397">
                  <c:v>37166</c:v>
                </c:pt>
                <c:pt idx="398">
                  <c:v>37167</c:v>
                </c:pt>
                <c:pt idx="399">
                  <c:v>37168</c:v>
                </c:pt>
                <c:pt idx="400">
                  <c:v>37169</c:v>
                </c:pt>
                <c:pt idx="401">
                  <c:v>37172</c:v>
                </c:pt>
                <c:pt idx="402">
                  <c:v>37173</c:v>
                </c:pt>
                <c:pt idx="403">
                  <c:v>37174</c:v>
                </c:pt>
                <c:pt idx="404">
                  <c:v>37175</c:v>
                </c:pt>
                <c:pt idx="405">
                  <c:v>37179</c:v>
                </c:pt>
                <c:pt idx="406">
                  <c:v>37180</c:v>
                </c:pt>
                <c:pt idx="407">
                  <c:v>37181</c:v>
                </c:pt>
                <c:pt idx="408">
                  <c:v>37182</c:v>
                </c:pt>
                <c:pt idx="409">
                  <c:v>37183</c:v>
                </c:pt>
                <c:pt idx="410">
                  <c:v>37186</c:v>
                </c:pt>
                <c:pt idx="411">
                  <c:v>37187</c:v>
                </c:pt>
                <c:pt idx="412">
                  <c:v>37188</c:v>
                </c:pt>
                <c:pt idx="413">
                  <c:v>37210</c:v>
                </c:pt>
                <c:pt idx="414">
                  <c:v>37214</c:v>
                </c:pt>
                <c:pt idx="415">
                  <c:v>37215</c:v>
                </c:pt>
                <c:pt idx="416">
                  <c:v>37216</c:v>
                </c:pt>
                <c:pt idx="417">
                  <c:v>37217</c:v>
                </c:pt>
                <c:pt idx="418">
                  <c:v>37221</c:v>
                </c:pt>
                <c:pt idx="419">
                  <c:v>37222</c:v>
                </c:pt>
                <c:pt idx="420">
                  <c:v>37224</c:v>
                </c:pt>
                <c:pt idx="421">
                  <c:v>37225</c:v>
                </c:pt>
                <c:pt idx="422">
                  <c:v>37228</c:v>
                </c:pt>
                <c:pt idx="423">
                  <c:v>37229</c:v>
                </c:pt>
                <c:pt idx="424">
                  <c:v>37231</c:v>
                </c:pt>
                <c:pt idx="425">
                  <c:v>37232</c:v>
                </c:pt>
                <c:pt idx="426">
                  <c:v>37235</c:v>
                </c:pt>
                <c:pt idx="427">
                  <c:v>37236</c:v>
                </c:pt>
                <c:pt idx="428">
                  <c:v>37238</c:v>
                </c:pt>
                <c:pt idx="429">
                  <c:v>37239</c:v>
                </c:pt>
                <c:pt idx="430">
                  <c:v>37243</c:v>
                </c:pt>
                <c:pt idx="431">
                  <c:v>37244</c:v>
                </c:pt>
                <c:pt idx="432">
                  <c:v>37246</c:v>
                </c:pt>
                <c:pt idx="433">
                  <c:v>37249</c:v>
                </c:pt>
                <c:pt idx="434">
                  <c:v>37253</c:v>
                </c:pt>
                <c:pt idx="435">
                  <c:v>37256</c:v>
                </c:pt>
                <c:pt idx="436">
                  <c:v>37258</c:v>
                </c:pt>
                <c:pt idx="437">
                  <c:v>37259</c:v>
                </c:pt>
                <c:pt idx="438">
                  <c:v>37260</c:v>
                </c:pt>
                <c:pt idx="439">
                  <c:v>37263</c:v>
                </c:pt>
                <c:pt idx="440">
                  <c:v>37264</c:v>
                </c:pt>
                <c:pt idx="441">
                  <c:v>37265</c:v>
                </c:pt>
                <c:pt idx="442">
                  <c:v>37267</c:v>
                </c:pt>
                <c:pt idx="443">
                  <c:v>37270</c:v>
                </c:pt>
                <c:pt idx="444">
                  <c:v>37271</c:v>
                </c:pt>
                <c:pt idx="445">
                  <c:v>37272</c:v>
                </c:pt>
                <c:pt idx="446">
                  <c:v>37277</c:v>
                </c:pt>
                <c:pt idx="447">
                  <c:v>37278</c:v>
                </c:pt>
                <c:pt idx="448">
                  <c:v>37280</c:v>
                </c:pt>
                <c:pt idx="449">
                  <c:v>37281</c:v>
                </c:pt>
                <c:pt idx="450">
                  <c:v>37284</c:v>
                </c:pt>
                <c:pt idx="451">
                  <c:v>37285</c:v>
                </c:pt>
                <c:pt idx="452">
                  <c:v>37286</c:v>
                </c:pt>
                <c:pt idx="453">
                  <c:v>37287</c:v>
                </c:pt>
                <c:pt idx="454">
                  <c:v>37288</c:v>
                </c:pt>
                <c:pt idx="455">
                  <c:v>37291</c:v>
                </c:pt>
                <c:pt idx="456">
                  <c:v>37293</c:v>
                </c:pt>
                <c:pt idx="457">
                  <c:v>37294</c:v>
                </c:pt>
                <c:pt idx="458">
                  <c:v>37295</c:v>
                </c:pt>
                <c:pt idx="459">
                  <c:v>37298</c:v>
                </c:pt>
                <c:pt idx="460">
                  <c:v>37299</c:v>
                </c:pt>
                <c:pt idx="461">
                  <c:v>37300</c:v>
                </c:pt>
                <c:pt idx="462">
                  <c:v>37301</c:v>
                </c:pt>
                <c:pt idx="463">
                  <c:v>37302</c:v>
                </c:pt>
                <c:pt idx="464">
                  <c:v>37305</c:v>
                </c:pt>
                <c:pt idx="465">
                  <c:v>37306</c:v>
                </c:pt>
                <c:pt idx="466">
                  <c:v>37307</c:v>
                </c:pt>
                <c:pt idx="467">
                  <c:v>37308</c:v>
                </c:pt>
                <c:pt idx="468">
                  <c:v>37309</c:v>
                </c:pt>
                <c:pt idx="469">
                  <c:v>37312</c:v>
                </c:pt>
                <c:pt idx="470">
                  <c:v>37314</c:v>
                </c:pt>
                <c:pt idx="471">
                  <c:v>37315</c:v>
                </c:pt>
                <c:pt idx="472">
                  <c:v>37316</c:v>
                </c:pt>
                <c:pt idx="473">
                  <c:v>37319</c:v>
                </c:pt>
                <c:pt idx="474">
                  <c:v>37321</c:v>
                </c:pt>
                <c:pt idx="475">
                  <c:v>37322</c:v>
                </c:pt>
                <c:pt idx="476">
                  <c:v>37326</c:v>
                </c:pt>
                <c:pt idx="477">
                  <c:v>37327</c:v>
                </c:pt>
                <c:pt idx="478">
                  <c:v>37328</c:v>
                </c:pt>
                <c:pt idx="479">
                  <c:v>37329</c:v>
                </c:pt>
                <c:pt idx="480">
                  <c:v>37330</c:v>
                </c:pt>
                <c:pt idx="481">
                  <c:v>37333</c:v>
                </c:pt>
                <c:pt idx="482">
                  <c:v>37334</c:v>
                </c:pt>
                <c:pt idx="483">
                  <c:v>37336</c:v>
                </c:pt>
                <c:pt idx="484">
                  <c:v>37340</c:v>
                </c:pt>
                <c:pt idx="485">
                  <c:v>37341</c:v>
                </c:pt>
                <c:pt idx="486">
                  <c:v>37342</c:v>
                </c:pt>
                <c:pt idx="487">
                  <c:v>37348</c:v>
                </c:pt>
                <c:pt idx="488">
                  <c:v>37351</c:v>
                </c:pt>
                <c:pt idx="489">
                  <c:v>37354</c:v>
                </c:pt>
                <c:pt idx="490">
                  <c:v>37355</c:v>
                </c:pt>
                <c:pt idx="491">
                  <c:v>37356</c:v>
                </c:pt>
                <c:pt idx="492">
                  <c:v>37357</c:v>
                </c:pt>
                <c:pt idx="493">
                  <c:v>37358</c:v>
                </c:pt>
                <c:pt idx="494">
                  <c:v>37361</c:v>
                </c:pt>
                <c:pt idx="495">
                  <c:v>37362</c:v>
                </c:pt>
                <c:pt idx="496">
                  <c:v>37364</c:v>
                </c:pt>
                <c:pt idx="497">
                  <c:v>37365</c:v>
                </c:pt>
                <c:pt idx="498">
                  <c:v>37368</c:v>
                </c:pt>
                <c:pt idx="499">
                  <c:v>37370</c:v>
                </c:pt>
                <c:pt idx="500">
                  <c:v>37371</c:v>
                </c:pt>
                <c:pt idx="501">
                  <c:v>37379</c:v>
                </c:pt>
                <c:pt idx="502">
                  <c:v>37383</c:v>
                </c:pt>
                <c:pt idx="503">
                  <c:v>37384</c:v>
                </c:pt>
                <c:pt idx="504">
                  <c:v>37389</c:v>
                </c:pt>
                <c:pt idx="505">
                  <c:v>37390</c:v>
                </c:pt>
                <c:pt idx="506">
                  <c:v>37391</c:v>
                </c:pt>
                <c:pt idx="507">
                  <c:v>37392</c:v>
                </c:pt>
                <c:pt idx="508">
                  <c:v>37393</c:v>
                </c:pt>
                <c:pt idx="509">
                  <c:v>37397</c:v>
                </c:pt>
                <c:pt idx="510">
                  <c:v>37398</c:v>
                </c:pt>
                <c:pt idx="511">
                  <c:v>37399</c:v>
                </c:pt>
                <c:pt idx="512">
                  <c:v>37400</c:v>
                </c:pt>
                <c:pt idx="513">
                  <c:v>37403</c:v>
                </c:pt>
                <c:pt idx="514">
                  <c:v>37404</c:v>
                </c:pt>
                <c:pt idx="515">
                  <c:v>37405</c:v>
                </c:pt>
                <c:pt idx="516">
                  <c:v>37406</c:v>
                </c:pt>
                <c:pt idx="517">
                  <c:v>37407</c:v>
                </c:pt>
                <c:pt idx="518">
                  <c:v>37410</c:v>
                </c:pt>
                <c:pt idx="519">
                  <c:v>37411</c:v>
                </c:pt>
                <c:pt idx="520">
                  <c:v>37412</c:v>
                </c:pt>
                <c:pt idx="521">
                  <c:v>37414</c:v>
                </c:pt>
                <c:pt idx="522">
                  <c:v>37417</c:v>
                </c:pt>
                <c:pt idx="523">
                  <c:v>37418</c:v>
                </c:pt>
                <c:pt idx="524">
                  <c:v>37419</c:v>
                </c:pt>
                <c:pt idx="525">
                  <c:v>37420</c:v>
                </c:pt>
                <c:pt idx="526">
                  <c:v>37421</c:v>
                </c:pt>
                <c:pt idx="527">
                  <c:v>37424</c:v>
                </c:pt>
                <c:pt idx="528">
                  <c:v>37425</c:v>
                </c:pt>
                <c:pt idx="529">
                  <c:v>37426</c:v>
                </c:pt>
                <c:pt idx="530">
                  <c:v>37427</c:v>
                </c:pt>
                <c:pt idx="531">
                  <c:v>37428</c:v>
                </c:pt>
                <c:pt idx="532">
                  <c:v>37431</c:v>
                </c:pt>
                <c:pt idx="533">
                  <c:v>37432</c:v>
                </c:pt>
                <c:pt idx="534">
                  <c:v>37433</c:v>
                </c:pt>
                <c:pt idx="535">
                  <c:v>37434</c:v>
                </c:pt>
                <c:pt idx="536">
                  <c:v>37435</c:v>
                </c:pt>
                <c:pt idx="537">
                  <c:v>37438</c:v>
                </c:pt>
                <c:pt idx="538">
                  <c:v>37439</c:v>
                </c:pt>
                <c:pt idx="539">
                  <c:v>37441</c:v>
                </c:pt>
                <c:pt idx="540">
                  <c:v>37442</c:v>
                </c:pt>
                <c:pt idx="541">
                  <c:v>37445</c:v>
                </c:pt>
                <c:pt idx="542">
                  <c:v>37446</c:v>
                </c:pt>
                <c:pt idx="543">
                  <c:v>37447</c:v>
                </c:pt>
                <c:pt idx="544">
                  <c:v>37448</c:v>
                </c:pt>
                <c:pt idx="545">
                  <c:v>37449</c:v>
                </c:pt>
                <c:pt idx="546">
                  <c:v>37452</c:v>
                </c:pt>
                <c:pt idx="547">
                  <c:v>37453</c:v>
                </c:pt>
                <c:pt idx="548">
                  <c:v>37454</c:v>
                </c:pt>
                <c:pt idx="549">
                  <c:v>37455</c:v>
                </c:pt>
                <c:pt idx="550">
                  <c:v>37460</c:v>
                </c:pt>
                <c:pt idx="551">
                  <c:v>37461</c:v>
                </c:pt>
                <c:pt idx="552">
                  <c:v>37462</c:v>
                </c:pt>
                <c:pt idx="553">
                  <c:v>37463</c:v>
                </c:pt>
                <c:pt idx="554">
                  <c:v>37466</c:v>
                </c:pt>
                <c:pt idx="555">
                  <c:v>37467</c:v>
                </c:pt>
                <c:pt idx="556">
                  <c:v>37468</c:v>
                </c:pt>
                <c:pt idx="557">
                  <c:v>37469</c:v>
                </c:pt>
                <c:pt idx="558">
                  <c:v>37470</c:v>
                </c:pt>
                <c:pt idx="559">
                  <c:v>37473</c:v>
                </c:pt>
                <c:pt idx="560">
                  <c:v>37474</c:v>
                </c:pt>
                <c:pt idx="561">
                  <c:v>37475</c:v>
                </c:pt>
                <c:pt idx="562">
                  <c:v>37476</c:v>
                </c:pt>
                <c:pt idx="563">
                  <c:v>37477</c:v>
                </c:pt>
                <c:pt idx="564">
                  <c:v>37480</c:v>
                </c:pt>
                <c:pt idx="565">
                  <c:v>37481</c:v>
                </c:pt>
                <c:pt idx="566">
                  <c:v>37482</c:v>
                </c:pt>
                <c:pt idx="567">
                  <c:v>37484</c:v>
                </c:pt>
                <c:pt idx="568">
                  <c:v>37487</c:v>
                </c:pt>
                <c:pt idx="569">
                  <c:v>37488</c:v>
                </c:pt>
                <c:pt idx="570">
                  <c:v>37489</c:v>
                </c:pt>
                <c:pt idx="571">
                  <c:v>37491</c:v>
                </c:pt>
                <c:pt idx="572">
                  <c:v>37494</c:v>
                </c:pt>
                <c:pt idx="573">
                  <c:v>37495</c:v>
                </c:pt>
                <c:pt idx="574">
                  <c:v>37496</c:v>
                </c:pt>
                <c:pt idx="575">
                  <c:v>37497</c:v>
                </c:pt>
                <c:pt idx="576">
                  <c:v>37498</c:v>
                </c:pt>
                <c:pt idx="577">
                  <c:v>37502</c:v>
                </c:pt>
                <c:pt idx="578">
                  <c:v>37503</c:v>
                </c:pt>
                <c:pt idx="579">
                  <c:v>37504</c:v>
                </c:pt>
                <c:pt idx="580">
                  <c:v>37505</c:v>
                </c:pt>
                <c:pt idx="581">
                  <c:v>37509</c:v>
                </c:pt>
                <c:pt idx="582">
                  <c:v>37510</c:v>
                </c:pt>
                <c:pt idx="583">
                  <c:v>37512</c:v>
                </c:pt>
                <c:pt idx="584">
                  <c:v>37517</c:v>
                </c:pt>
                <c:pt idx="585">
                  <c:v>37518</c:v>
                </c:pt>
                <c:pt idx="586">
                  <c:v>37519</c:v>
                </c:pt>
                <c:pt idx="587">
                  <c:v>37522</c:v>
                </c:pt>
                <c:pt idx="588">
                  <c:v>37524</c:v>
                </c:pt>
                <c:pt idx="589">
                  <c:v>37525</c:v>
                </c:pt>
                <c:pt idx="590">
                  <c:v>37529</c:v>
                </c:pt>
                <c:pt idx="591">
                  <c:v>37530</c:v>
                </c:pt>
                <c:pt idx="592">
                  <c:v>37531</c:v>
                </c:pt>
                <c:pt idx="593">
                  <c:v>37532</c:v>
                </c:pt>
                <c:pt idx="594">
                  <c:v>37533</c:v>
                </c:pt>
                <c:pt idx="595">
                  <c:v>37536</c:v>
                </c:pt>
                <c:pt idx="596">
                  <c:v>37537</c:v>
                </c:pt>
                <c:pt idx="597">
                  <c:v>37538</c:v>
                </c:pt>
                <c:pt idx="598">
                  <c:v>37539</c:v>
                </c:pt>
                <c:pt idx="599">
                  <c:v>37540</c:v>
                </c:pt>
                <c:pt idx="600">
                  <c:v>37543</c:v>
                </c:pt>
                <c:pt idx="601">
                  <c:v>37544</c:v>
                </c:pt>
                <c:pt idx="602">
                  <c:v>37545</c:v>
                </c:pt>
                <c:pt idx="603">
                  <c:v>37546</c:v>
                </c:pt>
                <c:pt idx="604">
                  <c:v>37550</c:v>
                </c:pt>
                <c:pt idx="605">
                  <c:v>37551</c:v>
                </c:pt>
                <c:pt idx="606">
                  <c:v>37553</c:v>
                </c:pt>
                <c:pt idx="607">
                  <c:v>37554</c:v>
                </c:pt>
                <c:pt idx="608">
                  <c:v>37558</c:v>
                </c:pt>
                <c:pt idx="609">
                  <c:v>37560</c:v>
                </c:pt>
                <c:pt idx="610">
                  <c:v>37564</c:v>
                </c:pt>
                <c:pt idx="611">
                  <c:v>37565</c:v>
                </c:pt>
                <c:pt idx="612">
                  <c:v>37567</c:v>
                </c:pt>
                <c:pt idx="613">
                  <c:v>37568</c:v>
                </c:pt>
                <c:pt idx="614">
                  <c:v>37572</c:v>
                </c:pt>
                <c:pt idx="615">
                  <c:v>37573</c:v>
                </c:pt>
                <c:pt idx="616">
                  <c:v>37574</c:v>
                </c:pt>
                <c:pt idx="617">
                  <c:v>37575</c:v>
                </c:pt>
                <c:pt idx="618">
                  <c:v>37578</c:v>
                </c:pt>
                <c:pt idx="619">
                  <c:v>37579</c:v>
                </c:pt>
                <c:pt idx="620">
                  <c:v>37580</c:v>
                </c:pt>
                <c:pt idx="621">
                  <c:v>37581</c:v>
                </c:pt>
                <c:pt idx="622">
                  <c:v>37582</c:v>
                </c:pt>
                <c:pt idx="623">
                  <c:v>37585</c:v>
                </c:pt>
                <c:pt idx="624">
                  <c:v>37586</c:v>
                </c:pt>
                <c:pt idx="625">
                  <c:v>37587</c:v>
                </c:pt>
                <c:pt idx="626">
                  <c:v>37588</c:v>
                </c:pt>
                <c:pt idx="627">
                  <c:v>37589</c:v>
                </c:pt>
                <c:pt idx="628">
                  <c:v>37592</c:v>
                </c:pt>
                <c:pt idx="629">
                  <c:v>37593</c:v>
                </c:pt>
                <c:pt idx="630">
                  <c:v>37594</c:v>
                </c:pt>
                <c:pt idx="631">
                  <c:v>37595</c:v>
                </c:pt>
                <c:pt idx="632">
                  <c:v>37596</c:v>
                </c:pt>
                <c:pt idx="633">
                  <c:v>37599</c:v>
                </c:pt>
                <c:pt idx="634">
                  <c:v>37600</c:v>
                </c:pt>
                <c:pt idx="635">
                  <c:v>37601</c:v>
                </c:pt>
                <c:pt idx="636">
                  <c:v>37602</c:v>
                </c:pt>
                <c:pt idx="637">
                  <c:v>37603</c:v>
                </c:pt>
                <c:pt idx="638">
                  <c:v>37606</c:v>
                </c:pt>
                <c:pt idx="639">
                  <c:v>37607</c:v>
                </c:pt>
                <c:pt idx="640">
                  <c:v>37608</c:v>
                </c:pt>
                <c:pt idx="641">
                  <c:v>37609</c:v>
                </c:pt>
                <c:pt idx="642">
                  <c:v>37613</c:v>
                </c:pt>
                <c:pt idx="643">
                  <c:v>37614</c:v>
                </c:pt>
                <c:pt idx="644">
                  <c:v>37617</c:v>
                </c:pt>
                <c:pt idx="645">
                  <c:v>37620</c:v>
                </c:pt>
                <c:pt idx="646">
                  <c:v>37621</c:v>
                </c:pt>
                <c:pt idx="647">
                  <c:v>37623</c:v>
                </c:pt>
                <c:pt idx="648">
                  <c:v>37624</c:v>
                </c:pt>
                <c:pt idx="649">
                  <c:v>37627</c:v>
                </c:pt>
                <c:pt idx="650">
                  <c:v>37628</c:v>
                </c:pt>
                <c:pt idx="651">
                  <c:v>37629</c:v>
                </c:pt>
                <c:pt idx="652">
                  <c:v>37630</c:v>
                </c:pt>
                <c:pt idx="653">
                  <c:v>37631</c:v>
                </c:pt>
                <c:pt idx="654">
                  <c:v>37634</c:v>
                </c:pt>
                <c:pt idx="655">
                  <c:v>37635</c:v>
                </c:pt>
                <c:pt idx="656">
                  <c:v>37636</c:v>
                </c:pt>
                <c:pt idx="657">
                  <c:v>37637</c:v>
                </c:pt>
                <c:pt idx="658">
                  <c:v>37638</c:v>
                </c:pt>
                <c:pt idx="659">
                  <c:v>37641</c:v>
                </c:pt>
                <c:pt idx="660">
                  <c:v>37642</c:v>
                </c:pt>
                <c:pt idx="661">
                  <c:v>37643</c:v>
                </c:pt>
                <c:pt idx="662">
                  <c:v>37644</c:v>
                </c:pt>
                <c:pt idx="663">
                  <c:v>37645</c:v>
                </c:pt>
                <c:pt idx="664">
                  <c:v>37648</c:v>
                </c:pt>
                <c:pt idx="665">
                  <c:v>37649</c:v>
                </c:pt>
                <c:pt idx="666">
                  <c:v>37650</c:v>
                </c:pt>
                <c:pt idx="667">
                  <c:v>37651</c:v>
                </c:pt>
                <c:pt idx="668">
                  <c:v>37652</c:v>
                </c:pt>
                <c:pt idx="669">
                  <c:v>37655</c:v>
                </c:pt>
                <c:pt idx="670">
                  <c:v>37656</c:v>
                </c:pt>
                <c:pt idx="671">
                  <c:v>37657</c:v>
                </c:pt>
                <c:pt idx="672">
                  <c:v>37658</c:v>
                </c:pt>
                <c:pt idx="673">
                  <c:v>37659</c:v>
                </c:pt>
                <c:pt idx="674">
                  <c:v>37662</c:v>
                </c:pt>
                <c:pt idx="675">
                  <c:v>37663</c:v>
                </c:pt>
                <c:pt idx="676">
                  <c:v>37664</c:v>
                </c:pt>
                <c:pt idx="677">
                  <c:v>37665</c:v>
                </c:pt>
                <c:pt idx="678">
                  <c:v>37666</c:v>
                </c:pt>
                <c:pt idx="679">
                  <c:v>37669</c:v>
                </c:pt>
                <c:pt idx="680">
                  <c:v>37670</c:v>
                </c:pt>
                <c:pt idx="681">
                  <c:v>37671</c:v>
                </c:pt>
                <c:pt idx="682">
                  <c:v>37672</c:v>
                </c:pt>
                <c:pt idx="683">
                  <c:v>37673</c:v>
                </c:pt>
                <c:pt idx="684">
                  <c:v>37676</c:v>
                </c:pt>
                <c:pt idx="685">
                  <c:v>37677</c:v>
                </c:pt>
                <c:pt idx="686">
                  <c:v>37678</c:v>
                </c:pt>
                <c:pt idx="687">
                  <c:v>37679</c:v>
                </c:pt>
                <c:pt idx="688">
                  <c:v>37680</c:v>
                </c:pt>
                <c:pt idx="689">
                  <c:v>37683</c:v>
                </c:pt>
                <c:pt idx="690">
                  <c:v>37684</c:v>
                </c:pt>
                <c:pt idx="691">
                  <c:v>37685</c:v>
                </c:pt>
                <c:pt idx="692">
                  <c:v>37686</c:v>
                </c:pt>
                <c:pt idx="693">
                  <c:v>37687</c:v>
                </c:pt>
                <c:pt idx="694">
                  <c:v>37690</c:v>
                </c:pt>
                <c:pt idx="695">
                  <c:v>37691</c:v>
                </c:pt>
                <c:pt idx="696">
                  <c:v>37692</c:v>
                </c:pt>
                <c:pt idx="697">
                  <c:v>37693</c:v>
                </c:pt>
                <c:pt idx="698">
                  <c:v>37694</c:v>
                </c:pt>
                <c:pt idx="699">
                  <c:v>37697</c:v>
                </c:pt>
                <c:pt idx="700">
                  <c:v>37698</c:v>
                </c:pt>
                <c:pt idx="701">
                  <c:v>37699</c:v>
                </c:pt>
                <c:pt idx="702">
                  <c:v>37700</c:v>
                </c:pt>
                <c:pt idx="703">
                  <c:v>37701</c:v>
                </c:pt>
                <c:pt idx="704">
                  <c:v>37704</c:v>
                </c:pt>
                <c:pt idx="705">
                  <c:v>37705</c:v>
                </c:pt>
                <c:pt idx="706">
                  <c:v>37706</c:v>
                </c:pt>
                <c:pt idx="707">
                  <c:v>37707</c:v>
                </c:pt>
                <c:pt idx="708">
                  <c:v>37708</c:v>
                </c:pt>
                <c:pt idx="709">
                  <c:v>37711</c:v>
                </c:pt>
                <c:pt idx="710">
                  <c:v>37712</c:v>
                </c:pt>
                <c:pt idx="711">
                  <c:v>37713</c:v>
                </c:pt>
                <c:pt idx="712">
                  <c:v>37714</c:v>
                </c:pt>
                <c:pt idx="713">
                  <c:v>37715</c:v>
                </c:pt>
                <c:pt idx="714">
                  <c:v>37718</c:v>
                </c:pt>
                <c:pt idx="715">
                  <c:v>37719</c:v>
                </c:pt>
                <c:pt idx="716">
                  <c:v>37720</c:v>
                </c:pt>
                <c:pt idx="717">
                  <c:v>37721</c:v>
                </c:pt>
                <c:pt idx="718">
                  <c:v>37722</c:v>
                </c:pt>
                <c:pt idx="719">
                  <c:v>37725</c:v>
                </c:pt>
                <c:pt idx="720">
                  <c:v>37726</c:v>
                </c:pt>
                <c:pt idx="721">
                  <c:v>37727</c:v>
                </c:pt>
                <c:pt idx="722">
                  <c:v>37728</c:v>
                </c:pt>
                <c:pt idx="723">
                  <c:v>37733</c:v>
                </c:pt>
                <c:pt idx="724">
                  <c:v>37734</c:v>
                </c:pt>
                <c:pt idx="725">
                  <c:v>37735</c:v>
                </c:pt>
                <c:pt idx="726">
                  <c:v>37736</c:v>
                </c:pt>
                <c:pt idx="727">
                  <c:v>37739</c:v>
                </c:pt>
                <c:pt idx="728">
                  <c:v>37740</c:v>
                </c:pt>
                <c:pt idx="729">
                  <c:v>37741</c:v>
                </c:pt>
                <c:pt idx="730">
                  <c:v>37743</c:v>
                </c:pt>
                <c:pt idx="731">
                  <c:v>37746</c:v>
                </c:pt>
                <c:pt idx="732">
                  <c:v>37747</c:v>
                </c:pt>
                <c:pt idx="733">
                  <c:v>37748</c:v>
                </c:pt>
                <c:pt idx="734">
                  <c:v>37749</c:v>
                </c:pt>
                <c:pt idx="735">
                  <c:v>37750</c:v>
                </c:pt>
                <c:pt idx="736">
                  <c:v>37753</c:v>
                </c:pt>
                <c:pt idx="737">
                  <c:v>37754</c:v>
                </c:pt>
                <c:pt idx="738">
                  <c:v>37755</c:v>
                </c:pt>
                <c:pt idx="739">
                  <c:v>37756</c:v>
                </c:pt>
                <c:pt idx="740">
                  <c:v>37757</c:v>
                </c:pt>
                <c:pt idx="741">
                  <c:v>37760</c:v>
                </c:pt>
                <c:pt idx="742">
                  <c:v>37761</c:v>
                </c:pt>
                <c:pt idx="743">
                  <c:v>37762</c:v>
                </c:pt>
                <c:pt idx="744">
                  <c:v>37763</c:v>
                </c:pt>
                <c:pt idx="745">
                  <c:v>37764</c:v>
                </c:pt>
                <c:pt idx="746">
                  <c:v>37767</c:v>
                </c:pt>
                <c:pt idx="747">
                  <c:v>37768</c:v>
                </c:pt>
                <c:pt idx="748">
                  <c:v>37769</c:v>
                </c:pt>
                <c:pt idx="749">
                  <c:v>37774</c:v>
                </c:pt>
                <c:pt idx="750">
                  <c:v>37775</c:v>
                </c:pt>
                <c:pt idx="751">
                  <c:v>37776</c:v>
                </c:pt>
                <c:pt idx="752">
                  <c:v>37777</c:v>
                </c:pt>
                <c:pt idx="753">
                  <c:v>37778</c:v>
                </c:pt>
                <c:pt idx="754">
                  <c:v>37782</c:v>
                </c:pt>
                <c:pt idx="755">
                  <c:v>37783</c:v>
                </c:pt>
                <c:pt idx="756">
                  <c:v>37784</c:v>
                </c:pt>
                <c:pt idx="757">
                  <c:v>37785</c:v>
                </c:pt>
                <c:pt idx="758">
                  <c:v>37788</c:v>
                </c:pt>
                <c:pt idx="759">
                  <c:v>37789</c:v>
                </c:pt>
                <c:pt idx="760">
                  <c:v>37790</c:v>
                </c:pt>
                <c:pt idx="761">
                  <c:v>37791</c:v>
                </c:pt>
                <c:pt idx="762">
                  <c:v>37792</c:v>
                </c:pt>
                <c:pt idx="763">
                  <c:v>37795</c:v>
                </c:pt>
                <c:pt idx="764">
                  <c:v>37796</c:v>
                </c:pt>
                <c:pt idx="765">
                  <c:v>37797</c:v>
                </c:pt>
                <c:pt idx="766">
                  <c:v>37798</c:v>
                </c:pt>
                <c:pt idx="767">
                  <c:v>37799</c:v>
                </c:pt>
                <c:pt idx="768">
                  <c:v>37802</c:v>
                </c:pt>
                <c:pt idx="769">
                  <c:v>37803</c:v>
                </c:pt>
                <c:pt idx="770">
                  <c:v>37804</c:v>
                </c:pt>
                <c:pt idx="771">
                  <c:v>37805</c:v>
                </c:pt>
                <c:pt idx="772">
                  <c:v>37806</c:v>
                </c:pt>
                <c:pt idx="773">
                  <c:v>37809</c:v>
                </c:pt>
                <c:pt idx="774">
                  <c:v>37810</c:v>
                </c:pt>
                <c:pt idx="775">
                  <c:v>37811</c:v>
                </c:pt>
                <c:pt idx="776">
                  <c:v>37812</c:v>
                </c:pt>
                <c:pt idx="777">
                  <c:v>37813</c:v>
                </c:pt>
                <c:pt idx="778">
                  <c:v>37816</c:v>
                </c:pt>
                <c:pt idx="779">
                  <c:v>37817</c:v>
                </c:pt>
                <c:pt idx="780">
                  <c:v>37818</c:v>
                </c:pt>
                <c:pt idx="781">
                  <c:v>37819</c:v>
                </c:pt>
                <c:pt idx="782">
                  <c:v>37820</c:v>
                </c:pt>
                <c:pt idx="783">
                  <c:v>37824</c:v>
                </c:pt>
                <c:pt idx="784">
                  <c:v>37825</c:v>
                </c:pt>
                <c:pt idx="785">
                  <c:v>37826</c:v>
                </c:pt>
                <c:pt idx="786">
                  <c:v>37827</c:v>
                </c:pt>
                <c:pt idx="787">
                  <c:v>37830</c:v>
                </c:pt>
                <c:pt idx="788">
                  <c:v>37831</c:v>
                </c:pt>
                <c:pt idx="789">
                  <c:v>37832</c:v>
                </c:pt>
                <c:pt idx="790">
                  <c:v>37833</c:v>
                </c:pt>
                <c:pt idx="791">
                  <c:v>37834</c:v>
                </c:pt>
                <c:pt idx="792">
                  <c:v>37837</c:v>
                </c:pt>
                <c:pt idx="793">
                  <c:v>37838</c:v>
                </c:pt>
                <c:pt idx="794">
                  <c:v>37839</c:v>
                </c:pt>
                <c:pt idx="795">
                  <c:v>37840</c:v>
                </c:pt>
                <c:pt idx="796">
                  <c:v>37841</c:v>
                </c:pt>
                <c:pt idx="797">
                  <c:v>37844</c:v>
                </c:pt>
                <c:pt idx="798">
                  <c:v>37845</c:v>
                </c:pt>
                <c:pt idx="799">
                  <c:v>37846</c:v>
                </c:pt>
                <c:pt idx="800">
                  <c:v>37847</c:v>
                </c:pt>
                <c:pt idx="801">
                  <c:v>37851</c:v>
                </c:pt>
                <c:pt idx="802">
                  <c:v>37852</c:v>
                </c:pt>
                <c:pt idx="803">
                  <c:v>37853</c:v>
                </c:pt>
                <c:pt idx="804">
                  <c:v>37854</c:v>
                </c:pt>
                <c:pt idx="805">
                  <c:v>37855</c:v>
                </c:pt>
                <c:pt idx="806">
                  <c:v>37858</c:v>
                </c:pt>
                <c:pt idx="807">
                  <c:v>37859</c:v>
                </c:pt>
                <c:pt idx="808">
                  <c:v>37860</c:v>
                </c:pt>
                <c:pt idx="809">
                  <c:v>37861</c:v>
                </c:pt>
                <c:pt idx="810">
                  <c:v>37862</c:v>
                </c:pt>
                <c:pt idx="811">
                  <c:v>37865</c:v>
                </c:pt>
                <c:pt idx="812">
                  <c:v>37866</c:v>
                </c:pt>
                <c:pt idx="813">
                  <c:v>37867</c:v>
                </c:pt>
                <c:pt idx="814">
                  <c:v>37868</c:v>
                </c:pt>
                <c:pt idx="815">
                  <c:v>37869</c:v>
                </c:pt>
                <c:pt idx="816">
                  <c:v>37872</c:v>
                </c:pt>
                <c:pt idx="817">
                  <c:v>37873</c:v>
                </c:pt>
                <c:pt idx="818">
                  <c:v>37874</c:v>
                </c:pt>
                <c:pt idx="819">
                  <c:v>37875</c:v>
                </c:pt>
                <c:pt idx="820">
                  <c:v>37876</c:v>
                </c:pt>
                <c:pt idx="821">
                  <c:v>37879</c:v>
                </c:pt>
                <c:pt idx="822">
                  <c:v>37880</c:v>
                </c:pt>
                <c:pt idx="823">
                  <c:v>37881</c:v>
                </c:pt>
                <c:pt idx="824">
                  <c:v>37882</c:v>
                </c:pt>
                <c:pt idx="825">
                  <c:v>37883</c:v>
                </c:pt>
                <c:pt idx="826">
                  <c:v>37886</c:v>
                </c:pt>
                <c:pt idx="827">
                  <c:v>37887</c:v>
                </c:pt>
                <c:pt idx="828">
                  <c:v>37888</c:v>
                </c:pt>
                <c:pt idx="829">
                  <c:v>37889</c:v>
                </c:pt>
                <c:pt idx="830">
                  <c:v>37890</c:v>
                </c:pt>
                <c:pt idx="831">
                  <c:v>37893</c:v>
                </c:pt>
                <c:pt idx="832">
                  <c:v>37894</c:v>
                </c:pt>
                <c:pt idx="833">
                  <c:v>37895</c:v>
                </c:pt>
                <c:pt idx="834">
                  <c:v>37896</c:v>
                </c:pt>
                <c:pt idx="835">
                  <c:v>37897</c:v>
                </c:pt>
                <c:pt idx="836">
                  <c:v>37900</c:v>
                </c:pt>
                <c:pt idx="837">
                  <c:v>37901</c:v>
                </c:pt>
                <c:pt idx="838">
                  <c:v>37902</c:v>
                </c:pt>
                <c:pt idx="839">
                  <c:v>37903</c:v>
                </c:pt>
                <c:pt idx="840">
                  <c:v>37904</c:v>
                </c:pt>
                <c:pt idx="841">
                  <c:v>37907</c:v>
                </c:pt>
                <c:pt idx="842">
                  <c:v>37908</c:v>
                </c:pt>
                <c:pt idx="843">
                  <c:v>37909</c:v>
                </c:pt>
                <c:pt idx="844">
                  <c:v>37910</c:v>
                </c:pt>
                <c:pt idx="845">
                  <c:v>37911</c:v>
                </c:pt>
                <c:pt idx="846">
                  <c:v>37914</c:v>
                </c:pt>
                <c:pt idx="847">
                  <c:v>37915</c:v>
                </c:pt>
                <c:pt idx="848">
                  <c:v>37916</c:v>
                </c:pt>
                <c:pt idx="849">
                  <c:v>37917</c:v>
                </c:pt>
                <c:pt idx="850">
                  <c:v>37918</c:v>
                </c:pt>
                <c:pt idx="851">
                  <c:v>37922</c:v>
                </c:pt>
                <c:pt idx="852">
                  <c:v>37923</c:v>
                </c:pt>
                <c:pt idx="853">
                  <c:v>37924</c:v>
                </c:pt>
                <c:pt idx="854">
                  <c:v>37925</c:v>
                </c:pt>
                <c:pt idx="855">
                  <c:v>37928</c:v>
                </c:pt>
                <c:pt idx="856">
                  <c:v>37929</c:v>
                </c:pt>
                <c:pt idx="857">
                  <c:v>37930</c:v>
                </c:pt>
                <c:pt idx="858">
                  <c:v>37931</c:v>
                </c:pt>
                <c:pt idx="859">
                  <c:v>37932</c:v>
                </c:pt>
                <c:pt idx="860">
                  <c:v>37935</c:v>
                </c:pt>
                <c:pt idx="861">
                  <c:v>37937</c:v>
                </c:pt>
                <c:pt idx="862">
                  <c:v>37938</c:v>
                </c:pt>
                <c:pt idx="863">
                  <c:v>37939</c:v>
                </c:pt>
                <c:pt idx="864">
                  <c:v>37942</c:v>
                </c:pt>
                <c:pt idx="865">
                  <c:v>37943</c:v>
                </c:pt>
                <c:pt idx="866">
                  <c:v>37944</c:v>
                </c:pt>
                <c:pt idx="867">
                  <c:v>37945</c:v>
                </c:pt>
                <c:pt idx="868">
                  <c:v>37946</c:v>
                </c:pt>
                <c:pt idx="869">
                  <c:v>37949</c:v>
                </c:pt>
                <c:pt idx="870">
                  <c:v>37950</c:v>
                </c:pt>
                <c:pt idx="871">
                  <c:v>37951</c:v>
                </c:pt>
                <c:pt idx="872">
                  <c:v>37952</c:v>
                </c:pt>
                <c:pt idx="873">
                  <c:v>37953</c:v>
                </c:pt>
                <c:pt idx="874">
                  <c:v>37956</c:v>
                </c:pt>
                <c:pt idx="875">
                  <c:v>37957</c:v>
                </c:pt>
                <c:pt idx="876">
                  <c:v>37958</c:v>
                </c:pt>
                <c:pt idx="877">
                  <c:v>37959</c:v>
                </c:pt>
                <c:pt idx="878">
                  <c:v>37960</c:v>
                </c:pt>
                <c:pt idx="879">
                  <c:v>37963</c:v>
                </c:pt>
                <c:pt idx="880">
                  <c:v>37964</c:v>
                </c:pt>
                <c:pt idx="881">
                  <c:v>37965</c:v>
                </c:pt>
                <c:pt idx="882">
                  <c:v>37966</c:v>
                </c:pt>
                <c:pt idx="883">
                  <c:v>37967</c:v>
                </c:pt>
                <c:pt idx="884">
                  <c:v>37970</c:v>
                </c:pt>
                <c:pt idx="885">
                  <c:v>37971</c:v>
                </c:pt>
                <c:pt idx="886">
                  <c:v>37972</c:v>
                </c:pt>
                <c:pt idx="887">
                  <c:v>37973</c:v>
                </c:pt>
                <c:pt idx="888">
                  <c:v>37974</c:v>
                </c:pt>
                <c:pt idx="889">
                  <c:v>37977</c:v>
                </c:pt>
                <c:pt idx="890">
                  <c:v>37978</c:v>
                </c:pt>
                <c:pt idx="891">
                  <c:v>37979</c:v>
                </c:pt>
                <c:pt idx="892">
                  <c:v>37984</c:v>
                </c:pt>
                <c:pt idx="893">
                  <c:v>37986</c:v>
                </c:pt>
                <c:pt idx="894">
                  <c:v>37988</c:v>
                </c:pt>
                <c:pt idx="895">
                  <c:v>37991</c:v>
                </c:pt>
                <c:pt idx="896">
                  <c:v>37992</c:v>
                </c:pt>
                <c:pt idx="897">
                  <c:v>37993</c:v>
                </c:pt>
                <c:pt idx="898">
                  <c:v>37994</c:v>
                </c:pt>
                <c:pt idx="899">
                  <c:v>37995</c:v>
                </c:pt>
                <c:pt idx="900">
                  <c:v>37998</c:v>
                </c:pt>
                <c:pt idx="901">
                  <c:v>37999</c:v>
                </c:pt>
                <c:pt idx="902">
                  <c:v>38000</c:v>
                </c:pt>
                <c:pt idx="903">
                  <c:v>38001</c:v>
                </c:pt>
                <c:pt idx="904">
                  <c:v>38002</c:v>
                </c:pt>
                <c:pt idx="905">
                  <c:v>38005</c:v>
                </c:pt>
                <c:pt idx="906">
                  <c:v>38006</c:v>
                </c:pt>
                <c:pt idx="907">
                  <c:v>38007</c:v>
                </c:pt>
                <c:pt idx="908">
                  <c:v>38008</c:v>
                </c:pt>
                <c:pt idx="909">
                  <c:v>38009</c:v>
                </c:pt>
                <c:pt idx="910">
                  <c:v>38012</c:v>
                </c:pt>
                <c:pt idx="911">
                  <c:v>38013</c:v>
                </c:pt>
                <c:pt idx="912">
                  <c:v>38014</c:v>
                </c:pt>
                <c:pt idx="913">
                  <c:v>38016</c:v>
                </c:pt>
                <c:pt idx="914">
                  <c:v>38019</c:v>
                </c:pt>
                <c:pt idx="915">
                  <c:v>38020</c:v>
                </c:pt>
                <c:pt idx="916">
                  <c:v>38021</c:v>
                </c:pt>
                <c:pt idx="917">
                  <c:v>38022</c:v>
                </c:pt>
                <c:pt idx="918">
                  <c:v>38023</c:v>
                </c:pt>
                <c:pt idx="919">
                  <c:v>38026</c:v>
                </c:pt>
                <c:pt idx="920">
                  <c:v>38027</c:v>
                </c:pt>
                <c:pt idx="921">
                  <c:v>38029</c:v>
                </c:pt>
                <c:pt idx="922">
                  <c:v>38030</c:v>
                </c:pt>
                <c:pt idx="923">
                  <c:v>38033</c:v>
                </c:pt>
                <c:pt idx="924">
                  <c:v>38034</c:v>
                </c:pt>
                <c:pt idx="925">
                  <c:v>38036</c:v>
                </c:pt>
                <c:pt idx="926">
                  <c:v>38037</c:v>
                </c:pt>
                <c:pt idx="927">
                  <c:v>38040</c:v>
                </c:pt>
                <c:pt idx="928">
                  <c:v>38041</c:v>
                </c:pt>
                <c:pt idx="929">
                  <c:v>38042</c:v>
                </c:pt>
                <c:pt idx="930">
                  <c:v>38043</c:v>
                </c:pt>
                <c:pt idx="931">
                  <c:v>38044</c:v>
                </c:pt>
                <c:pt idx="932">
                  <c:v>38047</c:v>
                </c:pt>
                <c:pt idx="933">
                  <c:v>38048</c:v>
                </c:pt>
                <c:pt idx="934">
                  <c:v>38049</c:v>
                </c:pt>
                <c:pt idx="935">
                  <c:v>38050</c:v>
                </c:pt>
                <c:pt idx="936">
                  <c:v>38051</c:v>
                </c:pt>
                <c:pt idx="937">
                  <c:v>38054</c:v>
                </c:pt>
                <c:pt idx="938">
                  <c:v>38055</c:v>
                </c:pt>
                <c:pt idx="939">
                  <c:v>38056</c:v>
                </c:pt>
                <c:pt idx="940">
                  <c:v>38057</c:v>
                </c:pt>
                <c:pt idx="941">
                  <c:v>38058</c:v>
                </c:pt>
                <c:pt idx="942">
                  <c:v>38061</c:v>
                </c:pt>
                <c:pt idx="943">
                  <c:v>38062</c:v>
                </c:pt>
                <c:pt idx="944">
                  <c:v>38063</c:v>
                </c:pt>
                <c:pt idx="945">
                  <c:v>38064</c:v>
                </c:pt>
                <c:pt idx="946">
                  <c:v>38065</c:v>
                </c:pt>
                <c:pt idx="947">
                  <c:v>38068</c:v>
                </c:pt>
                <c:pt idx="948">
                  <c:v>38069</c:v>
                </c:pt>
                <c:pt idx="949">
                  <c:v>38070</c:v>
                </c:pt>
                <c:pt idx="950">
                  <c:v>38071</c:v>
                </c:pt>
                <c:pt idx="951">
                  <c:v>38072</c:v>
                </c:pt>
                <c:pt idx="952">
                  <c:v>38075</c:v>
                </c:pt>
                <c:pt idx="953">
                  <c:v>38076</c:v>
                </c:pt>
                <c:pt idx="954">
                  <c:v>38077</c:v>
                </c:pt>
                <c:pt idx="955">
                  <c:v>38078</c:v>
                </c:pt>
                <c:pt idx="956">
                  <c:v>38079</c:v>
                </c:pt>
                <c:pt idx="957">
                  <c:v>38082</c:v>
                </c:pt>
                <c:pt idx="958">
                  <c:v>38083</c:v>
                </c:pt>
                <c:pt idx="959">
                  <c:v>38084</c:v>
                </c:pt>
                <c:pt idx="960">
                  <c:v>38085</c:v>
                </c:pt>
                <c:pt idx="961">
                  <c:v>38090</c:v>
                </c:pt>
                <c:pt idx="962">
                  <c:v>38091</c:v>
                </c:pt>
                <c:pt idx="963">
                  <c:v>38093</c:v>
                </c:pt>
                <c:pt idx="964">
                  <c:v>38096</c:v>
                </c:pt>
                <c:pt idx="965">
                  <c:v>38097</c:v>
                </c:pt>
                <c:pt idx="966">
                  <c:v>38098</c:v>
                </c:pt>
                <c:pt idx="967">
                  <c:v>38099</c:v>
                </c:pt>
                <c:pt idx="968">
                  <c:v>38100</c:v>
                </c:pt>
                <c:pt idx="969">
                  <c:v>38103</c:v>
                </c:pt>
                <c:pt idx="970">
                  <c:v>38104</c:v>
                </c:pt>
                <c:pt idx="971">
                  <c:v>38105</c:v>
                </c:pt>
                <c:pt idx="972">
                  <c:v>38106</c:v>
                </c:pt>
                <c:pt idx="973">
                  <c:v>38107</c:v>
                </c:pt>
                <c:pt idx="974">
                  <c:v>38110</c:v>
                </c:pt>
                <c:pt idx="975">
                  <c:v>38111</c:v>
                </c:pt>
                <c:pt idx="976">
                  <c:v>38112</c:v>
                </c:pt>
                <c:pt idx="977">
                  <c:v>38113</c:v>
                </c:pt>
                <c:pt idx="978">
                  <c:v>38114</c:v>
                </c:pt>
                <c:pt idx="979">
                  <c:v>38117</c:v>
                </c:pt>
                <c:pt idx="980">
                  <c:v>38118</c:v>
                </c:pt>
                <c:pt idx="981">
                  <c:v>38119</c:v>
                </c:pt>
                <c:pt idx="982">
                  <c:v>38120</c:v>
                </c:pt>
                <c:pt idx="983">
                  <c:v>38121</c:v>
                </c:pt>
                <c:pt idx="984">
                  <c:v>38124</c:v>
                </c:pt>
                <c:pt idx="985">
                  <c:v>38125</c:v>
                </c:pt>
                <c:pt idx="986">
                  <c:v>38126</c:v>
                </c:pt>
                <c:pt idx="987">
                  <c:v>38131</c:v>
                </c:pt>
                <c:pt idx="988">
                  <c:v>38132</c:v>
                </c:pt>
                <c:pt idx="989">
                  <c:v>38133</c:v>
                </c:pt>
                <c:pt idx="990">
                  <c:v>38134</c:v>
                </c:pt>
                <c:pt idx="991">
                  <c:v>38135</c:v>
                </c:pt>
                <c:pt idx="992">
                  <c:v>38139</c:v>
                </c:pt>
                <c:pt idx="993">
                  <c:v>38140</c:v>
                </c:pt>
                <c:pt idx="994">
                  <c:v>38141</c:v>
                </c:pt>
                <c:pt idx="995">
                  <c:v>38142</c:v>
                </c:pt>
                <c:pt idx="996">
                  <c:v>38145</c:v>
                </c:pt>
                <c:pt idx="997">
                  <c:v>38146</c:v>
                </c:pt>
                <c:pt idx="998">
                  <c:v>38147</c:v>
                </c:pt>
                <c:pt idx="999">
                  <c:v>38148</c:v>
                </c:pt>
                <c:pt idx="1000">
                  <c:v>38149</c:v>
                </c:pt>
                <c:pt idx="1001">
                  <c:v>38152</c:v>
                </c:pt>
                <c:pt idx="1002">
                  <c:v>38153</c:v>
                </c:pt>
                <c:pt idx="1003">
                  <c:v>38154</c:v>
                </c:pt>
                <c:pt idx="1004">
                  <c:v>38155</c:v>
                </c:pt>
                <c:pt idx="1005">
                  <c:v>38156</c:v>
                </c:pt>
                <c:pt idx="1006">
                  <c:v>38159</c:v>
                </c:pt>
                <c:pt idx="1007">
                  <c:v>38160</c:v>
                </c:pt>
                <c:pt idx="1008">
                  <c:v>38161</c:v>
                </c:pt>
                <c:pt idx="1009">
                  <c:v>38162</c:v>
                </c:pt>
                <c:pt idx="1010">
                  <c:v>38163</c:v>
                </c:pt>
                <c:pt idx="1011">
                  <c:v>38166</c:v>
                </c:pt>
                <c:pt idx="1012">
                  <c:v>38167</c:v>
                </c:pt>
                <c:pt idx="1013">
                  <c:v>38168</c:v>
                </c:pt>
                <c:pt idx="1014">
                  <c:v>38169</c:v>
                </c:pt>
                <c:pt idx="1015">
                  <c:v>38170</c:v>
                </c:pt>
                <c:pt idx="1016">
                  <c:v>38173</c:v>
                </c:pt>
                <c:pt idx="1017">
                  <c:v>38174</c:v>
                </c:pt>
                <c:pt idx="1018">
                  <c:v>38175</c:v>
                </c:pt>
                <c:pt idx="1019">
                  <c:v>38176</c:v>
                </c:pt>
                <c:pt idx="1020">
                  <c:v>38177</c:v>
                </c:pt>
                <c:pt idx="1021">
                  <c:v>38180</c:v>
                </c:pt>
                <c:pt idx="1022">
                  <c:v>38181</c:v>
                </c:pt>
                <c:pt idx="1023">
                  <c:v>38182</c:v>
                </c:pt>
                <c:pt idx="1024">
                  <c:v>38183</c:v>
                </c:pt>
                <c:pt idx="1025">
                  <c:v>38184</c:v>
                </c:pt>
                <c:pt idx="1026">
                  <c:v>38187</c:v>
                </c:pt>
                <c:pt idx="1027">
                  <c:v>38188</c:v>
                </c:pt>
                <c:pt idx="1028">
                  <c:v>38190</c:v>
                </c:pt>
                <c:pt idx="1029">
                  <c:v>38191</c:v>
                </c:pt>
                <c:pt idx="1030">
                  <c:v>38194</c:v>
                </c:pt>
                <c:pt idx="1031">
                  <c:v>38195</c:v>
                </c:pt>
                <c:pt idx="1032">
                  <c:v>38196</c:v>
                </c:pt>
                <c:pt idx="1033">
                  <c:v>38197</c:v>
                </c:pt>
                <c:pt idx="1034">
                  <c:v>38198</c:v>
                </c:pt>
                <c:pt idx="1035">
                  <c:v>38201</c:v>
                </c:pt>
                <c:pt idx="1036">
                  <c:v>38202</c:v>
                </c:pt>
                <c:pt idx="1037">
                  <c:v>38203</c:v>
                </c:pt>
                <c:pt idx="1038">
                  <c:v>38204</c:v>
                </c:pt>
                <c:pt idx="1039">
                  <c:v>38205</c:v>
                </c:pt>
                <c:pt idx="1040">
                  <c:v>38208</c:v>
                </c:pt>
                <c:pt idx="1041">
                  <c:v>38209</c:v>
                </c:pt>
                <c:pt idx="1042">
                  <c:v>38210</c:v>
                </c:pt>
                <c:pt idx="1043">
                  <c:v>38211</c:v>
                </c:pt>
                <c:pt idx="1044">
                  <c:v>38212</c:v>
                </c:pt>
                <c:pt idx="1045">
                  <c:v>38216</c:v>
                </c:pt>
                <c:pt idx="1046">
                  <c:v>38217</c:v>
                </c:pt>
                <c:pt idx="1047">
                  <c:v>38218</c:v>
                </c:pt>
                <c:pt idx="1048">
                  <c:v>38219</c:v>
                </c:pt>
                <c:pt idx="1049">
                  <c:v>38222</c:v>
                </c:pt>
                <c:pt idx="1050">
                  <c:v>38223</c:v>
                </c:pt>
                <c:pt idx="1051">
                  <c:v>38225</c:v>
                </c:pt>
                <c:pt idx="1052">
                  <c:v>38226</c:v>
                </c:pt>
                <c:pt idx="1053">
                  <c:v>38229</c:v>
                </c:pt>
                <c:pt idx="1054">
                  <c:v>38230</c:v>
                </c:pt>
                <c:pt idx="1055">
                  <c:v>38231</c:v>
                </c:pt>
                <c:pt idx="1056">
                  <c:v>38232</c:v>
                </c:pt>
                <c:pt idx="1057">
                  <c:v>38233</c:v>
                </c:pt>
                <c:pt idx="1058">
                  <c:v>38236</c:v>
                </c:pt>
                <c:pt idx="1059">
                  <c:v>38237</c:v>
                </c:pt>
                <c:pt idx="1060">
                  <c:v>38238</c:v>
                </c:pt>
                <c:pt idx="1061">
                  <c:v>38239</c:v>
                </c:pt>
                <c:pt idx="1062">
                  <c:v>38240</c:v>
                </c:pt>
                <c:pt idx="1063">
                  <c:v>38243</c:v>
                </c:pt>
                <c:pt idx="1064">
                  <c:v>38244</c:v>
                </c:pt>
                <c:pt idx="1065">
                  <c:v>38245</c:v>
                </c:pt>
                <c:pt idx="1066">
                  <c:v>38246</c:v>
                </c:pt>
                <c:pt idx="1067">
                  <c:v>38247</c:v>
                </c:pt>
                <c:pt idx="1068">
                  <c:v>38250</c:v>
                </c:pt>
                <c:pt idx="1069">
                  <c:v>38251</c:v>
                </c:pt>
                <c:pt idx="1070">
                  <c:v>38252</c:v>
                </c:pt>
                <c:pt idx="1071">
                  <c:v>38253</c:v>
                </c:pt>
                <c:pt idx="1072">
                  <c:v>38254</c:v>
                </c:pt>
                <c:pt idx="1073">
                  <c:v>38257</c:v>
                </c:pt>
                <c:pt idx="1074">
                  <c:v>38258</c:v>
                </c:pt>
                <c:pt idx="1075">
                  <c:v>38259</c:v>
                </c:pt>
                <c:pt idx="1076">
                  <c:v>38260</c:v>
                </c:pt>
                <c:pt idx="1077">
                  <c:v>38261</c:v>
                </c:pt>
                <c:pt idx="1078">
                  <c:v>38264</c:v>
                </c:pt>
                <c:pt idx="1079">
                  <c:v>38265</c:v>
                </c:pt>
                <c:pt idx="1080">
                  <c:v>38266</c:v>
                </c:pt>
                <c:pt idx="1081">
                  <c:v>38267</c:v>
                </c:pt>
                <c:pt idx="1082">
                  <c:v>38268</c:v>
                </c:pt>
                <c:pt idx="1083">
                  <c:v>38271</c:v>
                </c:pt>
                <c:pt idx="1084">
                  <c:v>38272</c:v>
                </c:pt>
                <c:pt idx="1085">
                  <c:v>38273</c:v>
                </c:pt>
                <c:pt idx="1086">
                  <c:v>38275</c:v>
                </c:pt>
                <c:pt idx="1087">
                  <c:v>38278</c:v>
                </c:pt>
                <c:pt idx="1088">
                  <c:v>38279</c:v>
                </c:pt>
                <c:pt idx="1089">
                  <c:v>38280</c:v>
                </c:pt>
                <c:pt idx="1090">
                  <c:v>38281</c:v>
                </c:pt>
                <c:pt idx="1091">
                  <c:v>38282</c:v>
                </c:pt>
                <c:pt idx="1092">
                  <c:v>38285</c:v>
                </c:pt>
                <c:pt idx="1093">
                  <c:v>38286</c:v>
                </c:pt>
                <c:pt idx="1094">
                  <c:v>38287</c:v>
                </c:pt>
                <c:pt idx="1095">
                  <c:v>38288</c:v>
                </c:pt>
                <c:pt idx="1096">
                  <c:v>38289</c:v>
                </c:pt>
                <c:pt idx="1097">
                  <c:v>38293</c:v>
                </c:pt>
                <c:pt idx="1098">
                  <c:v>38294</c:v>
                </c:pt>
                <c:pt idx="1099">
                  <c:v>38295</c:v>
                </c:pt>
                <c:pt idx="1100">
                  <c:v>38296</c:v>
                </c:pt>
                <c:pt idx="1101">
                  <c:v>38299</c:v>
                </c:pt>
                <c:pt idx="1102">
                  <c:v>38300</c:v>
                </c:pt>
                <c:pt idx="1103">
                  <c:v>38301</c:v>
                </c:pt>
                <c:pt idx="1104">
                  <c:v>38303</c:v>
                </c:pt>
                <c:pt idx="1105">
                  <c:v>38306</c:v>
                </c:pt>
                <c:pt idx="1106">
                  <c:v>38307</c:v>
                </c:pt>
                <c:pt idx="1107">
                  <c:v>38308</c:v>
                </c:pt>
                <c:pt idx="1108">
                  <c:v>38309</c:v>
                </c:pt>
                <c:pt idx="1109">
                  <c:v>38310</c:v>
                </c:pt>
                <c:pt idx="1110">
                  <c:v>38313</c:v>
                </c:pt>
                <c:pt idx="1111">
                  <c:v>38314</c:v>
                </c:pt>
                <c:pt idx="1112">
                  <c:v>38315</c:v>
                </c:pt>
                <c:pt idx="1113">
                  <c:v>38316</c:v>
                </c:pt>
                <c:pt idx="1114">
                  <c:v>38317</c:v>
                </c:pt>
                <c:pt idx="1115">
                  <c:v>38320</c:v>
                </c:pt>
                <c:pt idx="1116">
                  <c:v>38321</c:v>
                </c:pt>
                <c:pt idx="1117">
                  <c:v>38322</c:v>
                </c:pt>
                <c:pt idx="1118">
                  <c:v>38323</c:v>
                </c:pt>
                <c:pt idx="1119">
                  <c:v>38324</c:v>
                </c:pt>
                <c:pt idx="1120">
                  <c:v>38327</c:v>
                </c:pt>
                <c:pt idx="1121">
                  <c:v>38328</c:v>
                </c:pt>
                <c:pt idx="1122">
                  <c:v>38329</c:v>
                </c:pt>
                <c:pt idx="1123">
                  <c:v>38330</c:v>
                </c:pt>
                <c:pt idx="1124">
                  <c:v>38331</c:v>
                </c:pt>
                <c:pt idx="1125">
                  <c:v>38334</c:v>
                </c:pt>
                <c:pt idx="1126">
                  <c:v>38335</c:v>
                </c:pt>
                <c:pt idx="1127">
                  <c:v>38336</c:v>
                </c:pt>
                <c:pt idx="1128">
                  <c:v>38337</c:v>
                </c:pt>
                <c:pt idx="1129">
                  <c:v>38338</c:v>
                </c:pt>
                <c:pt idx="1130">
                  <c:v>38341</c:v>
                </c:pt>
                <c:pt idx="1131">
                  <c:v>38342</c:v>
                </c:pt>
                <c:pt idx="1132">
                  <c:v>38343</c:v>
                </c:pt>
                <c:pt idx="1133">
                  <c:v>38344</c:v>
                </c:pt>
                <c:pt idx="1134">
                  <c:v>38345</c:v>
                </c:pt>
                <c:pt idx="1135">
                  <c:v>38348</c:v>
                </c:pt>
                <c:pt idx="1136">
                  <c:v>38349</c:v>
                </c:pt>
                <c:pt idx="1137">
                  <c:v>38350</c:v>
                </c:pt>
                <c:pt idx="1138">
                  <c:v>38351</c:v>
                </c:pt>
                <c:pt idx="1139">
                  <c:v>38352</c:v>
                </c:pt>
                <c:pt idx="1140">
                  <c:v>38355</c:v>
                </c:pt>
                <c:pt idx="1141">
                  <c:v>38356</c:v>
                </c:pt>
                <c:pt idx="1142">
                  <c:v>38357</c:v>
                </c:pt>
                <c:pt idx="1143">
                  <c:v>38358</c:v>
                </c:pt>
                <c:pt idx="1144">
                  <c:v>38362</c:v>
                </c:pt>
                <c:pt idx="1145">
                  <c:v>38363</c:v>
                </c:pt>
                <c:pt idx="1146">
                  <c:v>38364</c:v>
                </c:pt>
                <c:pt idx="1147">
                  <c:v>38366</c:v>
                </c:pt>
                <c:pt idx="1148">
                  <c:v>38369</c:v>
                </c:pt>
                <c:pt idx="1149">
                  <c:v>38370</c:v>
                </c:pt>
                <c:pt idx="1150">
                  <c:v>38372</c:v>
                </c:pt>
                <c:pt idx="1151">
                  <c:v>38373</c:v>
                </c:pt>
                <c:pt idx="1152">
                  <c:v>38376</c:v>
                </c:pt>
                <c:pt idx="1153">
                  <c:v>38377</c:v>
                </c:pt>
                <c:pt idx="1154">
                  <c:v>38379</c:v>
                </c:pt>
                <c:pt idx="1155">
                  <c:v>38380</c:v>
                </c:pt>
                <c:pt idx="1156">
                  <c:v>38383</c:v>
                </c:pt>
                <c:pt idx="1157">
                  <c:v>38384</c:v>
                </c:pt>
                <c:pt idx="1158">
                  <c:v>38385</c:v>
                </c:pt>
                <c:pt idx="1159">
                  <c:v>38386</c:v>
                </c:pt>
                <c:pt idx="1160">
                  <c:v>38387</c:v>
                </c:pt>
                <c:pt idx="1161">
                  <c:v>38390</c:v>
                </c:pt>
                <c:pt idx="1162">
                  <c:v>38391</c:v>
                </c:pt>
                <c:pt idx="1163">
                  <c:v>38392</c:v>
                </c:pt>
                <c:pt idx="1164">
                  <c:v>38393</c:v>
                </c:pt>
                <c:pt idx="1165">
                  <c:v>38394</c:v>
                </c:pt>
                <c:pt idx="1166">
                  <c:v>38397</c:v>
                </c:pt>
                <c:pt idx="1167">
                  <c:v>38398</c:v>
                </c:pt>
                <c:pt idx="1168">
                  <c:v>38399</c:v>
                </c:pt>
                <c:pt idx="1169">
                  <c:v>38400</c:v>
                </c:pt>
                <c:pt idx="1170">
                  <c:v>38401</c:v>
                </c:pt>
                <c:pt idx="1171">
                  <c:v>38404</c:v>
                </c:pt>
                <c:pt idx="1172">
                  <c:v>38405</c:v>
                </c:pt>
                <c:pt idx="1173">
                  <c:v>38406</c:v>
                </c:pt>
                <c:pt idx="1174">
                  <c:v>38407</c:v>
                </c:pt>
                <c:pt idx="1175">
                  <c:v>38408</c:v>
                </c:pt>
                <c:pt idx="1176">
                  <c:v>38411</c:v>
                </c:pt>
                <c:pt idx="1177">
                  <c:v>38412</c:v>
                </c:pt>
                <c:pt idx="1178">
                  <c:v>38413</c:v>
                </c:pt>
                <c:pt idx="1179">
                  <c:v>38415</c:v>
                </c:pt>
                <c:pt idx="1180">
                  <c:v>38418</c:v>
                </c:pt>
                <c:pt idx="1181">
                  <c:v>38419</c:v>
                </c:pt>
                <c:pt idx="1182">
                  <c:v>38420</c:v>
                </c:pt>
                <c:pt idx="1183">
                  <c:v>38421</c:v>
                </c:pt>
                <c:pt idx="1184">
                  <c:v>38422</c:v>
                </c:pt>
                <c:pt idx="1185">
                  <c:v>38425</c:v>
                </c:pt>
                <c:pt idx="1186">
                  <c:v>38426</c:v>
                </c:pt>
                <c:pt idx="1187">
                  <c:v>38427</c:v>
                </c:pt>
                <c:pt idx="1188">
                  <c:v>38428</c:v>
                </c:pt>
                <c:pt idx="1189">
                  <c:v>38429</c:v>
                </c:pt>
                <c:pt idx="1190">
                  <c:v>38432</c:v>
                </c:pt>
                <c:pt idx="1191">
                  <c:v>38433</c:v>
                </c:pt>
                <c:pt idx="1192">
                  <c:v>38434</c:v>
                </c:pt>
                <c:pt idx="1193">
                  <c:v>38435</c:v>
                </c:pt>
                <c:pt idx="1194">
                  <c:v>38440</c:v>
                </c:pt>
                <c:pt idx="1195">
                  <c:v>38441</c:v>
                </c:pt>
                <c:pt idx="1196">
                  <c:v>38442</c:v>
                </c:pt>
                <c:pt idx="1197">
                  <c:v>38443</c:v>
                </c:pt>
                <c:pt idx="1198">
                  <c:v>38446</c:v>
                </c:pt>
                <c:pt idx="1199">
                  <c:v>38447</c:v>
                </c:pt>
                <c:pt idx="1200">
                  <c:v>38448</c:v>
                </c:pt>
                <c:pt idx="1201">
                  <c:v>38449</c:v>
                </c:pt>
                <c:pt idx="1202">
                  <c:v>38450</c:v>
                </c:pt>
                <c:pt idx="1203">
                  <c:v>38453</c:v>
                </c:pt>
                <c:pt idx="1204">
                  <c:v>38454</c:v>
                </c:pt>
                <c:pt idx="1205">
                  <c:v>38455</c:v>
                </c:pt>
                <c:pt idx="1206">
                  <c:v>38456</c:v>
                </c:pt>
                <c:pt idx="1207">
                  <c:v>38457</c:v>
                </c:pt>
                <c:pt idx="1208">
                  <c:v>38460</c:v>
                </c:pt>
                <c:pt idx="1209">
                  <c:v>38461</c:v>
                </c:pt>
                <c:pt idx="1210">
                  <c:v>38462</c:v>
                </c:pt>
                <c:pt idx="1211">
                  <c:v>38463</c:v>
                </c:pt>
                <c:pt idx="1212">
                  <c:v>38464</c:v>
                </c:pt>
                <c:pt idx="1213">
                  <c:v>38467</c:v>
                </c:pt>
                <c:pt idx="1214">
                  <c:v>38468</c:v>
                </c:pt>
                <c:pt idx="1215">
                  <c:v>38470</c:v>
                </c:pt>
                <c:pt idx="1216">
                  <c:v>38471</c:v>
                </c:pt>
                <c:pt idx="1217">
                  <c:v>38474</c:v>
                </c:pt>
                <c:pt idx="1218">
                  <c:v>38475</c:v>
                </c:pt>
                <c:pt idx="1219">
                  <c:v>38476</c:v>
                </c:pt>
                <c:pt idx="1220">
                  <c:v>38481</c:v>
                </c:pt>
                <c:pt idx="1221">
                  <c:v>38482</c:v>
                </c:pt>
                <c:pt idx="1222">
                  <c:v>38483</c:v>
                </c:pt>
                <c:pt idx="1223">
                  <c:v>38485</c:v>
                </c:pt>
                <c:pt idx="1224">
                  <c:v>38489</c:v>
                </c:pt>
                <c:pt idx="1225">
                  <c:v>38490</c:v>
                </c:pt>
                <c:pt idx="1226">
                  <c:v>38491</c:v>
                </c:pt>
                <c:pt idx="1227">
                  <c:v>38492</c:v>
                </c:pt>
                <c:pt idx="1228">
                  <c:v>38495</c:v>
                </c:pt>
                <c:pt idx="1229">
                  <c:v>38496</c:v>
                </c:pt>
                <c:pt idx="1230">
                  <c:v>38497</c:v>
                </c:pt>
                <c:pt idx="1231">
                  <c:v>38498</c:v>
                </c:pt>
                <c:pt idx="1232">
                  <c:v>38499</c:v>
                </c:pt>
                <c:pt idx="1233">
                  <c:v>38502</c:v>
                </c:pt>
                <c:pt idx="1234">
                  <c:v>38503</c:v>
                </c:pt>
                <c:pt idx="1235">
                  <c:v>38504</c:v>
                </c:pt>
                <c:pt idx="1236">
                  <c:v>38505</c:v>
                </c:pt>
                <c:pt idx="1237">
                  <c:v>38506</c:v>
                </c:pt>
                <c:pt idx="1238">
                  <c:v>38509</c:v>
                </c:pt>
                <c:pt idx="1239">
                  <c:v>38510</c:v>
                </c:pt>
                <c:pt idx="1240">
                  <c:v>38511</c:v>
                </c:pt>
                <c:pt idx="1241">
                  <c:v>38513</c:v>
                </c:pt>
                <c:pt idx="1242">
                  <c:v>38516</c:v>
                </c:pt>
                <c:pt idx="1243">
                  <c:v>38517</c:v>
                </c:pt>
                <c:pt idx="1244">
                  <c:v>38518</c:v>
                </c:pt>
                <c:pt idx="1245">
                  <c:v>38519</c:v>
                </c:pt>
                <c:pt idx="1246">
                  <c:v>38520</c:v>
                </c:pt>
                <c:pt idx="1247">
                  <c:v>38523</c:v>
                </c:pt>
                <c:pt idx="1248">
                  <c:v>38524</c:v>
                </c:pt>
                <c:pt idx="1249">
                  <c:v>38525</c:v>
                </c:pt>
                <c:pt idx="1250">
                  <c:v>38526</c:v>
                </c:pt>
                <c:pt idx="1251">
                  <c:v>38527</c:v>
                </c:pt>
                <c:pt idx="1252">
                  <c:v>38530</c:v>
                </c:pt>
                <c:pt idx="1253">
                  <c:v>38531</c:v>
                </c:pt>
                <c:pt idx="1254">
                  <c:v>38532</c:v>
                </c:pt>
                <c:pt idx="1255">
                  <c:v>38533</c:v>
                </c:pt>
                <c:pt idx="1256">
                  <c:v>38534</c:v>
                </c:pt>
                <c:pt idx="1257">
                  <c:v>38538</c:v>
                </c:pt>
                <c:pt idx="1258">
                  <c:v>38539</c:v>
                </c:pt>
                <c:pt idx="1259">
                  <c:v>38541</c:v>
                </c:pt>
                <c:pt idx="1260">
                  <c:v>38544</c:v>
                </c:pt>
                <c:pt idx="1261">
                  <c:v>38545</c:v>
                </c:pt>
                <c:pt idx="1262">
                  <c:v>38546</c:v>
                </c:pt>
                <c:pt idx="1263">
                  <c:v>38547</c:v>
                </c:pt>
                <c:pt idx="1264">
                  <c:v>38548</c:v>
                </c:pt>
                <c:pt idx="1265">
                  <c:v>38551</c:v>
                </c:pt>
                <c:pt idx="1266">
                  <c:v>38552</c:v>
                </c:pt>
                <c:pt idx="1267">
                  <c:v>38553</c:v>
                </c:pt>
                <c:pt idx="1268">
                  <c:v>38555</c:v>
                </c:pt>
                <c:pt idx="1269">
                  <c:v>38558</c:v>
                </c:pt>
                <c:pt idx="1270">
                  <c:v>38559</c:v>
                </c:pt>
                <c:pt idx="1271">
                  <c:v>38560</c:v>
                </c:pt>
                <c:pt idx="1272">
                  <c:v>38561</c:v>
                </c:pt>
                <c:pt idx="1273">
                  <c:v>38562</c:v>
                </c:pt>
                <c:pt idx="1274">
                  <c:v>38565</c:v>
                </c:pt>
                <c:pt idx="1275">
                  <c:v>38566</c:v>
                </c:pt>
                <c:pt idx="1276">
                  <c:v>38567</c:v>
                </c:pt>
                <c:pt idx="1277">
                  <c:v>38568</c:v>
                </c:pt>
                <c:pt idx="1278">
                  <c:v>38569</c:v>
                </c:pt>
                <c:pt idx="1279">
                  <c:v>38572</c:v>
                </c:pt>
                <c:pt idx="1280">
                  <c:v>38573</c:v>
                </c:pt>
                <c:pt idx="1281">
                  <c:v>38574</c:v>
                </c:pt>
                <c:pt idx="1282">
                  <c:v>38575</c:v>
                </c:pt>
                <c:pt idx="1283">
                  <c:v>38576</c:v>
                </c:pt>
                <c:pt idx="1284">
                  <c:v>38580</c:v>
                </c:pt>
                <c:pt idx="1285">
                  <c:v>38581</c:v>
                </c:pt>
                <c:pt idx="1286">
                  <c:v>38582</c:v>
                </c:pt>
                <c:pt idx="1287">
                  <c:v>38583</c:v>
                </c:pt>
                <c:pt idx="1288">
                  <c:v>38586</c:v>
                </c:pt>
                <c:pt idx="1289">
                  <c:v>38588</c:v>
                </c:pt>
                <c:pt idx="1290">
                  <c:v>38589</c:v>
                </c:pt>
                <c:pt idx="1291">
                  <c:v>38590</c:v>
                </c:pt>
                <c:pt idx="1292">
                  <c:v>38593</c:v>
                </c:pt>
                <c:pt idx="1293">
                  <c:v>38594</c:v>
                </c:pt>
                <c:pt idx="1294">
                  <c:v>38595</c:v>
                </c:pt>
                <c:pt idx="1295">
                  <c:v>38596</c:v>
                </c:pt>
                <c:pt idx="1296">
                  <c:v>38597</c:v>
                </c:pt>
                <c:pt idx="1297">
                  <c:v>38600</c:v>
                </c:pt>
                <c:pt idx="1298">
                  <c:v>38601</c:v>
                </c:pt>
                <c:pt idx="1299">
                  <c:v>38602</c:v>
                </c:pt>
                <c:pt idx="1300">
                  <c:v>38603</c:v>
                </c:pt>
                <c:pt idx="1301">
                  <c:v>38604</c:v>
                </c:pt>
                <c:pt idx="1302">
                  <c:v>38607</c:v>
                </c:pt>
                <c:pt idx="1303">
                  <c:v>38608</c:v>
                </c:pt>
                <c:pt idx="1304">
                  <c:v>38609</c:v>
                </c:pt>
                <c:pt idx="1305">
                  <c:v>38610</c:v>
                </c:pt>
                <c:pt idx="1306">
                  <c:v>38611</c:v>
                </c:pt>
                <c:pt idx="1307">
                  <c:v>38614</c:v>
                </c:pt>
                <c:pt idx="1308">
                  <c:v>38615</c:v>
                </c:pt>
                <c:pt idx="1309">
                  <c:v>38616</c:v>
                </c:pt>
                <c:pt idx="1310">
                  <c:v>38617</c:v>
                </c:pt>
                <c:pt idx="1311">
                  <c:v>38618</c:v>
                </c:pt>
                <c:pt idx="1312">
                  <c:v>38621</c:v>
                </c:pt>
                <c:pt idx="1313">
                  <c:v>38622</c:v>
                </c:pt>
                <c:pt idx="1314">
                  <c:v>38623</c:v>
                </c:pt>
                <c:pt idx="1315">
                  <c:v>38624</c:v>
                </c:pt>
                <c:pt idx="1316">
                  <c:v>38625</c:v>
                </c:pt>
                <c:pt idx="1317">
                  <c:v>38628</c:v>
                </c:pt>
                <c:pt idx="1318">
                  <c:v>38629</c:v>
                </c:pt>
                <c:pt idx="1319">
                  <c:v>38630</c:v>
                </c:pt>
                <c:pt idx="1320">
                  <c:v>38631</c:v>
                </c:pt>
                <c:pt idx="1321">
                  <c:v>38632</c:v>
                </c:pt>
                <c:pt idx="1322">
                  <c:v>38635</c:v>
                </c:pt>
                <c:pt idx="1323">
                  <c:v>38636</c:v>
                </c:pt>
                <c:pt idx="1324">
                  <c:v>38637</c:v>
                </c:pt>
                <c:pt idx="1325">
                  <c:v>38638</c:v>
                </c:pt>
                <c:pt idx="1326">
                  <c:v>38639</c:v>
                </c:pt>
                <c:pt idx="1327">
                  <c:v>38642</c:v>
                </c:pt>
                <c:pt idx="1328">
                  <c:v>38643</c:v>
                </c:pt>
                <c:pt idx="1329">
                  <c:v>38644</c:v>
                </c:pt>
                <c:pt idx="1330">
                  <c:v>38645</c:v>
                </c:pt>
                <c:pt idx="1331">
                  <c:v>38646</c:v>
                </c:pt>
                <c:pt idx="1332">
                  <c:v>38649</c:v>
                </c:pt>
                <c:pt idx="1333">
                  <c:v>38650</c:v>
                </c:pt>
                <c:pt idx="1334">
                  <c:v>38651</c:v>
                </c:pt>
                <c:pt idx="1335">
                  <c:v>38652</c:v>
                </c:pt>
                <c:pt idx="1336">
                  <c:v>38653</c:v>
                </c:pt>
                <c:pt idx="1337">
                  <c:v>38656</c:v>
                </c:pt>
                <c:pt idx="1338">
                  <c:v>38658</c:v>
                </c:pt>
                <c:pt idx="1339">
                  <c:v>38659</c:v>
                </c:pt>
                <c:pt idx="1340">
                  <c:v>38660</c:v>
                </c:pt>
                <c:pt idx="1341">
                  <c:v>38663</c:v>
                </c:pt>
                <c:pt idx="1342">
                  <c:v>38664</c:v>
                </c:pt>
                <c:pt idx="1343">
                  <c:v>38665</c:v>
                </c:pt>
                <c:pt idx="1344">
                  <c:v>38666</c:v>
                </c:pt>
                <c:pt idx="1345">
                  <c:v>38670</c:v>
                </c:pt>
                <c:pt idx="1346">
                  <c:v>38671</c:v>
                </c:pt>
                <c:pt idx="1347">
                  <c:v>38672</c:v>
                </c:pt>
                <c:pt idx="1348">
                  <c:v>38673</c:v>
                </c:pt>
                <c:pt idx="1349">
                  <c:v>38674</c:v>
                </c:pt>
                <c:pt idx="1350">
                  <c:v>38677</c:v>
                </c:pt>
                <c:pt idx="1351">
                  <c:v>38678</c:v>
                </c:pt>
                <c:pt idx="1352">
                  <c:v>38679</c:v>
                </c:pt>
                <c:pt idx="1353">
                  <c:v>38680</c:v>
                </c:pt>
                <c:pt idx="1354">
                  <c:v>38681</c:v>
                </c:pt>
                <c:pt idx="1355">
                  <c:v>38684</c:v>
                </c:pt>
                <c:pt idx="1356">
                  <c:v>38685</c:v>
                </c:pt>
                <c:pt idx="1357">
                  <c:v>38686</c:v>
                </c:pt>
                <c:pt idx="1358">
                  <c:v>38687</c:v>
                </c:pt>
                <c:pt idx="1359">
                  <c:v>38688</c:v>
                </c:pt>
                <c:pt idx="1360">
                  <c:v>38691</c:v>
                </c:pt>
                <c:pt idx="1361">
                  <c:v>38692</c:v>
                </c:pt>
                <c:pt idx="1362">
                  <c:v>38693</c:v>
                </c:pt>
                <c:pt idx="1363">
                  <c:v>38694</c:v>
                </c:pt>
                <c:pt idx="1364">
                  <c:v>38695</c:v>
                </c:pt>
                <c:pt idx="1365">
                  <c:v>38698</c:v>
                </c:pt>
                <c:pt idx="1366">
                  <c:v>38699</c:v>
                </c:pt>
                <c:pt idx="1367">
                  <c:v>38700</c:v>
                </c:pt>
                <c:pt idx="1368">
                  <c:v>38701</c:v>
                </c:pt>
                <c:pt idx="1369">
                  <c:v>38702</c:v>
                </c:pt>
                <c:pt idx="1370">
                  <c:v>38705</c:v>
                </c:pt>
                <c:pt idx="1371">
                  <c:v>38706</c:v>
                </c:pt>
                <c:pt idx="1372">
                  <c:v>38707</c:v>
                </c:pt>
                <c:pt idx="1373">
                  <c:v>38708</c:v>
                </c:pt>
                <c:pt idx="1374">
                  <c:v>38709</c:v>
                </c:pt>
                <c:pt idx="1375">
                  <c:v>38713</c:v>
                </c:pt>
                <c:pt idx="1376">
                  <c:v>38714</c:v>
                </c:pt>
                <c:pt idx="1377">
                  <c:v>38715</c:v>
                </c:pt>
                <c:pt idx="1378">
                  <c:v>38716</c:v>
                </c:pt>
                <c:pt idx="1379">
                  <c:v>38720</c:v>
                </c:pt>
                <c:pt idx="1380">
                  <c:v>38721</c:v>
                </c:pt>
                <c:pt idx="1381">
                  <c:v>38722</c:v>
                </c:pt>
                <c:pt idx="1382">
                  <c:v>38723</c:v>
                </c:pt>
                <c:pt idx="1383">
                  <c:v>38726</c:v>
                </c:pt>
                <c:pt idx="1384">
                  <c:v>38727</c:v>
                </c:pt>
                <c:pt idx="1385">
                  <c:v>38728</c:v>
                </c:pt>
                <c:pt idx="1386">
                  <c:v>38729</c:v>
                </c:pt>
                <c:pt idx="1387">
                  <c:v>38730</c:v>
                </c:pt>
                <c:pt idx="1388">
                  <c:v>38734</c:v>
                </c:pt>
                <c:pt idx="1389">
                  <c:v>38735</c:v>
                </c:pt>
                <c:pt idx="1390">
                  <c:v>38736</c:v>
                </c:pt>
                <c:pt idx="1391">
                  <c:v>38737</c:v>
                </c:pt>
                <c:pt idx="1392">
                  <c:v>38740</c:v>
                </c:pt>
                <c:pt idx="1393">
                  <c:v>38741</c:v>
                </c:pt>
                <c:pt idx="1394">
                  <c:v>38742</c:v>
                </c:pt>
                <c:pt idx="1395">
                  <c:v>38743</c:v>
                </c:pt>
                <c:pt idx="1396">
                  <c:v>38744</c:v>
                </c:pt>
                <c:pt idx="1397">
                  <c:v>38747</c:v>
                </c:pt>
                <c:pt idx="1398">
                  <c:v>38748</c:v>
                </c:pt>
                <c:pt idx="1399">
                  <c:v>38749</c:v>
                </c:pt>
                <c:pt idx="1400">
                  <c:v>38750</c:v>
                </c:pt>
                <c:pt idx="1401">
                  <c:v>38751</c:v>
                </c:pt>
                <c:pt idx="1402">
                  <c:v>38754</c:v>
                </c:pt>
                <c:pt idx="1403">
                  <c:v>38755</c:v>
                </c:pt>
                <c:pt idx="1404">
                  <c:v>38756</c:v>
                </c:pt>
                <c:pt idx="1405">
                  <c:v>38757</c:v>
                </c:pt>
                <c:pt idx="1406">
                  <c:v>38758</c:v>
                </c:pt>
                <c:pt idx="1407">
                  <c:v>38761</c:v>
                </c:pt>
                <c:pt idx="1408">
                  <c:v>38762</c:v>
                </c:pt>
                <c:pt idx="1409">
                  <c:v>38763</c:v>
                </c:pt>
                <c:pt idx="1410">
                  <c:v>38764</c:v>
                </c:pt>
                <c:pt idx="1411">
                  <c:v>38765</c:v>
                </c:pt>
                <c:pt idx="1412">
                  <c:v>38769</c:v>
                </c:pt>
                <c:pt idx="1413">
                  <c:v>38770</c:v>
                </c:pt>
                <c:pt idx="1414">
                  <c:v>38771</c:v>
                </c:pt>
                <c:pt idx="1415">
                  <c:v>38772</c:v>
                </c:pt>
                <c:pt idx="1416">
                  <c:v>38775</c:v>
                </c:pt>
                <c:pt idx="1417">
                  <c:v>38776</c:v>
                </c:pt>
                <c:pt idx="1418">
                  <c:v>38777</c:v>
                </c:pt>
                <c:pt idx="1419">
                  <c:v>38778</c:v>
                </c:pt>
                <c:pt idx="1420">
                  <c:v>38779</c:v>
                </c:pt>
                <c:pt idx="1421">
                  <c:v>38782</c:v>
                </c:pt>
                <c:pt idx="1422">
                  <c:v>38783</c:v>
                </c:pt>
                <c:pt idx="1423">
                  <c:v>38784</c:v>
                </c:pt>
                <c:pt idx="1424">
                  <c:v>38785</c:v>
                </c:pt>
                <c:pt idx="1425">
                  <c:v>38786</c:v>
                </c:pt>
                <c:pt idx="1426">
                  <c:v>38789</c:v>
                </c:pt>
                <c:pt idx="1427">
                  <c:v>38790</c:v>
                </c:pt>
                <c:pt idx="1428">
                  <c:v>38791</c:v>
                </c:pt>
                <c:pt idx="1429">
                  <c:v>38792</c:v>
                </c:pt>
                <c:pt idx="1430">
                  <c:v>38793</c:v>
                </c:pt>
                <c:pt idx="1431">
                  <c:v>38796</c:v>
                </c:pt>
                <c:pt idx="1432">
                  <c:v>38797</c:v>
                </c:pt>
                <c:pt idx="1433">
                  <c:v>38798</c:v>
                </c:pt>
                <c:pt idx="1434">
                  <c:v>38799</c:v>
                </c:pt>
                <c:pt idx="1435">
                  <c:v>38800</c:v>
                </c:pt>
                <c:pt idx="1436">
                  <c:v>38803</c:v>
                </c:pt>
                <c:pt idx="1437">
                  <c:v>38804</c:v>
                </c:pt>
                <c:pt idx="1438">
                  <c:v>38805</c:v>
                </c:pt>
                <c:pt idx="1439">
                  <c:v>38806</c:v>
                </c:pt>
                <c:pt idx="1440">
                  <c:v>38807</c:v>
                </c:pt>
                <c:pt idx="1441">
                  <c:v>38810</c:v>
                </c:pt>
                <c:pt idx="1442">
                  <c:v>38811</c:v>
                </c:pt>
                <c:pt idx="1443">
                  <c:v>38812</c:v>
                </c:pt>
                <c:pt idx="1444">
                  <c:v>38813</c:v>
                </c:pt>
                <c:pt idx="1445">
                  <c:v>38814</c:v>
                </c:pt>
                <c:pt idx="1446">
                  <c:v>38817</c:v>
                </c:pt>
                <c:pt idx="1447">
                  <c:v>38818</c:v>
                </c:pt>
                <c:pt idx="1448">
                  <c:v>38819</c:v>
                </c:pt>
                <c:pt idx="1449">
                  <c:v>38820</c:v>
                </c:pt>
                <c:pt idx="1450">
                  <c:v>38825</c:v>
                </c:pt>
                <c:pt idx="1451">
                  <c:v>38826</c:v>
                </c:pt>
                <c:pt idx="1452">
                  <c:v>38827</c:v>
                </c:pt>
                <c:pt idx="1453">
                  <c:v>38828</c:v>
                </c:pt>
                <c:pt idx="1454">
                  <c:v>38831</c:v>
                </c:pt>
                <c:pt idx="1455">
                  <c:v>38832</c:v>
                </c:pt>
                <c:pt idx="1456">
                  <c:v>38833</c:v>
                </c:pt>
                <c:pt idx="1457">
                  <c:v>38834</c:v>
                </c:pt>
                <c:pt idx="1458">
                  <c:v>38835</c:v>
                </c:pt>
                <c:pt idx="1459">
                  <c:v>38839</c:v>
                </c:pt>
                <c:pt idx="1460">
                  <c:v>38840</c:v>
                </c:pt>
                <c:pt idx="1461">
                  <c:v>38841</c:v>
                </c:pt>
                <c:pt idx="1462">
                  <c:v>38842</c:v>
                </c:pt>
                <c:pt idx="1463">
                  <c:v>38845</c:v>
                </c:pt>
                <c:pt idx="1464">
                  <c:v>38846</c:v>
                </c:pt>
                <c:pt idx="1465">
                  <c:v>38847</c:v>
                </c:pt>
                <c:pt idx="1466">
                  <c:v>38848</c:v>
                </c:pt>
                <c:pt idx="1467">
                  <c:v>38849</c:v>
                </c:pt>
                <c:pt idx="1468">
                  <c:v>38852</c:v>
                </c:pt>
                <c:pt idx="1469">
                  <c:v>38853</c:v>
                </c:pt>
                <c:pt idx="1470">
                  <c:v>38854</c:v>
                </c:pt>
                <c:pt idx="1471">
                  <c:v>38855</c:v>
                </c:pt>
                <c:pt idx="1472">
                  <c:v>38856</c:v>
                </c:pt>
                <c:pt idx="1473">
                  <c:v>38859</c:v>
                </c:pt>
                <c:pt idx="1474">
                  <c:v>38860</c:v>
                </c:pt>
                <c:pt idx="1475">
                  <c:v>38861</c:v>
                </c:pt>
                <c:pt idx="1476">
                  <c:v>38867</c:v>
                </c:pt>
                <c:pt idx="1477">
                  <c:v>38868</c:v>
                </c:pt>
                <c:pt idx="1478">
                  <c:v>38869</c:v>
                </c:pt>
                <c:pt idx="1479">
                  <c:v>38870</c:v>
                </c:pt>
                <c:pt idx="1480">
                  <c:v>38874</c:v>
                </c:pt>
                <c:pt idx="1481">
                  <c:v>38875</c:v>
                </c:pt>
                <c:pt idx="1482">
                  <c:v>38876</c:v>
                </c:pt>
                <c:pt idx="1483">
                  <c:v>38877</c:v>
                </c:pt>
                <c:pt idx="1484">
                  <c:v>38880</c:v>
                </c:pt>
                <c:pt idx="1485">
                  <c:v>38881</c:v>
                </c:pt>
                <c:pt idx="1486">
                  <c:v>38882</c:v>
                </c:pt>
                <c:pt idx="1487">
                  <c:v>38883</c:v>
                </c:pt>
                <c:pt idx="1488">
                  <c:v>38884</c:v>
                </c:pt>
                <c:pt idx="1489">
                  <c:v>38887</c:v>
                </c:pt>
                <c:pt idx="1490">
                  <c:v>38888</c:v>
                </c:pt>
                <c:pt idx="1491">
                  <c:v>38889</c:v>
                </c:pt>
                <c:pt idx="1492">
                  <c:v>38890</c:v>
                </c:pt>
                <c:pt idx="1493">
                  <c:v>38891</c:v>
                </c:pt>
                <c:pt idx="1494">
                  <c:v>38894</c:v>
                </c:pt>
                <c:pt idx="1495">
                  <c:v>38895</c:v>
                </c:pt>
                <c:pt idx="1496">
                  <c:v>38896</c:v>
                </c:pt>
                <c:pt idx="1497">
                  <c:v>38897</c:v>
                </c:pt>
                <c:pt idx="1498">
                  <c:v>38898</c:v>
                </c:pt>
                <c:pt idx="1499">
                  <c:v>38901</c:v>
                </c:pt>
                <c:pt idx="1500">
                  <c:v>38903</c:v>
                </c:pt>
                <c:pt idx="1501">
                  <c:v>38904</c:v>
                </c:pt>
                <c:pt idx="1502">
                  <c:v>38905</c:v>
                </c:pt>
                <c:pt idx="1503">
                  <c:v>38908</c:v>
                </c:pt>
                <c:pt idx="1504">
                  <c:v>38909</c:v>
                </c:pt>
                <c:pt idx="1505">
                  <c:v>38910</c:v>
                </c:pt>
                <c:pt idx="1506">
                  <c:v>38911</c:v>
                </c:pt>
                <c:pt idx="1507">
                  <c:v>38912</c:v>
                </c:pt>
                <c:pt idx="1508">
                  <c:v>38915</c:v>
                </c:pt>
                <c:pt idx="1509">
                  <c:v>38916</c:v>
                </c:pt>
                <c:pt idx="1510">
                  <c:v>38917</c:v>
                </c:pt>
                <c:pt idx="1511">
                  <c:v>38918</c:v>
                </c:pt>
                <c:pt idx="1512">
                  <c:v>38922</c:v>
                </c:pt>
                <c:pt idx="1513">
                  <c:v>38923</c:v>
                </c:pt>
                <c:pt idx="1514">
                  <c:v>38924</c:v>
                </c:pt>
                <c:pt idx="1515">
                  <c:v>38925</c:v>
                </c:pt>
                <c:pt idx="1516">
                  <c:v>38926</c:v>
                </c:pt>
                <c:pt idx="1517">
                  <c:v>38929</c:v>
                </c:pt>
                <c:pt idx="1518">
                  <c:v>38930</c:v>
                </c:pt>
                <c:pt idx="1519">
                  <c:v>38931</c:v>
                </c:pt>
                <c:pt idx="1520">
                  <c:v>38932</c:v>
                </c:pt>
                <c:pt idx="1521">
                  <c:v>38933</c:v>
                </c:pt>
                <c:pt idx="1522">
                  <c:v>38936</c:v>
                </c:pt>
                <c:pt idx="1523">
                  <c:v>38937</c:v>
                </c:pt>
                <c:pt idx="1524">
                  <c:v>38938</c:v>
                </c:pt>
                <c:pt idx="1525">
                  <c:v>38939</c:v>
                </c:pt>
                <c:pt idx="1526">
                  <c:v>38940</c:v>
                </c:pt>
                <c:pt idx="1527">
                  <c:v>38943</c:v>
                </c:pt>
                <c:pt idx="1528">
                  <c:v>38945</c:v>
                </c:pt>
                <c:pt idx="1529">
                  <c:v>38946</c:v>
                </c:pt>
                <c:pt idx="1530">
                  <c:v>38947</c:v>
                </c:pt>
                <c:pt idx="1531">
                  <c:v>38950</c:v>
                </c:pt>
                <c:pt idx="1532">
                  <c:v>38951</c:v>
                </c:pt>
                <c:pt idx="1533">
                  <c:v>38952</c:v>
                </c:pt>
                <c:pt idx="1534">
                  <c:v>38953</c:v>
                </c:pt>
                <c:pt idx="1535">
                  <c:v>38954</c:v>
                </c:pt>
                <c:pt idx="1536">
                  <c:v>38957</c:v>
                </c:pt>
                <c:pt idx="1537">
                  <c:v>38958</c:v>
                </c:pt>
                <c:pt idx="1538">
                  <c:v>38959</c:v>
                </c:pt>
                <c:pt idx="1539">
                  <c:v>38960</c:v>
                </c:pt>
                <c:pt idx="1540">
                  <c:v>38961</c:v>
                </c:pt>
                <c:pt idx="1541">
                  <c:v>38965</c:v>
                </c:pt>
                <c:pt idx="1542">
                  <c:v>38966</c:v>
                </c:pt>
                <c:pt idx="1543">
                  <c:v>38967</c:v>
                </c:pt>
                <c:pt idx="1544">
                  <c:v>38968</c:v>
                </c:pt>
                <c:pt idx="1545">
                  <c:v>38971</c:v>
                </c:pt>
                <c:pt idx="1546">
                  <c:v>38972</c:v>
                </c:pt>
                <c:pt idx="1547">
                  <c:v>38973</c:v>
                </c:pt>
                <c:pt idx="1548">
                  <c:v>38974</c:v>
                </c:pt>
                <c:pt idx="1549">
                  <c:v>38975</c:v>
                </c:pt>
                <c:pt idx="1550">
                  <c:v>38978</c:v>
                </c:pt>
                <c:pt idx="1551">
                  <c:v>38979</c:v>
                </c:pt>
                <c:pt idx="1552">
                  <c:v>38980</c:v>
                </c:pt>
                <c:pt idx="1553">
                  <c:v>38981</c:v>
                </c:pt>
                <c:pt idx="1554">
                  <c:v>38982</c:v>
                </c:pt>
                <c:pt idx="1555">
                  <c:v>38985</c:v>
                </c:pt>
                <c:pt idx="1556">
                  <c:v>38986</c:v>
                </c:pt>
                <c:pt idx="1557">
                  <c:v>38987</c:v>
                </c:pt>
                <c:pt idx="1558">
                  <c:v>38988</c:v>
                </c:pt>
                <c:pt idx="1559">
                  <c:v>38989</c:v>
                </c:pt>
                <c:pt idx="1560">
                  <c:v>38992</c:v>
                </c:pt>
                <c:pt idx="1561">
                  <c:v>38993</c:v>
                </c:pt>
                <c:pt idx="1562">
                  <c:v>38994</c:v>
                </c:pt>
                <c:pt idx="1563">
                  <c:v>38995</c:v>
                </c:pt>
                <c:pt idx="1564">
                  <c:v>38996</c:v>
                </c:pt>
                <c:pt idx="1565">
                  <c:v>38999</c:v>
                </c:pt>
                <c:pt idx="1566">
                  <c:v>39000</c:v>
                </c:pt>
                <c:pt idx="1567">
                  <c:v>39001</c:v>
                </c:pt>
                <c:pt idx="1568">
                  <c:v>39002</c:v>
                </c:pt>
                <c:pt idx="1569">
                  <c:v>39003</c:v>
                </c:pt>
                <c:pt idx="1570">
                  <c:v>39006</c:v>
                </c:pt>
                <c:pt idx="1571">
                  <c:v>39007</c:v>
                </c:pt>
                <c:pt idx="1572">
                  <c:v>39008</c:v>
                </c:pt>
                <c:pt idx="1573">
                  <c:v>39009</c:v>
                </c:pt>
                <c:pt idx="1574">
                  <c:v>39010</c:v>
                </c:pt>
                <c:pt idx="1575">
                  <c:v>39013</c:v>
                </c:pt>
                <c:pt idx="1576">
                  <c:v>39014</c:v>
                </c:pt>
                <c:pt idx="1577">
                  <c:v>39015</c:v>
                </c:pt>
                <c:pt idx="1578">
                  <c:v>39016</c:v>
                </c:pt>
                <c:pt idx="1579">
                  <c:v>39017</c:v>
                </c:pt>
                <c:pt idx="1580">
                  <c:v>39020</c:v>
                </c:pt>
                <c:pt idx="1581">
                  <c:v>39021</c:v>
                </c:pt>
                <c:pt idx="1582">
                  <c:v>39023</c:v>
                </c:pt>
                <c:pt idx="1583">
                  <c:v>39024</c:v>
                </c:pt>
                <c:pt idx="1584">
                  <c:v>39027</c:v>
                </c:pt>
                <c:pt idx="1585">
                  <c:v>39028</c:v>
                </c:pt>
                <c:pt idx="1586">
                  <c:v>39029</c:v>
                </c:pt>
                <c:pt idx="1587">
                  <c:v>39030</c:v>
                </c:pt>
                <c:pt idx="1588">
                  <c:v>39031</c:v>
                </c:pt>
                <c:pt idx="1589">
                  <c:v>39034</c:v>
                </c:pt>
                <c:pt idx="1590">
                  <c:v>39035</c:v>
                </c:pt>
                <c:pt idx="1591">
                  <c:v>39036</c:v>
                </c:pt>
                <c:pt idx="1592">
                  <c:v>39037</c:v>
                </c:pt>
                <c:pt idx="1593">
                  <c:v>39038</c:v>
                </c:pt>
                <c:pt idx="1594">
                  <c:v>39041</c:v>
                </c:pt>
                <c:pt idx="1595">
                  <c:v>39042</c:v>
                </c:pt>
                <c:pt idx="1596">
                  <c:v>39043</c:v>
                </c:pt>
                <c:pt idx="1597">
                  <c:v>39045</c:v>
                </c:pt>
                <c:pt idx="1598">
                  <c:v>39048</c:v>
                </c:pt>
                <c:pt idx="1599">
                  <c:v>39049</c:v>
                </c:pt>
                <c:pt idx="1600">
                  <c:v>39050</c:v>
                </c:pt>
                <c:pt idx="1601">
                  <c:v>39051</c:v>
                </c:pt>
                <c:pt idx="1602">
                  <c:v>39052</c:v>
                </c:pt>
                <c:pt idx="1603">
                  <c:v>39055</c:v>
                </c:pt>
                <c:pt idx="1604">
                  <c:v>39056</c:v>
                </c:pt>
                <c:pt idx="1605">
                  <c:v>39057</c:v>
                </c:pt>
                <c:pt idx="1606">
                  <c:v>39058</c:v>
                </c:pt>
                <c:pt idx="1607">
                  <c:v>39059</c:v>
                </c:pt>
                <c:pt idx="1608">
                  <c:v>39062</c:v>
                </c:pt>
                <c:pt idx="1609">
                  <c:v>39063</c:v>
                </c:pt>
                <c:pt idx="1610">
                  <c:v>39064</c:v>
                </c:pt>
                <c:pt idx="1611">
                  <c:v>39065</c:v>
                </c:pt>
                <c:pt idx="1612">
                  <c:v>39066</c:v>
                </c:pt>
                <c:pt idx="1613">
                  <c:v>39069</c:v>
                </c:pt>
                <c:pt idx="1614">
                  <c:v>39070</c:v>
                </c:pt>
                <c:pt idx="1615">
                  <c:v>39071</c:v>
                </c:pt>
                <c:pt idx="1616">
                  <c:v>39072</c:v>
                </c:pt>
                <c:pt idx="1617">
                  <c:v>39073</c:v>
                </c:pt>
                <c:pt idx="1618">
                  <c:v>39078</c:v>
                </c:pt>
                <c:pt idx="1619">
                  <c:v>39079</c:v>
                </c:pt>
                <c:pt idx="1620">
                  <c:v>39080</c:v>
                </c:pt>
                <c:pt idx="1621">
                  <c:v>39085</c:v>
                </c:pt>
                <c:pt idx="1622">
                  <c:v>39086</c:v>
                </c:pt>
                <c:pt idx="1623">
                  <c:v>39087</c:v>
                </c:pt>
                <c:pt idx="1624">
                  <c:v>39090</c:v>
                </c:pt>
                <c:pt idx="1625">
                  <c:v>39091</c:v>
                </c:pt>
                <c:pt idx="1626">
                  <c:v>39092</c:v>
                </c:pt>
                <c:pt idx="1627">
                  <c:v>39093</c:v>
                </c:pt>
                <c:pt idx="1628">
                  <c:v>39094</c:v>
                </c:pt>
                <c:pt idx="1629">
                  <c:v>39098</c:v>
                </c:pt>
                <c:pt idx="1630">
                  <c:v>39099</c:v>
                </c:pt>
                <c:pt idx="1631">
                  <c:v>39100</c:v>
                </c:pt>
                <c:pt idx="1632">
                  <c:v>39101</c:v>
                </c:pt>
                <c:pt idx="1633">
                  <c:v>39104</c:v>
                </c:pt>
                <c:pt idx="1634">
                  <c:v>39105</c:v>
                </c:pt>
                <c:pt idx="1635">
                  <c:v>39106</c:v>
                </c:pt>
                <c:pt idx="1636">
                  <c:v>39107</c:v>
                </c:pt>
                <c:pt idx="1637">
                  <c:v>39108</c:v>
                </c:pt>
                <c:pt idx="1638">
                  <c:v>39111</c:v>
                </c:pt>
                <c:pt idx="1639">
                  <c:v>39112</c:v>
                </c:pt>
                <c:pt idx="1640">
                  <c:v>39113</c:v>
                </c:pt>
                <c:pt idx="1641">
                  <c:v>39114</c:v>
                </c:pt>
                <c:pt idx="1642">
                  <c:v>39115</c:v>
                </c:pt>
                <c:pt idx="1643">
                  <c:v>39118</c:v>
                </c:pt>
                <c:pt idx="1644">
                  <c:v>39119</c:v>
                </c:pt>
                <c:pt idx="1645">
                  <c:v>39120</c:v>
                </c:pt>
                <c:pt idx="1646">
                  <c:v>39121</c:v>
                </c:pt>
                <c:pt idx="1647">
                  <c:v>39122</c:v>
                </c:pt>
                <c:pt idx="1648">
                  <c:v>39125</c:v>
                </c:pt>
                <c:pt idx="1649">
                  <c:v>39126</c:v>
                </c:pt>
                <c:pt idx="1650">
                  <c:v>39127</c:v>
                </c:pt>
                <c:pt idx="1651">
                  <c:v>39128</c:v>
                </c:pt>
                <c:pt idx="1652">
                  <c:v>39129</c:v>
                </c:pt>
                <c:pt idx="1653">
                  <c:v>39133</c:v>
                </c:pt>
                <c:pt idx="1654">
                  <c:v>39134</c:v>
                </c:pt>
                <c:pt idx="1655">
                  <c:v>39135</c:v>
                </c:pt>
                <c:pt idx="1656">
                  <c:v>39136</c:v>
                </c:pt>
                <c:pt idx="1657">
                  <c:v>39139</c:v>
                </c:pt>
                <c:pt idx="1658">
                  <c:v>39140</c:v>
                </c:pt>
                <c:pt idx="1659">
                  <c:v>39141</c:v>
                </c:pt>
                <c:pt idx="1660">
                  <c:v>39142</c:v>
                </c:pt>
                <c:pt idx="1661">
                  <c:v>39143</c:v>
                </c:pt>
                <c:pt idx="1662">
                  <c:v>39146</c:v>
                </c:pt>
                <c:pt idx="1663">
                  <c:v>39147</c:v>
                </c:pt>
                <c:pt idx="1664">
                  <c:v>39148</c:v>
                </c:pt>
                <c:pt idx="1665">
                  <c:v>39149</c:v>
                </c:pt>
                <c:pt idx="1666">
                  <c:v>39150</c:v>
                </c:pt>
                <c:pt idx="1667">
                  <c:v>39153</c:v>
                </c:pt>
                <c:pt idx="1668">
                  <c:v>39154</c:v>
                </c:pt>
                <c:pt idx="1669">
                  <c:v>39155</c:v>
                </c:pt>
                <c:pt idx="1670">
                  <c:v>39156</c:v>
                </c:pt>
                <c:pt idx="1671">
                  <c:v>39157</c:v>
                </c:pt>
                <c:pt idx="1672">
                  <c:v>39160</c:v>
                </c:pt>
                <c:pt idx="1673">
                  <c:v>39161</c:v>
                </c:pt>
                <c:pt idx="1674">
                  <c:v>39162</c:v>
                </c:pt>
                <c:pt idx="1675">
                  <c:v>39163</c:v>
                </c:pt>
                <c:pt idx="1676">
                  <c:v>39164</c:v>
                </c:pt>
                <c:pt idx="1677">
                  <c:v>39167</c:v>
                </c:pt>
                <c:pt idx="1678">
                  <c:v>39168</c:v>
                </c:pt>
                <c:pt idx="1679">
                  <c:v>39169</c:v>
                </c:pt>
                <c:pt idx="1680">
                  <c:v>39170</c:v>
                </c:pt>
                <c:pt idx="1681">
                  <c:v>39171</c:v>
                </c:pt>
                <c:pt idx="1682">
                  <c:v>39174</c:v>
                </c:pt>
                <c:pt idx="1683">
                  <c:v>39175</c:v>
                </c:pt>
                <c:pt idx="1684">
                  <c:v>39176</c:v>
                </c:pt>
                <c:pt idx="1685">
                  <c:v>39177</c:v>
                </c:pt>
                <c:pt idx="1686">
                  <c:v>39182</c:v>
                </c:pt>
                <c:pt idx="1687">
                  <c:v>39183</c:v>
                </c:pt>
                <c:pt idx="1688">
                  <c:v>39184</c:v>
                </c:pt>
                <c:pt idx="1689">
                  <c:v>39185</c:v>
                </c:pt>
                <c:pt idx="1690">
                  <c:v>39188</c:v>
                </c:pt>
                <c:pt idx="1691">
                  <c:v>39189</c:v>
                </c:pt>
                <c:pt idx="1692">
                  <c:v>39190</c:v>
                </c:pt>
                <c:pt idx="1693">
                  <c:v>39191</c:v>
                </c:pt>
                <c:pt idx="1694">
                  <c:v>39192</c:v>
                </c:pt>
                <c:pt idx="1695">
                  <c:v>39195</c:v>
                </c:pt>
                <c:pt idx="1696">
                  <c:v>39196</c:v>
                </c:pt>
                <c:pt idx="1697">
                  <c:v>39197</c:v>
                </c:pt>
                <c:pt idx="1698">
                  <c:v>39198</c:v>
                </c:pt>
                <c:pt idx="1699">
                  <c:v>39199</c:v>
                </c:pt>
                <c:pt idx="1700">
                  <c:v>39202</c:v>
                </c:pt>
                <c:pt idx="1701">
                  <c:v>39204</c:v>
                </c:pt>
                <c:pt idx="1702">
                  <c:v>39205</c:v>
                </c:pt>
                <c:pt idx="1703">
                  <c:v>39206</c:v>
                </c:pt>
                <c:pt idx="1704">
                  <c:v>39209</c:v>
                </c:pt>
                <c:pt idx="1705">
                  <c:v>39210</c:v>
                </c:pt>
                <c:pt idx="1706">
                  <c:v>39211</c:v>
                </c:pt>
                <c:pt idx="1707">
                  <c:v>39212</c:v>
                </c:pt>
                <c:pt idx="1708">
                  <c:v>39213</c:v>
                </c:pt>
                <c:pt idx="1709">
                  <c:v>39216</c:v>
                </c:pt>
                <c:pt idx="1710">
                  <c:v>39217</c:v>
                </c:pt>
                <c:pt idx="1711">
                  <c:v>39218</c:v>
                </c:pt>
                <c:pt idx="1712">
                  <c:v>39223</c:v>
                </c:pt>
                <c:pt idx="1713">
                  <c:v>39224</c:v>
                </c:pt>
                <c:pt idx="1714">
                  <c:v>39225</c:v>
                </c:pt>
                <c:pt idx="1715">
                  <c:v>39226</c:v>
                </c:pt>
                <c:pt idx="1716">
                  <c:v>39227</c:v>
                </c:pt>
                <c:pt idx="1717">
                  <c:v>39231</c:v>
                </c:pt>
                <c:pt idx="1718">
                  <c:v>39232</c:v>
                </c:pt>
                <c:pt idx="1719">
                  <c:v>39233</c:v>
                </c:pt>
                <c:pt idx="1720">
                  <c:v>39234</c:v>
                </c:pt>
                <c:pt idx="1721">
                  <c:v>39237</c:v>
                </c:pt>
                <c:pt idx="1722">
                  <c:v>39238</c:v>
                </c:pt>
                <c:pt idx="1723">
                  <c:v>39239</c:v>
                </c:pt>
                <c:pt idx="1724">
                  <c:v>39240</c:v>
                </c:pt>
                <c:pt idx="1725">
                  <c:v>39241</c:v>
                </c:pt>
                <c:pt idx="1726">
                  <c:v>39244</c:v>
                </c:pt>
                <c:pt idx="1727">
                  <c:v>39245</c:v>
                </c:pt>
                <c:pt idx="1728">
                  <c:v>39246</c:v>
                </c:pt>
                <c:pt idx="1729">
                  <c:v>39247</c:v>
                </c:pt>
                <c:pt idx="1730">
                  <c:v>39248</c:v>
                </c:pt>
                <c:pt idx="1731">
                  <c:v>39251</c:v>
                </c:pt>
                <c:pt idx="1732">
                  <c:v>39252</c:v>
                </c:pt>
                <c:pt idx="1733">
                  <c:v>39253</c:v>
                </c:pt>
                <c:pt idx="1734">
                  <c:v>39254</c:v>
                </c:pt>
                <c:pt idx="1735">
                  <c:v>39255</c:v>
                </c:pt>
                <c:pt idx="1736">
                  <c:v>39258</c:v>
                </c:pt>
                <c:pt idx="1737">
                  <c:v>39259</c:v>
                </c:pt>
                <c:pt idx="1738">
                  <c:v>39260</c:v>
                </c:pt>
                <c:pt idx="1739">
                  <c:v>39261</c:v>
                </c:pt>
                <c:pt idx="1740">
                  <c:v>39262</c:v>
                </c:pt>
                <c:pt idx="1741">
                  <c:v>39265</c:v>
                </c:pt>
                <c:pt idx="1742">
                  <c:v>39266</c:v>
                </c:pt>
                <c:pt idx="1743">
                  <c:v>39268</c:v>
                </c:pt>
                <c:pt idx="1744">
                  <c:v>39269</c:v>
                </c:pt>
                <c:pt idx="1745">
                  <c:v>39272</c:v>
                </c:pt>
                <c:pt idx="1746">
                  <c:v>39273</c:v>
                </c:pt>
                <c:pt idx="1747">
                  <c:v>39274</c:v>
                </c:pt>
                <c:pt idx="1748">
                  <c:v>39275</c:v>
                </c:pt>
                <c:pt idx="1749">
                  <c:v>39276</c:v>
                </c:pt>
                <c:pt idx="1750">
                  <c:v>39279</c:v>
                </c:pt>
                <c:pt idx="1751">
                  <c:v>39280</c:v>
                </c:pt>
                <c:pt idx="1752">
                  <c:v>39281</c:v>
                </c:pt>
                <c:pt idx="1753">
                  <c:v>39282</c:v>
                </c:pt>
                <c:pt idx="1754">
                  <c:v>39283</c:v>
                </c:pt>
                <c:pt idx="1755">
                  <c:v>39286</c:v>
                </c:pt>
                <c:pt idx="1756">
                  <c:v>39287</c:v>
                </c:pt>
                <c:pt idx="1757">
                  <c:v>39288</c:v>
                </c:pt>
                <c:pt idx="1758">
                  <c:v>39289</c:v>
                </c:pt>
                <c:pt idx="1759">
                  <c:v>39290</c:v>
                </c:pt>
                <c:pt idx="1760">
                  <c:v>39293</c:v>
                </c:pt>
                <c:pt idx="1761">
                  <c:v>39294</c:v>
                </c:pt>
                <c:pt idx="1762">
                  <c:v>39295</c:v>
                </c:pt>
                <c:pt idx="1763">
                  <c:v>39296</c:v>
                </c:pt>
                <c:pt idx="1764">
                  <c:v>39297</c:v>
                </c:pt>
                <c:pt idx="1765">
                  <c:v>39300</c:v>
                </c:pt>
                <c:pt idx="1766">
                  <c:v>39301</c:v>
                </c:pt>
                <c:pt idx="1767">
                  <c:v>39302</c:v>
                </c:pt>
                <c:pt idx="1768">
                  <c:v>39303</c:v>
                </c:pt>
                <c:pt idx="1769">
                  <c:v>39304</c:v>
                </c:pt>
                <c:pt idx="1770">
                  <c:v>39307</c:v>
                </c:pt>
                <c:pt idx="1771">
                  <c:v>39308</c:v>
                </c:pt>
                <c:pt idx="1772">
                  <c:v>39310</c:v>
                </c:pt>
                <c:pt idx="1773">
                  <c:v>39311</c:v>
                </c:pt>
                <c:pt idx="1774">
                  <c:v>39314</c:v>
                </c:pt>
                <c:pt idx="1775">
                  <c:v>39315</c:v>
                </c:pt>
                <c:pt idx="1776">
                  <c:v>39316</c:v>
                </c:pt>
                <c:pt idx="1777">
                  <c:v>39317</c:v>
                </c:pt>
                <c:pt idx="1778">
                  <c:v>39318</c:v>
                </c:pt>
                <c:pt idx="1779">
                  <c:v>39321</c:v>
                </c:pt>
                <c:pt idx="1780">
                  <c:v>39322</c:v>
                </c:pt>
                <c:pt idx="1781">
                  <c:v>39323</c:v>
                </c:pt>
                <c:pt idx="1782">
                  <c:v>39324</c:v>
                </c:pt>
                <c:pt idx="1783">
                  <c:v>39325</c:v>
                </c:pt>
                <c:pt idx="1784">
                  <c:v>39329</c:v>
                </c:pt>
                <c:pt idx="1785">
                  <c:v>39330</c:v>
                </c:pt>
                <c:pt idx="1786">
                  <c:v>39331</c:v>
                </c:pt>
                <c:pt idx="1787">
                  <c:v>39332</c:v>
                </c:pt>
                <c:pt idx="1788">
                  <c:v>39335</c:v>
                </c:pt>
                <c:pt idx="1789">
                  <c:v>39336</c:v>
                </c:pt>
                <c:pt idx="1790">
                  <c:v>39337</c:v>
                </c:pt>
                <c:pt idx="1791">
                  <c:v>39338</c:v>
                </c:pt>
                <c:pt idx="1792">
                  <c:v>39339</c:v>
                </c:pt>
                <c:pt idx="1793">
                  <c:v>39342</c:v>
                </c:pt>
                <c:pt idx="1794">
                  <c:v>39343</c:v>
                </c:pt>
                <c:pt idx="1795">
                  <c:v>39344</c:v>
                </c:pt>
                <c:pt idx="1796">
                  <c:v>39345</c:v>
                </c:pt>
                <c:pt idx="1797">
                  <c:v>39346</c:v>
                </c:pt>
                <c:pt idx="1798">
                  <c:v>39349</c:v>
                </c:pt>
                <c:pt idx="1799">
                  <c:v>39350</c:v>
                </c:pt>
                <c:pt idx="1800">
                  <c:v>39351</c:v>
                </c:pt>
                <c:pt idx="1801">
                  <c:v>39352</c:v>
                </c:pt>
                <c:pt idx="1802">
                  <c:v>39353</c:v>
                </c:pt>
                <c:pt idx="1803">
                  <c:v>39356</c:v>
                </c:pt>
                <c:pt idx="1804">
                  <c:v>39357</c:v>
                </c:pt>
                <c:pt idx="1805">
                  <c:v>39358</c:v>
                </c:pt>
                <c:pt idx="1806">
                  <c:v>39359</c:v>
                </c:pt>
                <c:pt idx="1807">
                  <c:v>39360</c:v>
                </c:pt>
                <c:pt idx="1808">
                  <c:v>39363</c:v>
                </c:pt>
                <c:pt idx="1809">
                  <c:v>39364</c:v>
                </c:pt>
                <c:pt idx="1810">
                  <c:v>39365</c:v>
                </c:pt>
                <c:pt idx="1811">
                  <c:v>39366</c:v>
                </c:pt>
                <c:pt idx="1812">
                  <c:v>39367</c:v>
                </c:pt>
                <c:pt idx="1813">
                  <c:v>39370</c:v>
                </c:pt>
                <c:pt idx="1814">
                  <c:v>39371</c:v>
                </c:pt>
                <c:pt idx="1815">
                  <c:v>39372</c:v>
                </c:pt>
                <c:pt idx="1816">
                  <c:v>39373</c:v>
                </c:pt>
                <c:pt idx="1817">
                  <c:v>39374</c:v>
                </c:pt>
                <c:pt idx="1818">
                  <c:v>39377</c:v>
                </c:pt>
                <c:pt idx="1819">
                  <c:v>39378</c:v>
                </c:pt>
                <c:pt idx="1820">
                  <c:v>39379</c:v>
                </c:pt>
                <c:pt idx="1821">
                  <c:v>39380</c:v>
                </c:pt>
                <c:pt idx="1822">
                  <c:v>39381</c:v>
                </c:pt>
                <c:pt idx="1823">
                  <c:v>39384</c:v>
                </c:pt>
                <c:pt idx="1824">
                  <c:v>39385</c:v>
                </c:pt>
                <c:pt idx="1825">
                  <c:v>39386</c:v>
                </c:pt>
                <c:pt idx="1826">
                  <c:v>39388</c:v>
                </c:pt>
                <c:pt idx="1827">
                  <c:v>39391</c:v>
                </c:pt>
                <c:pt idx="1828">
                  <c:v>39392</c:v>
                </c:pt>
                <c:pt idx="1829">
                  <c:v>39393</c:v>
                </c:pt>
                <c:pt idx="1830">
                  <c:v>39394</c:v>
                </c:pt>
                <c:pt idx="1831">
                  <c:v>39395</c:v>
                </c:pt>
                <c:pt idx="1832">
                  <c:v>39398</c:v>
                </c:pt>
                <c:pt idx="1833">
                  <c:v>39399</c:v>
                </c:pt>
                <c:pt idx="1834">
                  <c:v>39400</c:v>
                </c:pt>
                <c:pt idx="1835">
                  <c:v>39401</c:v>
                </c:pt>
                <c:pt idx="1836">
                  <c:v>39402</c:v>
                </c:pt>
                <c:pt idx="1837">
                  <c:v>39405</c:v>
                </c:pt>
                <c:pt idx="1838">
                  <c:v>39406</c:v>
                </c:pt>
                <c:pt idx="1839">
                  <c:v>39407</c:v>
                </c:pt>
                <c:pt idx="1840">
                  <c:v>39409</c:v>
                </c:pt>
                <c:pt idx="1841">
                  <c:v>39412</c:v>
                </c:pt>
                <c:pt idx="1842">
                  <c:v>39413</c:v>
                </c:pt>
                <c:pt idx="1843">
                  <c:v>39414</c:v>
                </c:pt>
                <c:pt idx="1844">
                  <c:v>39415</c:v>
                </c:pt>
                <c:pt idx="1845">
                  <c:v>39416</c:v>
                </c:pt>
                <c:pt idx="1846">
                  <c:v>39419</c:v>
                </c:pt>
                <c:pt idx="1847">
                  <c:v>39420</c:v>
                </c:pt>
                <c:pt idx="1848">
                  <c:v>39421</c:v>
                </c:pt>
                <c:pt idx="1849">
                  <c:v>39422</c:v>
                </c:pt>
                <c:pt idx="1850">
                  <c:v>39423</c:v>
                </c:pt>
                <c:pt idx="1851">
                  <c:v>39426</c:v>
                </c:pt>
                <c:pt idx="1852">
                  <c:v>39427</c:v>
                </c:pt>
                <c:pt idx="1853">
                  <c:v>39428</c:v>
                </c:pt>
                <c:pt idx="1854">
                  <c:v>39429</c:v>
                </c:pt>
                <c:pt idx="1855">
                  <c:v>39430</c:v>
                </c:pt>
                <c:pt idx="1856">
                  <c:v>39433</c:v>
                </c:pt>
                <c:pt idx="1857">
                  <c:v>39434</c:v>
                </c:pt>
                <c:pt idx="1858">
                  <c:v>39435</c:v>
                </c:pt>
                <c:pt idx="1859">
                  <c:v>39436</c:v>
                </c:pt>
                <c:pt idx="1860">
                  <c:v>39437</c:v>
                </c:pt>
                <c:pt idx="1861">
                  <c:v>39440</c:v>
                </c:pt>
                <c:pt idx="1862">
                  <c:v>39443</c:v>
                </c:pt>
                <c:pt idx="1863">
                  <c:v>39444</c:v>
                </c:pt>
                <c:pt idx="1864">
                  <c:v>39447</c:v>
                </c:pt>
                <c:pt idx="1865">
                  <c:v>39449</c:v>
                </c:pt>
                <c:pt idx="1866">
                  <c:v>39450</c:v>
                </c:pt>
                <c:pt idx="1867">
                  <c:v>39451</c:v>
                </c:pt>
                <c:pt idx="1868">
                  <c:v>39454</c:v>
                </c:pt>
                <c:pt idx="1869">
                  <c:v>39455</c:v>
                </c:pt>
                <c:pt idx="1870">
                  <c:v>39456</c:v>
                </c:pt>
                <c:pt idx="1871">
                  <c:v>39457</c:v>
                </c:pt>
                <c:pt idx="1872">
                  <c:v>39458</c:v>
                </c:pt>
                <c:pt idx="1873">
                  <c:v>39461</c:v>
                </c:pt>
                <c:pt idx="1874">
                  <c:v>39462</c:v>
                </c:pt>
                <c:pt idx="1875">
                  <c:v>39463</c:v>
                </c:pt>
                <c:pt idx="1876">
                  <c:v>39464</c:v>
                </c:pt>
                <c:pt idx="1877">
                  <c:v>39465</c:v>
                </c:pt>
                <c:pt idx="1878">
                  <c:v>39469</c:v>
                </c:pt>
                <c:pt idx="1879">
                  <c:v>39470</c:v>
                </c:pt>
                <c:pt idx="1880">
                  <c:v>39471</c:v>
                </c:pt>
                <c:pt idx="1881">
                  <c:v>39472</c:v>
                </c:pt>
                <c:pt idx="1882">
                  <c:v>39475</c:v>
                </c:pt>
                <c:pt idx="1883">
                  <c:v>39476</c:v>
                </c:pt>
                <c:pt idx="1884">
                  <c:v>39477</c:v>
                </c:pt>
                <c:pt idx="1885">
                  <c:v>39478</c:v>
                </c:pt>
                <c:pt idx="1886">
                  <c:v>39479</c:v>
                </c:pt>
                <c:pt idx="1887">
                  <c:v>39482</c:v>
                </c:pt>
                <c:pt idx="1888">
                  <c:v>39483</c:v>
                </c:pt>
                <c:pt idx="1889">
                  <c:v>39484</c:v>
                </c:pt>
                <c:pt idx="1890">
                  <c:v>39485</c:v>
                </c:pt>
                <c:pt idx="1891">
                  <c:v>39486</c:v>
                </c:pt>
                <c:pt idx="1892">
                  <c:v>39489</c:v>
                </c:pt>
                <c:pt idx="1893">
                  <c:v>39490</c:v>
                </c:pt>
                <c:pt idx="1894">
                  <c:v>39491</c:v>
                </c:pt>
                <c:pt idx="1895">
                  <c:v>39492</c:v>
                </c:pt>
                <c:pt idx="1896">
                  <c:v>39493</c:v>
                </c:pt>
                <c:pt idx="1897">
                  <c:v>39497</c:v>
                </c:pt>
                <c:pt idx="1898">
                  <c:v>39498</c:v>
                </c:pt>
                <c:pt idx="1899">
                  <c:v>39499</c:v>
                </c:pt>
                <c:pt idx="1900">
                  <c:v>39500</c:v>
                </c:pt>
                <c:pt idx="1901">
                  <c:v>39503</c:v>
                </c:pt>
                <c:pt idx="1902">
                  <c:v>39504</c:v>
                </c:pt>
                <c:pt idx="1903">
                  <c:v>39505</c:v>
                </c:pt>
                <c:pt idx="1904">
                  <c:v>39506</c:v>
                </c:pt>
                <c:pt idx="1905">
                  <c:v>39507</c:v>
                </c:pt>
                <c:pt idx="1906">
                  <c:v>39510</c:v>
                </c:pt>
                <c:pt idx="1907">
                  <c:v>39511</c:v>
                </c:pt>
                <c:pt idx="1908">
                  <c:v>39512</c:v>
                </c:pt>
                <c:pt idx="1909">
                  <c:v>39513</c:v>
                </c:pt>
                <c:pt idx="1910">
                  <c:v>39514</c:v>
                </c:pt>
                <c:pt idx="1911">
                  <c:v>39517</c:v>
                </c:pt>
                <c:pt idx="1912">
                  <c:v>39518</c:v>
                </c:pt>
                <c:pt idx="1913">
                  <c:v>39519</c:v>
                </c:pt>
                <c:pt idx="1914">
                  <c:v>39520</c:v>
                </c:pt>
                <c:pt idx="1915">
                  <c:v>39521</c:v>
                </c:pt>
                <c:pt idx="1916">
                  <c:v>39524</c:v>
                </c:pt>
                <c:pt idx="1917">
                  <c:v>39525</c:v>
                </c:pt>
                <c:pt idx="1918">
                  <c:v>39526</c:v>
                </c:pt>
                <c:pt idx="1919">
                  <c:v>39527</c:v>
                </c:pt>
                <c:pt idx="1920">
                  <c:v>39532</c:v>
                </c:pt>
                <c:pt idx="1921">
                  <c:v>39533</c:v>
                </c:pt>
                <c:pt idx="1922">
                  <c:v>39534</c:v>
                </c:pt>
                <c:pt idx="1923">
                  <c:v>39535</c:v>
                </c:pt>
                <c:pt idx="1924">
                  <c:v>39538</c:v>
                </c:pt>
                <c:pt idx="1925">
                  <c:v>39539</c:v>
                </c:pt>
                <c:pt idx="1926">
                  <c:v>39540</c:v>
                </c:pt>
                <c:pt idx="1927">
                  <c:v>39541</c:v>
                </c:pt>
                <c:pt idx="1928">
                  <c:v>39542</c:v>
                </c:pt>
                <c:pt idx="1929">
                  <c:v>39545</c:v>
                </c:pt>
                <c:pt idx="1930">
                  <c:v>39546</c:v>
                </c:pt>
                <c:pt idx="1931">
                  <c:v>39547</c:v>
                </c:pt>
                <c:pt idx="1932">
                  <c:v>39548</c:v>
                </c:pt>
                <c:pt idx="1933">
                  <c:v>39549</c:v>
                </c:pt>
                <c:pt idx="1934">
                  <c:v>39552</c:v>
                </c:pt>
                <c:pt idx="1935">
                  <c:v>39553</c:v>
                </c:pt>
                <c:pt idx="1936">
                  <c:v>39554</c:v>
                </c:pt>
                <c:pt idx="1937">
                  <c:v>39555</c:v>
                </c:pt>
                <c:pt idx="1938">
                  <c:v>39556</c:v>
                </c:pt>
                <c:pt idx="1939">
                  <c:v>39559</c:v>
                </c:pt>
                <c:pt idx="1940">
                  <c:v>39560</c:v>
                </c:pt>
                <c:pt idx="1941">
                  <c:v>39561</c:v>
                </c:pt>
                <c:pt idx="1942">
                  <c:v>39562</c:v>
                </c:pt>
                <c:pt idx="1943">
                  <c:v>39563</c:v>
                </c:pt>
                <c:pt idx="1944">
                  <c:v>39566</c:v>
                </c:pt>
                <c:pt idx="1945">
                  <c:v>39567</c:v>
                </c:pt>
                <c:pt idx="1946">
                  <c:v>39568</c:v>
                </c:pt>
                <c:pt idx="1947">
                  <c:v>39573</c:v>
                </c:pt>
                <c:pt idx="1948">
                  <c:v>39574</c:v>
                </c:pt>
                <c:pt idx="1949">
                  <c:v>39575</c:v>
                </c:pt>
                <c:pt idx="1950">
                  <c:v>39576</c:v>
                </c:pt>
                <c:pt idx="1951">
                  <c:v>39577</c:v>
                </c:pt>
                <c:pt idx="1952">
                  <c:v>39581</c:v>
                </c:pt>
                <c:pt idx="1953">
                  <c:v>39582</c:v>
                </c:pt>
                <c:pt idx="1954">
                  <c:v>39583</c:v>
                </c:pt>
                <c:pt idx="1955">
                  <c:v>39584</c:v>
                </c:pt>
                <c:pt idx="1956">
                  <c:v>39587</c:v>
                </c:pt>
                <c:pt idx="1957">
                  <c:v>39588</c:v>
                </c:pt>
                <c:pt idx="1958">
                  <c:v>39589</c:v>
                </c:pt>
                <c:pt idx="1959">
                  <c:v>39590</c:v>
                </c:pt>
                <c:pt idx="1960">
                  <c:v>39591</c:v>
                </c:pt>
                <c:pt idx="1961">
                  <c:v>39595</c:v>
                </c:pt>
                <c:pt idx="1962">
                  <c:v>39596</c:v>
                </c:pt>
                <c:pt idx="1963">
                  <c:v>39597</c:v>
                </c:pt>
                <c:pt idx="1964">
                  <c:v>39598</c:v>
                </c:pt>
                <c:pt idx="1965">
                  <c:v>39601</c:v>
                </c:pt>
                <c:pt idx="1966">
                  <c:v>39602</c:v>
                </c:pt>
                <c:pt idx="1967">
                  <c:v>39603</c:v>
                </c:pt>
                <c:pt idx="1968">
                  <c:v>39604</c:v>
                </c:pt>
                <c:pt idx="1969">
                  <c:v>39605</c:v>
                </c:pt>
                <c:pt idx="1970">
                  <c:v>39608</c:v>
                </c:pt>
                <c:pt idx="1971">
                  <c:v>39609</c:v>
                </c:pt>
                <c:pt idx="1972">
                  <c:v>39610</c:v>
                </c:pt>
                <c:pt idx="1973">
                  <c:v>39611</c:v>
                </c:pt>
                <c:pt idx="1974">
                  <c:v>39612</c:v>
                </c:pt>
                <c:pt idx="1975">
                  <c:v>39615</c:v>
                </c:pt>
                <c:pt idx="1976">
                  <c:v>39616</c:v>
                </c:pt>
                <c:pt idx="1977">
                  <c:v>39617</c:v>
                </c:pt>
                <c:pt idx="1978">
                  <c:v>39618</c:v>
                </c:pt>
                <c:pt idx="1979">
                  <c:v>39619</c:v>
                </c:pt>
                <c:pt idx="1980">
                  <c:v>39622</c:v>
                </c:pt>
                <c:pt idx="1981">
                  <c:v>39623</c:v>
                </c:pt>
                <c:pt idx="1982">
                  <c:v>39624</c:v>
                </c:pt>
                <c:pt idx="1983">
                  <c:v>39625</c:v>
                </c:pt>
                <c:pt idx="1984">
                  <c:v>39626</c:v>
                </c:pt>
                <c:pt idx="1985">
                  <c:v>39629</c:v>
                </c:pt>
                <c:pt idx="1986">
                  <c:v>39630</c:v>
                </c:pt>
                <c:pt idx="1987">
                  <c:v>39631</c:v>
                </c:pt>
                <c:pt idx="1988">
                  <c:v>39632</c:v>
                </c:pt>
                <c:pt idx="1989">
                  <c:v>39636</c:v>
                </c:pt>
                <c:pt idx="1990">
                  <c:v>39637</c:v>
                </c:pt>
                <c:pt idx="1991">
                  <c:v>39638</c:v>
                </c:pt>
                <c:pt idx="1992">
                  <c:v>39639</c:v>
                </c:pt>
                <c:pt idx="1993">
                  <c:v>39640</c:v>
                </c:pt>
                <c:pt idx="1994">
                  <c:v>39643</c:v>
                </c:pt>
                <c:pt idx="1995">
                  <c:v>39644</c:v>
                </c:pt>
                <c:pt idx="1996">
                  <c:v>39645</c:v>
                </c:pt>
                <c:pt idx="1997">
                  <c:v>39646</c:v>
                </c:pt>
                <c:pt idx="1998">
                  <c:v>39647</c:v>
                </c:pt>
                <c:pt idx="1999">
                  <c:v>39651</c:v>
                </c:pt>
                <c:pt idx="2000">
                  <c:v>39652</c:v>
                </c:pt>
                <c:pt idx="2001">
                  <c:v>39653</c:v>
                </c:pt>
                <c:pt idx="2002">
                  <c:v>39654</c:v>
                </c:pt>
                <c:pt idx="2003">
                  <c:v>39657</c:v>
                </c:pt>
                <c:pt idx="2004">
                  <c:v>39658</c:v>
                </c:pt>
                <c:pt idx="2005">
                  <c:v>39659</c:v>
                </c:pt>
                <c:pt idx="2006">
                  <c:v>39660</c:v>
                </c:pt>
                <c:pt idx="2007">
                  <c:v>39661</c:v>
                </c:pt>
                <c:pt idx="2008">
                  <c:v>39664</c:v>
                </c:pt>
                <c:pt idx="2009">
                  <c:v>39665</c:v>
                </c:pt>
                <c:pt idx="2010">
                  <c:v>39666</c:v>
                </c:pt>
                <c:pt idx="2011">
                  <c:v>39667</c:v>
                </c:pt>
                <c:pt idx="2012">
                  <c:v>39668</c:v>
                </c:pt>
                <c:pt idx="2013">
                  <c:v>39671</c:v>
                </c:pt>
                <c:pt idx="2014">
                  <c:v>39672</c:v>
                </c:pt>
                <c:pt idx="2015">
                  <c:v>39673</c:v>
                </c:pt>
                <c:pt idx="2016">
                  <c:v>39674</c:v>
                </c:pt>
                <c:pt idx="2017">
                  <c:v>39678</c:v>
                </c:pt>
                <c:pt idx="2018">
                  <c:v>39679</c:v>
                </c:pt>
                <c:pt idx="2019">
                  <c:v>39680</c:v>
                </c:pt>
                <c:pt idx="2020">
                  <c:v>39681</c:v>
                </c:pt>
                <c:pt idx="2021">
                  <c:v>39682</c:v>
                </c:pt>
                <c:pt idx="2022">
                  <c:v>39685</c:v>
                </c:pt>
                <c:pt idx="2023">
                  <c:v>39686</c:v>
                </c:pt>
                <c:pt idx="2024">
                  <c:v>39687</c:v>
                </c:pt>
                <c:pt idx="2025">
                  <c:v>39688</c:v>
                </c:pt>
                <c:pt idx="2026">
                  <c:v>39689</c:v>
                </c:pt>
                <c:pt idx="2027">
                  <c:v>39693</c:v>
                </c:pt>
                <c:pt idx="2028">
                  <c:v>39694</c:v>
                </c:pt>
                <c:pt idx="2029">
                  <c:v>39695</c:v>
                </c:pt>
                <c:pt idx="2030">
                  <c:v>39696</c:v>
                </c:pt>
                <c:pt idx="2031">
                  <c:v>39699</c:v>
                </c:pt>
                <c:pt idx="2032">
                  <c:v>39700</c:v>
                </c:pt>
                <c:pt idx="2033">
                  <c:v>39701</c:v>
                </c:pt>
                <c:pt idx="2034">
                  <c:v>39702</c:v>
                </c:pt>
                <c:pt idx="2035">
                  <c:v>39703</c:v>
                </c:pt>
                <c:pt idx="2036">
                  <c:v>39706</c:v>
                </c:pt>
                <c:pt idx="2037">
                  <c:v>39707</c:v>
                </c:pt>
                <c:pt idx="2038">
                  <c:v>39708</c:v>
                </c:pt>
                <c:pt idx="2039">
                  <c:v>39709</c:v>
                </c:pt>
                <c:pt idx="2040">
                  <c:v>39710</c:v>
                </c:pt>
                <c:pt idx="2041">
                  <c:v>39713</c:v>
                </c:pt>
                <c:pt idx="2042">
                  <c:v>39714</c:v>
                </c:pt>
                <c:pt idx="2043">
                  <c:v>39715</c:v>
                </c:pt>
                <c:pt idx="2044">
                  <c:v>39716</c:v>
                </c:pt>
                <c:pt idx="2045">
                  <c:v>39717</c:v>
                </c:pt>
                <c:pt idx="2046">
                  <c:v>39720</c:v>
                </c:pt>
                <c:pt idx="2047">
                  <c:v>39721</c:v>
                </c:pt>
                <c:pt idx="2048">
                  <c:v>39722</c:v>
                </c:pt>
                <c:pt idx="2049">
                  <c:v>39723</c:v>
                </c:pt>
                <c:pt idx="2050">
                  <c:v>39724</c:v>
                </c:pt>
                <c:pt idx="2051">
                  <c:v>39727</c:v>
                </c:pt>
                <c:pt idx="2052">
                  <c:v>39728</c:v>
                </c:pt>
                <c:pt idx="2053">
                  <c:v>39729</c:v>
                </c:pt>
                <c:pt idx="2054">
                  <c:v>39730</c:v>
                </c:pt>
                <c:pt idx="2055">
                  <c:v>39731</c:v>
                </c:pt>
                <c:pt idx="2056">
                  <c:v>39734</c:v>
                </c:pt>
                <c:pt idx="2057">
                  <c:v>39735</c:v>
                </c:pt>
                <c:pt idx="2058">
                  <c:v>39736</c:v>
                </c:pt>
                <c:pt idx="2059">
                  <c:v>39737</c:v>
                </c:pt>
                <c:pt idx="2060">
                  <c:v>39738</c:v>
                </c:pt>
                <c:pt idx="2061">
                  <c:v>39741</c:v>
                </c:pt>
                <c:pt idx="2062">
                  <c:v>39742</c:v>
                </c:pt>
                <c:pt idx="2063">
                  <c:v>39743</c:v>
                </c:pt>
                <c:pt idx="2064">
                  <c:v>39744</c:v>
                </c:pt>
                <c:pt idx="2065">
                  <c:v>39745</c:v>
                </c:pt>
                <c:pt idx="2066">
                  <c:v>39748</c:v>
                </c:pt>
                <c:pt idx="2067">
                  <c:v>39749</c:v>
                </c:pt>
                <c:pt idx="2068">
                  <c:v>39750</c:v>
                </c:pt>
                <c:pt idx="2069">
                  <c:v>39751</c:v>
                </c:pt>
                <c:pt idx="2070">
                  <c:v>39752</c:v>
                </c:pt>
                <c:pt idx="2071">
                  <c:v>39755</c:v>
                </c:pt>
                <c:pt idx="2072">
                  <c:v>39756</c:v>
                </c:pt>
                <c:pt idx="2073">
                  <c:v>39757</c:v>
                </c:pt>
                <c:pt idx="2074">
                  <c:v>39758</c:v>
                </c:pt>
                <c:pt idx="2075">
                  <c:v>39759</c:v>
                </c:pt>
                <c:pt idx="2076">
                  <c:v>39762</c:v>
                </c:pt>
                <c:pt idx="2077">
                  <c:v>39764</c:v>
                </c:pt>
                <c:pt idx="2078">
                  <c:v>39765</c:v>
                </c:pt>
                <c:pt idx="2079">
                  <c:v>39766</c:v>
                </c:pt>
                <c:pt idx="2080">
                  <c:v>39769</c:v>
                </c:pt>
                <c:pt idx="2081">
                  <c:v>39770</c:v>
                </c:pt>
                <c:pt idx="2082">
                  <c:v>39771</c:v>
                </c:pt>
                <c:pt idx="2083">
                  <c:v>39772</c:v>
                </c:pt>
                <c:pt idx="2084">
                  <c:v>39773</c:v>
                </c:pt>
                <c:pt idx="2085">
                  <c:v>39776</c:v>
                </c:pt>
                <c:pt idx="2086">
                  <c:v>39777</c:v>
                </c:pt>
                <c:pt idx="2087">
                  <c:v>39778</c:v>
                </c:pt>
                <c:pt idx="2088">
                  <c:v>39780</c:v>
                </c:pt>
                <c:pt idx="2089">
                  <c:v>39783</c:v>
                </c:pt>
                <c:pt idx="2090">
                  <c:v>39784</c:v>
                </c:pt>
                <c:pt idx="2091">
                  <c:v>39785</c:v>
                </c:pt>
                <c:pt idx="2092">
                  <c:v>39786</c:v>
                </c:pt>
                <c:pt idx="2093">
                  <c:v>39787</c:v>
                </c:pt>
                <c:pt idx="2094">
                  <c:v>39790</c:v>
                </c:pt>
                <c:pt idx="2095">
                  <c:v>39791</c:v>
                </c:pt>
                <c:pt idx="2096">
                  <c:v>39792</c:v>
                </c:pt>
                <c:pt idx="2097">
                  <c:v>39793</c:v>
                </c:pt>
                <c:pt idx="2098">
                  <c:v>39794</c:v>
                </c:pt>
                <c:pt idx="2099">
                  <c:v>39797</c:v>
                </c:pt>
                <c:pt idx="2100">
                  <c:v>39798</c:v>
                </c:pt>
                <c:pt idx="2101">
                  <c:v>39799</c:v>
                </c:pt>
                <c:pt idx="2102">
                  <c:v>39800</c:v>
                </c:pt>
                <c:pt idx="2103">
                  <c:v>39801</c:v>
                </c:pt>
                <c:pt idx="2104">
                  <c:v>39804</c:v>
                </c:pt>
                <c:pt idx="2105">
                  <c:v>39805</c:v>
                </c:pt>
                <c:pt idx="2106">
                  <c:v>39806</c:v>
                </c:pt>
                <c:pt idx="2107">
                  <c:v>39811</c:v>
                </c:pt>
                <c:pt idx="2108">
                  <c:v>39812</c:v>
                </c:pt>
                <c:pt idx="2109">
                  <c:v>39813</c:v>
                </c:pt>
                <c:pt idx="2110">
                  <c:v>39815</c:v>
                </c:pt>
                <c:pt idx="2111">
                  <c:v>39818</c:v>
                </c:pt>
                <c:pt idx="2112">
                  <c:v>39819</c:v>
                </c:pt>
                <c:pt idx="2113">
                  <c:v>39820</c:v>
                </c:pt>
                <c:pt idx="2114">
                  <c:v>39821</c:v>
                </c:pt>
                <c:pt idx="2115">
                  <c:v>39822</c:v>
                </c:pt>
                <c:pt idx="2116">
                  <c:v>39825</c:v>
                </c:pt>
                <c:pt idx="2117">
                  <c:v>39826</c:v>
                </c:pt>
                <c:pt idx="2118">
                  <c:v>39827</c:v>
                </c:pt>
                <c:pt idx="2119">
                  <c:v>39828</c:v>
                </c:pt>
                <c:pt idx="2120">
                  <c:v>39829</c:v>
                </c:pt>
                <c:pt idx="2121">
                  <c:v>39833</c:v>
                </c:pt>
                <c:pt idx="2122">
                  <c:v>39834</c:v>
                </c:pt>
                <c:pt idx="2123">
                  <c:v>39835</c:v>
                </c:pt>
                <c:pt idx="2124">
                  <c:v>39836</c:v>
                </c:pt>
                <c:pt idx="2125">
                  <c:v>39839</c:v>
                </c:pt>
                <c:pt idx="2126">
                  <c:v>39840</c:v>
                </c:pt>
                <c:pt idx="2127">
                  <c:v>39841</c:v>
                </c:pt>
                <c:pt idx="2128">
                  <c:v>39842</c:v>
                </c:pt>
                <c:pt idx="2129">
                  <c:v>39843</c:v>
                </c:pt>
                <c:pt idx="2130">
                  <c:v>39846</c:v>
                </c:pt>
                <c:pt idx="2131">
                  <c:v>39847</c:v>
                </c:pt>
                <c:pt idx="2132">
                  <c:v>39848</c:v>
                </c:pt>
                <c:pt idx="2133">
                  <c:v>39849</c:v>
                </c:pt>
                <c:pt idx="2134">
                  <c:v>39850</c:v>
                </c:pt>
                <c:pt idx="2135">
                  <c:v>39853</c:v>
                </c:pt>
                <c:pt idx="2136">
                  <c:v>39854</c:v>
                </c:pt>
                <c:pt idx="2137">
                  <c:v>39855</c:v>
                </c:pt>
                <c:pt idx="2138">
                  <c:v>39856</c:v>
                </c:pt>
                <c:pt idx="2139">
                  <c:v>39857</c:v>
                </c:pt>
                <c:pt idx="2140">
                  <c:v>39861</c:v>
                </c:pt>
                <c:pt idx="2141">
                  <c:v>39862</c:v>
                </c:pt>
                <c:pt idx="2142">
                  <c:v>39863</c:v>
                </c:pt>
                <c:pt idx="2143">
                  <c:v>39864</c:v>
                </c:pt>
                <c:pt idx="2144">
                  <c:v>39867</c:v>
                </c:pt>
                <c:pt idx="2145">
                  <c:v>39868</c:v>
                </c:pt>
                <c:pt idx="2146">
                  <c:v>39869</c:v>
                </c:pt>
                <c:pt idx="2147">
                  <c:v>39870</c:v>
                </c:pt>
                <c:pt idx="2148">
                  <c:v>39871</c:v>
                </c:pt>
                <c:pt idx="2149">
                  <c:v>39874</c:v>
                </c:pt>
                <c:pt idx="2150">
                  <c:v>39875</c:v>
                </c:pt>
                <c:pt idx="2151">
                  <c:v>39876</c:v>
                </c:pt>
                <c:pt idx="2152">
                  <c:v>39877</c:v>
                </c:pt>
                <c:pt idx="2153">
                  <c:v>39878</c:v>
                </c:pt>
                <c:pt idx="2154">
                  <c:v>39881</c:v>
                </c:pt>
                <c:pt idx="2155">
                  <c:v>39882</c:v>
                </c:pt>
                <c:pt idx="2156">
                  <c:v>39883</c:v>
                </c:pt>
                <c:pt idx="2157">
                  <c:v>39884</c:v>
                </c:pt>
                <c:pt idx="2158">
                  <c:v>39885</c:v>
                </c:pt>
                <c:pt idx="2159">
                  <c:v>39888</c:v>
                </c:pt>
                <c:pt idx="2160">
                  <c:v>39889</c:v>
                </c:pt>
                <c:pt idx="2161">
                  <c:v>39890</c:v>
                </c:pt>
                <c:pt idx="2162">
                  <c:v>39891</c:v>
                </c:pt>
                <c:pt idx="2163">
                  <c:v>39892</c:v>
                </c:pt>
                <c:pt idx="2164">
                  <c:v>39895</c:v>
                </c:pt>
                <c:pt idx="2165">
                  <c:v>39896</c:v>
                </c:pt>
                <c:pt idx="2166">
                  <c:v>39897</c:v>
                </c:pt>
                <c:pt idx="2167">
                  <c:v>39898</c:v>
                </c:pt>
                <c:pt idx="2168">
                  <c:v>39899</c:v>
                </c:pt>
                <c:pt idx="2169">
                  <c:v>39902</c:v>
                </c:pt>
                <c:pt idx="2170">
                  <c:v>39903</c:v>
                </c:pt>
                <c:pt idx="2171">
                  <c:v>39904</c:v>
                </c:pt>
                <c:pt idx="2172">
                  <c:v>39905</c:v>
                </c:pt>
                <c:pt idx="2173">
                  <c:v>39906</c:v>
                </c:pt>
                <c:pt idx="2174">
                  <c:v>39909</c:v>
                </c:pt>
                <c:pt idx="2175">
                  <c:v>39910</c:v>
                </c:pt>
                <c:pt idx="2176">
                  <c:v>39911</c:v>
                </c:pt>
                <c:pt idx="2177">
                  <c:v>39912</c:v>
                </c:pt>
                <c:pt idx="2178">
                  <c:v>39917</c:v>
                </c:pt>
                <c:pt idx="2179">
                  <c:v>39918</c:v>
                </c:pt>
                <c:pt idx="2180">
                  <c:v>39919</c:v>
                </c:pt>
                <c:pt idx="2181">
                  <c:v>39920</c:v>
                </c:pt>
                <c:pt idx="2182">
                  <c:v>39923</c:v>
                </c:pt>
                <c:pt idx="2183">
                  <c:v>39924</c:v>
                </c:pt>
                <c:pt idx="2184">
                  <c:v>39925</c:v>
                </c:pt>
                <c:pt idx="2185">
                  <c:v>39926</c:v>
                </c:pt>
                <c:pt idx="2186">
                  <c:v>39927</c:v>
                </c:pt>
                <c:pt idx="2187">
                  <c:v>39930</c:v>
                </c:pt>
                <c:pt idx="2188">
                  <c:v>39931</c:v>
                </c:pt>
                <c:pt idx="2189">
                  <c:v>39932</c:v>
                </c:pt>
                <c:pt idx="2190">
                  <c:v>39933</c:v>
                </c:pt>
                <c:pt idx="2191">
                  <c:v>39937</c:v>
                </c:pt>
                <c:pt idx="2192">
                  <c:v>39938</c:v>
                </c:pt>
                <c:pt idx="2193">
                  <c:v>39939</c:v>
                </c:pt>
                <c:pt idx="2194">
                  <c:v>39940</c:v>
                </c:pt>
                <c:pt idx="2195">
                  <c:v>39941</c:v>
                </c:pt>
                <c:pt idx="2196">
                  <c:v>39944</c:v>
                </c:pt>
                <c:pt idx="2197">
                  <c:v>39945</c:v>
                </c:pt>
                <c:pt idx="2198">
                  <c:v>39946</c:v>
                </c:pt>
                <c:pt idx="2199">
                  <c:v>39947</c:v>
                </c:pt>
                <c:pt idx="2200">
                  <c:v>39948</c:v>
                </c:pt>
                <c:pt idx="2201">
                  <c:v>39951</c:v>
                </c:pt>
                <c:pt idx="2202">
                  <c:v>39952</c:v>
                </c:pt>
                <c:pt idx="2203">
                  <c:v>39953</c:v>
                </c:pt>
                <c:pt idx="2204">
                  <c:v>39959</c:v>
                </c:pt>
                <c:pt idx="2205">
                  <c:v>39960</c:v>
                </c:pt>
                <c:pt idx="2206">
                  <c:v>39961</c:v>
                </c:pt>
                <c:pt idx="2207">
                  <c:v>39962</c:v>
                </c:pt>
                <c:pt idx="2208">
                  <c:v>39966</c:v>
                </c:pt>
                <c:pt idx="2209">
                  <c:v>39967</c:v>
                </c:pt>
                <c:pt idx="2210">
                  <c:v>39968</c:v>
                </c:pt>
                <c:pt idx="2211">
                  <c:v>39969</c:v>
                </c:pt>
                <c:pt idx="2212">
                  <c:v>39972</c:v>
                </c:pt>
                <c:pt idx="2213">
                  <c:v>39973</c:v>
                </c:pt>
                <c:pt idx="2214">
                  <c:v>39974</c:v>
                </c:pt>
                <c:pt idx="2215">
                  <c:v>39975</c:v>
                </c:pt>
                <c:pt idx="2216">
                  <c:v>39976</c:v>
                </c:pt>
                <c:pt idx="2217">
                  <c:v>39979</c:v>
                </c:pt>
                <c:pt idx="2218">
                  <c:v>39980</c:v>
                </c:pt>
                <c:pt idx="2219">
                  <c:v>39981</c:v>
                </c:pt>
                <c:pt idx="2220">
                  <c:v>39982</c:v>
                </c:pt>
                <c:pt idx="2221">
                  <c:v>39983</c:v>
                </c:pt>
                <c:pt idx="2222">
                  <c:v>39986</c:v>
                </c:pt>
                <c:pt idx="2223">
                  <c:v>39987</c:v>
                </c:pt>
                <c:pt idx="2224">
                  <c:v>39988</c:v>
                </c:pt>
                <c:pt idx="2225">
                  <c:v>39989</c:v>
                </c:pt>
                <c:pt idx="2226">
                  <c:v>39990</c:v>
                </c:pt>
                <c:pt idx="2227">
                  <c:v>39993</c:v>
                </c:pt>
                <c:pt idx="2228">
                  <c:v>39994</c:v>
                </c:pt>
                <c:pt idx="2229">
                  <c:v>39995</c:v>
                </c:pt>
                <c:pt idx="2230">
                  <c:v>39996</c:v>
                </c:pt>
                <c:pt idx="2231">
                  <c:v>40000</c:v>
                </c:pt>
                <c:pt idx="2232">
                  <c:v>40001</c:v>
                </c:pt>
                <c:pt idx="2233">
                  <c:v>40002</c:v>
                </c:pt>
                <c:pt idx="2234">
                  <c:v>40003</c:v>
                </c:pt>
                <c:pt idx="2235">
                  <c:v>40004</c:v>
                </c:pt>
                <c:pt idx="2236">
                  <c:v>40007</c:v>
                </c:pt>
                <c:pt idx="2237">
                  <c:v>40008</c:v>
                </c:pt>
                <c:pt idx="2238">
                  <c:v>40009</c:v>
                </c:pt>
                <c:pt idx="2239">
                  <c:v>40010</c:v>
                </c:pt>
                <c:pt idx="2240">
                  <c:v>40011</c:v>
                </c:pt>
                <c:pt idx="2241">
                  <c:v>40014</c:v>
                </c:pt>
                <c:pt idx="2242">
                  <c:v>40016</c:v>
                </c:pt>
                <c:pt idx="2243">
                  <c:v>40017</c:v>
                </c:pt>
                <c:pt idx="2244">
                  <c:v>40018</c:v>
                </c:pt>
                <c:pt idx="2245">
                  <c:v>40021</c:v>
                </c:pt>
                <c:pt idx="2246">
                  <c:v>40022</c:v>
                </c:pt>
                <c:pt idx="2247">
                  <c:v>40023</c:v>
                </c:pt>
                <c:pt idx="2248">
                  <c:v>40024</c:v>
                </c:pt>
                <c:pt idx="2249">
                  <c:v>40025</c:v>
                </c:pt>
                <c:pt idx="2250">
                  <c:v>40028</c:v>
                </c:pt>
                <c:pt idx="2251">
                  <c:v>40029</c:v>
                </c:pt>
                <c:pt idx="2252">
                  <c:v>40030</c:v>
                </c:pt>
                <c:pt idx="2253">
                  <c:v>40031</c:v>
                </c:pt>
                <c:pt idx="2254">
                  <c:v>40032</c:v>
                </c:pt>
                <c:pt idx="2255">
                  <c:v>40035</c:v>
                </c:pt>
                <c:pt idx="2256">
                  <c:v>40036</c:v>
                </c:pt>
                <c:pt idx="2257">
                  <c:v>40037</c:v>
                </c:pt>
                <c:pt idx="2258">
                  <c:v>40038</c:v>
                </c:pt>
                <c:pt idx="2259">
                  <c:v>40039</c:v>
                </c:pt>
                <c:pt idx="2260">
                  <c:v>40042</c:v>
                </c:pt>
                <c:pt idx="2261">
                  <c:v>40043</c:v>
                </c:pt>
                <c:pt idx="2262">
                  <c:v>40044</c:v>
                </c:pt>
                <c:pt idx="2263">
                  <c:v>40045</c:v>
                </c:pt>
                <c:pt idx="2264">
                  <c:v>40046</c:v>
                </c:pt>
                <c:pt idx="2265">
                  <c:v>40049</c:v>
                </c:pt>
                <c:pt idx="2266">
                  <c:v>40050</c:v>
                </c:pt>
                <c:pt idx="2267">
                  <c:v>40051</c:v>
                </c:pt>
                <c:pt idx="2268">
                  <c:v>40052</c:v>
                </c:pt>
                <c:pt idx="2269">
                  <c:v>40053</c:v>
                </c:pt>
                <c:pt idx="2270">
                  <c:v>40056</c:v>
                </c:pt>
                <c:pt idx="2271">
                  <c:v>40057</c:v>
                </c:pt>
                <c:pt idx="2272">
                  <c:v>40058</c:v>
                </c:pt>
                <c:pt idx="2273">
                  <c:v>40059</c:v>
                </c:pt>
                <c:pt idx="2274">
                  <c:v>40060</c:v>
                </c:pt>
                <c:pt idx="2275">
                  <c:v>40064</c:v>
                </c:pt>
                <c:pt idx="2276">
                  <c:v>40065</c:v>
                </c:pt>
                <c:pt idx="2277">
                  <c:v>40066</c:v>
                </c:pt>
                <c:pt idx="2278">
                  <c:v>40067</c:v>
                </c:pt>
                <c:pt idx="2279">
                  <c:v>40070</c:v>
                </c:pt>
                <c:pt idx="2280">
                  <c:v>40071</c:v>
                </c:pt>
                <c:pt idx="2281">
                  <c:v>40072</c:v>
                </c:pt>
                <c:pt idx="2282">
                  <c:v>40073</c:v>
                </c:pt>
                <c:pt idx="2283">
                  <c:v>40074</c:v>
                </c:pt>
                <c:pt idx="2284">
                  <c:v>40077</c:v>
                </c:pt>
                <c:pt idx="2285">
                  <c:v>40078</c:v>
                </c:pt>
                <c:pt idx="2286">
                  <c:v>40079</c:v>
                </c:pt>
                <c:pt idx="2287">
                  <c:v>40080</c:v>
                </c:pt>
                <c:pt idx="2288">
                  <c:v>40081</c:v>
                </c:pt>
                <c:pt idx="2289">
                  <c:v>40084</c:v>
                </c:pt>
                <c:pt idx="2290">
                  <c:v>40085</c:v>
                </c:pt>
                <c:pt idx="2291">
                  <c:v>40086</c:v>
                </c:pt>
                <c:pt idx="2292">
                  <c:v>40087</c:v>
                </c:pt>
                <c:pt idx="2293">
                  <c:v>40088</c:v>
                </c:pt>
                <c:pt idx="2294">
                  <c:v>40091</c:v>
                </c:pt>
                <c:pt idx="2295">
                  <c:v>40092</c:v>
                </c:pt>
                <c:pt idx="2296">
                  <c:v>40093</c:v>
                </c:pt>
                <c:pt idx="2297">
                  <c:v>40094</c:v>
                </c:pt>
                <c:pt idx="2298">
                  <c:v>40095</c:v>
                </c:pt>
                <c:pt idx="2299">
                  <c:v>40098</c:v>
                </c:pt>
                <c:pt idx="2300">
                  <c:v>40099</c:v>
                </c:pt>
                <c:pt idx="2301">
                  <c:v>40100</c:v>
                </c:pt>
                <c:pt idx="2302">
                  <c:v>40101</c:v>
                </c:pt>
                <c:pt idx="2303">
                  <c:v>40102</c:v>
                </c:pt>
                <c:pt idx="2304">
                  <c:v>40105</c:v>
                </c:pt>
                <c:pt idx="2305">
                  <c:v>40106</c:v>
                </c:pt>
                <c:pt idx="2306">
                  <c:v>40107</c:v>
                </c:pt>
                <c:pt idx="2307">
                  <c:v>40108</c:v>
                </c:pt>
                <c:pt idx="2308">
                  <c:v>40109</c:v>
                </c:pt>
                <c:pt idx="2309">
                  <c:v>40112</c:v>
                </c:pt>
                <c:pt idx="2310">
                  <c:v>40113</c:v>
                </c:pt>
                <c:pt idx="2311">
                  <c:v>40114</c:v>
                </c:pt>
                <c:pt idx="2312">
                  <c:v>40115</c:v>
                </c:pt>
                <c:pt idx="2313">
                  <c:v>40116</c:v>
                </c:pt>
                <c:pt idx="2314">
                  <c:v>40119</c:v>
                </c:pt>
                <c:pt idx="2315">
                  <c:v>40120</c:v>
                </c:pt>
                <c:pt idx="2316">
                  <c:v>40121</c:v>
                </c:pt>
                <c:pt idx="2317">
                  <c:v>40122</c:v>
                </c:pt>
                <c:pt idx="2318">
                  <c:v>40123</c:v>
                </c:pt>
                <c:pt idx="2319">
                  <c:v>40126</c:v>
                </c:pt>
                <c:pt idx="2320">
                  <c:v>40127</c:v>
                </c:pt>
                <c:pt idx="2321">
                  <c:v>40129</c:v>
                </c:pt>
                <c:pt idx="2322">
                  <c:v>40130</c:v>
                </c:pt>
                <c:pt idx="2323">
                  <c:v>40133</c:v>
                </c:pt>
                <c:pt idx="2324">
                  <c:v>40134</c:v>
                </c:pt>
                <c:pt idx="2325">
                  <c:v>40135</c:v>
                </c:pt>
                <c:pt idx="2326">
                  <c:v>40136</c:v>
                </c:pt>
                <c:pt idx="2327">
                  <c:v>40137</c:v>
                </c:pt>
                <c:pt idx="2328">
                  <c:v>40140</c:v>
                </c:pt>
                <c:pt idx="2329">
                  <c:v>40141</c:v>
                </c:pt>
                <c:pt idx="2330">
                  <c:v>40142</c:v>
                </c:pt>
                <c:pt idx="2331">
                  <c:v>40144</c:v>
                </c:pt>
                <c:pt idx="2332">
                  <c:v>40147</c:v>
                </c:pt>
                <c:pt idx="2333">
                  <c:v>40148</c:v>
                </c:pt>
                <c:pt idx="2334">
                  <c:v>40149</c:v>
                </c:pt>
                <c:pt idx="2335">
                  <c:v>40150</c:v>
                </c:pt>
                <c:pt idx="2336">
                  <c:v>40151</c:v>
                </c:pt>
                <c:pt idx="2337">
                  <c:v>40154</c:v>
                </c:pt>
                <c:pt idx="2338">
                  <c:v>40155</c:v>
                </c:pt>
                <c:pt idx="2339">
                  <c:v>40156</c:v>
                </c:pt>
                <c:pt idx="2340">
                  <c:v>40157</c:v>
                </c:pt>
                <c:pt idx="2341">
                  <c:v>40158</c:v>
                </c:pt>
                <c:pt idx="2342">
                  <c:v>40161</c:v>
                </c:pt>
                <c:pt idx="2343">
                  <c:v>40162</c:v>
                </c:pt>
                <c:pt idx="2344">
                  <c:v>40163</c:v>
                </c:pt>
                <c:pt idx="2345">
                  <c:v>40164</c:v>
                </c:pt>
                <c:pt idx="2346">
                  <c:v>40165</c:v>
                </c:pt>
                <c:pt idx="2347">
                  <c:v>40168</c:v>
                </c:pt>
                <c:pt idx="2348">
                  <c:v>40169</c:v>
                </c:pt>
                <c:pt idx="2349">
                  <c:v>40170</c:v>
                </c:pt>
                <c:pt idx="2350">
                  <c:v>40171</c:v>
                </c:pt>
                <c:pt idx="2351">
                  <c:v>40175</c:v>
                </c:pt>
                <c:pt idx="2352">
                  <c:v>40176</c:v>
                </c:pt>
                <c:pt idx="2353">
                  <c:v>40177</c:v>
                </c:pt>
                <c:pt idx="2354">
                  <c:v>40178</c:v>
                </c:pt>
                <c:pt idx="2355">
                  <c:v>40182</c:v>
                </c:pt>
                <c:pt idx="2356">
                  <c:v>40183</c:v>
                </c:pt>
                <c:pt idx="2357">
                  <c:v>40184</c:v>
                </c:pt>
                <c:pt idx="2358">
                  <c:v>40185</c:v>
                </c:pt>
                <c:pt idx="2359">
                  <c:v>40186</c:v>
                </c:pt>
                <c:pt idx="2360">
                  <c:v>40189</c:v>
                </c:pt>
                <c:pt idx="2361">
                  <c:v>40190</c:v>
                </c:pt>
                <c:pt idx="2362">
                  <c:v>40191</c:v>
                </c:pt>
                <c:pt idx="2363">
                  <c:v>40192</c:v>
                </c:pt>
                <c:pt idx="2364">
                  <c:v>40193</c:v>
                </c:pt>
                <c:pt idx="2365">
                  <c:v>40197</c:v>
                </c:pt>
                <c:pt idx="2366">
                  <c:v>40198</c:v>
                </c:pt>
                <c:pt idx="2367">
                  <c:v>40199</c:v>
                </c:pt>
                <c:pt idx="2368">
                  <c:v>40200</c:v>
                </c:pt>
                <c:pt idx="2369">
                  <c:v>40203</c:v>
                </c:pt>
                <c:pt idx="2370">
                  <c:v>40204</c:v>
                </c:pt>
                <c:pt idx="2371">
                  <c:v>40205</c:v>
                </c:pt>
                <c:pt idx="2372">
                  <c:v>40206</c:v>
                </c:pt>
                <c:pt idx="2373">
                  <c:v>40207</c:v>
                </c:pt>
                <c:pt idx="2374">
                  <c:v>40210</c:v>
                </c:pt>
                <c:pt idx="2375">
                  <c:v>40211</c:v>
                </c:pt>
                <c:pt idx="2376">
                  <c:v>40212</c:v>
                </c:pt>
                <c:pt idx="2377">
                  <c:v>40213</c:v>
                </c:pt>
                <c:pt idx="2378">
                  <c:v>40214</c:v>
                </c:pt>
                <c:pt idx="2379">
                  <c:v>40217</c:v>
                </c:pt>
                <c:pt idx="2380">
                  <c:v>40218</c:v>
                </c:pt>
                <c:pt idx="2381">
                  <c:v>40219</c:v>
                </c:pt>
                <c:pt idx="2382">
                  <c:v>40220</c:v>
                </c:pt>
                <c:pt idx="2383">
                  <c:v>40221</c:v>
                </c:pt>
                <c:pt idx="2384">
                  <c:v>40225</c:v>
                </c:pt>
                <c:pt idx="2385">
                  <c:v>40226</c:v>
                </c:pt>
                <c:pt idx="2386">
                  <c:v>40227</c:v>
                </c:pt>
                <c:pt idx="2387">
                  <c:v>40228</c:v>
                </c:pt>
                <c:pt idx="2388">
                  <c:v>40231</c:v>
                </c:pt>
                <c:pt idx="2389">
                  <c:v>40232</c:v>
                </c:pt>
                <c:pt idx="2390">
                  <c:v>40233</c:v>
                </c:pt>
                <c:pt idx="2391">
                  <c:v>40234</c:v>
                </c:pt>
                <c:pt idx="2392">
                  <c:v>40235</c:v>
                </c:pt>
                <c:pt idx="2393">
                  <c:v>40238</c:v>
                </c:pt>
                <c:pt idx="2394">
                  <c:v>40239</c:v>
                </c:pt>
                <c:pt idx="2395">
                  <c:v>40240</c:v>
                </c:pt>
                <c:pt idx="2396">
                  <c:v>40241</c:v>
                </c:pt>
                <c:pt idx="2397">
                  <c:v>40242</c:v>
                </c:pt>
                <c:pt idx="2398">
                  <c:v>40245</c:v>
                </c:pt>
                <c:pt idx="2399">
                  <c:v>40246</c:v>
                </c:pt>
                <c:pt idx="2400">
                  <c:v>40247</c:v>
                </c:pt>
                <c:pt idx="2401">
                  <c:v>40248</c:v>
                </c:pt>
                <c:pt idx="2402">
                  <c:v>40249</c:v>
                </c:pt>
                <c:pt idx="2403">
                  <c:v>40252</c:v>
                </c:pt>
                <c:pt idx="2404">
                  <c:v>40253</c:v>
                </c:pt>
                <c:pt idx="2405">
                  <c:v>40254</c:v>
                </c:pt>
                <c:pt idx="2406">
                  <c:v>40255</c:v>
                </c:pt>
                <c:pt idx="2407">
                  <c:v>40256</c:v>
                </c:pt>
                <c:pt idx="2408">
                  <c:v>40259</c:v>
                </c:pt>
                <c:pt idx="2409">
                  <c:v>40260</c:v>
                </c:pt>
                <c:pt idx="2410">
                  <c:v>40261</c:v>
                </c:pt>
                <c:pt idx="2411">
                  <c:v>40262</c:v>
                </c:pt>
                <c:pt idx="2412">
                  <c:v>40263</c:v>
                </c:pt>
                <c:pt idx="2413">
                  <c:v>40266</c:v>
                </c:pt>
                <c:pt idx="2414">
                  <c:v>40267</c:v>
                </c:pt>
                <c:pt idx="2415">
                  <c:v>40268</c:v>
                </c:pt>
                <c:pt idx="2416">
                  <c:v>40269</c:v>
                </c:pt>
                <c:pt idx="2417">
                  <c:v>40274</c:v>
                </c:pt>
                <c:pt idx="2418">
                  <c:v>40275</c:v>
                </c:pt>
                <c:pt idx="2419">
                  <c:v>40276</c:v>
                </c:pt>
                <c:pt idx="2420">
                  <c:v>40277</c:v>
                </c:pt>
                <c:pt idx="2421">
                  <c:v>40280</c:v>
                </c:pt>
                <c:pt idx="2422">
                  <c:v>40281</c:v>
                </c:pt>
                <c:pt idx="2423">
                  <c:v>40282</c:v>
                </c:pt>
                <c:pt idx="2424">
                  <c:v>40283</c:v>
                </c:pt>
                <c:pt idx="2425">
                  <c:v>40284</c:v>
                </c:pt>
                <c:pt idx="2426">
                  <c:v>40287</c:v>
                </c:pt>
                <c:pt idx="2427">
                  <c:v>40288</c:v>
                </c:pt>
                <c:pt idx="2428">
                  <c:v>40289</c:v>
                </c:pt>
                <c:pt idx="2429">
                  <c:v>40290</c:v>
                </c:pt>
                <c:pt idx="2430">
                  <c:v>40291</c:v>
                </c:pt>
                <c:pt idx="2431">
                  <c:v>40294</c:v>
                </c:pt>
                <c:pt idx="2432">
                  <c:v>40295</c:v>
                </c:pt>
                <c:pt idx="2433">
                  <c:v>40296</c:v>
                </c:pt>
                <c:pt idx="2434">
                  <c:v>40297</c:v>
                </c:pt>
                <c:pt idx="2435">
                  <c:v>40298</c:v>
                </c:pt>
                <c:pt idx="2436">
                  <c:v>40301</c:v>
                </c:pt>
                <c:pt idx="2437">
                  <c:v>40303</c:v>
                </c:pt>
                <c:pt idx="2438">
                  <c:v>40304</c:v>
                </c:pt>
                <c:pt idx="2439">
                  <c:v>40305</c:v>
                </c:pt>
                <c:pt idx="2440">
                  <c:v>40308</c:v>
                </c:pt>
                <c:pt idx="2441">
                  <c:v>40309</c:v>
                </c:pt>
                <c:pt idx="2442">
                  <c:v>40310</c:v>
                </c:pt>
                <c:pt idx="2443">
                  <c:v>40315</c:v>
                </c:pt>
                <c:pt idx="2444">
                  <c:v>40316</c:v>
                </c:pt>
                <c:pt idx="2445">
                  <c:v>40317</c:v>
                </c:pt>
                <c:pt idx="2446">
                  <c:v>40318</c:v>
                </c:pt>
                <c:pt idx="2447">
                  <c:v>40319</c:v>
                </c:pt>
                <c:pt idx="2448">
                  <c:v>40323</c:v>
                </c:pt>
                <c:pt idx="2449">
                  <c:v>40324</c:v>
                </c:pt>
                <c:pt idx="2450">
                  <c:v>40325</c:v>
                </c:pt>
                <c:pt idx="2451">
                  <c:v>40326</c:v>
                </c:pt>
                <c:pt idx="2452">
                  <c:v>40330</c:v>
                </c:pt>
                <c:pt idx="2453">
                  <c:v>40331</c:v>
                </c:pt>
                <c:pt idx="2454">
                  <c:v>40332</c:v>
                </c:pt>
                <c:pt idx="2455">
                  <c:v>40333</c:v>
                </c:pt>
                <c:pt idx="2456">
                  <c:v>40336</c:v>
                </c:pt>
                <c:pt idx="2457">
                  <c:v>40337</c:v>
                </c:pt>
                <c:pt idx="2458">
                  <c:v>40338</c:v>
                </c:pt>
                <c:pt idx="2459">
                  <c:v>40339</c:v>
                </c:pt>
                <c:pt idx="2460">
                  <c:v>40340</c:v>
                </c:pt>
                <c:pt idx="2461">
                  <c:v>40343</c:v>
                </c:pt>
                <c:pt idx="2462">
                  <c:v>40344</c:v>
                </c:pt>
                <c:pt idx="2463">
                  <c:v>40345</c:v>
                </c:pt>
                <c:pt idx="2464">
                  <c:v>40346</c:v>
                </c:pt>
                <c:pt idx="2465">
                  <c:v>40347</c:v>
                </c:pt>
                <c:pt idx="2466">
                  <c:v>40350</c:v>
                </c:pt>
                <c:pt idx="2467">
                  <c:v>40351</c:v>
                </c:pt>
                <c:pt idx="2468">
                  <c:v>40352</c:v>
                </c:pt>
                <c:pt idx="2469">
                  <c:v>40353</c:v>
                </c:pt>
                <c:pt idx="2470">
                  <c:v>40354</c:v>
                </c:pt>
                <c:pt idx="2471">
                  <c:v>40357</c:v>
                </c:pt>
                <c:pt idx="2472">
                  <c:v>40358</c:v>
                </c:pt>
                <c:pt idx="2473">
                  <c:v>40359</c:v>
                </c:pt>
                <c:pt idx="2474">
                  <c:v>40360</c:v>
                </c:pt>
                <c:pt idx="2475">
                  <c:v>40361</c:v>
                </c:pt>
                <c:pt idx="2476">
                  <c:v>40365</c:v>
                </c:pt>
                <c:pt idx="2477">
                  <c:v>40366</c:v>
                </c:pt>
                <c:pt idx="2478">
                  <c:v>40367</c:v>
                </c:pt>
                <c:pt idx="2479">
                  <c:v>40368</c:v>
                </c:pt>
                <c:pt idx="2480">
                  <c:v>40371</c:v>
                </c:pt>
                <c:pt idx="2481">
                  <c:v>40372</c:v>
                </c:pt>
                <c:pt idx="2482">
                  <c:v>40373</c:v>
                </c:pt>
                <c:pt idx="2483">
                  <c:v>40374</c:v>
                </c:pt>
                <c:pt idx="2484">
                  <c:v>40375</c:v>
                </c:pt>
                <c:pt idx="2485">
                  <c:v>40378</c:v>
                </c:pt>
                <c:pt idx="2486">
                  <c:v>40379</c:v>
                </c:pt>
                <c:pt idx="2487">
                  <c:v>40381</c:v>
                </c:pt>
                <c:pt idx="2488">
                  <c:v>40382</c:v>
                </c:pt>
                <c:pt idx="2489">
                  <c:v>40385</c:v>
                </c:pt>
                <c:pt idx="2490">
                  <c:v>40386</c:v>
                </c:pt>
                <c:pt idx="2491">
                  <c:v>40387</c:v>
                </c:pt>
                <c:pt idx="2492">
                  <c:v>40388</c:v>
                </c:pt>
                <c:pt idx="2493">
                  <c:v>40389</c:v>
                </c:pt>
                <c:pt idx="2494">
                  <c:v>40392</c:v>
                </c:pt>
                <c:pt idx="2495">
                  <c:v>40393</c:v>
                </c:pt>
                <c:pt idx="2496">
                  <c:v>40394</c:v>
                </c:pt>
                <c:pt idx="2497">
                  <c:v>40395</c:v>
                </c:pt>
                <c:pt idx="2498">
                  <c:v>40396</c:v>
                </c:pt>
                <c:pt idx="2499">
                  <c:v>40399</c:v>
                </c:pt>
                <c:pt idx="2500">
                  <c:v>40400</c:v>
                </c:pt>
                <c:pt idx="2501">
                  <c:v>40401</c:v>
                </c:pt>
                <c:pt idx="2502">
                  <c:v>40402</c:v>
                </c:pt>
                <c:pt idx="2503">
                  <c:v>40403</c:v>
                </c:pt>
                <c:pt idx="2504">
                  <c:v>40406</c:v>
                </c:pt>
                <c:pt idx="2505">
                  <c:v>40407</c:v>
                </c:pt>
                <c:pt idx="2506">
                  <c:v>40408</c:v>
                </c:pt>
                <c:pt idx="2507">
                  <c:v>40409</c:v>
                </c:pt>
                <c:pt idx="2508">
                  <c:v>40410</c:v>
                </c:pt>
                <c:pt idx="2509">
                  <c:v>40413</c:v>
                </c:pt>
                <c:pt idx="2510">
                  <c:v>40414</c:v>
                </c:pt>
                <c:pt idx="2511">
                  <c:v>40415</c:v>
                </c:pt>
                <c:pt idx="2512">
                  <c:v>40416</c:v>
                </c:pt>
                <c:pt idx="2513">
                  <c:v>40417</c:v>
                </c:pt>
                <c:pt idx="2514">
                  <c:v>40420</c:v>
                </c:pt>
                <c:pt idx="2515">
                  <c:v>40421</c:v>
                </c:pt>
                <c:pt idx="2516">
                  <c:v>40422</c:v>
                </c:pt>
                <c:pt idx="2517">
                  <c:v>40423</c:v>
                </c:pt>
                <c:pt idx="2518">
                  <c:v>40424</c:v>
                </c:pt>
                <c:pt idx="2519">
                  <c:v>40428</c:v>
                </c:pt>
                <c:pt idx="2520">
                  <c:v>40429</c:v>
                </c:pt>
                <c:pt idx="2521">
                  <c:v>40430</c:v>
                </c:pt>
                <c:pt idx="2522">
                  <c:v>40431</c:v>
                </c:pt>
                <c:pt idx="2523">
                  <c:v>40434</c:v>
                </c:pt>
                <c:pt idx="2524">
                  <c:v>40435</c:v>
                </c:pt>
                <c:pt idx="2525">
                  <c:v>40436</c:v>
                </c:pt>
                <c:pt idx="2526">
                  <c:v>40437</c:v>
                </c:pt>
                <c:pt idx="2527">
                  <c:v>40438</c:v>
                </c:pt>
                <c:pt idx="2528">
                  <c:v>40441</c:v>
                </c:pt>
                <c:pt idx="2529">
                  <c:v>40442</c:v>
                </c:pt>
                <c:pt idx="2530">
                  <c:v>40443</c:v>
                </c:pt>
                <c:pt idx="2531">
                  <c:v>40444</c:v>
                </c:pt>
                <c:pt idx="2532">
                  <c:v>40445</c:v>
                </c:pt>
                <c:pt idx="2533">
                  <c:v>40448</c:v>
                </c:pt>
                <c:pt idx="2534">
                  <c:v>40449</c:v>
                </c:pt>
                <c:pt idx="2535">
                  <c:v>40450</c:v>
                </c:pt>
                <c:pt idx="2536">
                  <c:v>40451</c:v>
                </c:pt>
                <c:pt idx="2537">
                  <c:v>40452</c:v>
                </c:pt>
                <c:pt idx="2538">
                  <c:v>40455</c:v>
                </c:pt>
                <c:pt idx="2539">
                  <c:v>40456</c:v>
                </c:pt>
                <c:pt idx="2540">
                  <c:v>40457</c:v>
                </c:pt>
                <c:pt idx="2541">
                  <c:v>40458</c:v>
                </c:pt>
                <c:pt idx="2542">
                  <c:v>40459</c:v>
                </c:pt>
                <c:pt idx="2543">
                  <c:v>40462</c:v>
                </c:pt>
                <c:pt idx="2544">
                  <c:v>40463</c:v>
                </c:pt>
                <c:pt idx="2545">
                  <c:v>40464</c:v>
                </c:pt>
                <c:pt idx="2546">
                  <c:v>40465</c:v>
                </c:pt>
                <c:pt idx="2547">
                  <c:v>40466</c:v>
                </c:pt>
                <c:pt idx="2548">
                  <c:v>40470</c:v>
                </c:pt>
                <c:pt idx="2549">
                  <c:v>40471</c:v>
                </c:pt>
                <c:pt idx="2550">
                  <c:v>40472</c:v>
                </c:pt>
                <c:pt idx="2551">
                  <c:v>40473</c:v>
                </c:pt>
                <c:pt idx="2552">
                  <c:v>40476</c:v>
                </c:pt>
                <c:pt idx="2553">
                  <c:v>40477</c:v>
                </c:pt>
                <c:pt idx="2554">
                  <c:v>40478</c:v>
                </c:pt>
                <c:pt idx="2555">
                  <c:v>40479</c:v>
                </c:pt>
                <c:pt idx="2556">
                  <c:v>40480</c:v>
                </c:pt>
                <c:pt idx="2557">
                  <c:v>40484</c:v>
                </c:pt>
                <c:pt idx="2558">
                  <c:v>40485</c:v>
                </c:pt>
                <c:pt idx="2559">
                  <c:v>40486</c:v>
                </c:pt>
                <c:pt idx="2560">
                  <c:v>40487</c:v>
                </c:pt>
                <c:pt idx="2561">
                  <c:v>40490</c:v>
                </c:pt>
                <c:pt idx="2562">
                  <c:v>40491</c:v>
                </c:pt>
                <c:pt idx="2563">
                  <c:v>40492</c:v>
                </c:pt>
                <c:pt idx="2564">
                  <c:v>40494</c:v>
                </c:pt>
                <c:pt idx="2565">
                  <c:v>40497</c:v>
                </c:pt>
                <c:pt idx="2566">
                  <c:v>40498</c:v>
                </c:pt>
                <c:pt idx="2567">
                  <c:v>40499</c:v>
                </c:pt>
                <c:pt idx="2568">
                  <c:v>40500</c:v>
                </c:pt>
                <c:pt idx="2569">
                  <c:v>40501</c:v>
                </c:pt>
                <c:pt idx="2570">
                  <c:v>40504</c:v>
                </c:pt>
                <c:pt idx="2571">
                  <c:v>40505</c:v>
                </c:pt>
                <c:pt idx="2572">
                  <c:v>40506</c:v>
                </c:pt>
                <c:pt idx="2573">
                  <c:v>40508</c:v>
                </c:pt>
                <c:pt idx="2574">
                  <c:v>40511</c:v>
                </c:pt>
                <c:pt idx="2575">
                  <c:v>40512</c:v>
                </c:pt>
                <c:pt idx="2576">
                  <c:v>40513</c:v>
                </c:pt>
                <c:pt idx="2577">
                  <c:v>40514</c:v>
                </c:pt>
                <c:pt idx="2578">
                  <c:v>40515</c:v>
                </c:pt>
                <c:pt idx="2579">
                  <c:v>40518</c:v>
                </c:pt>
                <c:pt idx="2580">
                  <c:v>40519</c:v>
                </c:pt>
                <c:pt idx="2581">
                  <c:v>40520</c:v>
                </c:pt>
                <c:pt idx="2582">
                  <c:v>40521</c:v>
                </c:pt>
                <c:pt idx="2583">
                  <c:v>40522</c:v>
                </c:pt>
                <c:pt idx="2584">
                  <c:v>40525</c:v>
                </c:pt>
                <c:pt idx="2585">
                  <c:v>40526</c:v>
                </c:pt>
                <c:pt idx="2586">
                  <c:v>40527</c:v>
                </c:pt>
                <c:pt idx="2587">
                  <c:v>40528</c:v>
                </c:pt>
                <c:pt idx="2588">
                  <c:v>40529</c:v>
                </c:pt>
                <c:pt idx="2589">
                  <c:v>40532</c:v>
                </c:pt>
                <c:pt idx="2590">
                  <c:v>40533</c:v>
                </c:pt>
                <c:pt idx="2591">
                  <c:v>40534</c:v>
                </c:pt>
                <c:pt idx="2592">
                  <c:v>40535</c:v>
                </c:pt>
                <c:pt idx="2593">
                  <c:v>40539</c:v>
                </c:pt>
                <c:pt idx="2594">
                  <c:v>40540</c:v>
                </c:pt>
                <c:pt idx="2595">
                  <c:v>40541</c:v>
                </c:pt>
                <c:pt idx="2596">
                  <c:v>40542</c:v>
                </c:pt>
                <c:pt idx="2597">
                  <c:v>40543</c:v>
                </c:pt>
                <c:pt idx="2598">
                  <c:v>40546</c:v>
                </c:pt>
                <c:pt idx="2599">
                  <c:v>40547</c:v>
                </c:pt>
                <c:pt idx="2600">
                  <c:v>40548</c:v>
                </c:pt>
                <c:pt idx="2601">
                  <c:v>40549</c:v>
                </c:pt>
                <c:pt idx="2602">
                  <c:v>40550</c:v>
                </c:pt>
                <c:pt idx="2603">
                  <c:v>40553</c:v>
                </c:pt>
                <c:pt idx="2604">
                  <c:v>40554</c:v>
                </c:pt>
                <c:pt idx="2605">
                  <c:v>40555</c:v>
                </c:pt>
                <c:pt idx="2606">
                  <c:v>40556</c:v>
                </c:pt>
                <c:pt idx="2607">
                  <c:v>40557</c:v>
                </c:pt>
                <c:pt idx="2608">
                  <c:v>40561</c:v>
                </c:pt>
                <c:pt idx="2609">
                  <c:v>40562</c:v>
                </c:pt>
                <c:pt idx="2610">
                  <c:v>40563</c:v>
                </c:pt>
                <c:pt idx="2611">
                  <c:v>40564</c:v>
                </c:pt>
                <c:pt idx="2612">
                  <c:v>40567</c:v>
                </c:pt>
                <c:pt idx="2613">
                  <c:v>40568</c:v>
                </c:pt>
                <c:pt idx="2614">
                  <c:v>40569</c:v>
                </c:pt>
                <c:pt idx="2615">
                  <c:v>40570</c:v>
                </c:pt>
                <c:pt idx="2616">
                  <c:v>40571</c:v>
                </c:pt>
                <c:pt idx="2617">
                  <c:v>40574</c:v>
                </c:pt>
                <c:pt idx="2618">
                  <c:v>40575</c:v>
                </c:pt>
                <c:pt idx="2619">
                  <c:v>40576</c:v>
                </c:pt>
                <c:pt idx="2620">
                  <c:v>40577</c:v>
                </c:pt>
                <c:pt idx="2621">
                  <c:v>40578</c:v>
                </c:pt>
                <c:pt idx="2622">
                  <c:v>40581</c:v>
                </c:pt>
                <c:pt idx="2623">
                  <c:v>40582</c:v>
                </c:pt>
                <c:pt idx="2624">
                  <c:v>40583</c:v>
                </c:pt>
                <c:pt idx="2625">
                  <c:v>40584</c:v>
                </c:pt>
                <c:pt idx="2626">
                  <c:v>40585</c:v>
                </c:pt>
                <c:pt idx="2627">
                  <c:v>40588</c:v>
                </c:pt>
                <c:pt idx="2628">
                  <c:v>40589</c:v>
                </c:pt>
                <c:pt idx="2629">
                  <c:v>40590</c:v>
                </c:pt>
                <c:pt idx="2630">
                  <c:v>40591</c:v>
                </c:pt>
                <c:pt idx="2631">
                  <c:v>40592</c:v>
                </c:pt>
                <c:pt idx="2632">
                  <c:v>40596</c:v>
                </c:pt>
                <c:pt idx="2633">
                  <c:v>40597</c:v>
                </c:pt>
                <c:pt idx="2634">
                  <c:v>40598</c:v>
                </c:pt>
                <c:pt idx="2635">
                  <c:v>40599</c:v>
                </c:pt>
                <c:pt idx="2636">
                  <c:v>40602</c:v>
                </c:pt>
                <c:pt idx="2637">
                  <c:v>40603</c:v>
                </c:pt>
                <c:pt idx="2638">
                  <c:v>40604</c:v>
                </c:pt>
                <c:pt idx="2639">
                  <c:v>40605</c:v>
                </c:pt>
                <c:pt idx="2640">
                  <c:v>40606</c:v>
                </c:pt>
                <c:pt idx="2641">
                  <c:v>40609</c:v>
                </c:pt>
                <c:pt idx="2642">
                  <c:v>40610</c:v>
                </c:pt>
                <c:pt idx="2643">
                  <c:v>40611</c:v>
                </c:pt>
                <c:pt idx="2644">
                  <c:v>40612</c:v>
                </c:pt>
                <c:pt idx="2645">
                  <c:v>40613</c:v>
                </c:pt>
                <c:pt idx="2646">
                  <c:v>40616</c:v>
                </c:pt>
                <c:pt idx="2647">
                  <c:v>40617</c:v>
                </c:pt>
                <c:pt idx="2648">
                  <c:v>40618</c:v>
                </c:pt>
                <c:pt idx="2649">
                  <c:v>40619</c:v>
                </c:pt>
                <c:pt idx="2650">
                  <c:v>40620</c:v>
                </c:pt>
                <c:pt idx="2651">
                  <c:v>40623</c:v>
                </c:pt>
                <c:pt idx="2652">
                  <c:v>40624</c:v>
                </c:pt>
                <c:pt idx="2653">
                  <c:v>40625</c:v>
                </c:pt>
                <c:pt idx="2654">
                  <c:v>40626</c:v>
                </c:pt>
                <c:pt idx="2655">
                  <c:v>40627</c:v>
                </c:pt>
                <c:pt idx="2656">
                  <c:v>40630</c:v>
                </c:pt>
                <c:pt idx="2657">
                  <c:v>40631</c:v>
                </c:pt>
                <c:pt idx="2658">
                  <c:v>40632</c:v>
                </c:pt>
                <c:pt idx="2659">
                  <c:v>40633</c:v>
                </c:pt>
                <c:pt idx="2660">
                  <c:v>40634</c:v>
                </c:pt>
                <c:pt idx="2661">
                  <c:v>40637</c:v>
                </c:pt>
                <c:pt idx="2662">
                  <c:v>40638</c:v>
                </c:pt>
                <c:pt idx="2663">
                  <c:v>40639</c:v>
                </c:pt>
                <c:pt idx="2664">
                  <c:v>40640</c:v>
                </c:pt>
                <c:pt idx="2665">
                  <c:v>40641</c:v>
                </c:pt>
                <c:pt idx="2666">
                  <c:v>40644</c:v>
                </c:pt>
                <c:pt idx="2667">
                  <c:v>40645</c:v>
                </c:pt>
                <c:pt idx="2668">
                  <c:v>40646</c:v>
                </c:pt>
                <c:pt idx="2669">
                  <c:v>40647</c:v>
                </c:pt>
                <c:pt idx="2670">
                  <c:v>40648</c:v>
                </c:pt>
                <c:pt idx="2671">
                  <c:v>40651</c:v>
                </c:pt>
                <c:pt idx="2672">
                  <c:v>40652</c:v>
                </c:pt>
                <c:pt idx="2673">
                  <c:v>40653</c:v>
                </c:pt>
                <c:pt idx="2674">
                  <c:v>40654</c:v>
                </c:pt>
                <c:pt idx="2675">
                  <c:v>40659</c:v>
                </c:pt>
                <c:pt idx="2676">
                  <c:v>40660</c:v>
                </c:pt>
                <c:pt idx="2677">
                  <c:v>40661</c:v>
                </c:pt>
                <c:pt idx="2678">
                  <c:v>40662</c:v>
                </c:pt>
                <c:pt idx="2679">
                  <c:v>40665</c:v>
                </c:pt>
                <c:pt idx="2680">
                  <c:v>40666</c:v>
                </c:pt>
                <c:pt idx="2681">
                  <c:v>40667</c:v>
                </c:pt>
                <c:pt idx="2682">
                  <c:v>40668</c:v>
                </c:pt>
                <c:pt idx="2683">
                  <c:v>40669</c:v>
                </c:pt>
                <c:pt idx="2684">
                  <c:v>40672</c:v>
                </c:pt>
                <c:pt idx="2685">
                  <c:v>40673</c:v>
                </c:pt>
                <c:pt idx="2686">
                  <c:v>40674</c:v>
                </c:pt>
                <c:pt idx="2687">
                  <c:v>40675</c:v>
                </c:pt>
                <c:pt idx="2688">
                  <c:v>40676</c:v>
                </c:pt>
                <c:pt idx="2689">
                  <c:v>40679</c:v>
                </c:pt>
                <c:pt idx="2690">
                  <c:v>40680</c:v>
                </c:pt>
                <c:pt idx="2691">
                  <c:v>40681</c:v>
                </c:pt>
                <c:pt idx="2692">
                  <c:v>40682</c:v>
                </c:pt>
                <c:pt idx="2693">
                  <c:v>40683</c:v>
                </c:pt>
                <c:pt idx="2694">
                  <c:v>40686</c:v>
                </c:pt>
                <c:pt idx="2695">
                  <c:v>40687</c:v>
                </c:pt>
                <c:pt idx="2696">
                  <c:v>40688</c:v>
                </c:pt>
                <c:pt idx="2697">
                  <c:v>40689</c:v>
                </c:pt>
                <c:pt idx="2698">
                  <c:v>40690</c:v>
                </c:pt>
                <c:pt idx="2699">
                  <c:v>40694</c:v>
                </c:pt>
                <c:pt idx="2700">
                  <c:v>40695</c:v>
                </c:pt>
                <c:pt idx="2701">
                  <c:v>40700</c:v>
                </c:pt>
                <c:pt idx="2702">
                  <c:v>40701</c:v>
                </c:pt>
                <c:pt idx="2703">
                  <c:v>40702</c:v>
                </c:pt>
                <c:pt idx="2704">
                  <c:v>40703</c:v>
                </c:pt>
                <c:pt idx="2705">
                  <c:v>40704</c:v>
                </c:pt>
                <c:pt idx="2706">
                  <c:v>40708</c:v>
                </c:pt>
                <c:pt idx="2707">
                  <c:v>40709</c:v>
                </c:pt>
                <c:pt idx="2708">
                  <c:v>40710</c:v>
                </c:pt>
                <c:pt idx="2709">
                  <c:v>40711</c:v>
                </c:pt>
                <c:pt idx="2710">
                  <c:v>40714</c:v>
                </c:pt>
                <c:pt idx="2711">
                  <c:v>40715</c:v>
                </c:pt>
                <c:pt idx="2712">
                  <c:v>40716</c:v>
                </c:pt>
                <c:pt idx="2713">
                  <c:v>40717</c:v>
                </c:pt>
                <c:pt idx="2714">
                  <c:v>40718</c:v>
                </c:pt>
                <c:pt idx="2715">
                  <c:v>40721</c:v>
                </c:pt>
                <c:pt idx="2716">
                  <c:v>40722</c:v>
                </c:pt>
                <c:pt idx="2717">
                  <c:v>40723</c:v>
                </c:pt>
                <c:pt idx="2718">
                  <c:v>40724</c:v>
                </c:pt>
                <c:pt idx="2719">
                  <c:v>40725</c:v>
                </c:pt>
                <c:pt idx="2720">
                  <c:v>40729</c:v>
                </c:pt>
                <c:pt idx="2721">
                  <c:v>40730</c:v>
                </c:pt>
                <c:pt idx="2722">
                  <c:v>40731</c:v>
                </c:pt>
                <c:pt idx="2723">
                  <c:v>40732</c:v>
                </c:pt>
                <c:pt idx="2724">
                  <c:v>40735</c:v>
                </c:pt>
                <c:pt idx="2725">
                  <c:v>40736</c:v>
                </c:pt>
                <c:pt idx="2726">
                  <c:v>40737</c:v>
                </c:pt>
                <c:pt idx="2727">
                  <c:v>40738</c:v>
                </c:pt>
                <c:pt idx="2728">
                  <c:v>40739</c:v>
                </c:pt>
                <c:pt idx="2729">
                  <c:v>40742</c:v>
                </c:pt>
                <c:pt idx="2730">
                  <c:v>40743</c:v>
                </c:pt>
                <c:pt idx="2731">
                  <c:v>40744</c:v>
                </c:pt>
                <c:pt idx="2732">
                  <c:v>40746</c:v>
                </c:pt>
                <c:pt idx="2733">
                  <c:v>40749</c:v>
                </c:pt>
                <c:pt idx="2734">
                  <c:v>40750</c:v>
                </c:pt>
                <c:pt idx="2735">
                  <c:v>40751</c:v>
                </c:pt>
                <c:pt idx="2736">
                  <c:v>40752</c:v>
                </c:pt>
                <c:pt idx="2737">
                  <c:v>40753</c:v>
                </c:pt>
                <c:pt idx="2738">
                  <c:v>40756</c:v>
                </c:pt>
                <c:pt idx="2739">
                  <c:v>40757</c:v>
                </c:pt>
                <c:pt idx="2740">
                  <c:v>40758</c:v>
                </c:pt>
                <c:pt idx="2741">
                  <c:v>40759</c:v>
                </c:pt>
                <c:pt idx="2742">
                  <c:v>40760</c:v>
                </c:pt>
                <c:pt idx="2743">
                  <c:v>40763</c:v>
                </c:pt>
                <c:pt idx="2744">
                  <c:v>40764</c:v>
                </c:pt>
                <c:pt idx="2745">
                  <c:v>40765</c:v>
                </c:pt>
                <c:pt idx="2746">
                  <c:v>40766</c:v>
                </c:pt>
                <c:pt idx="2747">
                  <c:v>40767</c:v>
                </c:pt>
                <c:pt idx="2748">
                  <c:v>40771</c:v>
                </c:pt>
                <c:pt idx="2749">
                  <c:v>40772</c:v>
                </c:pt>
                <c:pt idx="2750">
                  <c:v>40773</c:v>
                </c:pt>
                <c:pt idx="2751">
                  <c:v>40774</c:v>
                </c:pt>
                <c:pt idx="2752">
                  <c:v>40777</c:v>
                </c:pt>
                <c:pt idx="2753">
                  <c:v>40778</c:v>
                </c:pt>
                <c:pt idx="2754">
                  <c:v>40779</c:v>
                </c:pt>
                <c:pt idx="2755">
                  <c:v>40780</c:v>
                </c:pt>
                <c:pt idx="2756">
                  <c:v>40781</c:v>
                </c:pt>
                <c:pt idx="2757">
                  <c:v>40784</c:v>
                </c:pt>
                <c:pt idx="2758">
                  <c:v>40785</c:v>
                </c:pt>
                <c:pt idx="2759">
                  <c:v>40786</c:v>
                </c:pt>
                <c:pt idx="2760">
                  <c:v>40787</c:v>
                </c:pt>
                <c:pt idx="2761">
                  <c:v>40788</c:v>
                </c:pt>
                <c:pt idx="2762">
                  <c:v>40792</c:v>
                </c:pt>
                <c:pt idx="2763">
                  <c:v>40793</c:v>
                </c:pt>
                <c:pt idx="2764">
                  <c:v>40794</c:v>
                </c:pt>
                <c:pt idx="2765">
                  <c:v>40795</c:v>
                </c:pt>
                <c:pt idx="2766">
                  <c:v>40798</c:v>
                </c:pt>
                <c:pt idx="2767">
                  <c:v>40799</c:v>
                </c:pt>
                <c:pt idx="2768">
                  <c:v>40800</c:v>
                </c:pt>
                <c:pt idx="2769">
                  <c:v>40801</c:v>
                </c:pt>
                <c:pt idx="2770">
                  <c:v>40802</c:v>
                </c:pt>
                <c:pt idx="2771">
                  <c:v>40805</c:v>
                </c:pt>
                <c:pt idx="2772">
                  <c:v>40806</c:v>
                </c:pt>
                <c:pt idx="2773">
                  <c:v>40807</c:v>
                </c:pt>
                <c:pt idx="2774">
                  <c:v>40808</c:v>
                </c:pt>
                <c:pt idx="2775">
                  <c:v>40809</c:v>
                </c:pt>
                <c:pt idx="2776">
                  <c:v>40812</c:v>
                </c:pt>
                <c:pt idx="2777">
                  <c:v>40813</c:v>
                </c:pt>
                <c:pt idx="2778">
                  <c:v>40814</c:v>
                </c:pt>
                <c:pt idx="2779">
                  <c:v>40815</c:v>
                </c:pt>
                <c:pt idx="2780">
                  <c:v>40816</c:v>
                </c:pt>
                <c:pt idx="2781">
                  <c:v>40819</c:v>
                </c:pt>
                <c:pt idx="2782">
                  <c:v>40820</c:v>
                </c:pt>
                <c:pt idx="2783">
                  <c:v>40821</c:v>
                </c:pt>
                <c:pt idx="2784">
                  <c:v>40822</c:v>
                </c:pt>
                <c:pt idx="2785">
                  <c:v>40823</c:v>
                </c:pt>
                <c:pt idx="2786">
                  <c:v>40826</c:v>
                </c:pt>
                <c:pt idx="2787">
                  <c:v>40827</c:v>
                </c:pt>
                <c:pt idx="2788">
                  <c:v>40828</c:v>
                </c:pt>
                <c:pt idx="2789">
                  <c:v>40829</c:v>
                </c:pt>
                <c:pt idx="2790">
                  <c:v>40830</c:v>
                </c:pt>
                <c:pt idx="2791">
                  <c:v>40833</c:v>
                </c:pt>
                <c:pt idx="2792">
                  <c:v>40834</c:v>
                </c:pt>
                <c:pt idx="2793">
                  <c:v>40835</c:v>
                </c:pt>
                <c:pt idx="2794">
                  <c:v>40836</c:v>
                </c:pt>
                <c:pt idx="2795">
                  <c:v>40837</c:v>
                </c:pt>
                <c:pt idx="2796">
                  <c:v>40840</c:v>
                </c:pt>
                <c:pt idx="2797">
                  <c:v>40841</c:v>
                </c:pt>
                <c:pt idx="2798">
                  <c:v>40842</c:v>
                </c:pt>
                <c:pt idx="2799">
                  <c:v>40843</c:v>
                </c:pt>
                <c:pt idx="2800">
                  <c:v>40844</c:v>
                </c:pt>
                <c:pt idx="2801">
                  <c:v>40847</c:v>
                </c:pt>
                <c:pt idx="2802">
                  <c:v>40849</c:v>
                </c:pt>
                <c:pt idx="2803">
                  <c:v>40850</c:v>
                </c:pt>
                <c:pt idx="2804">
                  <c:v>40851</c:v>
                </c:pt>
                <c:pt idx="2805">
                  <c:v>40854</c:v>
                </c:pt>
                <c:pt idx="2806">
                  <c:v>40855</c:v>
                </c:pt>
                <c:pt idx="2807">
                  <c:v>40856</c:v>
                </c:pt>
                <c:pt idx="2808">
                  <c:v>40857</c:v>
                </c:pt>
                <c:pt idx="2809">
                  <c:v>40861</c:v>
                </c:pt>
                <c:pt idx="2810">
                  <c:v>40862</c:v>
                </c:pt>
                <c:pt idx="2811">
                  <c:v>40863</c:v>
                </c:pt>
                <c:pt idx="2812">
                  <c:v>40864</c:v>
                </c:pt>
                <c:pt idx="2813">
                  <c:v>40865</c:v>
                </c:pt>
                <c:pt idx="2814">
                  <c:v>40868</c:v>
                </c:pt>
                <c:pt idx="2815">
                  <c:v>40869</c:v>
                </c:pt>
                <c:pt idx="2816">
                  <c:v>40870</c:v>
                </c:pt>
                <c:pt idx="2817">
                  <c:v>40872</c:v>
                </c:pt>
                <c:pt idx="2818">
                  <c:v>40875</c:v>
                </c:pt>
                <c:pt idx="2819">
                  <c:v>40876</c:v>
                </c:pt>
                <c:pt idx="2820">
                  <c:v>40877</c:v>
                </c:pt>
                <c:pt idx="2821">
                  <c:v>40878</c:v>
                </c:pt>
                <c:pt idx="2822">
                  <c:v>40879</c:v>
                </c:pt>
                <c:pt idx="2823">
                  <c:v>40882</c:v>
                </c:pt>
                <c:pt idx="2824">
                  <c:v>40883</c:v>
                </c:pt>
                <c:pt idx="2825">
                  <c:v>40884</c:v>
                </c:pt>
                <c:pt idx="2826">
                  <c:v>40885</c:v>
                </c:pt>
                <c:pt idx="2827">
                  <c:v>40886</c:v>
                </c:pt>
                <c:pt idx="2828">
                  <c:v>40889</c:v>
                </c:pt>
                <c:pt idx="2829">
                  <c:v>40890</c:v>
                </c:pt>
                <c:pt idx="2830">
                  <c:v>40891</c:v>
                </c:pt>
                <c:pt idx="2831">
                  <c:v>40892</c:v>
                </c:pt>
                <c:pt idx="2832">
                  <c:v>40893</c:v>
                </c:pt>
                <c:pt idx="2833">
                  <c:v>40896</c:v>
                </c:pt>
                <c:pt idx="2834">
                  <c:v>40897</c:v>
                </c:pt>
                <c:pt idx="2835">
                  <c:v>40898</c:v>
                </c:pt>
                <c:pt idx="2836">
                  <c:v>40899</c:v>
                </c:pt>
                <c:pt idx="2837">
                  <c:v>40900</c:v>
                </c:pt>
                <c:pt idx="2838">
                  <c:v>40904</c:v>
                </c:pt>
                <c:pt idx="2839">
                  <c:v>40905</c:v>
                </c:pt>
                <c:pt idx="2840">
                  <c:v>40906</c:v>
                </c:pt>
                <c:pt idx="2841">
                  <c:v>40907</c:v>
                </c:pt>
                <c:pt idx="2842">
                  <c:v>40911</c:v>
                </c:pt>
                <c:pt idx="2843">
                  <c:v>40912</c:v>
                </c:pt>
                <c:pt idx="2844">
                  <c:v>40913</c:v>
                </c:pt>
                <c:pt idx="2845">
                  <c:v>40914</c:v>
                </c:pt>
                <c:pt idx="2846">
                  <c:v>40917</c:v>
                </c:pt>
                <c:pt idx="2847">
                  <c:v>40918</c:v>
                </c:pt>
                <c:pt idx="2848">
                  <c:v>40919</c:v>
                </c:pt>
                <c:pt idx="2849">
                  <c:v>40920</c:v>
                </c:pt>
                <c:pt idx="2850">
                  <c:v>40921</c:v>
                </c:pt>
                <c:pt idx="2851">
                  <c:v>40925</c:v>
                </c:pt>
                <c:pt idx="2852">
                  <c:v>40926</c:v>
                </c:pt>
                <c:pt idx="2853">
                  <c:v>40927</c:v>
                </c:pt>
                <c:pt idx="2854">
                  <c:v>40928</c:v>
                </c:pt>
                <c:pt idx="2855">
                  <c:v>40931</c:v>
                </c:pt>
                <c:pt idx="2856">
                  <c:v>40932</c:v>
                </c:pt>
                <c:pt idx="2857">
                  <c:v>40933</c:v>
                </c:pt>
                <c:pt idx="2858">
                  <c:v>40934</c:v>
                </c:pt>
                <c:pt idx="2859">
                  <c:v>40935</c:v>
                </c:pt>
                <c:pt idx="2860">
                  <c:v>40938</c:v>
                </c:pt>
                <c:pt idx="2861">
                  <c:v>40939</c:v>
                </c:pt>
                <c:pt idx="2862">
                  <c:v>40940</c:v>
                </c:pt>
                <c:pt idx="2863">
                  <c:v>40941</c:v>
                </c:pt>
                <c:pt idx="2864">
                  <c:v>40942</c:v>
                </c:pt>
                <c:pt idx="2865">
                  <c:v>40945</c:v>
                </c:pt>
                <c:pt idx="2866">
                  <c:v>40946</c:v>
                </c:pt>
                <c:pt idx="2867">
                  <c:v>40947</c:v>
                </c:pt>
                <c:pt idx="2868">
                  <c:v>40948</c:v>
                </c:pt>
                <c:pt idx="2869">
                  <c:v>40949</c:v>
                </c:pt>
                <c:pt idx="2870">
                  <c:v>40952</c:v>
                </c:pt>
                <c:pt idx="2871">
                  <c:v>40953</c:v>
                </c:pt>
                <c:pt idx="2872">
                  <c:v>40954</c:v>
                </c:pt>
                <c:pt idx="2873">
                  <c:v>40955</c:v>
                </c:pt>
                <c:pt idx="2874">
                  <c:v>40956</c:v>
                </c:pt>
                <c:pt idx="2875">
                  <c:v>40960</c:v>
                </c:pt>
                <c:pt idx="2876">
                  <c:v>40961</c:v>
                </c:pt>
                <c:pt idx="2877">
                  <c:v>40962</c:v>
                </c:pt>
                <c:pt idx="2878">
                  <c:v>40963</c:v>
                </c:pt>
                <c:pt idx="2879">
                  <c:v>40966</c:v>
                </c:pt>
                <c:pt idx="2880">
                  <c:v>40967</c:v>
                </c:pt>
                <c:pt idx="2881">
                  <c:v>40968</c:v>
                </c:pt>
                <c:pt idx="2882">
                  <c:v>40969</c:v>
                </c:pt>
                <c:pt idx="2883">
                  <c:v>40970</c:v>
                </c:pt>
                <c:pt idx="2884">
                  <c:v>40973</c:v>
                </c:pt>
                <c:pt idx="2885">
                  <c:v>40974</c:v>
                </c:pt>
                <c:pt idx="2886">
                  <c:v>40975</c:v>
                </c:pt>
                <c:pt idx="2887">
                  <c:v>40976</c:v>
                </c:pt>
                <c:pt idx="2888">
                  <c:v>40977</c:v>
                </c:pt>
                <c:pt idx="2889">
                  <c:v>40980</c:v>
                </c:pt>
                <c:pt idx="2890">
                  <c:v>40981</c:v>
                </c:pt>
                <c:pt idx="2891">
                  <c:v>40982</c:v>
                </c:pt>
                <c:pt idx="2892">
                  <c:v>40983</c:v>
                </c:pt>
                <c:pt idx="2893">
                  <c:v>40984</c:v>
                </c:pt>
                <c:pt idx="2894">
                  <c:v>40987</c:v>
                </c:pt>
                <c:pt idx="2895">
                  <c:v>40988</c:v>
                </c:pt>
                <c:pt idx="2896">
                  <c:v>40989</c:v>
                </c:pt>
                <c:pt idx="2897">
                  <c:v>40990</c:v>
                </c:pt>
                <c:pt idx="2898">
                  <c:v>40991</c:v>
                </c:pt>
                <c:pt idx="2899">
                  <c:v>40994</c:v>
                </c:pt>
                <c:pt idx="2900">
                  <c:v>40995</c:v>
                </c:pt>
                <c:pt idx="2901">
                  <c:v>40996</c:v>
                </c:pt>
                <c:pt idx="2902">
                  <c:v>40997</c:v>
                </c:pt>
                <c:pt idx="2903">
                  <c:v>40998</c:v>
                </c:pt>
                <c:pt idx="2904">
                  <c:v>41001</c:v>
                </c:pt>
                <c:pt idx="2905">
                  <c:v>41002</c:v>
                </c:pt>
                <c:pt idx="2906">
                  <c:v>41003</c:v>
                </c:pt>
                <c:pt idx="2907">
                  <c:v>41004</c:v>
                </c:pt>
                <c:pt idx="2908">
                  <c:v>41009</c:v>
                </c:pt>
                <c:pt idx="2909">
                  <c:v>41010</c:v>
                </c:pt>
                <c:pt idx="2910">
                  <c:v>41011</c:v>
                </c:pt>
                <c:pt idx="2911">
                  <c:v>41012</c:v>
                </c:pt>
                <c:pt idx="2912">
                  <c:v>41015</c:v>
                </c:pt>
                <c:pt idx="2913">
                  <c:v>41016</c:v>
                </c:pt>
                <c:pt idx="2914">
                  <c:v>41017</c:v>
                </c:pt>
                <c:pt idx="2915">
                  <c:v>41018</c:v>
                </c:pt>
                <c:pt idx="2916">
                  <c:v>41019</c:v>
                </c:pt>
                <c:pt idx="2917">
                  <c:v>41022</c:v>
                </c:pt>
                <c:pt idx="2918">
                  <c:v>41023</c:v>
                </c:pt>
                <c:pt idx="2919">
                  <c:v>41024</c:v>
                </c:pt>
                <c:pt idx="2920">
                  <c:v>41025</c:v>
                </c:pt>
                <c:pt idx="2921">
                  <c:v>41026</c:v>
                </c:pt>
                <c:pt idx="2922">
                  <c:v>41029</c:v>
                </c:pt>
                <c:pt idx="2923">
                  <c:v>41031</c:v>
                </c:pt>
                <c:pt idx="2924">
                  <c:v>41032</c:v>
                </c:pt>
                <c:pt idx="2925">
                  <c:v>41033</c:v>
                </c:pt>
                <c:pt idx="2926">
                  <c:v>41036</c:v>
                </c:pt>
                <c:pt idx="2927">
                  <c:v>41037</c:v>
                </c:pt>
                <c:pt idx="2928">
                  <c:v>41038</c:v>
                </c:pt>
                <c:pt idx="2929">
                  <c:v>41039</c:v>
                </c:pt>
                <c:pt idx="2930">
                  <c:v>41040</c:v>
                </c:pt>
                <c:pt idx="2931">
                  <c:v>41043</c:v>
                </c:pt>
                <c:pt idx="2932">
                  <c:v>41044</c:v>
                </c:pt>
                <c:pt idx="2933">
                  <c:v>41045</c:v>
                </c:pt>
                <c:pt idx="2934">
                  <c:v>41050</c:v>
                </c:pt>
                <c:pt idx="2935">
                  <c:v>41051</c:v>
                </c:pt>
                <c:pt idx="2936">
                  <c:v>41052</c:v>
                </c:pt>
                <c:pt idx="2937">
                  <c:v>41053</c:v>
                </c:pt>
                <c:pt idx="2938">
                  <c:v>41054</c:v>
                </c:pt>
                <c:pt idx="2939">
                  <c:v>41058</c:v>
                </c:pt>
                <c:pt idx="2940">
                  <c:v>41059</c:v>
                </c:pt>
                <c:pt idx="2941">
                  <c:v>41060</c:v>
                </c:pt>
                <c:pt idx="2942">
                  <c:v>41061</c:v>
                </c:pt>
                <c:pt idx="2943">
                  <c:v>41064</c:v>
                </c:pt>
                <c:pt idx="2944">
                  <c:v>41065</c:v>
                </c:pt>
                <c:pt idx="2945">
                  <c:v>41066</c:v>
                </c:pt>
                <c:pt idx="2946">
                  <c:v>41067</c:v>
                </c:pt>
                <c:pt idx="2947">
                  <c:v>41068</c:v>
                </c:pt>
                <c:pt idx="2948">
                  <c:v>41071</c:v>
                </c:pt>
                <c:pt idx="2949">
                  <c:v>41072</c:v>
                </c:pt>
                <c:pt idx="2950">
                  <c:v>41073</c:v>
                </c:pt>
                <c:pt idx="2951">
                  <c:v>41074</c:v>
                </c:pt>
                <c:pt idx="2952">
                  <c:v>41075</c:v>
                </c:pt>
                <c:pt idx="2953">
                  <c:v>41078</c:v>
                </c:pt>
                <c:pt idx="2954">
                  <c:v>41079</c:v>
                </c:pt>
                <c:pt idx="2955">
                  <c:v>41080</c:v>
                </c:pt>
                <c:pt idx="2956">
                  <c:v>41081</c:v>
                </c:pt>
                <c:pt idx="2957">
                  <c:v>41082</c:v>
                </c:pt>
                <c:pt idx="2958">
                  <c:v>41085</c:v>
                </c:pt>
                <c:pt idx="2959">
                  <c:v>41086</c:v>
                </c:pt>
                <c:pt idx="2960">
                  <c:v>41087</c:v>
                </c:pt>
                <c:pt idx="2961">
                  <c:v>41088</c:v>
                </c:pt>
                <c:pt idx="2962">
                  <c:v>41089</c:v>
                </c:pt>
                <c:pt idx="2963">
                  <c:v>41092</c:v>
                </c:pt>
                <c:pt idx="2964">
                  <c:v>41093</c:v>
                </c:pt>
                <c:pt idx="2965">
                  <c:v>41095</c:v>
                </c:pt>
                <c:pt idx="2966">
                  <c:v>41096</c:v>
                </c:pt>
                <c:pt idx="2967">
                  <c:v>41099</c:v>
                </c:pt>
                <c:pt idx="2968">
                  <c:v>41100</c:v>
                </c:pt>
                <c:pt idx="2969">
                  <c:v>41101</c:v>
                </c:pt>
                <c:pt idx="2970">
                  <c:v>41102</c:v>
                </c:pt>
                <c:pt idx="2971">
                  <c:v>41103</c:v>
                </c:pt>
                <c:pt idx="2972">
                  <c:v>41106</c:v>
                </c:pt>
                <c:pt idx="2973">
                  <c:v>41107</c:v>
                </c:pt>
                <c:pt idx="2974">
                  <c:v>41108</c:v>
                </c:pt>
                <c:pt idx="2975">
                  <c:v>41109</c:v>
                </c:pt>
                <c:pt idx="2976">
                  <c:v>41110</c:v>
                </c:pt>
                <c:pt idx="2977">
                  <c:v>41113</c:v>
                </c:pt>
                <c:pt idx="2978">
                  <c:v>41114</c:v>
                </c:pt>
                <c:pt idx="2979">
                  <c:v>41115</c:v>
                </c:pt>
                <c:pt idx="2980">
                  <c:v>41116</c:v>
                </c:pt>
                <c:pt idx="2981">
                  <c:v>41117</c:v>
                </c:pt>
                <c:pt idx="2982">
                  <c:v>41120</c:v>
                </c:pt>
                <c:pt idx="2983">
                  <c:v>41121</c:v>
                </c:pt>
                <c:pt idx="2984">
                  <c:v>41122</c:v>
                </c:pt>
                <c:pt idx="2985">
                  <c:v>41123</c:v>
                </c:pt>
                <c:pt idx="2986">
                  <c:v>41124</c:v>
                </c:pt>
                <c:pt idx="2987">
                  <c:v>41127</c:v>
                </c:pt>
                <c:pt idx="2988">
                  <c:v>41128</c:v>
                </c:pt>
                <c:pt idx="2989">
                  <c:v>41129</c:v>
                </c:pt>
                <c:pt idx="2990">
                  <c:v>41130</c:v>
                </c:pt>
                <c:pt idx="2991">
                  <c:v>41131</c:v>
                </c:pt>
                <c:pt idx="2992">
                  <c:v>41134</c:v>
                </c:pt>
                <c:pt idx="2993">
                  <c:v>41135</c:v>
                </c:pt>
                <c:pt idx="2994">
                  <c:v>41137</c:v>
                </c:pt>
                <c:pt idx="2995">
                  <c:v>41138</c:v>
                </c:pt>
                <c:pt idx="2996">
                  <c:v>41141</c:v>
                </c:pt>
                <c:pt idx="2997">
                  <c:v>41142</c:v>
                </c:pt>
                <c:pt idx="2998">
                  <c:v>41143</c:v>
                </c:pt>
                <c:pt idx="2999">
                  <c:v>41144</c:v>
                </c:pt>
                <c:pt idx="3000">
                  <c:v>41145</c:v>
                </c:pt>
                <c:pt idx="3001">
                  <c:v>41148</c:v>
                </c:pt>
                <c:pt idx="3002">
                  <c:v>41149</c:v>
                </c:pt>
                <c:pt idx="3003">
                  <c:v>41150</c:v>
                </c:pt>
                <c:pt idx="3004">
                  <c:v>41151</c:v>
                </c:pt>
                <c:pt idx="3005">
                  <c:v>41152</c:v>
                </c:pt>
                <c:pt idx="3006">
                  <c:v>41156</c:v>
                </c:pt>
                <c:pt idx="3007">
                  <c:v>41157</c:v>
                </c:pt>
                <c:pt idx="3008">
                  <c:v>41158</c:v>
                </c:pt>
                <c:pt idx="3009">
                  <c:v>41159</c:v>
                </c:pt>
                <c:pt idx="3010">
                  <c:v>41162</c:v>
                </c:pt>
                <c:pt idx="3011">
                  <c:v>41163</c:v>
                </c:pt>
                <c:pt idx="3012">
                  <c:v>41164</c:v>
                </c:pt>
                <c:pt idx="3013">
                  <c:v>41165</c:v>
                </c:pt>
                <c:pt idx="3014">
                  <c:v>41166</c:v>
                </c:pt>
                <c:pt idx="3015">
                  <c:v>41169</c:v>
                </c:pt>
                <c:pt idx="3016">
                  <c:v>41170</c:v>
                </c:pt>
                <c:pt idx="3017">
                  <c:v>41171</c:v>
                </c:pt>
                <c:pt idx="3018">
                  <c:v>41172</c:v>
                </c:pt>
                <c:pt idx="3019">
                  <c:v>41173</c:v>
                </c:pt>
                <c:pt idx="3020">
                  <c:v>41176</c:v>
                </c:pt>
                <c:pt idx="3021">
                  <c:v>41177</c:v>
                </c:pt>
                <c:pt idx="3022">
                  <c:v>41178</c:v>
                </c:pt>
                <c:pt idx="3023">
                  <c:v>41179</c:v>
                </c:pt>
                <c:pt idx="3024">
                  <c:v>41180</c:v>
                </c:pt>
                <c:pt idx="3025">
                  <c:v>41183</c:v>
                </c:pt>
                <c:pt idx="3026">
                  <c:v>41184</c:v>
                </c:pt>
                <c:pt idx="3027">
                  <c:v>41185</c:v>
                </c:pt>
                <c:pt idx="3028">
                  <c:v>41186</c:v>
                </c:pt>
                <c:pt idx="3029">
                  <c:v>41187</c:v>
                </c:pt>
                <c:pt idx="3030">
                  <c:v>41190</c:v>
                </c:pt>
                <c:pt idx="3031">
                  <c:v>41191</c:v>
                </c:pt>
                <c:pt idx="3032">
                  <c:v>41192</c:v>
                </c:pt>
                <c:pt idx="3033">
                  <c:v>41193</c:v>
                </c:pt>
                <c:pt idx="3034">
                  <c:v>41194</c:v>
                </c:pt>
                <c:pt idx="3035">
                  <c:v>41197</c:v>
                </c:pt>
                <c:pt idx="3036">
                  <c:v>41198</c:v>
                </c:pt>
                <c:pt idx="3037">
                  <c:v>41199</c:v>
                </c:pt>
                <c:pt idx="3038">
                  <c:v>41200</c:v>
                </c:pt>
                <c:pt idx="3039">
                  <c:v>41201</c:v>
                </c:pt>
                <c:pt idx="3040">
                  <c:v>41204</c:v>
                </c:pt>
                <c:pt idx="3041">
                  <c:v>41205</c:v>
                </c:pt>
                <c:pt idx="3042">
                  <c:v>41206</c:v>
                </c:pt>
                <c:pt idx="3043">
                  <c:v>41207</c:v>
                </c:pt>
                <c:pt idx="3044">
                  <c:v>41208</c:v>
                </c:pt>
                <c:pt idx="3045">
                  <c:v>41213</c:v>
                </c:pt>
                <c:pt idx="3046">
                  <c:v>41215</c:v>
                </c:pt>
                <c:pt idx="3047">
                  <c:v>41218</c:v>
                </c:pt>
                <c:pt idx="3048">
                  <c:v>41219</c:v>
                </c:pt>
                <c:pt idx="3049">
                  <c:v>41220</c:v>
                </c:pt>
                <c:pt idx="3050">
                  <c:v>41221</c:v>
                </c:pt>
                <c:pt idx="3051">
                  <c:v>41222</c:v>
                </c:pt>
                <c:pt idx="3052">
                  <c:v>41225</c:v>
                </c:pt>
                <c:pt idx="3053">
                  <c:v>41226</c:v>
                </c:pt>
                <c:pt idx="3054">
                  <c:v>41227</c:v>
                </c:pt>
                <c:pt idx="3055">
                  <c:v>41228</c:v>
                </c:pt>
                <c:pt idx="3056">
                  <c:v>41229</c:v>
                </c:pt>
                <c:pt idx="3057">
                  <c:v>41232</c:v>
                </c:pt>
                <c:pt idx="3058">
                  <c:v>41233</c:v>
                </c:pt>
                <c:pt idx="3059">
                  <c:v>41234</c:v>
                </c:pt>
                <c:pt idx="3060">
                  <c:v>41236</c:v>
                </c:pt>
                <c:pt idx="3061">
                  <c:v>41239</c:v>
                </c:pt>
                <c:pt idx="3062">
                  <c:v>41240</c:v>
                </c:pt>
                <c:pt idx="3063">
                  <c:v>41241</c:v>
                </c:pt>
                <c:pt idx="3064">
                  <c:v>41242</c:v>
                </c:pt>
                <c:pt idx="3065">
                  <c:v>41243</c:v>
                </c:pt>
                <c:pt idx="3066">
                  <c:v>41246</c:v>
                </c:pt>
                <c:pt idx="3067">
                  <c:v>41247</c:v>
                </c:pt>
                <c:pt idx="3068">
                  <c:v>41248</c:v>
                </c:pt>
                <c:pt idx="3069">
                  <c:v>41249</c:v>
                </c:pt>
                <c:pt idx="3070">
                  <c:v>41250</c:v>
                </c:pt>
                <c:pt idx="3071">
                  <c:v>41253</c:v>
                </c:pt>
                <c:pt idx="3072">
                  <c:v>41254</c:v>
                </c:pt>
                <c:pt idx="3073">
                  <c:v>41255</c:v>
                </c:pt>
                <c:pt idx="3074">
                  <c:v>41256</c:v>
                </c:pt>
                <c:pt idx="3075">
                  <c:v>41257</c:v>
                </c:pt>
                <c:pt idx="3076">
                  <c:v>41260</c:v>
                </c:pt>
                <c:pt idx="3077">
                  <c:v>41261</c:v>
                </c:pt>
                <c:pt idx="3078">
                  <c:v>41262</c:v>
                </c:pt>
                <c:pt idx="3079">
                  <c:v>41263</c:v>
                </c:pt>
                <c:pt idx="3080">
                  <c:v>41264</c:v>
                </c:pt>
                <c:pt idx="3081">
                  <c:v>41270</c:v>
                </c:pt>
                <c:pt idx="3082">
                  <c:v>41271</c:v>
                </c:pt>
                <c:pt idx="3083">
                  <c:v>41274</c:v>
                </c:pt>
                <c:pt idx="3084">
                  <c:v>41276</c:v>
                </c:pt>
                <c:pt idx="3085">
                  <c:v>41277</c:v>
                </c:pt>
                <c:pt idx="3086">
                  <c:v>41278</c:v>
                </c:pt>
                <c:pt idx="3087">
                  <c:v>41281</c:v>
                </c:pt>
                <c:pt idx="3088">
                  <c:v>41282</c:v>
                </c:pt>
                <c:pt idx="3089">
                  <c:v>41283</c:v>
                </c:pt>
                <c:pt idx="3090">
                  <c:v>41284</c:v>
                </c:pt>
                <c:pt idx="3091">
                  <c:v>41285</c:v>
                </c:pt>
                <c:pt idx="3092">
                  <c:v>41288</c:v>
                </c:pt>
                <c:pt idx="3093">
                  <c:v>41289</c:v>
                </c:pt>
                <c:pt idx="3094">
                  <c:v>41290</c:v>
                </c:pt>
                <c:pt idx="3095">
                  <c:v>41291</c:v>
                </c:pt>
                <c:pt idx="3096">
                  <c:v>41292</c:v>
                </c:pt>
                <c:pt idx="3097">
                  <c:v>41296</c:v>
                </c:pt>
                <c:pt idx="3098">
                  <c:v>41297</c:v>
                </c:pt>
                <c:pt idx="3099">
                  <c:v>41298</c:v>
                </c:pt>
                <c:pt idx="3100">
                  <c:v>41299</c:v>
                </c:pt>
                <c:pt idx="3101">
                  <c:v>41302</c:v>
                </c:pt>
                <c:pt idx="3102">
                  <c:v>41303</c:v>
                </c:pt>
                <c:pt idx="3103">
                  <c:v>41304</c:v>
                </c:pt>
                <c:pt idx="3104">
                  <c:v>41305</c:v>
                </c:pt>
                <c:pt idx="3105">
                  <c:v>41306</c:v>
                </c:pt>
                <c:pt idx="3106">
                  <c:v>41309</c:v>
                </c:pt>
                <c:pt idx="3107">
                  <c:v>41310</c:v>
                </c:pt>
                <c:pt idx="3108">
                  <c:v>41311</c:v>
                </c:pt>
                <c:pt idx="3109">
                  <c:v>41312</c:v>
                </c:pt>
                <c:pt idx="3110">
                  <c:v>41313</c:v>
                </c:pt>
                <c:pt idx="3111">
                  <c:v>41316</c:v>
                </c:pt>
                <c:pt idx="3112">
                  <c:v>41317</c:v>
                </c:pt>
                <c:pt idx="3113">
                  <c:v>41318</c:v>
                </c:pt>
                <c:pt idx="3114">
                  <c:v>41319</c:v>
                </c:pt>
                <c:pt idx="3115">
                  <c:v>41320</c:v>
                </c:pt>
                <c:pt idx="3116">
                  <c:v>41324</c:v>
                </c:pt>
                <c:pt idx="3117">
                  <c:v>41325</c:v>
                </c:pt>
                <c:pt idx="3118">
                  <c:v>41326</c:v>
                </c:pt>
                <c:pt idx="3119">
                  <c:v>41327</c:v>
                </c:pt>
                <c:pt idx="3120">
                  <c:v>41330</c:v>
                </c:pt>
                <c:pt idx="3121">
                  <c:v>41331</c:v>
                </c:pt>
                <c:pt idx="3122">
                  <c:v>41332</c:v>
                </c:pt>
                <c:pt idx="3123">
                  <c:v>41333</c:v>
                </c:pt>
                <c:pt idx="3124">
                  <c:v>41334</c:v>
                </c:pt>
                <c:pt idx="3125">
                  <c:v>41337</c:v>
                </c:pt>
                <c:pt idx="3126">
                  <c:v>41338</c:v>
                </c:pt>
                <c:pt idx="3127">
                  <c:v>41339</c:v>
                </c:pt>
                <c:pt idx="3128">
                  <c:v>41340</c:v>
                </c:pt>
                <c:pt idx="3129">
                  <c:v>41341</c:v>
                </c:pt>
                <c:pt idx="3130">
                  <c:v>41344</c:v>
                </c:pt>
                <c:pt idx="3131">
                  <c:v>41345</c:v>
                </c:pt>
                <c:pt idx="3132">
                  <c:v>41346</c:v>
                </c:pt>
                <c:pt idx="3133">
                  <c:v>41347</c:v>
                </c:pt>
                <c:pt idx="3134">
                  <c:v>41348</c:v>
                </c:pt>
                <c:pt idx="3135">
                  <c:v>41351</c:v>
                </c:pt>
                <c:pt idx="3136">
                  <c:v>41352</c:v>
                </c:pt>
                <c:pt idx="3137">
                  <c:v>41353</c:v>
                </c:pt>
                <c:pt idx="3138">
                  <c:v>41354</c:v>
                </c:pt>
                <c:pt idx="3139">
                  <c:v>41355</c:v>
                </c:pt>
                <c:pt idx="3140">
                  <c:v>41358</c:v>
                </c:pt>
                <c:pt idx="3141">
                  <c:v>41359</c:v>
                </c:pt>
                <c:pt idx="3142">
                  <c:v>41360</c:v>
                </c:pt>
                <c:pt idx="3143">
                  <c:v>41361</c:v>
                </c:pt>
                <c:pt idx="3144">
                  <c:v>41366</c:v>
                </c:pt>
                <c:pt idx="3145">
                  <c:v>41367</c:v>
                </c:pt>
                <c:pt idx="3146">
                  <c:v>41368</c:v>
                </c:pt>
                <c:pt idx="3147">
                  <c:v>41369</c:v>
                </c:pt>
                <c:pt idx="3148">
                  <c:v>41372</c:v>
                </c:pt>
                <c:pt idx="3149">
                  <c:v>41373</c:v>
                </c:pt>
                <c:pt idx="3150">
                  <c:v>41374</c:v>
                </c:pt>
                <c:pt idx="3151">
                  <c:v>41375</c:v>
                </c:pt>
                <c:pt idx="3152">
                  <c:v>41376</c:v>
                </c:pt>
                <c:pt idx="3153">
                  <c:v>41379</c:v>
                </c:pt>
                <c:pt idx="3154">
                  <c:v>41380</c:v>
                </c:pt>
                <c:pt idx="3155">
                  <c:v>41381</c:v>
                </c:pt>
                <c:pt idx="3156">
                  <c:v>41382</c:v>
                </c:pt>
                <c:pt idx="3157">
                  <c:v>41383</c:v>
                </c:pt>
                <c:pt idx="3158">
                  <c:v>41386</c:v>
                </c:pt>
                <c:pt idx="3159">
                  <c:v>41387</c:v>
                </c:pt>
                <c:pt idx="3160">
                  <c:v>41388</c:v>
                </c:pt>
                <c:pt idx="3161">
                  <c:v>41389</c:v>
                </c:pt>
                <c:pt idx="3162">
                  <c:v>41390</c:v>
                </c:pt>
                <c:pt idx="3163">
                  <c:v>41393</c:v>
                </c:pt>
                <c:pt idx="3164">
                  <c:v>41394</c:v>
                </c:pt>
                <c:pt idx="3165">
                  <c:v>41396</c:v>
                </c:pt>
                <c:pt idx="3166">
                  <c:v>41397</c:v>
                </c:pt>
                <c:pt idx="3167">
                  <c:v>41400</c:v>
                </c:pt>
                <c:pt idx="3168">
                  <c:v>41401</c:v>
                </c:pt>
                <c:pt idx="3169">
                  <c:v>41402</c:v>
                </c:pt>
                <c:pt idx="3170">
                  <c:v>41407</c:v>
                </c:pt>
                <c:pt idx="3171">
                  <c:v>41408</c:v>
                </c:pt>
                <c:pt idx="3172">
                  <c:v>41409</c:v>
                </c:pt>
                <c:pt idx="3173">
                  <c:v>41410</c:v>
                </c:pt>
                <c:pt idx="3174">
                  <c:v>41411</c:v>
                </c:pt>
                <c:pt idx="3175">
                  <c:v>41415</c:v>
                </c:pt>
                <c:pt idx="3176">
                  <c:v>41416</c:v>
                </c:pt>
                <c:pt idx="3177">
                  <c:v>41417</c:v>
                </c:pt>
                <c:pt idx="3178">
                  <c:v>41418</c:v>
                </c:pt>
                <c:pt idx="3179">
                  <c:v>41422</c:v>
                </c:pt>
                <c:pt idx="3180">
                  <c:v>41423</c:v>
                </c:pt>
                <c:pt idx="3181">
                  <c:v>41424</c:v>
                </c:pt>
                <c:pt idx="3182">
                  <c:v>41425</c:v>
                </c:pt>
                <c:pt idx="3183">
                  <c:v>41428</c:v>
                </c:pt>
                <c:pt idx="3184">
                  <c:v>41429</c:v>
                </c:pt>
                <c:pt idx="3185">
                  <c:v>41430</c:v>
                </c:pt>
                <c:pt idx="3186">
                  <c:v>41431</c:v>
                </c:pt>
                <c:pt idx="3187">
                  <c:v>41432</c:v>
                </c:pt>
                <c:pt idx="3188">
                  <c:v>41435</c:v>
                </c:pt>
                <c:pt idx="3189">
                  <c:v>41436</c:v>
                </c:pt>
                <c:pt idx="3190">
                  <c:v>41437</c:v>
                </c:pt>
                <c:pt idx="3191">
                  <c:v>41438</c:v>
                </c:pt>
                <c:pt idx="3192">
                  <c:v>41439</c:v>
                </c:pt>
                <c:pt idx="3193">
                  <c:v>41442</c:v>
                </c:pt>
                <c:pt idx="3194">
                  <c:v>41443</c:v>
                </c:pt>
                <c:pt idx="3195">
                  <c:v>41444</c:v>
                </c:pt>
                <c:pt idx="3196">
                  <c:v>41445</c:v>
                </c:pt>
                <c:pt idx="3197">
                  <c:v>41446</c:v>
                </c:pt>
                <c:pt idx="3198">
                  <c:v>41449</c:v>
                </c:pt>
                <c:pt idx="3199">
                  <c:v>41450</c:v>
                </c:pt>
                <c:pt idx="3200">
                  <c:v>41451</c:v>
                </c:pt>
                <c:pt idx="3201">
                  <c:v>41452</c:v>
                </c:pt>
                <c:pt idx="3202">
                  <c:v>41453</c:v>
                </c:pt>
                <c:pt idx="3203">
                  <c:v>41456</c:v>
                </c:pt>
                <c:pt idx="3204">
                  <c:v>41457</c:v>
                </c:pt>
                <c:pt idx="3205">
                  <c:v>41458</c:v>
                </c:pt>
                <c:pt idx="3206">
                  <c:v>41460</c:v>
                </c:pt>
                <c:pt idx="3207">
                  <c:v>41463</c:v>
                </c:pt>
                <c:pt idx="3208">
                  <c:v>41464</c:v>
                </c:pt>
                <c:pt idx="3209">
                  <c:v>41465</c:v>
                </c:pt>
                <c:pt idx="3210">
                  <c:v>41466</c:v>
                </c:pt>
                <c:pt idx="3211">
                  <c:v>41467</c:v>
                </c:pt>
                <c:pt idx="3212">
                  <c:v>41470</c:v>
                </c:pt>
                <c:pt idx="3213">
                  <c:v>41471</c:v>
                </c:pt>
                <c:pt idx="3214">
                  <c:v>41472</c:v>
                </c:pt>
                <c:pt idx="3215">
                  <c:v>41473</c:v>
                </c:pt>
                <c:pt idx="3216">
                  <c:v>41474</c:v>
                </c:pt>
                <c:pt idx="3217">
                  <c:v>41477</c:v>
                </c:pt>
                <c:pt idx="3218">
                  <c:v>41478</c:v>
                </c:pt>
                <c:pt idx="3219">
                  <c:v>41479</c:v>
                </c:pt>
                <c:pt idx="3220">
                  <c:v>41480</c:v>
                </c:pt>
                <c:pt idx="3221">
                  <c:v>41481</c:v>
                </c:pt>
                <c:pt idx="3222">
                  <c:v>41484</c:v>
                </c:pt>
                <c:pt idx="3223">
                  <c:v>41485</c:v>
                </c:pt>
                <c:pt idx="3224">
                  <c:v>41486</c:v>
                </c:pt>
                <c:pt idx="3225">
                  <c:v>41487</c:v>
                </c:pt>
                <c:pt idx="3226">
                  <c:v>41488</c:v>
                </c:pt>
                <c:pt idx="3227">
                  <c:v>41491</c:v>
                </c:pt>
                <c:pt idx="3228">
                  <c:v>41492</c:v>
                </c:pt>
                <c:pt idx="3229">
                  <c:v>41493</c:v>
                </c:pt>
                <c:pt idx="3230">
                  <c:v>41494</c:v>
                </c:pt>
                <c:pt idx="3231">
                  <c:v>41495</c:v>
                </c:pt>
                <c:pt idx="3232">
                  <c:v>41498</c:v>
                </c:pt>
                <c:pt idx="3233">
                  <c:v>41499</c:v>
                </c:pt>
                <c:pt idx="3234">
                  <c:v>41500</c:v>
                </c:pt>
                <c:pt idx="3235">
                  <c:v>41502</c:v>
                </c:pt>
                <c:pt idx="3236">
                  <c:v>41505</c:v>
                </c:pt>
                <c:pt idx="3237">
                  <c:v>41506</c:v>
                </c:pt>
                <c:pt idx="3238">
                  <c:v>41507</c:v>
                </c:pt>
                <c:pt idx="3239">
                  <c:v>41508</c:v>
                </c:pt>
                <c:pt idx="3240">
                  <c:v>41509</c:v>
                </c:pt>
                <c:pt idx="3241">
                  <c:v>41512</c:v>
                </c:pt>
                <c:pt idx="3242">
                  <c:v>41513</c:v>
                </c:pt>
                <c:pt idx="3243">
                  <c:v>41514</c:v>
                </c:pt>
                <c:pt idx="3244">
                  <c:v>41515</c:v>
                </c:pt>
                <c:pt idx="3245">
                  <c:v>41516</c:v>
                </c:pt>
                <c:pt idx="3246">
                  <c:v>41520</c:v>
                </c:pt>
                <c:pt idx="3247">
                  <c:v>41521</c:v>
                </c:pt>
                <c:pt idx="3248">
                  <c:v>41522</c:v>
                </c:pt>
                <c:pt idx="3249">
                  <c:v>41523</c:v>
                </c:pt>
                <c:pt idx="3250">
                  <c:v>41526</c:v>
                </c:pt>
                <c:pt idx="3251">
                  <c:v>41527</c:v>
                </c:pt>
                <c:pt idx="3252">
                  <c:v>41528</c:v>
                </c:pt>
                <c:pt idx="3253">
                  <c:v>41529</c:v>
                </c:pt>
                <c:pt idx="3254">
                  <c:v>41530</c:v>
                </c:pt>
                <c:pt idx="3255">
                  <c:v>41533</c:v>
                </c:pt>
                <c:pt idx="3256">
                  <c:v>41534</c:v>
                </c:pt>
                <c:pt idx="3257">
                  <c:v>41535</c:v>
                </c:pt>
                <c:pt idx="3258">
                  <c:v>41536</c:v>
                </c:pt>
                <c:pt idx="3259">
                  <c:v>41537</c:v>
                </c:pt>
                <c:pt idx="3260">
                  <c:v>41540</c:v>
                </c:pt>
                <c:pt idx="3261">
                  <c:v>41541</c:v>
                </c:pt>
                <c:pt idx="3262">
                  <c:v>41542</c:v>
                </c:pt>
                <c:pt idx="3263">
                  <c:v>41543</c:v>
                </c:pt>
                <c:pt idx="3264">
                  <c:v>41544</c:v>
                </c:pt>
                <c:pt idx="3265">
                  <c:v>41547</c:v>
                </c:pt>
                <c:pt idx="3266">
                  <c:v>41548</c:v>
                </c:pt>
                <c:pt idx="3267">
                  <c:v>41549</c:v>
                </c:pt>
                <c:pt idx="3268">
                  <c:v>41550</c:v>
                </c:pt>
                <c:pt idx="3269">
                  <c:v>41551</c:v>
                </c:pt>
                <c:pt idx="3270">
                  <c:v>41554</c:v>
                </c:pt>
                <c:pt idx="3271">
                  <c:v>41555</c:v>
                </c:pt>
                <c:pt idx="3272">
                  <c:v>41556</c:v>
                </c:pt>
                <c:pt idx="3273">
                  <c:v>41557</c:v>
                </c:pt>
                <c:pt idx="3274">
                  <c:v>41558</c:v>
                </c:pt>
                <c:pt idx="3275">
                  <c:v>41561</c:v>
                </c:pt>
                <c:pt idx="3276">
                  <c:v>41562</c:v>
                </c:pt>
                <c:pt idx="3277">
                  <c:v>41563</c:v>
                </c:pt>
                <c:pt idx="3278">
                  <c:v>41564</c:v>
                </c:pt>
                <c:pt idx="3279">
                  <c:v>41565</c:v>
                </c:pt>
                <c:pt idx="3280">
                  <c:v>41568</c:v>
                </c:pt>
                <c:pt idx="3281">
                  <c:v>41569</c:v>
                </c:pt>
                <c:pt idx="3282">
                  <c:v>41570</c:v>
                </c:pt>
                <c:pt idx="3283">
                  <c:v>41571</c:v>
                </c:pt>
                <c:pt idx="3284">
                  <c:v>41572</c:v>
                </c:pt>
                <c:pt idx="3285">
                  <c:v>41575</c:v>
                </c:pt>
                <c:pt idx="3286">
                  <c:v>41576</c:v>
                </c:pt>
                <c:pt idx="3287">
                  <c:v>41577</c:v>
                </c:pt>
                <c:pt idx="3288">
                  <c:v>41578</c:v>
                </c:pt>
                <c:pt idx="3289">
                  <c:v>41582</c:v>
                </c:pt>
                <c:pt idx="3290">
                  <c:v>41583</c:v>
                </c:pt>
                <c:pt idx="3291">
                  <c:v>41584</c:v>
                </c:pt>
                <c:pt idx="3292">
                  <c:v>41585</c:v>
                </c:pt>
                <c:pt idx="3293">
                  <c:v>41586</c:v>
                </c:pt>
                <c:pt idx="3294">
                  <c:v>41590</c:v>
                </c:pt>
                <c:pt idx="3295">
                  <c:v>41591</c:v>
                </c:pt>
                <c:pt idx="3296">
                  <c:v>41592</c:v>
                </c:pt>
                <c:pt idx="3297">
                  <c:v>41593</c:v>
                </c:pt>
                <c:pt idx="3298">
                  <c:v>41596</c:v>
                </c:pt>
                <c:pt idx="3299">
                  <c:v>41597</c:v>
                </c:pt>
                <c:pt idx="3300">
                  <c:v>41598</c:v>
                </c:pt>
                <c:pt idx="3301">
                  <c:v>41599</c:v>
                </c:pt>
                <c:pt idx="3302">
                  <c:v>41600</c:v>
                </c:pt>
                <c:pt idx="3303">
                  <c:v>41603</c:v>
                </c:pt>
                <c:pt idx="3304">
                  <c:v>41604</c:v>
                </c:pt>
                <c:pt idx="3305">
                  <c:v>41605</c:v>
                </c:pt>
                <c:pt idx="3306">
                  <c:v>41607</c:v>
                </c:pt>
                <c:pt idx="3307">
                  <c:v>41610</c:v>
                </c:pt>
                <c:pt idx="3308">
                  <c:v>41611</c:v>
                </c:pt>
                <c:pt idx="3309">
                  <c:v>41612</c:v>
                </c:pt>
                <c:pt idx="3310">
                  <c:v>41613</c:v>
                </c:pt>
                <c:pt idx="3311">
                  <c:v>41614</c:v>
                </c:pt>
                <c:pt idx="3312">
                  <c:v>41617</c:v>
                </c:pt>
                <c:pt idx="3313">
                  <c:v>41618</c:v>
                </c:pt>
                <c:pt idx="3314">
                  <c:v>41619</c:v>
                </c:pt>
                <c:pt idx="3315">
                  <c:v>41620</c:v>
                </c:pt>
                <c:pt idx="3316">
                  <c:v>41621</c:v>
                </c:pt>
                <c:pt idx="3317">
                  <c:v>41624</c:v>
                </c:pt>
                <c:pt idx="3318">
                  <c:v>41625</c:v>
                </c:pt>
                <c:pt idx="3319">
                  <c:v>41626</c:v>
                </c:pt>
                <c:pt idx="3320">
                  <c:v>41627</c:v>
                </c:pt>
                <c:pt idx="3321">
                  <c:v>41628</c:v>
                </c:pt>
                <c:pt idx="3322">
                  <c:v>41631</c:v>
                </c:pt>
                <c:pt idx="3323">
                  <c:v>41632</c:v>
                </c:pt>
                <c:pt idx="3324">
                  <c:v>41635</c:v>
                </c:pt>
                <c:pt idx="3325">
                  <c:v>41638</c:v>
                </c:pt>
                <c:pt idx="3326">
                  <c:v>41639</c:v>
                </c:pt>
                <c:pt idx="3327">
                  <c:v>41641</c:v>
                </c:pt>
                <c:pt idx="3328">
                  <c:v>41643</c:v>
                </c:pt>
              </c:numCache>
            </c:numRef>
          </c:cat>
          <c:val>
            <c:numRef>
              <c:f>BE0166769266_03012000_15042014!$B$2:$B$3330</c:f>
              <c:numCache>
                <c:formatCode>General</c:formatCode>
                <c:ptCount val="3329"/>
                <c:pt idx="0">
                  <c:v>140.10999999999999</c:v>
                </c:pt>
                <c:pt idx="1">
                  <c:v>134.08000000000001</c:v>
                </c:pt>
                <c:pt idx="2">
                  <c:v>134.20999999999998</c:v>
                </c:pt>
                <c:pt idx="3">
                  <c:v>134.26</c:v>
                </c:pt>
                <c:pt idx="4">
                  <c:v>138.09</c:v>
                </c:pt>
                <c:pt idx="5">
                  <c:v>139.68</c:v>
                </c:pt>
                <c:pt idx="6">
                  <c:v>134.18</c:v>
                </c:pt>
                <c:pt idx="7">
                  <c:v>134.49</c:v>
                </c:pt>
                <c:pt idx="8">
                  <c:v>133.94</c:v>
                </c:pt>
                <c:pt idx="9">
                  <c:v>130.26999999999998</c:v>
                </c:pt>
                <c:pt idx="10">
                  <c:v>134.96</c:v>
                </c:pt>
                <c:pt idx="11">
                  <c:v>134.91</c:v>
                </c:pt>
                <c:pt idx="12">
                  <c:v>136.33000000000001</c:v>
                </c:pt>
                <c:pt idx="13">
                  <c:v>135.13999999999999</c:v>
                </c:pt>
                <c:pt idx="14">
                  <c:v>135.58000000000001</c:v>
                </c:pt>
                <c:pt idx="15">
                  <c:v>132.85000000000065</c:v>
                </c:pt>
                <c:pt idx="16">
                  <c:v>132.63999999999999</c:v>
                </c:pt>
                <c:pt idx="17">
                  <c:v>128.85000000000065</c:v>
                </c:pt>
                <c:pt idx="18">
                  <c:v>128.78</c:v>
                </c:pt>
                <c:pt idx="19">
                  <c:v>129.16999999999999</c:v>
                </c:pt>
                <c:pt idx="20">
                  <c:v>129.6</c:v>
                </c:pt>
                <c:pt idx="21">
                  <c:v>129.47999999999999</c:v>
                </c:pt>
                <c:pt idx="22">
                  <c:v>127.64</c:v>
                </c:pt>
                <c:pt idx="23">
                  <c:v>128.9</c:v>
                </c:pt>
                <c:pt idx="24">
                  <c:v>130.86000000000001</c:v>
                </c:pt>
                <c:pt idx="25">
                  <c:v>132.06</c:v>
                </c:pt>
                <c:pt idx="26">
                  <c:v>132.16</c:v>
                </c:pt>
                <c:pt idx="27">
                  <c:v>134.82000000000065</c:v>
                </c:pt>
                <c:pt idx="28">
                  <c:v>130.69999999999999</c:v>
                </c:pt>
                <c:pt idx="29">
                  <c:v>134.06</c:v>
                </c:pt>
                <c:pt idx="30">
                  <c:v>133.52000000000001</c:v>
                </c:pt>
                <c:pt idx="31">
                  <c:v>132.33000000000001</c:v>
                </c:pt>
                <c:pt idx="32">
                  <c:v>130.02000000000001</c:v>
                </c:pt>
                <c:pt idx="33">
                  <c:v>139.4</c:v>
                </c:pt>
                <c:pt idx="34">
                  <c:v>140.16</c:v>
                </c:pt>
                <c:pt idx="35">
                  <c:v>139.33000000000001</c:v>
                </c:pt>
                <c:pt idx="36">
                  <c:v>142.62</c:v>
                </c:pt>
                <c:pt idx="37">
                  <c:v>143.37</c:v>
                </c:pt>
                <c:pt idx="38">
                  <c:v>145.97</c:v>
                </c:pt>
                <c:pt idx="39">
                  <c:v>146.32000000000065</c:v>
                </c:pt>
                <c:pt idx="40">
                  <c:v>145.63999999999999</c:v>
                </c:pt>
                <c:pt idx="41">
                  <c:v>144.26</c:v>
                </c:pt>
                <c:pt idx="42">
                  <c:v>144.39000000000001</c:v>
                </c:pt>
                <c:pt idx="43">
                  <c:v>142.30000000000001</c:v>
                </c:pt>
                <c:pt idx="44">
                  <c:v>143.44</c:v>
                </c:pt>
                <c:pt idx="45">
                  <c:v>144.15</c:v>
                </c:pt>
                <c:pt idx="46">
                  <c:v>143.26999999999998</c:v>
                </c:pt>
                <c:pt idx="47">
                  <c:v>142.22</c:v>
                </c:pt>
                <c:pt idx="48">
                  <c:v>144.72999999999999</c:v>
                </c:pt>
                <c:pt idx="49">
                  <c:v>143.69</c:v>
                </c:pt>
                <c:pt idx="50">
                  <c:v>143.47</c:v>
                </c:pt>
                <c:pt idx="51">
                  <c:v>140.29</c:v>
                </c:pt>
                <c:pt idx="52">
                  <c:v>138</c:v>
                </c:pt>
                <c:pt idx="53">
                  <c:v>130.03</c:v>
                </c:pt>
                <c:pt idx="54">
                  <c:v>134.02000000000001</c:v>
                </c:pt>
                <c:pt idx="55">
                  <c:v>137.85000000000065</c:v>
                </c:pt>
                <c:pt idx="56">
                  <c:v>136.63</c:v>
                </c:pt>
                <c:pt idx="57">
                  <c:v>137.19</c:v>
                </c:pt>
                <c:pt idx="58">
                  <c:v>137.19</c:v>
                </c:pt>
                <c:pt idx="59">
                  <c:v>141.33000000000001</c:v>
                </c:pt>
                <c:pt idx="60">
                  <c:v>139.78</c:v>
                </c:pt>
                <c:pt idx="61">
                  <c:v>139.91</c:v>
                </c:pt>
                <c:pt idx="62">
                  <c:v>139.20999999999998</c:v>
                </c:pt>
                <c:pt idx="63">
                  <c:v>138.19</c:v>
                </c:pt>
                <c:pt idx="64">
                  <c:v>135.53</c:v>
                </c:pt>
                <c:pt idx="65">
                  <c:v>134.96</c:v>
                </c:pt>
                <c:pt idx="66">
                  <c:v>136.4</c:v>
                </c:pt>
                <c:pt idx="67">
                  <c:v>135</c:v>
                </c:pt>
                <c:pt idx="68">
                  <c:v>131</c:v>
                </c:pt>
                <c:pt idx="69">
                  <c:v>133.26</c:v>
                </c:pt>
                <c:pt idx="70">
                  <c:v>134.34</c:v>
                </c:pt>
                <c:pt idx="71">
                  <c:v>138.69999999999999</c:v>
                </c:pt>
                <c:pt idx="72">
                  <c:v>140.02000000000001</c:v>
                </c:pt>
                <c:pt idx="73">
                  <c:v>138.31</c:v>
                </c:pt>
                <c:pt idx="74">
                  <c:v>137.28</c:v>
                </c:pt>
                <c:pt idx="75">
                  <c:v>134.30000000000001</c:v>
                </c:pt>
                <c:pt idx="76">
                  <c:v>131.07</c:v>
                </c:pt>
                <c:pt idx="77">
                  <c:v>133.6</c:v>
                </c:pt>
                <c:pt idx="78">
                  <c:v>131.83000000000001</c:v>
                </c:pt>
                <c:pt idx="79">
                  <c:v>131.62</c:v>
                </c:pt>
                <c:pt idx="80">
                  <c:v>131.57</c:v>
                </c:pt>
                <c:pt idx="81">
                  <c:v>135.85000000000065</c:v>
                </c:pt>
                <c:pt idx="82">
                  <c:v>136.04</c:v>
                </c:pt>
                <c:pt idx="83">
                  <c:v>140.60999999999999</c:v>
                </c:pt>
                <c:pt idx="84">
                  <c:v>139.62</c:v>
                </c:pt>
                <c:pt idx="85">
                  <c:v>139.19999999999999</c:v>
                </c:pt>
                <c:pt idx="86">
                  <c:v>140.37</c:v>
                </c:pt>
                <c:pt idx="87">
                  <c:v>140.47999999999999</c:v>
                </c:pt>
                <c:pt idx="88">
                  <c:v>141.25</c:v>
                </c:pt>
                <c:pt idx="89">
                  <c:v>139.94</c:v>
                </c:pt>
                <c:pt idx="90">
                  <c:v>141.91999999999999</c:v>
                </c:pt>
                <c:pt idx="91">
                  <c:v>141.03</c:v>
                </c:pt>
                <c:pt idx="92">
                  <c:v>141.31</c:v>
                </c:pt>
                <c:pt idx="93">
                  <c:v>138.78</c:v>
                </c:pt>
                <c:pt idx="94">
                  <c:v>137.93</c:v>
                </c:pt>
                <c:pt idx="95">
                  <c:v>138.93</c:v>
                </c:pt>
                <c:pt idx="96">
                  <c:v>138.33000000000001</c:v>
                </c:pt>
                <c:pt idx="97">
                  <c:v>138.75</c:v>
                </c:pt>
                <c:pt idx="98">
                  <c:v>137.57</c:v>
                </c:pt>
                <c:pt idx="99">
                  <c:v>138.72</c:v>
                </c:pt>
                <c:pt idx="100">
                  <c:v>140.01</c:v>
                </c:pt>
                <c:pt idx="101">
                  <c:v>140.01</c:v>
                </c:pt>
                <c:pt idx="102">
                  <c:v>137.93</c:v>
                </c:pt>
                <c:pt idx="103">
                  <c:v>138.97</c:v>
                </c:pt>
                <c:pt idx="104">
                  <c:v>140.76</c:v>
                </c:pt>
                <c:pt idx="105">
                  <c:v>141.31</c:v>
                </c:pt>
                <c:pt idx="106">
                  <c:v>142.5</c:v>
                </c:pt>
                <c:pt idx="107">
                  <c:v>142.82000000000065</c:v>
                </c:pt>
                <c:pt idx="108">
                  <c:v>144.16</c:v>
                </c:pt>
                <c:pt idx="109">
                  <c:v>144.16</c:v>
                </c:pt>
                <c:pt idx="110">
                  <c:v>142.66</c:v>
                </c:pt>
                <c:pt idx="111">
                  <c:v>141.55000000000001</c:v>
                </c:pt>
                <c:pt idx="112">
                  <c:v>142.76</c:v>
                </c:pt>
                <c:pt idx="113">
                  <c:v>139.75</c:v>
                </c:pt>
                <c:pt idx="114">
                  <c:v>140.60999999999999</c:v>
                </c:pt>
                <c:pt idx="115">
                  <c:v>138.66</c:v>
                </c:pt>
                <c:pt idx="116">
                  <c:v>138.37</c:v>
                </c:pt>
                <c:pt idx="117">
                  <c:v>136.54</c:v>
                </c:pt>
                <c:pt idx="118">
                  <c:v>137.26</c:v>
                </c:pt>
                <c:pt idx="119">
                  <c:v>137.41</c:v>
                </c:pt>
                <c:pt idx="120">
                  <c:v>138.59</c:v>
                </c:pt>
                <c:pt idx="121">
                  <c:v>139.55000000000001</c:v>
                </c:pt>
                <c:pt idx="122">
                  <c:v>141.08000000000001</c:v>
                </c:pt>
                <c:pt idx="123">
                  <c:v>141.66</c:v>
                </c:pt>
                <c:pt idx="124">
                  <c:v>140.59</c:v>
                </c:pt>
                <c:pt idx="125">
                  <c:v>139.52000000000001</c:v>
                </c:pt>
                <c:pt idx="126">
                  <c:v>140.44999999999999</c:v>
                </c:pt>
                <c:pt idx="127">
                  <c:v>142.33000000000001</c:v>
                </c:pt>
                <c:pt idx="128">
                  <c:v>141.35000000000065</c:v>
                </c:pt>
                <c:pt idx="129">
                  <c:v>142.78</c:v>
                </c:pt>
                <c:pt idx="130">
                  <c:v>142.4</c:v>
                </c:pt>
                <c:pt idx="131">
                  <c:v>143.07</c:v>
                </c:pt>
                <c:pt idx="132">
                  <c:v>143.02000000000001</c:v>
                </c:pt>
                <c:pt idx="133">
                  <c:v>143.56</c:v>
                </c:pt>
                <c:pt idx="134">
                  <c:v>143.89000000000001</c:v>
                </c:pt>
                <c:pt idx="135">
                  <c:v>143.72</c:v>
                </c:pt>
                <c:pt idx="136">
                  <c:v>144.31</c:v>
                </c:pt>
                <c:pt idx="137">
                  <c:v>144.07</c:v>
                </c:pt>
                <c:pt idx="138">
                  <c:v>143.07</c:v>
                </c:pt>
                <c:pt idx="139">
                  <c:v>144.63</c:v>
                </c:pt>
                <c:pt idx="140">
                  <c:v>144.82000000000065</c:v>
                </c:pt>
                <c:pt idx="141">
                  <c:v>144.81</c:v>
                </c:pt>
                <c:pt idx="142">
                  <c:v>143.69</c:v>
                </c:pt>
                <c:pt idx="143">
                  <c:v>140.4</c:v>
                </c:pt>
                <c:pt idx="144">
                  <c:v>141.46</c:v>
                </c:pt>
                <c:pt idx="145">
                  <c:v>140.62</c:v>
                </c:pt>
                <c:pt idx="146">
                  <c:v>140.13999999999999</c:v>
                </c:pt>
                <c:pt idx="147">
                  <c:v>139.34</c:v>
                </c:pt>
                <c:pt idx="148">
                  <c:v>139.65</c:v>
                </c:pt>
                <c:pt idx="149">
                  <c:v>139.38000000000065</c:v>
                </c:pt>
                <c:pt idx="150">
                  <c:v>138.20999999999998</c:v>
                </c:pt>
                <c:pt idx="151">
                  <c:v>135.55000000000001</c:v>
                </c:pt>
                <c:pt idx="152">
                  <c:v>136.89000000000001</c:v>
                </c:pt>
                <c:pt idx="153">
                  <c:v>136.09</c:v>
                </c:pt>
                <c:pt idx="154">
                  <c:v>135.88000000000065</c:v>
                </c:pt>
                <c:pt idx="155">
                  <c:v>135.85000000000065</c:v>
                </c:pt>
                <c:pt idx="156">
                  <c:v>135.13999999999999</c:v>
                </c:pt>
                <c:pt idx="157">
                  <c:v>133.78</c:v>
                </c:pt>
                <c:pt idx="158">
                  <c:v>133.78</c:v>
                </c:pt>
                <c:pt idx="159">
                  <c:v>136.63</c:v>
                </c:pt>
                <c:pt idx="160">
                  <c:v>134.62</c:v>
                </c:pt>
                <c:pt idx="161">
                  <c:v>134.63</c:v>
                </c:pt>
                <c:pt idx="162">
                  <c:v>133.80000000000001</c:v>
                </c:pt>
                <c:pt idx="163">
                  <c:v>134.44999999999999</c:v>
                </c:pt>
                <c:pt idx="164">
                  <c:v>134.80000000000001</c:v>
                </c:pt>
                <c:pt idx="165">
                  <c:v>132.19</c:v>
                </c:pt>
                <c:pt idx="166">
                  <c:v>131.44999999999999</c:v>
                </c:pt>
                <c:pt idx="167">
                  <c:v>129.97999999999999</c:v>
                </c:pt>
                <c:pt idx="168">
                  <c:v>128.12</c:v>
                </c:pt>
                <c:pt idx="169">
                  <c:v>124.88</c:v>
                </c:pt>
                <c:pt idx="170">
                  <c:v>129.1</c:v>
                </c:pt>
                <c:pt idx="171">
                  <c:v>129.22999999999999</c:v>
                </c:pt>
                <c:pt idx="172">
                  <c:v>126.94000000000032</c:v>
                </c:pt>
                <c:pt idx="173">
                  <c:v>126.23</c:v>
                </c:pt>
                <c:pt idx="174">
                  <c:v>130.57</c:v>
                </c:pt>
                <c:pt idx="175">
                  <c:v>131.35000000000065</c:v>
                </c:pt>
                <c:pt idx="176">
                  <c:v>131.32000000000065</c:v>
                </c:pt>
                <c:pt idx="177">
                  <c:v>131.33000000000001</c:v>
                </c:pt>
                <c:pt idx="178">
                  <c:v>128.29</c:v>
                </c:pt>
                <c:pt idx="179">
                  <c:v>128.19999999999999</c:v>
                </c:pt>
                <c:pt idx="180">
                  <c:v>129.80000000000001</c:v>
                </c:pt>
                <c:pt idx="181">
                  <c:v>131.46</c:v>
                </c:pt>
                <c:pt idx="182">
                  <c:v>135.69999999999999</c:v>
                </c:pt>
                <c:pt idx="183">
                  <c:v>134.15</c:v>
                </c:pt>
                <c:pt idx="184">
                  <c:v>134.06</c:v>
                </c:pt>
                <c:pt idx="185">
                  <c:v>134.63999999999999</c:v>
                </c:pt>
                <c:pt idx="186">
                  <c:v>134.60999999999999</c:v>
                </c:pt>
                <c:pt idx="187">
                  <c:v>132.35000000000065</c:v>
                </c:pt>
                <c:pt idx="188">
                  <c:v>131.52000000000001</c:v>
                </c:pt>
                <c:pt idx="189">
                  <c:v>128.33000000000001</c:v>
                </c:pt>
                <c:pt idx="190">
                  <c:v>130.03</c:v>
                </c:pt>
                <c:pt idx="191">
                  <c:v>130.63</c:v>
                </c:pt>
                <c:pt idx="192">
                  <c:v>128.99</c:v>
                </c:pt>
                <c:pt idx="193">
                  <c:v>128.52000000000001</c:v>
                </c:pt>
                <c:pt idx="194">
                  <c:v>126.17999999999998</c:v>
                </c:pt>
                <c:pt idx="195">
                  <c:v>126.67999999999998</c:v>
                </c:pt>
                <c:pt idx="196">
                  <c:v>124.22</c:v>
                </c:pt>
                <c:pt idx="197">
                  <c:v>124.23</c:v>
                </c:pt>
                <c:pt idx="198">
                  <c:v>126.13</c:v>
                </c:pt>
                <c:pt idx="199">
                  <c:v>126.86</c:v>
                </c:pt>
                <c:pt idx="200">
                  <c:v>125.53</c:v>
                </c:pt>
                <c:pt idx="201">
                  <c:v>125.95</c:v>
                </c:pt>
                <c:pt idx="202">
                  <c:v>125.11</c:v>
                </c:pt>
                <c:pt idx="203">
                  <c:v>125.11</c:v>
                </c:pt>
                <c:pt idx="204">
                  <c:v>126.02</c:v>
                </c:pt>
                <c:pt idx="205">
                  <c:v>130.13</c:v>
                </c:pt>
                <c:pt idx="206">
                  <c:v>128.51</c:v>
                </c:pt>
                <c:pt idx="207">
                  <c:v>127.63</c:v>
                </c:pt>
                <c:pt idx="208">
                  <c:v>128.22</c:v>
                </c:pt>
                <c:pt idx="209">
                  <c:v>129.69999999999999</c:v>
                </c:pt>
                <c:pt idx="210">
                  <c:v>128.9</c:v>
                </c:pt>
                <c:pt idx="211">
                  <c:v>127.93</c:v>
                </c:pt>
                <c:pt idx="212">
                  <c:v>125.86</c:v>
                </c:pt>
                <c:pt idx="213">
                  <c:v>123.14</c:v>
                </c:pt>
                <c:pt idx="214">
                  <c:v>124.19</c:v>
                </c:pt>
                <c:pt idx="215">
                  <c:v>122.52</c:v>
                </c:pt>
                <c:pt idx="216">
                  <c:v>118.71000000000002</c:v>
                </c:pt>
                <c:pt idx="217">
                  <c:v>119.61999999999999</c:v>
                </c:pt>
                <c:pt idx="218">
                  <c:v>122.5</c:v>
                </c:pt>
                <c:pt idx="219">
                  <c:v>124.74000000000002</c:v>
                </c:pt>
                <c:pt idx="220">
                  <c:v>125.22</c:v>
                </c:pt>
                <c:pt idx="221">
                  <c:v>125.38</c:v>
                </c:pt>
                <c:pt idx="222">
                  <c:v>121.89</c:v>
                </c:pt>
                <c:pt idx="223">
                  <c:v>127.94000000000032</c:v>
                </c:pt>
                <c:pt idx="224">
                  <c:v>126.63</c:v>
                </c:pt>
                <c:pt idx="225">
                  <c:v>123.31</c:v>
                </c:pt>
                <c:pt idx="226">
                  <c:v>123.13</c:v>
                </c:pt>
                <c:pt idx="227">
                  <c:v>123.58</c:v>
                </c:pt>
                <c:pt idx="228">
                  <c:v>124.75</c:v>
                </c:pt>
                <c:pt idx="229">
                  <c:v>126.06</c:v>
                </c:pt>
                <c:pt idx="230">
                  <c:v>125.35</c:v>
                </c:pt>
                <c:pt idx="231">
                  <c:v>125.39</c:v>
                </c:pt>
                <c:pt idx="232">
                  <c:v>126.19</c:v>
                </c:pt>
                <c:pt idx="233">
                  <c:v>126.47</c:v>
                </c:pt>
                <c:pt idx="234">
                  <c:v>128.20999999999998</c:v>
                </c:pt>
                <c:pt idx="235">
                  <c:v>127.66999999999999</c:v>
                </c:pt>
                <c:pt idx="236">
                  <c:v>127.74000000000002</c:v>
                </c:pt>
                <c:pt idx="237">
                  <c:v>129.37</c:v>
                </c:pt>
                <c:pt idx="238">
                  <c:v>129.75</c:v>
                </c:pt>
                <c:pt idx="239">
                  <c:v>129.1</c:v>
                </c:pt>
                <c:pt idx="240">
                  <c:v>128.86000000000001</c:v>
                </c:pt>
                <c:pt idx="241">
                  <c:v>129.72999999999999</c:v>
                </c:pt>
                <c:pt idx="242">
                  <c:v>130.65</c:v>
                </c:pt>
                <c:pt idx="243">
                  <c:v>129.93</c:v>
                </c:pt>
                <c:pt idx="244">
                  <c:v>130.65</c:v>
                </c:pt>
                <c:pt idx="245">
                  <c:v>128.36000000000001</c:v>
                </c:pt>
                <c:pt idx="246">
                  <c:v>128.83000000000001</c:v>
                </c:pt>
                <c:pt idx="247">
                  <c:v>128.62</c:v>
                </c:pt>
                <c:pt idx="248">
                  <c:v>127.58</c:v>
                </c:pt>
                <c:pt idx="249">
                  <c:v>126.77</c:v>
                </c:pt>
                <c:pt idx="250">
                  <c:v>125.09</c:v>
                </c:pt>
                <c:pt idx="251">
                  <c:v>126.56</c:v>
                </c:pt>
                <c:pt idx="252">
                  <c:v>125.48</c:v>
                </c:pt>
                <c:pt idx="253">
                  <c:v>125.21000000000002</c:v>
                </c:pt>
                <c:pt idx="254">
                  <c:v>126.23</c:v>
                </c:pt>
                <c:pt idx="255">
                  <c:v>123.86</c:v>
                </c:pt>
                <c:pt idx="256">
                  <c:v>123.85</c:v>
                </c:pt>
                <c:pt idx="257">
                  <c:v>121.71000000000002</c:v>
                </c:pt>
                <c:pt idx="258">
                  <c:v>119.44000000000032</c:v>
                </c:pt>
                <c:pt idx="259">
                  <c:v>119.23</c:v>
                </c:pt>
                <c:pt idx="260">
                  <c:v>118.56</c:v>
                </c:pt>
                <c:pt idx="261">
                  <c:v>120.64</c:v>
                </c:pt>
                <c:pt idx="262">
                  <c:v>119.73</c:v>
                </c:pt>
                <c:pt idx="263">
                  <c:v>118.02</c:v>
                </c:pt>
                <c:pt idx="264">
                  <c:v>118.13</c:v>
                </c:pt>
                <c:pt idx="265">
                  <c:v>117.46000000000002</c:v>
                </c:pt>
                <c:pt idx="266">
                  <c:v>118.14999999999999</c:v>
                </c:pt>
                <c:pt idx="267">
                  <c:v>120.11</c:v>
                </c:pt>
                <c:pt idx="268">
                  <c:v>120.36999999999999</c:v>
                </c:pt>
                <c:pt idx="269">
                  <c:v>117.38</c:v>
                </c:pt>
                <c:pt idx="270">
                  <c:v>112.32</c:v>
                </c:pt>
                <c:pt idx="271">
                  <c:v>114.04</c:v>
                </c:pt>
                <c:pt idx="272">
                  <c:v>111.1</c:v>
                </c:pt>
                <c:pt idx="273">
                  <c:v>111.73</c:v>
                </c:pt>
                <c:pt idx="274">
                  <c:v>109.54</c:v>
                </c:pt>
                <c:pt idx="275">
                  <c:v>111.45</c:v>
                </c:pt>
                <c:pt idx="276">
                  <c:v>108.79</c:v>
                </c:pt>
                <c:pt idx="277">
                  <c:v>106.84</c:v>
                </c:pt>
                <c:pt idx="278">
                  <c:v>106.38</c:v>
                </c:pt>
                <c:pt idx="279">
                  <c:v>108.54</c:v>
                </c:pt>
                <c:pt idx="280">
                  <c:v>109.76</c:v>
                </c:pt>
                <c:pt idx="281">
                  <c:v>112.54</c:v>
                </c:pt>
                <c:pt idx="282">
                  <c:v>109.79</c:v>
                </c:pt>
                <c:pt idx="283">
                  <c:v>109.3</c:v>
                </c:pt>
                <c:pt idx="284">
                  <c:v>110.46000000000002</c:v>
                </c:pt>
                <c:pt idx="285">
                  <c:v>109.06</c:v>
                </c:pt>
                <c:pt idx="286">
                  <c:v>105.3</c:v>
                </c:pt>
                <c:pt idx="287">
                  <c:v>105.03</c:v>
                </c:pt>
                <c:pt idx="288">
                  <c:v>109.6</c:v>
                </c:pt>
                <c:pt idx="289">
                  <c:v>107.45</c:v>
                </c:pt>
                <c:pt idx="290">
                  <c:v>108.31</c:v>
                </c:pt>
                <c:pt idx="291">
                  <c:v>111.25</c:v>
                </c:pt>
                <c:pt idx="292">
                  <c:v>111.03</c:v>
                </c:pt>
                <c:pt idx="293">
                  <c:v>112.72</c:v>
                </c:pt>
                <c:pt idx="294">
                  <c:v>112.73</c:v>
                </c:pt>
                <c:pt idx="295">
                  <c:v>113.51</c:v>
                </c:pt>
                <c:pt idx="296">
                  <c:v>117.96000000000002</c:v>
                </c:pt>
                <c:pt idx="297">
                  <c:v>119.43</c:v>
                </c:pt>
                <c:pt idx="298">
                  <c:v>116.61999999999999</c:v>
                </c:pt>
                <c:pt idx="299">
                  <c:v>115.21000000000002</c:v>
                </c:pt>
                <c:pt idx="300">
                  <c:v>117</c:v>
                </c:pt>
                <c:pt idx="301">
                  <c:v>117.57</c:v>
                </c:pt>
                <c:pt idx="302">
                  <c:v>119.33</c:v>
                </c:pt>
                <c:pt idx="303">
                  <c:v>119.04</c:v>
                </c:pt>
                <c:pt idx="304">
                  <c:v>120.66</c:v>
                </c:pt>
                <c:pt idx="305">
                  <c:v>118.92</c:v>
                </c:pt>
                <c:pt idx="306">
                  <c:v>120.64999999999999</c:v>
                </c:pt>
                <c:pt idx="307">
                  <c:v>120.3</c:v>
                </c:pt>
                <c:pt idx="308">
                  <c:v>120.1</c:v>
                </c:pt>
                <c:pt idx="309">
                  <c:v>119.57</c:v>
                </c:pt>
                <c:pt idx="310">
                  <c:v>119.57</c:v>
                </c:pt>
                <c:pt idx="311">
                  <c:v>118.66999999999999</c:v>
                </c:pt>
                <c:pt idx="312">
                  <c:v>118.96000000000002</c:v>
                </c:pt>
                <c:pt idx="313">
                  <c:v>119.03</c:v>
                </c:pt>
                <c:pt idx="314">
                  <c:v>122.4</c:v>
                </c:pt>
                <c:pt idx="315">
                  <c:v>122.73</c:v>
                </c:pt>
                <c:pt idx="316">
                  <c:v>123.09</c:v>
                </c:pt>
                <c:pt idx="317">
                  <c:v>125.05</c:v>
                </c:pt>
                <c:pt idx="318">
                  <c:v>124.77</c:v>
                </c:pt>
                <c:pt idx="319">
                  <c:v>122.79</c:v>
                </c:pt>
                <c:pt idx="320">
                  <c:v>121.72</c:v>
                </c:pt>
                <c:pt idx="321">
                  <c:v>120.78</c:v>
                </c:pt>
                <c:pt idx="322">
                  <c:v>118.91000000000012</c:v>
                </c:pt>
                <c:pt idx="323">
                  <c:v>119.64999999999999</c:v>
                </c:pt>
                <c:pt idx="324">
                  <c:v>120.13</c:v>
                </c:pt>
                <c:pt idx="325">
                  <c:v>121.02</c:v>
                </c:pt>
                <c:pt idx="326">
                  <c:v>121.64</c:v>
                </c:pt>
                <c:pt idx="327">
                  <c:v>120.51</c:v>
                </c:pt>
                <c:pt idx="328">
                  <c:v>119.51</c:v>
                </c:pt>
                <c:pt idx="329">
                  <c:v>119.61</c:v>
                </c:pt>
                <c:pt idx="330">
                  <c:v>118.31</c:v>
                </c:pt>
                <c:pt idx="331">
                  <c:v>116.2</c:v>
                </c:pt>
                <c:pt idx="332">
                  <c:v>115.72</c:v>
                </c:pt>
                <c:pt idx="333">
                  <c:v>115.16</c:v>
                </c:pt>
                <c:pt idx="334">
                  <c:v>115.54</c:v>
                </c:pt>
                <c:pt idx="335">
                  <c:v>116.51</c:v>
                </c:pt>
                <c:pt idx="336">
                  <c:v>117.85</c:v>
                </c:pt>
                <c:pt idx="337">
                  <c:v>116.75</c:v>
                </c:pt>
                <c:pt idx="338">
                  <c:v>116.08</c:v>
                </c:pt>
                <c:pt idx="339">
                  <c:v>115.89</c:v>
                </c:pt>
                <c:pt idx="340">
                  <c:v>115.38</c:v>
                </c:pt>
                <c:pt idx="341">
                  <c:v>116.77</c:v>
                </c:pt>
                <c:pt idx="342">
                  <c:v>116.64999999999999</c:v>
                </c:pt>
                <c:pt idx="343">
                  <c:v>117.81</c:v>
                </c:pt>
                <c:pt idx="344">
                  <c:v>117.63</c:v>
                </c:pt>
                <c:pt idx="345">
                  <c:v>117.61999999999999</c:v>
                </c:pt>
                <c:pt idx="346">
                  <c:v>116.14</c:v>
                </c:pt>
                <c:pt idx="347">
                  <c:v>113.44000000000032</c:v>
                </c:pt>
                <c:pt idx="348">
                  <c:v>114.2</c:v>
                </c:pt>
                <c:pt idx="349">
                  <c:v>112.61</c:v>
                </c:pt>
                <c:pt idx="350">
                  <c:v>112.51</c:v>
                </c:pt>
                <c:pt idx="351">
                  <c:v>115.17999999999998</c:v>
                </c:pt>
                <c:pt idx="352">
                  <c:v>115.92</c:v>
                </c:pt>
                <c:pt idx="353">
                  <c:v>114.64999999999999</c:v>
                </c:pt>
                <c:pt idx="354">
                  <c:v>115.78</c:v>
                </c:pt>
                <c:pt idx="355">
                  <c:v>115.13</c:v>
                </c:pt>
                <c:pt idx="356">
                  <c:v>115.84</c:v>
                </c:pt>
                <c:pt idx="357">
                  <c:v>115.42</c:v>
                </c:pt>
                <c:pt idx="358">
                  <c:v>111.69</c:v>
                </c:pt>
                <c:pt idx="359">
                  <c:v>113.45</c:v>
                </c:pt>
                <c:pt idx="360">
                  <c:v>114.64</c:v>
                </c:pt>
                <c:pt idx="361">
                  <c:v>114.91000000000012</c:v>
                </c:pt>
                <c:pt idx="362">
                  <c:v>114.79</c:v>
                </c:pt>
                <c:pt idx="363">
                  <c:v>115.42</c:v>
                </c:pt>
                <c:pt idx="364">
                  <c:v>115.88</c:v>
                </c:pt>
                <c:pt idx="365">
                  <c:v>116.34</c:v>
                </c:pt>
                <c:pt idx="366">
                  <c:v>115.75</c:v>
                </c:pt>
                <c:pt idx="367">
                  <c:v>114.41000000000012</c:v>
                </c:pt>
                <c:pt idx="368">
                  <c:v>114.79</c:v>
                </c:pt>
                <c:pt idx="369">
                  <c:v>112.82</c:v>
                </c:pt>
                <c:pt idx="370">
                  <c:v>112.83</c:v>
                </c:pt>
                <c:pt idx="371">
                  <c:v>113.45</c:v>
                </c:pt>
                <c:pt idx="372">
                  <c:v>113.55</c:v>
                </c:pt>
                <c:pt idx="373">
                  <c:v>113.14</c:v>
                </c:pt>
                <c:pt idx="374">
                  <c:v>112.96000000000002</c:v>
                </c:pt>
                <c:pt idx="375">
                  <c:v>112.41000000000012</c:v>
                </c:pt>
                <c:pt idx="376">
                  <c:v>110.73</c:v>
                </c:pt>
                <c:pt idx="377">
                  <c:v>109.51</c:v>
                </c:pt>
                <c:pt idx="378">
                  <c:v>107.66</c:v>
                </c:pt>
                <c:pt idx="379">
                  <c:v>108.09</c:v>
                </c:pt>
                <c:pt idx="380">
                  <c:v>108.08</c:v>
                </c:pt>
                <c:pt idx="381">
                  <c:v>108.02</c:v>
                </c:pt>
                <c:pt idx="382">
                  <c:v>107.93</c:v>
                </c:pt>
                <c:pt idx="383">
                  <c:v>105.51</c:v>
                </c:pt>
                <c:pt idx="384">
                  <c:v>103.55</c:v>
                </c:pt>
                <c:pt idx="385">
                  <c:v>104.19</c:v>
                </c:pt>
                <c:pt idx="386">
                  <c:v>99.1</c:v>
                </c:pt>
                <c:pt idx="387">
                  <c:v>98.53</c:v>
                </c:pt>
                <c:pt idx="388">
                  <c:v>96.95</c:v>
                </c:pt>
                <c:pt idx="389">
                  <c:v>93.95</c:v>
                </c:pt>
                <c:pt idx="390">
                  <c:v>92.149999999999991</c:v>
                </c:pt>
                <c:pt idx="391">
                  <c:v>95.78</c:v>
                </c:pt>
                <c:pt idx="392">
                  <c:v>96.61999999999999</c:v>
                </c:pt>
                <c:pt idx="393">
                  <c:v>96.23</c:v>
                </c:pt>
                <c:pt idx="394">
                  <c:v>97.16</c:v>
                </c:pt>
                <c:pt idx="395">
                  <c:v>99.27</c:v>
                </c:pt>
                <c:pt idx="396">
                  <c:v>99.06</c:v>
                </c:pt>
                <c:pt idx="397">
                  <c:v>100.27</c:v>
                </c:pt>
                <c:pt idx="398">
                  <c:v>102.28</c:v>
                </c:pt>
                <c:pt idx="399">
                  <c:v>102.06</c:v>
                </c:pt>
                <c:pt idx="400">
                  <c:v>102.21000000000002</c:v>
                </c:pt>
                <c:pt idx="401">
                  <c:v>101.36999999999999</c:v>
                </c:pt>
                <c:pt idx="402">
                  <c:v>100.84</c:v>
                </c:pt>
                <c:pt idx="403">
                  <c:v>103.14</c:v>
                </c:pt>
                <c:pt idx="404">
                  <c:v>104.67999999999998</c:v>
                </c:pt>
                <c:pt idx="405">
                  <c:v>104.01</c:v>
                </c:pt>
                <c:pt idx="406">
                  <c:v>104.73</c:v>
                </c:pt>
                <c:pt idx="407">
                  <c:v>102.74000000000002</c:v>
                </c:pt>
                <c:pt idx="408">
                  <c:v>101.99000000000002</c:v>
                </c:pt>
                <c:pt idx="409">
                  <c:v>102.42</c:v>
                </c:pt>
                <c:pt idx="410">
                  <c:v>104.01</c:v>
                </c:pt>
                <c:pt idx="411">
                  <c:v>103.52</c:v>
                </c:pt>
                <c:pt idx="412">
                  <c:v>103.54</c:v>
                </c:pt>
                <c:pt idx="413">
                  <c:v>109.06</c:v>
                </c:pt>
                <c:pt idx="414">
                  <c:v>109.88</c:v>
                </c:pt>
                <c:pt idx="415">
                  <c:v>109.09</c:v>
                </c:pt>
                <c:pt idx="416">
                  <c:v>108.54</c:v>
                </c:pt>
                <c:pt idx="417">
                  <c:v>108.54</c:v>
                </c:pt>
                <c:pt idx="418">
                  <c:v>110.46000000000002</c:v>
                </c:pt>
                <c:pt idx="419">
                  <c:v>109.73</c:v>
                </c:pt>
                <c:pt idx="420">
                  <c:v>108.89</c:v>
                </c:pt>
                <c:pt idx="421">
                  <c:v>108.78</c:v>
                </c:pt>
                <c:pt idx="422">
                  <c:v>107.86999999999999</c:v>
                </c:pt>
                <c:pt idx="423">
                  <c:v>109.3</c:v>
                </c:pt>
                <c:pt idx="424">
                  <c:v>111.44000000000032</c:v>
                </c:pt>
                <c:pt idx="425">
                  <c:v>110.61</c:v>
                </c:pt>
                <c:pt idx="426">
                  <c:v>108.82</c:v>
                </c:pt>
                <c:pt idx="427">
                  <c:v>108.51</c:v>
                </c:pt>
                <c:pt idx="428">
                  <c:v>106.85</c:v>
                </c:pt>
                <c:pt idx="429">
                  <c:v>107.25</c:v>
                </c:pt>
                <c:pt idx="430">
                  <c:v>109.14</c:v>
                </c:pt>
                <c:pt idx="431">
                  <c:v>109.79</c:v>
                </c:pt>
                <c:pt idx="432">
                  <c:v>109.35</c:v>
                </c:pt>
                <c:pt idx="433">
                  <c:v>109.31</c:v>
                </c:pt>
                <c:pt idx="434">
                  <c:v>110.82</c:v>
                </c:pt>
                <c:pt idx="435">
                  <c:v>109.6</c:v>
                </c:pt>
                <c:pt idx="436">
                  <c:v>110.22</c:v>
                </c:pt>
                <c:pt idx="437">
                  <c:v>111.25</c:v>
                </c:pt>
                <c:pt idx="438">
                  <c:v>111.96000000000002</c:v>
                </c:pt>
                <c:pt idx="439">
                  <c:v>111.23</c:v>
                </c:pt>
                <c:pt idx="440">
                  <c:v>110.86</c:v>
                </c:pt>
                <c:pt idx="441">
                  <c:v>110.31</c:v>
                </c:pt>
                <c:pt idx="442">
                  <c:v>109.43</c:v>
                </c:pt>
                <c:pt idx="443">
                  <c:v>108.74000000000002</c:v>
                </c:pt>
                <c:pt idx="444">
                  <c:v>109.48</c:v>
                </c:pt>
                <c:pt idx="445">
                  <c:v>107.27</c:v>
                </c:pt>
                <c:pt idx="446">
                  <c:v>107.7</c:v>
                </c:pt>
                <c:pt idx="447">
                  <c:v>106.91000000000012</c:v>
                </c:pt>
                <c:pt idx="448">
                  <c:v>108.11999999999999</c:v>
                </c:pt>
                <c:pt idx="449">
                  <c:v>108.21000000000002</c:v>
                </c:pt>
                <c:pt idx="450">
                  <c:v>108.21000000000002</c:v>
                </c:pt>
                <c:pt idx="451">
                  <c:v>105.1</c:v>
                </c:pt>
                <c:pt idx="452">
                  <c:v>106.36</c:v>
                </c:pt>
                <c:pt idx="453">
                  <c:v>107.94000000000032</c:v>
                </c:pt>
                <c:pt idx="454">
                  <c:v>107.16999999999999</c:v>
                </c:pt>
                <c:pt idx="455">
                  <c:v>104.53</c:v>
                </c:pt>
                <c:pt idx="456">
                  <c:v>103.49000000000002</c:v>
                </c:pt>
                <c:pt idx="457">
                  <c:v>103.16</c:v>
                </c:pt>
                <c:pt idx="458">
                  <c:v>104.72</c:v>
                </c:pt>
                <c:pt idx="459">
                  <c:v>106.19</c:v>
                </c:pt>
                <c:pt idx="460">
                  <c:v>105.78</c:v>
                </c:pt>
                <c:pt idx="461">
                  <c:v>106.86</c:v>
                </c:pt>
                <c:pt idx="462">
                  <c:v>106.66999999999999</c:v>
                </c:pt>
                <c:pt idx="463">
                  <c:v>105.5</c:v>
                </c:pt>
                <c:pt idx="464">
                  <c:v>105.5</c:v>
                </c:pt>
                <c:pt idx="465">
                  <c:v>103.52</c:v>
                </c:pt>
                <c:pt idx="466">
                  <c:v>104.94000000000032</c:v>
                </c:pt>
                <c:pt idx="467">
                  <c:v>103.27</c:v>
                </c:pt>
                <c:pt idx="468">
                  <c:v>104.14999999999999</c:v>
                </c:pt>
                <c:pt idx="469">
                  <c:v>105.99000000000002</c:v>
                </c:pt>
                <c:pt idx="470">
                  <c:v>106.08</c:v>
                </c:pt>
                <c:pt idx="471">
                  <c:v>105.77</c:v>
                </c:pt>
                <c:pt idx="472">
                  <c:v>108.16</c:v>
                </c:pt>
                <c:pt idx="473">
                  <c:v>110.28</c:v>
                </c:pt>
                <c:pt idx="474">
                  <c:v>111.16</c:v>
                </c:pt>
                <c:pt idx="475">
                  <c:v>110.67999999999998</c:v>
                </c:pt>
                <c:pt idx="476">
                  <c:v>111.66</c:v>
                </c:pt>
                <c:pt idx="477">
                  <c:v>111.44000000000032</c:v>
                </c:pt>
                <c:pt idx="478">
                  <c:v>110.35</c:v>
                </c:pt>
                <c:pt idx="479">
                  <c:v>110.25</c:v>
                </c:pt>
                <c:pt idx="480">
                  <c:v>111.48</c:v>
                </c:pt>
                <c:pt idx="481">
                  <c:v>111.42</c:v>
                </c:pt>
                <c:pt idx="482">
                  <c:v>111.89</c:v>
                </c:pt>
                <c:pt idx="483">
                  <c:v>110.27</c:v>
                </c:pt>
                <c:pt idx="484">
                  <c:v>108.19</c:v>
                </c:pt>
                <c:pt idx="485">
                  <c:v>108.83</c:v>
                </c:pt>
                <c:pt idx="486">
                  <c:v>109.39</c:v>
                </c:pt>
                <c:pt idx="487">
                  <c:v>108.64</c:v>
                </c:pt>
                <c:pt idx="488">
                  <c:v>107.35</c:v>
                </c:pt>
                <c:pt idx="489">
                  <c:v>107.61</c:v>
                </c:pt>
                <c:pt idx="490">
                  <c:v>106.89</c:v>
                </c:pt>
                <c:pt idx="491">
                  <c:v>108.1</c:v>
                </c:pt>
                <c:pt idx="492">
                  <c:v>105.53</c:v>
                </c:pt>
                <c:pt idx="493">
                  <c:v>106.23</c:v>
                </c:pt>
                <c:pt idx="494">
                  <c:v>105.42</c:v>
                </c:pt>
                <c:pt idx="495">
                  <c:v>107.89</c:v>
                </c:pt>
                <c:pt idx="496">
                  <c:v>107.5</c:v>
                </c:pt>
                <c:pt idx="497">
                  <c:v>107.58</c:v>
                </c:pt>
                <c:pt idx="498">
                  <c:v>105.92</c:v>
                </c:pt>
                <c:pt idx="499">
                  <c:v>104.5</c:v>
                </c:pt>
                <c:pt idx="500">
                  <c:v>104.35</c:v>
                </c:pt>
                <c:pt idx="501">
                  <c:v>102.64</c:v>
                </c:pt>
                <c:pt idx="502">
                  <c:v>100.35</c:v>
                </c:pt>
                <c:pt idx="503">
                  <c:v>104.11</c:v>
                </c:pt>
                <c:pt idx="504">
                  <c:v>102.78</c:v>
                </c:pt>
                <c:pt idx="505">
                  <c:v>104.94000000000032</c:v>
                </c:pt>
                <c:pt idx="506">
                  <c:v>104.36999999999999</c:v>
                </c:pt>
                <c:pt idx="507">
                  <c:v>105.05</c:v>
                </c:pt>
                <c:pt idx="508">
                  <c:v>105.86</c:v>
                </c:pt>
                <c:pt idx="509">
                  <c:v>103.32</c:v>
                </c:pt>
                <c:pt idx="510">
                  <c:v>103.9</c:v>
                </c:pt>
                <c:pt idx="511">
                  <c:v>104.96000000000002</c:v>
                </c:pt>
                <c:pt idx="512">
                  <c:v>103.67999999999998</c:v>
                </c:pt>
                <c:pt idx="513">
                  <c:v>103.67999999999998</c:v>
                </c:pt>
                <c:pt idx="514">
                  <c:v>102.8</c:v>
                </c:pt>
                <c:pt idx="515">
                  <c:v>102.14999999999999</c:v>
                </c:pt>
                <c:pt idx="516">
                  <c:v>101.86999999999999</c:v>
                </c:pt>
                <c:pt idx="517">
                  <c:v>102.11</c:v>
                </c:pt>
                <c:pt idx="518">
                  <c:v>99.57</c:v>
                </c:pt>
                <c:pt idx="519">
                  <c:v>99.58</c:v>
                </c:pt>
                <c:pt idx="520">
                  <c:v>100.52</c:v>
                </c:pt>
                <c:pt idx="521">
                  <c:v>98.38</c:v>
                </c:pt>
                <c:pt idx="522">
                  <c:v>98.69</c:v>
                </c:pt>
                <c:pt idx="523">
                  <c:v>97.04</c:v>
                </c:pt>
                <c:pt idx="524">
                  <c:v>97.679999999999978</c:v>
                </c:pt>
                <c:pt idx="525">
                  <c:v>96.66</c:v>
                </c:pt>
                <c:pt idx="526">
                  <c:v>96.45</c:v>
                </c:pt>
                <c:pt idx="527">
                  <c:v>99.19</c:v>
                </c:pt>
                <c:pt idx="528">
                  <c:v>99.31</c:v>
                </c:pt>
                <c:pt idx="529">
                  <c:v>97.649999999999991</c:v>
                </c:pt>
                <c:pt idx="530">
                  <c:v>96.34</c:v>
                </c:pt>
                <c:pt idx="531">
                  <c:v>94.7</c:v>
                </c:pt>
                <c:pt idx="532">
                  <c:v>95.04</c:v>
                </c:pt>
                <c:pt idx="533">
                  <c:v>93.440000000000026</c:v>
                </c:pt>
                <c:pt idx="534">
                  <c:v>93.240000000000023</c:v>
                </c:pt>
                <c:pt idx="535">
                  <c:v>94.86999999999999</c:v>
                </c:pt>
                <c:pt idx="536">
                  <c:v>94.78</c:v>
                </c:pt>
                <c:pt idx="537">
                  <c:v>92.77</c:v>
                </c:pt>
                <c:pt idx="538">
                  <c:v>90.81</c:v>
                </c:pt>
                <c:pt idx="539">
                  <c:v>91.38</c:v>
                </c:pt>
                <c:pt idx="540">
                  <c:v>94.75</c:v>
                </c:pt>
                <c:pt idx="541">
                  <c:v>93.59</c:v>
                </c:pt>
                <c:pt idx="542">
                  <c:v>91.3</c:v>
                </c:pt>
                <c:pt idx="543">
                  <c:v>88.179999999999978</c:v>
                </c:pt>
                <c:pt idx="544">
                  <c:v>88.86</c:v>
                </c:pt>
                <c:pt idx="545">
                  <c:v>88.27</c:v>
                </c:pt>
                <c:pt idx="546">
                  <c:v>87.97</c:v>
                </c:pt>
                <c:pt idx="547">
                  <c:v>86.33</c:v>
                </c:pt>
                <c:pt idx="548">
                  <c:v>86.8</c:v>
                </c:pt>
                <c:pt idx="549">
                  <c:v>84.42</c:v>
                </c:pt>
                <c:pt idx="550">
                  <c:v>76.45</c:v>
                </c:pt>
                <c:pt idx="551">
                  <c:v>80.83</c:v>
                </c:pt>
                <c:pt idx="552">
                  <c:v>80.36</c:v>
                </c:pt>
                <c:pt idx="553">
                  <c:v>81.739999999999995</c:v>
                </c:pt>
                <c:pt idx="554">
                  <c:v>86.1</c:v>
                </c:pt>
                <c:pt idx="555">
                  <c:v>86.490000000000023</c:v>
                </c:pt>
                <c:pt idx="556">
                  <c:v>87.33</c:v>
                </c:pt>
                <c:pt idx="557">
                  <c:v>84.76</c:v>
                </c:pt>
                <c:pt idx="558">
                  <c:v>82.84</c:v>
                </c:pt>
                <c:pt idx="559">
                  <c:v>80.02</c:v>
                </c:pt>
                <c:pt idx="560">
                  <c:v>82.4</c:v>
                </c:pt>
                <c:pt idx="561">
                  <c:v>84.05</c:v>
                </c:pt>
                <c:pt idx="562">
                  <c:v>86.81</c:v>
                </c:pt>
                <c:pt idx="563">
                  <c:v>87.11999999999999</c:v>
                </c:pt>
                <c:pt idx="564">
                  <c:v>86.66</c:v>
                </c:pt>
                <c:pt idx="565">
                  <c:v>84.8</c:v>
                </c:pt>
                <c:pt idx="566">
                  <c:v>88.2</c:v>
                </c:pt>
                <c:pt idx="567">
                  <c:v>89.08</c:v>
                </c:pt>
                <c:pt idx="568">
                  <c:v>91.179999999999978</c:v>
                </c:pt>
                <c:pt idx="569">
                  <c:v>89.910000000000025</c:v>
                </c:pt>
                <c:pt idx="570">
                  <c:v>91.07</c:v>
                </c:pt>
                <c:pt idx="571">
                  <c:v>90.25</c:v>
                </c:pt>
                <c:pt idx="572">
                  <c:v>90.93</c:v>
                </c:pt>
                <c:pt idx="573">
                  <c:v>89.669999999999987</c:v>
                </c:pt>
                <c:pt idx="574">
                  <c:v>88.05</c:v>
                </c:pt>
                <c:pt idx="575">
                  <c:v>88.05</c:v>
                </c:pt>
                <c:pt idx="576">
                  <c:v>87.88</c:v>
                </c:pt>
                <c:pt idx="577">
                  <c:v>84.240000000000023</c:v>
                </c:pt>
                <c:pt idx="578">
                  <c:v>85.740000000000023</c:v>
                </c:pt>
                <c:pt idx="579">
                  <c:v>84.38</c:v>
                </c:pt>
                <c:pt idx="580">
                  <c:v>85.8</c:v>
                </c:pt>
                <c:pt idx="581">
                  <c:v>87.3</c:v>
                </c:pt>
                <c:pt idx="582">
                  <c:v>87.29</c:v>
                </c:pt>
                <c:pt idx="583">
                  <c:v>85.410000000000025</c:v>
                </c:pt>
                <c:pt idx="584">
                  <c:v>83.47</c:v>
                </c:pt>
                <c:pt idx="585">
                  <c:v>80.97</c:v>
                </c:pt>
                <c:pt idx="586">
                  <c:v>81.16</c:v>
                </c:pt>
                <c:pt idx="587">
                  <c:v>80.05</c:v>
                </c:pt>
                <c:pt idx="588">
                  <c:v>80.61</c:v>
                </c:pt>
                <c:pt idx="589">
                  <c:v>82.08</c:v>
                </c:pt>
                <c:pt idx="590">
                  <c:v>78.260000000000005</c:v>
                </c:pt>
                <c:pt idx="591">
                  <c:v>81.42</c:v>
                </c:pt>
                <c:pt idx="592">
                  <c:v>79.5</c:v>
                </c:pt>
                <c:pt idx="593">
                  <c:v>78.64</c:v>
                </c:pt>
                <c:pt idx="594">
                  <c:v>76.88</c:v>
                </c:pt>
                <c:pt idx="595">
                  <c:v>75.39</c:v>
                </c:pt>
                <c:pt idx="596">
                  <c:v>76.679999999999978</c:v>
                </c:pt>
                <c:pt idx="597">
                  <c:v>74.59</c:v>
                </c:pt>
                <c:pt idx="598">
                  <c:v>77.19</c:v>
                </c:pt>
                <c:pt idx="599">
                  <c:v>80.22</c:v>
                </c:pt>
                <c:pt idx="600">
                  <c:v>80.790000000000006</c:v>
                </c:pt>
                <c:pt idx="601">
                  <c:v>84.61999999999999</c:v>
                </c:pt>
                <c:pt idx="602">
                  <c:v>82.59</c:v>
                </c:pt>
                <c:pt idx="603">
                  <c:v>84.42</c:v>
                </c:pt>
                <c:pt idx="604">
                  <c:v>86.38</c:v>
                </c:pt>
                <c:pt idx="605">
                  <c:v>85.47</c:v>
                </c:pt>
                <c:pt idx="606">
                  <c:v>84.73</c:v>
                </c:pt>
                <c:pt idx="607">
                  <c:v>86.19</c:v>
                </c:pt>
                <c:pt idx="608">
                  <c:v>84.7</c:v>
                </c:pt>
                <c:pt idx="609">
                  <c:v>85.07</c:v>
                </c:pt>
                <c:pt idx="610">
                  <c:v>87.240000000000023</c:v>
                </c:pt>
                <c:pt idx="611">
                  <c:v>87.92</c:v>
                </c:pt>
                <c:pt idx="612">
                  <c:v>86.73</c:v>
                </c:pt>
                <c:pt idx="613">
                  <c:v>85.95</c:v>
                </c:pt>
                <c:pt idx="614">
                  <c:v>84.85</c:v>
                </c:pt>
                <c:pt idx="615">
                  <c:v>84.84</c:v>
                </c:pt>
                <c:pt idx="616">
                  <c:v>86.910000000000025</c:v>
                </c:pt>
                <c:pt idx="617">
                  <c:v>87.45</c:v>
                </c:pt>
                <c:pt idx="618">
                  <c:v>86.54</c:v>
                </c:pt>
                <c:pt idx="619">
                  <c:v>86.210000000000022</c:v>
                </c:pt>
                <c:pt idx="620">
                  <c:v>87.910000000000025</c:v>
                </c:pt>
                <c:pt idx="621">
                  <c:v>89.79</c:v>
                </c:pt>
                <c:pt idx="622">
                  <c:v>89.47</c:v>
                </c:pt>
                <c:pt idx="623">
                  <c:v>89.69</c:v>
                </c:pt>
                <c:pt idx="624">
                  <c:v>87.82</c:v>
                </c:pt>
                <c:pt idx="625">
                  <c:v>90.29</c:v>
                </c:pt>
                <c:pt idx="626">
                  <c:v>90.29</c:v>
                </c:pt>
                <c:pt idx="627">
                  <c:v>90.05</c:v>
                </c:pt>
                <c:pt idx="628">
                  <c:v>89.88</c:v>
                </c:pt>
                <c:pt idx="629">
                  <c:v>88.58</c:v>
                </c:pt>
                <c:pt idx="630">
                  <c:v>88.27</c:v>
                </c:pt>
                <c:pt idx="631">
                  <c:v>87.22</c:v>
                </c:pt>
                <c:pt idx="632">
                  <c:v>87.76</c:v>
                </c:pt>
                <c:pt idx="633">
                  <c:v>85.79</c:v>
                </c:pt>
                <c:pt idx="634">
                  <c:v>86.990000000000023</c:v>
                </c:pt>
                <c:pt idx="635">
                  <c:v>87.05</c:v>
                </c:pt>
                <c:pt idx="636">
                  <c:v>86.740000000000023</c:v>
                </c:pt>
                <c:pt idx="637">
                  <c:v>85.56</c:v>
                </c:pt>
                <c:pt idx="638">
                  <c:v>87.59</c:v>
                </c:pt>
                <c:pt idx="639">
                  <c:v>86.86999999999999</c:v>
                </c:pt>
                <c:pt idx="640">
                  <c:v>85.740000000000023</c:v>
                </c:pt>
                <c:pt idx="641">
                  <c:v>85.1</c:v>
                </c:pt>
                <c:pt idx="642">
                  <c:v>86.35</c:v>
                </c:pt>
                <c:pt idx="643">
                  <c:v>85.86</c:v>
                </c:pt>
                <c:pt idx="644">
                  <c:v>84.240000000000023</c:v>
                </c:pt>
                <c:pt idx="645">
                  <c:v>84.63</c:v>
                </c:pt>
                <c:pt idx="646">
                  <c:v>84.69</c:v>
                </c:pt>
                <c:pt idx="647">
                  <c:v>87.51</c:v>
                </c:pt>
                <c:pt idx="648">
                  <c:v>87.490000000000023</c:v>
                </c:pt>
                <c:pt idx="649">
                  <c:v>89.43</c:v>
                </c:pt>
                <c:pt idx="650">
                  <c:v>88.85</c:v>
                </c:pt>
                <c:pt idx="651">
                  <c:v>87.63</c:v>
                </c:pt>
                <c:pt idx="652">
                  <c:v>89.33</c:v>
                </c:pt>
                <c:pt idx="653">
                  <c:v>89.33</c:v>
                </c:pt>
                <c:pt idx="654">
                  <c:v>89.2</c:v>
                </c:pt>
                <c:pt idx="655">
                  <c:v>89.72</c:v>
                </c:pt>
                <c:pt idx="656">
                  <c:v>88.440000000000026</c:v>
                </c:pt>
                <c:pt idx="657">
                  <c:v>88.09</c:v>
                </c:pt>
                <c:pt idx="658">
                  <c:v>86.79</c:v>
                </c:pt>
                <c:pt idx="659">
                  <c:v>86.78</c:v>
                </c:pt>
                <c:pt idx="660">
                  <c:v>85.410000000000025</c:v>
                </c:pt>
                <c:pt idx="661">
                  <c:v>84.53</c:v>
                </c:pt>
                <c:pt idx="662">
                  <c:v>85.39</c:v>
                </c:pt>
                <c:pt idx="663">
                  <c:v>82.9</c:v>
                </c:pt>
                <c:pt idx="664">
                  <c:v>81.55</c:v>
                </c:pt>
                <c:pt idx="665">
                  <c:v>82.61</c:v>
                </c:pt>
                <c:pt idx="666">
                  <c:v>83.19</c:v>
                </c:pt>
                <c:pt idx="667">
                  <c:v>81.3</c:v>
                </c:pt>
                <c:pt idx="668">
                  <c:v>82.36999999999999</c:v>
                </c:pt>
                <c:pt idx="669">
                  <c:v>82.81</c:v>
                </c:pt>
                <c:pt idx="670">
                  <c:v>81.64</c:v>
                </c:pt>
                <c:pt idx="671">
                  <c:v>81.209999999999994</c:v>
                </c:pt>
                <c:pt idx="672">
                  <c:v>80.7</c:v>
                </c:pt>
                <c:pt idx="673">
                  <c:v>79.89</c:v>
                </c:pt>
                <c:pt idx="674">
                  <c:v>80.48</c:v>
                </c:pt>
                <c:pt idx="675">
                  <c:v>79.84</c:v>
                </c:pt>
                <c:pt idx="676">
                  <c:v>78.86</c:v>
                </c:pt>
                <c:pt idx="677">
                  <c:v>78.73</c:v>
                </c:pt>
                <c:pt idx="678">
                  <c:v>80.410000000000025</c:v>
                </c:pt>
                <c:pt idx="679">
                  <c:v>80.410000000000025</c:v>
                </c:pt>
                <c:pt idx="680">
                  <c:v>81.990000000000023</c:v>
                </c:pt>
                <c:pt idx="681">
                  <c:v>81.410000000000025</c:v>
                </c:pt>
                <c:pt idx="682">
                  <c:v>80.649999999999991</c:v>
                </c:pt>
                <c:pt idx="683">
                  <c:v>81.709999999999994</c:v>
                </c:pt>
                <c:pt idx="684">
                  <c:v>80.209999999999994</c:v>
                </c:pt>
                <c:pt idx="685">
                  <c:v>80.790000000000006</c:v>
                </c:pt>
                <c:pt idx="686">
                  <c:v>79.75</c:v>
                </c:pt>
                <c:pt idx="687">
                  <c:v>80.69</c:v>
                </c:pt>
                <c:pt idx="688">
                  <c:v>81.06</c:v>
                </c:pt>
                <c:pt idx="689">
                  <c:v>80.45</c:v>
                </c:pt>
                <c:pt idx="690">
                  <c:v>79.209999999999994</c:v>
                </c:pt>
                <c:pt idx="691">
                  <c:v>79.98</c:v>
                </c:pt>
                <c:pt idx="692">
                  <c:v>79.25</c:v>
                </c:pt>
                <c:pt idx="693">
                  <c:v>79.900000000000006</c:v>
                </c:pt>
                <c:pt idx="694">
                  <c:v>77.84</c:v>
                </c:pt>
                <c:pt idx="695">
                  <c:v>77.179999999999978</c:v>
                </c:pt>
                <c:pt idx="696">
                  <c:v>77.540000000000006</c:v>
                </c:pt>
                <c:pt idx="697">
                  <c:v>80.22</c:v>
                </c:pt>
                <c:pt idx="698">
                  <c:v>80.349999999999994</c:v>
                </c:pt>
                <c:pt idx="699">
                  <c:v>83.169999999999987</c:v>
                </c:pt>
                <c:pt idx="700">
                  <c:v>83.52</c:v>
                </c:pt>
                <c:pt idx="701">
                  <c:v>84.25</c:v>
                </c:pt>
                <c:pt idx="702">
                  <c:v>84.42</c:v>
                </c:pt>
                <c:pt idx="703">
                  <c:v>86.35</c:v>
                </c:pt>
                <c:pt idx="704">
                  <c:v>83.32</c:v>
                </c:pt>
                <c:pt idx="705">
                  <c:v>84.32</c:v>
                </c:pt>
                <c:pt idx="706">
                  <c:v>83.85</c:v>
                </c:pt>
                <c:pt idx="707">
                  <c:v>83.72</c:v>
                </c:pt>
                <c:pt idx="708">
                  <c:v>83.240000000000023</c:v>
                </c:pt>
                <c:pt idx="709">
                  <c:v>81.760000000000005</c:v>
                </c:pt>
                <c:pt idx="710">
                  <c:v>82.75</c:v>
                </c:pt>
                <c:pt idx="711">
                  <c:v>84.92</c:v>
                </c:pt>
                <c:pt idx="712">
                  <c:v>84.490000000000023</c:v>
                </c:pt>
                <c:pt idx="713">
                  <c:v>84.73</c:v>
                </c:pt>
                <c:pt idx="714">
                  <c:v>84.83</c:v>
                </c:pt>
                <c:pt idx="715">
                  <c:v>84.710000000000022</c:v>
                </c:pt>
                <c:pt idx="716">
                  <c:v>83.53</c:v>
                </c:pt>
                <c:pt idx="717">
                  <c:v>84.07</c:v>
                </c:pt>
                <c:pt idx="718">
                  <c:v>83.75</c:v>
                </c:pt>
                <c:pt idx="719">
                  <c:v>85.38</c:v>
                </c:pt>
                <c:pt idx="720">
                  <c:v>85.940000000000026</c:v>
                </c:pt>
                <c:pt idx="721">
                  <c:v>84.86</c:v>
                </c:pt>
                <c:pt idx="722">
                  <c:v>86.169999999999987</c:v>
                </c:pt>
                <c:pt idx="723">
                  <c:v>87.88</c:v>
                </c:pt>
                <c:pt idx="724">
                  <c:v>88.61999999999999</c:v>
                </c:pt>
                <c:pt idx="725">
                  <c:v>87.89</c:v>
                </c:pt>
                <c:pt idx="726">
                  <c:v>86.679999999999978</c:v>
                </c:pt>
                <c:pt idx="727">
                  <c:v>88.22</c:v>
                </c:pt>
                <c:pt idx="728">
                  <c:v>88.51</c:v>
                </c:pt>
                <c:pt idx="729">
                  <c:v>88.43</c:v>
                </c:pt>
                <c:pt idx="730">
                  <c:v>89.7</c:v>
                </c:pt>
                <c:pt idx="731">
                  <c:v>89.39</c:v>
                </c:pt>
                <c:pt idx="732">
                  <c:v>90.149999999999991</c:v>
                </c:pt>
                <c:pt idx="733">
                  <c:v>89.69</c:v>
                </c:pt>
                <c:pt idx="734">
                  <c:v>88.8</c:v>
                </c:pt>
                <c:pt idx="735">
                  <c:v>90.07</c:v>
                </c:pt>
                <c:pt idx="736">
                  <c:v>91.2</c:v>
                </c:pt>
                <c:pt idx="737">
                  <c:v>90.940000000000026</c:v>
                </c:pt>
                <c:pt idx="738">
                  <c:v>90.679999999999978</c:v>
                </c:pt>
                <c:pt idx="739">
                  <c:v>91.38</c:v>
                </c:pt>
                <c:pt idx="740">
                  <c:v>91.16</c:v>
                </c:pt>
                <c:pt idx="741">
                  <c:v>88.910000000000025</c:v>
                </c:pt>
                <c:pt idx="742">
                  <c:v>88.79</c:v>
                </c:pt>
                <c:pt idx="743">
                  <c:v>89.14</c:v>
                </c:pt>
                <c:pt idx="744">
                  <c:v>89.960000000000022</c:v>
                </c:pt>
                <c:pt idx="745">
                  <c:v>90.09</c:v>
                </c:pt>
                <c:pt idx="746">
                  <c:v>90.09</c:v>
                </c:pt>
                <c:pt idx="747">
                  <c:v>91.84</c:v>
                </c:pt>
                <c:pt idx="748">
                  <c:v>92.02</c:v>
                </c:pt>
                <c:pt idx="749">
                  <c:v>93.36999999999999</c:v>
                </c:pt>
                <c:pt idx="750">
                  <c:v>93.82</c:v>
                </c:pt>
                <c:pt idx="751">
                  <c:v>95.23</c:v>
                </c:pt>
                <c:pt idx="752">
                  <c:v>95.61999999999999</c:v>
                </c:pt>
                <c:pt idx="753">
                  <c:v>95.38</c:v>
                </c:pt>
                <c:pt idx="754">
                  <c:v>95.11999999999999</c:v>
                </c:pt>
                <c:pt idx="755">
                  <c:v>96.34</c:v>
                </c:pt>
                <c:pt idx="756">
                  <c:v>96.460000000000022</c:v>
                </c:pt>
                <c:pt idx="757">
                  <c:v>95.490000000000023</c:v>
                </c:pt>
                <c:pt idx="758">
                  <c:v>97.61</c:v>
                </c:pt>
                <c:pt idx="759">
                  <c:v>97.7</c:v>
                </c:pt>
                <c:pt idx="760">
                  <c:v>97.55</c:v>
                </c:pt>
                <c:pt idx="761">
                  <c:v>96.08</c:v>
                </c:pt>
                <c:pt idx="762">
                  <c:v>96.149999999999991</c:v>
                </c:pt>
                <c:pt idx="763">
                  <c:v>94.81</c:v>
                </c:pt>
                <c:pt idx="764">
                  <c:v>94.98</c:v>
                </c:pt>
                <c:pt idx="765">
                  <c:v>94.19</c:v>
                </c:pt>
                <c:pt idx="766">
                  <c:v>95.23</c:v>
                </c:pt>
                <c:pt idx="767">
                  <c:v>94.29</c:v>
                </c:pt>
                <c:pt idx="768">
                  <c:v>94.149999999999991</c:v>
                </c:pt>
                <c:pt idx="769">
                  <c:v>94.92</c:v>
                </c:pt>
                <c:pt idx="770">
                  <c:v>96.02</c:v>
                </c:pt>
                <c:pt idx="771">
                  <c:v>95.25</c:v>
                </c:pt>
                <c:pt idx="772">
                  <c:v>95.240000000000023</c:v>
                </c:pt>
                <c:pt idx="773">
                  <c:v>97.05</c:v>
                </c:pt>
                <c:pt idx="774">
                  <c:v>97.4</c:v>
                </c:pt>
                <c:pt idx="775">
                  <c:v>96.86</c:v>
                </c:pt>
                <c:pt idx="776">
                  <c:v>95.58</c:v>
                </c:pt>
                <c:pt idx="777">
                  <c:v>96.48</c:v>
                </c:pt>
                <c:pt idx="778">
                  <c:v>97.05</c:v>
                </c:pt>
                <c:pt idx="779">
                  <c:v>96.7</c:v>
                </c:pt>
                <c:pt idx="780">
                  <c:v>96.1</c:v>
                </c:pt>
                <c:pt idx="781">
                  <c:v>94.9</c:v>
                </c:pt>
                <c:pt idx="782">
                  <c:v>95.990000000000023</c:v>
                </c:pt>
                <c:pt idx="783">
                  <c:v>95.51</c:v>
                </c:pt>
                <c:pt idx="784">
                  <c:v>95.58</c:v>
                </c:pt>
                <c:pt idx="785">
                  <c:v>94.86999999999999</c:v>
                </c:pt>
                <c:pt idx="786">
                  <c:v>96.52</c:v>
                </c:pt>
                <c:pt idx="787">
                  <c:v>96.3</c:v>
                </c:pt>
                <c:pt idx="788">
                  <c:v>95.61999999999999</c:v>
                </c:pt>
                <c:pt idx="789">
                  <c:v>95.460000000000022</c:v>
                </c:pt>
                <c:pt idx="790">
                  <c:v>95.740000000000023</c:v>
                </c:pt>
                <c:pt idx="791">
                  <c:v>94.78</c:v>
                </c:pt>
                <c:pt idx="792">
                  <c:v>95.01</c:v>
                </c:pt>
                <c:pt idx="793">
                  <c:v>93.32</c:v>
                </c:pt>
                <c:pt idx="794">
                  <c:v>93.51</c:v>
                </c:pt>
                <c:pt idx="795">
                  <c:v>94.210000000000022</c:v>
                </c:pt>
                <c:pt idx="796">
                  <c:v>94.55</c:v>
                </c:pt>
                <c:pt idx="797">
                  <c:v>94.85</c:v>
                </c:pt>
                <c:pt idx="798">
                  <c:v>95.79</c:v>
                </c:pt>
                <c:pt idx="799">
                  <c:v>95.210000000000022</c:v>
                </c:pt>
                <c:pt idx="800">
                  <c:v>95.8</c:v>
                </c:pt>
                <c:pt idx="801">
                  <c:v>96.73</c:v>
                </c:pt>
                <c:pt idx="802">
                  <c:v>96.990000000000023</c:v>
                </c:pt>
                <c:pt idx="803">
                  <c:v>96.78</c:v>
                </c:pt>
                <c:pt idx="804">
                  <c:v>97.06</c:v>
                </c:pt>
                <c:pt idx="805">
                  <c:v>96.08</c:v>
                </c:pt>
                <c:pt idx="806">
                  <c:v>96.14</c:v>
                </c:pt>
                <c:pt idx="807">
                  <c:v>96.42</c:v>
                </c:pt>
                <c:pt idx="808">
                  <c:v>96.440000000000026</c:v>
                </c:pt>
                <c:pt idx="809">
                  <c:v>97.02</c:v>
                </c:pt>
                <c:pt idx="810">
                  <c:v>97.54</c:v>
                </c:pt>
                <c:pt idx="811">
                  <c:v>97.54</c:v>
                </c:pt>
                <c:pt idx="812">
                  <c:v>98.9</c:v>
                </c:pt>
                <c:pt idx="813">
                  <c:v>99.33</c:v>
                </c:pt>
                <c:pt idx="814">
                  <c:v>99.490000000000023</c:v>
                </c:pt>
                <c:pt idx="815">
                  <c:v>98.86</c:v>
                </c:pt>
                <c:pt idx="816">
                  <c:v>99.84</c:v>
                </c:pt>
                <c:pt idx="817">
                  <c:v>99.01</c:v>
                </c:pt>
                <c:pt idx="818">
                  <c:v>97.86999999999999</c:v>
                </c:pt>
                <c:pt idx="819">
                  <c:v>98.39</c:v>
                </c:pt>
                <c:pt idx="820">
                  <c:v>98.6</c:v>
                </c:pt>
                <c:pt idx="821">
                  <c:v>98.240000000000023</c:v>
                </c:pt>
                <c:pt idx="822">
                  <c:v>99.63</c:v>
                </c:pt>
                <c:pt idx="823">
                  <c:v>99.32</c:v>
                </c:pt>
                <c:pt idx="824">
                  <c:v>100.61999999999999</c:v>
                </c:pt>
                <c:pt idx="825">
                  <c:v>100.31</c:v>
                </c:pt>
                <c:pt idx="826">
                  <c:v>99</c:v>
                </c:pt>
                <c:pt idx="827">
                  <c:v>99.58</c:v>
                </c:pt>
                <c:pt idx="828">
                  <c:v>97.72</c:v>
                </c:pt>
                <c:pt idx="829">
                  <c:v>97.13</c:v>
                </c:pt>
                <c:pt idx="830">
                  <c:v>96.53</c:v>
                </c:pt>
                <c:pt idx="831">
                  <c:v>97.45</c:v>
                </c:pt>
                <c:pt idx="832">
                  <c:v>96.440000000000026</c:v>
                </c:pt>
                <c:pt idx="833">
                  <c:v>98.56</c:v>
                </c:pt>
                <c:pt idx="834">
                  <c:v>98.81</c:v>
                </c:pt>
                <c:pt idx="835">
                  <c:v>99.72</c:v>
                </c:pt>
                <c:pt idx="836">
                  <c:v>100.16</c:v>
                </c:pt>
                <c:pt idx="837">
                  <c:v>100.61999999999999</c:v>
                </c:pt>
                <c:pt idx="838">
                  <c:v>100.14999999999999</c:v>
                </c:pt>
                <c:pt idx="839">
                  <c:v>100.63</c:v>
                </c:pt>
                <c:pt idx="840">
                  <c:v>100.58</c:v>
                </c:pt>
                <c:pt idx="841">
                  <c:v>101.24000000000002</c:v>
                </c:pt>
                <c:pt idx="842">
                  <c:v>101.63</c:v>
                </c:pt>
                <c:pt idx="843">
                  <c:v>101.36999999999999</c:v>
                </c:pt>
                <c:pt idx="844">
                  <c:v>101.7</c:v>
                </c:pt>
                <c:pt idx="845">
                  <c:v>100.66999999999999</c:v>
                </c:pt>
                <c:pt idx="846">
                  <c:v>101.19</c:v>
                </c:pt>
                <c:pt idx="847">
                  <c:v>101.3</c:v>
                </c:pt>
                <c:pt idx="848">
                  <c:v>99.83</c:v>
                </c:pt>
                <c:pt idx="849">
                  <c:v>100.11</c:v>
                </c:pt>
                <c:pt idx="850">
                  <c:v>99.679999999999978</c:v>
                </c:pt>
                <c:pt idx="851">
                  <c:v>101.36999999999999</c:v>
                </c:pt>
                <c:pt idx="852">
                  <c:v>101.52</c:v>
                </c:pt>
                <c:pt idx="853">
                  <c:v>101.45</c:v>
                </c:pt>
                <c:pt idx="854">
                  <c:v>101.78</c:v>
                </c:pt>
                <c:pt idx="855">
                  <c:v>102.58</c:v>
                </c:pt>
                <c:pt idx="856">
                  <c:v>102.04</c:v>
                </c:pt>
                <c:pt idx="857">
                  <c:v>101.95</c:v>
                </c:pt>
                <c:pt idx="858">
                  <c:v>102.53</c:v>
                </c:pt>
                <c:pt idx="859">
                  <c:v>102.06</c:v>
                </c:pt>
                <c:pt idx="860">
                  <c:v>101.48</c:v>
                </c:pt>
                <c:pt idx="861">
                  <c:v>102.59</c:v>
                </c:pt>
                <c:pt idx="862">
                  <c:v>102.6</c:v>
                </c:pt>
                <c:pt idx="863">
                  <c:v>101.83</c:v>
                </c:pt>
                <c:pt idx="864">
                  <c:v>101.16999999999999</c:v>
                </c:pt>
                <c:pt idx="865">
                  <c:v>100.27</c:v>
                </c:pt>
                <c:pt idx="866">
                  <c:v>101.08</c:v>
                </c:pt>
                <c:pt idx="867">
                  <c:v>100.23</c:v>
                </c:pt>
                <c:pt idx="868">
                  <c:v>100.39</c:v>
                </c:pt>
                <c:pt idx="869">
                  <c:v>101.96000000000002</c:v>
                </c:pt>
                <c:pt idx="870">
                  <c:v>102.19</c:v>
                </c:pt>
                <c:pt idx="871">
                  <c:v>102.61</c:v>
                </c:pt>
                <c:pt idx="872">
                  <c:v>102.61</c:v>
                </c:pt>
                <c:pt idx="873">
                  <c:v>102.64</c:v>
                </c:pt>
                <c:pt idx="874">
                  <c:v>103.75</c:v>
                </c:pt>
                <c:pt idx="875">
                  <c:v>103.43</c:v>
                </c:pt>
                <c:pt idx="876">
                  <c:v>103.29</c:v>
                </c:pt>
                <c:pt idx="877">
                  <c:v>103.76</c:v>
                </c:pt>
                <c:pt idx="878">
                  <c:v>102.98</c:v>
                </c:pt>
                <c:pt idx="879">
                  <c:v>103.67999999999998</c:v>
                </c:pt>
                <c:pt idx="880">
                  <c:v>102.83</c:v>
                </c:pt>
                <c:pt idx="881">
                  <c:v>102.75</c:v>
                </c:pt>
                <c:pt idx="882">
                  <c:v>103.92</c:v>
                </c:pt>
                <c:pt idx="883">
                  <c:v>104.19</c:v>
                </c:pt>
                <c:pt idx="884">
                  <c:v>103.61999999999999</c:v>
                </c:pt>
                <c:pt idx="885">
                  <c:v>104.27</c:v>
                </c:pt>
                <c:pt idx="886">
                  <c:v>104.43</c:v>
                </c:pt>
                <c:pt idx="887">
                  <c:v>105.66999999999999</c:v>
                </c:pt>
                <c:pt idx="888">
                  <c:v>105.59</c:v>
                </c:pt>
                <c:pt idx="889">
                  <c:v>106.02</c:v>
                </c:pt>
                <c:pt idx="890">
                  <c:v>106.3</c:v>
                </c:pt>
                <c:pt idx="891">
                  <c:v>106.11</c:v>
                </c:pt>
                <c:pt idx="892">
                  <c:v>107.61</c:v>
                </c:pt>
                <c:pt idx="893">
                  <c:v>107.83</c:v>
                </c:pt>
                <c:pt idx="894">
                  <c:v>107.55</c:v>
                </c:pt>
                <c:pt idx="895">
                  <c:v>108.84</c:v>
                </c:pt>
                <c:pt idx="896">
                  <c:v>109</c:v>
                </c:pt>
                <c:pt idx="897">
                  <c:v>109.29</c:v>
                </c:pt>
                <c:pt idx="898">
                  <c:v>109.79</c:v>
                </c:pt>
                <c:pt idx="899">
                  <c:v>108.86</c:v>
                </c:pt>
                <c:pt idx="900">
                  <c:v>109.4</c:v>
                </c:pt>
                <c:pt idx="901">
                  <c:v>108.82</c:v>
                </c:pt>
                <c:pt idx="902">
                  <c:v>109.72</c:v>
                </c:pt>
                <c:pt idx="903">
                  <c:v>109.88</c:v>
                </c:pt>
                <c:pt idx="904">
                  <c:v>110.59</c:v>
                </c:pt>
                <c:pt idx="905">
                  <c:v>110.58</c:v>
                </c:pt>
                <c:pt idx="906">
                  <c:v>110.51</c:v>
                </c:pt>
                <c:pt idx="907">
                  <c:v>111.35</c:v>
                </c:pt>
                <c:pt idx="908">
                  <c:v>111.03</c:v>
                </c:pt>
                <c:pt idx="909">
                  <c:v>110.75</c:v>
                </c:pt>
                <c:pt idx="910">
                  <c:v>112.09</c:v>
                </c:pt>
                <c:pt idx="911">
                  <c:v>111</c:v>
                </c:pt>
                <c:pt idx="912">
                  <c:v>109.53</c:v>
                </c:pt>
                <c:pt idx="913">
                  <c:v>109.78</c:v>
                </c:pt>
                <c:pt idx="914">
                  <c:v>110.17999999999998</c:v>
                </c:pt>
                <c:pt idx="915">
                  <c:v>110.22</c:v>
                </c:pt>
                <c:pt idx="916">
                  <c:v>109.32</c:v>
                </c:pt>
                <c:pt idx="917">
                  <c:v>109.54</c:v>
                </c:pt>
                <c:pt idx="918">
                  <c:v>110.88</c:v>
                </c:pt>
                <c:pt idx="919">
                  <c:v>110.64</c:v>
                </c:pt>
                <c:pt idx="920">
                  <c:v>111.16</c:v>
                </c:pt>
                <c:pt idx="921">
                  <c:v>111.85</c:v>
                </c:pt>
                <c:pt idx="922">
                  <c:v>111.27</c:v>
                </c:pt>
                <c:pt idx="923">
                  <c:v>111.26</c:v>
                </c:pt>
                <c:pt idx="924">
                  <c:v>112.33</c:v>
                </c:pt>
                <c:pt idx="925">
                  <c:v>111.39</c:v>
                </c:pt>
                <c:pt idx="926">
                  <c:v>111.1</c:v>
                </c:pt>
                <c:pt idx="927">
                  <c:v>110.76</c:v>
                </c:pt>
                <c:pt idx="928">
                  <c:v>110.59</c:v>
                </c:pt>
                <c:pt idx="929">
                  <c:v>111.05</c:v>
                </c:pt>
                <c:pt idx="930">
                  <c:v>111.16999999999999</c:v>
                </c:pt>
                <c:pt idx="931">
                  <c:v>111.17999999999998</c:v>
                </c:pt>
                <c:pt idx="932">
                  <c:v>112.24000000000002</c:v>
                </c:pt>
                <c:pt idx="933">
                  <c:v>111.59</c:v>
                </c:pt>
                <c:pt idx="934">
                  <c:v>111.79</c:v>
                </c:pt>
                <c:pt idx="935">
                  <c:v>112.14999999999999</c:v>
                </c:pt>
                <c:pt idx="936">
                  <c:v>112.36999999999999</c:v>
                </c:pt>
                <c:pt idx="937">
                  <c:v>111.38</c:v>
                </c:pt>
                <c:pt idx="938">
                  <c:v>110.77</c:v>
                </c:pt>
                <c:pt idx="939">
                  <c:v>109.13</c:v>
                </c:pt>
                <c:pt idx="940">
                  <c:v>107.52</c:v>
                </c:pt>
                <c:pt idx="941">
                  <c:v>108.83</c:v>
                </c:pt>
                <c:pt idx="942">
                  <c:v>107.31</c:v>
                </c:pt>
                <c:pt idx="943">
                  <c:v>107.9</c:v>
                </c:pt>
                <c:pt idx="944">
                  <c:v>109.16</c:v>
                </c:pt>
                <c:pt idx="945">
                  <c:v>109.05</c:v>
                </c:pt>
                <c:pt idx="946">
                  <c:v>107.8</c:v>
                </c:pt>
                <c:pt idx="947">
                  <c:v>106.39</c:v>
                </c:pt>
                <c:pt idx="948">
                  <c:v>106.25</c:v>
                </c:pt>
                <c:pt idx="949">
                  <c:v>106.02</c:v>
                </c:pt>
                <c:pt idx="950">
                  <c:v>107.7</c:v>
                </c:pt>
                <c:pt idx="951">
                  <c:v>107.63</c:v>
                </c:pt>
                <c:pt idx="952">
                  <c:v>109.04</c:v>
                </c:pt>
                <c:pt idx="953">
                  <c:v>109.48</c:v>
                </c:pt>
                <c:pt idx="954">
                  <c:v>109.39</c:v>
                </c:pt>
                <c:pt idx="955">
                  <c:v>110.03</c:v>
                </c:pt>
                <c:pt idx="956">
                  <c:v>110.93</c:v>
                </c:pt>
                <c:pt idx="957">
                  <c:v>111.74000000000002</c:v>
                </c:pt>
                <c:pt idx="958">
                  <c:v>111.52</c:v>
                </c:pt>
                <c:pt idx="959">
                  <c:v>110.86</c:v>
                </c:pt>
                <c:pt idx="960">
                  <c:v>110.73</c:v>
                </c:pt>
                <c:pt idx="961">
                  <c:v>109.75</c:v>
                </c:pt>
                <c:pt idx="962">
                  <c:v>109.64999999999999</c:v>
                </c:pt>
                <c:pt idx="963">
                  <c:v>110.26</c:v>
                </c:pt>
                <c:pt idx="964">
                  <c:v>110.34</c:v>
                </c:pt>
                <c:pt idx="965">
                  <c:v>108.61999999999999</c:v>
                </c:pt>
                <c:pt idx="966">
                  <c:v>109.23</c:v>
                </c:pt>
                <c:pt idx="967">
                  <c:v>110.74000000000002</c:v>
                </c:pt>
                <c:pt idx="968">
                  <c:v>110.82</c:v>
                </c:pt>
                <c:pt idx="969">
                  <c:v>110.38</c:v>
                </c:pt>
                <c:pt idx="970">
                  <c:v>110.6</c:v>
                </c:pt>
                <c:pt idx="971">
                  <c:v>109.09</c:v>
                </c:pt>
                <c:pt idx="972">
                  <c:v>108.3</c:v>
                </c:pt>
                <c:pt idx="973">
                  <c:v>107.66</c:v>
                </c:pt>
                <c:pt idx="974">
                  <c:v>108.63</c:v>
                </c:pt>
                <c:pt idx="975">
                  <c:v>108.8</c:v>
                </c:pt>
                <c:pt idx="976">
                  <c:v>109.05</c:v>
                </c:pt>
                <c:pt idx="977">
                  <c:v>108.31</c:v>
                </c:pt>
                <c:pt idx="978">
                  <c:v>106.8</c:v>
                </c:pt>
                <c:pt idx="979">
                  <c:v>105.66999999999999</c:v>
                </c:pt>
                <c:pt idx="980">
                  <c:v>106.49000000000002</c:v>
                </c:pt>
                <c:pt idx="981">
                  <c:v>106.75</c:v>
                </c:pt>
                <c:pt idx="982">
                  <c:v>106.61999999999999</c:v>
                </c:pt>
                <c:pt idx="983">
                  <c:v>106.56</c:v>
                </c:pt>
                <c:pt idx="984">
                  <c:v>105.48</c:v>
                </c:pt>
                <c:pt idx="985">
                  <c:v>106.16999999999999</c:v>
                </c:pt>
                <c:pt idx="986">
                  <c:v>105.9</c:v>
                </c:pt>
                <c:pt idx="987">
                  <c:v>106.58</c:v>
                </c:pt>
                <c:pt idx="988">
                  <c:v>108.26</c:v>
                </c:pt>
                <c:pt idx="989">
                  <c:v>108.48</c:v>
                </c:pt>
                <c:pt idx="990">
                  <c:v>109.11</c:v>
                </c:pt>
                <c:pt idx="991">
                  <c:v>109.03</c:v>
                </c:pt>
                <c:pt idx="992">
                  <c:v>109.08</c:v>
                </c:pt>
                <c:pt idx="993">
                  <c:v>109.49000000000002</c:v>
                </c:pt>
                <c:pt idx="994">
                  <c:v>108.64999999999999</c:v>
                </c:pt>
                <c:pt idx="995">
                  <c:v>109.26</c:v>
                </c:pt>
                <c:pt idx="996">
                  <c:v>110.98</c:v>
                </c:pt>
                <c:pt idx="997">
                  <c:v>111.14999999999999</c:v>
                </c:pt>
                <c:pt idx="998">
                  <c:v>110.11</c:v>
                </c:pt>
                <c:pt idx="999">
                  <c:v>110.6</c:v>
                </c:pt>
                <c:pt idx="1000">
                  <c:v>110.6</c:v>
                </c:pt>
                <c:pt idx="1001">
                  <c:v>109.53</c:v>
                </c:pt>
                <c:pt idx="1002">
                  <c:v>110.22</c:v>
                </c:pt>
                <c:pt idx="1003">
                  <c:v>110.33</c:v>
                </c:pt>
                <c:pt idx="1004">
                  <c:v>110.17999999999998</c:v>
                </c:pt>
                <c:pt idx="1005">
                  <c:v>110.46000000000002</c:v>
                </c:pt>
                <c:pt idx="1006">
                  <c:v>110</c:v>
                </c:pt>
                <c:pt idx="1007">
                  <c:v>110.41000000000012</c:v>
                </c:pt>
                <c:pt idx="1008">
                  <c:v>111.33</c:v>
                </c:pt>
                <c:pt idx="1009">
                  <c:v>111.03</c:v>
                </c:pt>
                <c:pt idx="1010">
                  <c:v>110.54</c:v>
                </c:pt>
                <c:pt idx="1011">
                  <c:v>110.29</c:v>
                </c:pt>
                <c:pt idx="1012">
                  <c:v>110.59</c:v>
                </c:pt>
                <c:pt idx="1013">
                  <c:v>111.04</c:v>
                </c:pt>
                <c:pt idx="1014">
                  <c:v>109.86999999999999</c:v>
                </c:pt>
                <c:pt idx="1015">
                  <c:v>109.56</c:v>
                </c:pt>
                <c:pt idx="1016">
                  <c:v>109.56</c:v>
                </c:pt>
                <c:pt idx="1017">
                  <c:v>108.64999999999999</c:v>
                </c:pt>
                <c:pt idx="1018">
                  <c:v>108.88</c:v>
                </c:pt>
                <c:pt idx="1019">
                  <c:v>108.01</c:v>
                </c:pt>
                <c:pt idx="1020">
                  <c:v>108.35</c:v>
                </c:pt>
                <c:pt idx="1021">
                  <c:v>108.48</c:v>
                </c:pt>
                <c:pt idx="1022">
                  <c:v>108.57</c:v>
                </c:pt>
                <c:pt idx="1023">
                  <c:v>108.23</c:v>
                </c:pt>
                <c:pt idx="1024">
                  <c:v>107.71000000000002</c:v>
                </c:pt>
                <c:pt idx="1025">
                  <c:v>107.27</c:v>
                </c:pt>
                <c:pt idx="1026">
                  <c:v>107.14999999999999</c:v>
                </c:pt>
                <c:pt idx="1027">
                  <c:v>107.98</c:v>
                </c:pt>
                <c:pt idx="1028">
                  <c:v>106.75</c:v>
                </c:pt>
                <c:pt idx="1029">
                  <c:v>105.76</c:v>
                </c:pt>
                <c:pt idx="1030">
                  <c:v>105.55</c:v>
                </c:pt>
                <c:pt idx="1031">
                  <c:v>106.57</c:v>
                </c:pt>
                <c:pt idx="1032">
                  <c:v>106.66999999999999</c:v>
                </c:pt>
                <c:pt idx="1033">
                  <c:v>107.17999999999998</c:v>
                </c:pt>
                <c:pt idx="1034">
                  <c:v>107.29</c:v>
                </c:pt>
                <c:pt idx="1035">
                  <c:v>107.76</c:v>
                </c:pt>
                <c:pt idx="1036">
                  <c:v>107.07</c:v>
                </c:pt>
                <c:pt idx="1037">
                  <c:v>107</c:v>
                </c:pt>
                <c:pt idx="1038">
                  <c:v>105.25</c:v>
                </c:pt>
                <c:pt idx="1039">
                  <c:v>103.64999999999999</c:v>
                </c:pt>
                <c:pt idx="1040">
                  <c:v>103.76</c:v>
                </c:pt>
                <c:pt idx="1041">
                  <c:v>105.07</c:v>
                </c:pt>
                <c:pt idx="1042">
                  <c:v>104.84</c:v>
                </c:pt>
                <c:pt idx="1043">
                  <c:v>103.63</c:v>
                </c:pt>
                <c:pt idx="1044">
                  <c:v>103.81</c:v>
                </c:pt>
                <c:pt idx="1045">
                  <c:v>105.45</c:v>
                </c:pt>
                <c:pt idx="1046">
                  <c:v>106.74000000000002</c:v>
                </c:pt>
                <c:pt idx="1047">
                  <c:v>106.36999999999999</c:v>
                </c:pt>
                <c:pt idx="1048">
                  <c:v>107.06</c:v>
                </c:pt>
                <c:pt idx="1049">
                  <c:v>106.8</c:v>
                </c:pt>
                <c:pt idx="1050">
                  <c:v>106.86999999999999</c:v>
                </c:pt>
                <c:pt idx="1051">
                  <c:v>107.7</c:v>
                </c:pt>
                <c:pt idx="1052">
                  <c:v>107.98</c:v>
                </c:pt>
                <c:pt idx="1053">
                  <c:v>107.14</c:v>
                </c:pt>
                <c:pt idx="1054">
                  <c:v>107.63</c:v>
                </c:pt>
                <c:pt idx="1055">
                  <c:v>107.84</c:v>
                </c:pt>
                <c:pt idx="1056">
                  <c:v>109.06</c:v>
                </c:pt>
                <c:pt idx="1057">
                  <c:v>108.59</c:v>
                </c:pt>
                <c:pt idx="1058">
                  <c:v>108.59</c:v>
                </c:pt>
                <c:pt idx="1059">
                  <c:v>109.34</c:v>
                </c:pt>
                <c:pt idx="1060">
                  <c:v>108.89</c:v>
                </c:pt>
                <c:pt idx="1061">
                  <c:v>109.05</c:v>
                </c:pt>
                <c:pt idx="1062">
                  <c:v>109.58</c:v>
                </c:pt>
                <c:pt idx="1063">
                  <c:v>109.8</c:v>
                </c:pt>
                <c:pt idx="1064">
                  <c:v>110.04</c:v>
                </c:pt>
                <c:pt idx="1065">
                  <c:v>109.25</c:v>
                </c:pt>
                <c:pt idx="1066">
                  <c:v>109.56</c:v>
                </c:pt>
                <c:pt idx="1067">
                  <c:v>110.04</c:v>
                </c:pt>
                <c:pt idx="1068">
                  <c:v>109.42</c:v>
                </c:pt>
                <c:pt idx="1069">
                  <c:v>110.08</c:v>
                </c:pt>
                <c:pt idx="1070">
                  <c:v>108.54</c:v>
                </c:pt>
                <c:pt idx="1071">
                  <c:v>108.04</c:v>
                </c:pt>
                <c:pt idx="1072">
                  <c:v>108.23</c:v>
                </c:pt>
                <c:pt idx="1073">
                  <c:v>107.58</c:v>
                </c:pt>
                <c:pt idx="1074">
                  <c:v>108.22</c:v>
                </c:pt>
                <c:pt idx="1075">
                  <c:v>108.69</c:v>
                </c:pt>
                <c:pt idx="1076">
                  <c:v>108.66</c:v>
                </c:pt>
                <c:pt idx="1077">
                  <c:v>110.31</c:v>
                </c:pt>
                <c:pt idx="1078">
                  <c:v>110.67999999999998</c:v>
                </c:pt>
                <c:pt idx="1079">
                  <c:v>110.61999999999999</c:v>
                </c:pt>
                <c:pt idx="1080">
                  <c:v>111.38</c:v>
                </c:pt>
                <c:pt idx="1081">
                  <c:v>110.28</c:v>
                </c:pt>
                <c:pt idx="1082">
                  <c:v>109.45</c:v>
                </c:pt>
                <c:pt idx="1083">
                  <c:v>109.66999999999999</c:v>
                </c:pt>
                <c:pt idx="1084">
                  <c:v>109.41000000000012</c:v>
                </c:pt>
                <c:pt idx="1085">
                  <c:v>108.61</c:v>
                </c:pt>
                <c:pt idx="1086">
                  <c:v>108.09</c:v>
                </c:pt>
                <c:pt idx="1087">
                  <c:v>108.64999999999999</c:v>
                </c:pt>
                <c:pt idx="1088">
                  <c:v>107.6</c:v>
                </c:pt>
                <c:pt idx="1089">
                  <c:v>107.64</c:v>
                </c:pt>
                <c:pt idx="1090">
                  <c:v>107.93</c:v>
                </c:pt>
                <c:pt idx="1091">
                  <c:v>106.86999999999999</c:v>
                </c:pt>
                <c:pt idx="1092">
                  <c:v>106.79</c:v>
                </c:pt>
                <c:pt idx="1093">
                  <c:v>108.36</c:v>
                </c:pt>
                <c:pt idx="1094">
                  <c:v>109.77</c:v>
                </c:pt>
                <c:pt idx="1095">
                  <c:v>109.98</c:v>
                </c:pt>
                <c:pt idx="1096">
                  <c:v>110.25</c:v>
                </c:pt>
                <c:pt idx="1097">
                  <c:v>110.31</c:v>
                </c:pt>
                <c:pt idx="1098">
                  <c:v>111.54</c:v>
                </c:pt>
                <c:pt idx="1099">
                  <c:v>113.35</c:v>
                </c:pt>
                <c:pt idx="1100">
                  <c:v>113.81</c:v>
                </c:pt>
                <c:pt idx="1101">
                  <c:v>113.66999999999999</c:v>
                </c:pt>
                <c:pt idx="1102">
                  <c:v>113.63</c:v>
                </c:pt>
                <c:pt idx="1103">
                  <c:v>113.53</c:v>
                </c:pt>
                <c:pt idx="1104">
                  <c:v>115.56</c:v>
                </c:pt>
                <c:pt idx="1105">
                  <c:v>115.53</c:v>
                </c:pt>
                <c:pt idx="1106">
                  <c:v>114.72</c:v>
                </c:pt>
                <c:pt idx="1107">
                  <c:v>115.36999999999999</c:v>
                </c:pt>
                <c:pt idx="1108">
                  <c:v>115.51</c:v>
                </c:pt>
                <c:pt idx="1109">
                  <c:v>114.25</c:v>
                </c:pt>
                <c:pt idx="1110">
                  <c:v>114.89</c:v>
                </c:pt>
                <c:pt idx="1111">
                  <c:v>114.86999999999999</c:v>
                </c:pt>
                <c:pt idx="1112">
                  <c:v>115.32</c:v>
                </c:pt>
                <c:pt idx="1113">
                  <c:v>115.32</c:v>
                </c:pt>
                <c:pt idx="1114">
                  <c:v>115.39</c:v>
                </c:pt>
                <c:pt idx="1115">
                  <c:v>115</c:v>
                </c:pt>
                <c:pt idx="1116">
                  <c:v>114.55</c:v>
                </c:pt>
                <c:pt idx="1117">
                  <c:v>116.26</c:v>
                </c:pt>
                <c:pt idx="1118">
                  <c:v>116.16999999999999</c:v>
                </c:pt>
                <c:pt idx="1119">
                  <c:v>116.26</c:v>
                </c:pt>
                <c:pt idx="1120">
                  <c:v>116.17999999999998</c:v>
                </c:pt>
                <c:pt idx="1121">
                  <c:v>114.95</c:v>
                </c:pt>
                <c:pt idx="1122">
                  <c:v>115.51</c:v>
                </c:pt>
                <c:pt idx="1123">
                  <c:v>116.11999999999999</c:v>
                </c:pt>
                <c:pt idx="1124">
                  <c:v>116.02</c:v>
                </c:pt>
                <c:pt idx="1125">
                  <c:v>117.06</c:v>
                </c:pt>
                <c:pt idx="1126">
                  <c:v>117.51</c:v>
                </c:pt>
                <c:pt idx="1127">
                  <c:v>117.75</c:v>
                </c:pt>
                <c:pt idx="1128">
                  <c:v>117.52</c:v>
                </c:pt>
                <c:pt idx="1129">
                  <c:v>116.69</c:v>
                </c:pt>
                <c:pt idx="1130">
                  <c:v>116.7</c:v>
                </c:pt>
                <c:pt idx="1131">
                  <c:v>117.75</c:v>
                </c:pt>
                <c:pt idx="1132">
                  <c:v>118.16999999999999</c:v>
                </c:pt>
                <c:pt idx="1133">
                  <c:v>118.22</c:v>
                </c:pt>
                <c:pt idx="1134">
                  <c:v>118.22</c:v>
                </c:pt>
                <c:pt idx="1135">
                  <c:v>117.72</c:v>
                </c:pt>
                <c:pt idx="1136">
                  <c:v>118.56</c:v>
                </c:pt>
                <c:pt idx="1137">
                  <c:v>118.58</c:v>
                </c:pt>
                <c:pt idx="1138">
                  <c:v>118.58</c:v>
                </c:pt>
                <c:pt idx="1139">
                  <c:v>118.42</c:v>
                </c:pt>
                <c:pt idx="1140">
                  <c:v>117.5</c:v>
                </c:pt>
                <c:pt idx="1141">
                  <c:v>116.14999999999999</c:v>
                </c:pt>
                <c:pt idx="1142">
                  <c:v>115.71000000000002</c:v>
                </c:pt>
                <c:pt idx="1143">
                  <c:v>116.14999999999999</c:v>
                </c:pt>
                <c:pt idx="1144">
                  <c:v>116.38</c:v>
                </c:pt>
                <c:pt idx="1145">
                  <c:v>115.66999999999999</c:v>
                </c:pt>
                <c:pt idx="1146">
                  <c:v>116.11999999999999</c:v>
                </c:pt>
                <c:pt idx="1147">
                  <c:v>115.8</c:v>
                </c:pt>
                <c:pt idx="1148">
                  <c:v>115.79</c:v>
                </c:pt>
                <c:pt idx="1149">
                  <c:v>116.91000000000012</c:v>
                </c:pt>
                <c:pt idx="1150">
                  <c:v>114.92</c:v>
                </c:pt>
                <c:pt idx="1151">
                  <c:v>114.16999999999999</c:v>
                </c:pt>
                <c:pt idx="1152">
                  <c:v>113.78</c:v>
                </c:pt>
                <c:pt idx="1153">
                  <c:v>114.23</c:v>
                </c:pt>
                <c:pt idx="1154">
                  <c:v>114.8</c:v>
                </c:pt>
                <c:pt idx="1155">
                  <c:v>114.51</c:v>
                </c:pt>
                <c:pt idx="1156">
                  <c:v>115.45</c:v>
                </c:pt>
                <c:pt idx="1157">
                  <c:v>116.25</c:v>
                </c:pt>
                <c:pt idx="1158">
                  <c:v>116.63</c:v>
                </c:pt>
                <c:pt idx="1159">
                  <c:v>116.34</c:v>
                </c:pt>
                <c:pt idx="1160">
                  <c:v>117.61999999999999</c:v>
                </c:pt>
                <c:pt idx="1161">
                  <c:v>117.48</c:v>
                </c:pt>
                <c:pt idx="1162">
                  <c:v>117.55</c:v>
                </c:pt>
                <c:pt idx="1163">
                  <c:v>116.57</c:v>
                </c:pt>
                <c:pt idx="1164">
                  <c:v>117.05</c:v>
                </c:pt>
                <c:pt idx="1165">
                  <c:v>117.89</c:v>
                </c:pt>
                <c:pt idx="1166">
                  <c:v>117.97</c:v>
                </c:pt>
                <c:pt idx="1167">
                  <c:v>118.36</c:v>
                </c:pt>
                <c:pt idx="1168">
                  <c:v>118.38</c:v>
                </c:pt>
                <c:pt idx="1169">
                  <c:v>117.45</c:v>
                </c:pt>
                <c:pt idx="1170">
                  <c:v>117.53</c:v>
                </c:pt>
                <c:pt idx="1171">
                  <c:v>117.52</c:v>
                </c:pt>
                <c:pt idx="1172">
                  <c:v>115.8</c:v>
                </c:pt>
                <c:pt idx="1173">
                  <c:v>116.47</c:v>
                </c:pt>
                <c:pt idx="1174">
                  <c:v>117.4</c:v>
                </c:pt>
                <c:pt idx="1175">
                  <c:v>118.5</c:v>
                </c:pt>
                <c:pt idx="1176">
                  <c:v>117.72</c:v>
                </c:pt>
                <c:pt idx="1177">
                  <c:v>118.4</c:v>
                </c:pt>
                <c:pt idx="1178">
                  <c:v>118.39</c:v>
                </c:pt>
                <c:pt idx="1179">
                  <c:v>119.59</c:v>
                </c:pt>
                <c:pt idx="1180">
                  <c:v>119.88</c:v>
                </c:pt>
                <c:pt idx="1181">
                  <c:v>119.31</c:v>
                </c:pt>
                <c:pt idx="1182">
                  <c:v>118.09</c:v>
                </c:pt>
                <c:pt idx="1183">
                  <c:v>118.31</c:v>
                </c:pt>
                <c:pt idx="1184">
                  <c:v>117.44000000000032</c:v>
                </c:pt>
                <c:pt idx="1185">
                  <c:v>118.09</c:v>
                </c:pt>
                <c:pt idx="1186">
                  <c:v>117.19</c:v>
                </c:pt>
                <c:pt idx="1187">
                  <c:v>116.24000000000002</c:v>
                </c:pt>
                <c:pt idx="1188">
                  <c:v>116.44000000000032</c:v>
                </c:pt>
                <c:pt idx="1189">
                  <c:v>116.36999999999999</c:v>
                </c:pt>
                <c:pt idx="1190">
                  <c:v>115.79</c:v>
                </c:pt>
                <c:pt idx="1191">
                  <c:v>114.6</c:v>
                </c:pt>
                <c:pt idx="1192">
                  <c:v>114.67999999999998</c:v>
                </c:pt>
                <c:pt idx="1193">
                  <c:v>114.57</c:v>
                </c:pt>
                <c:pt idx="1194">
                  <c:v>114.04</c:v>
                </c:pt>
                <c:pt idx="1195">
                  <c:v>115.61</c:v>
                </c:pt>
                <c:pt idx="1196">
                  <c:v>115.53</c:v>
                </c:pt>
                <c:pt idx="1197">
                  <c:v>114.78</c:v>
                </c:pt>
                <c:pt idx="1198">
                  <c:v>115.1</c:v>
                </c:pt>
                <c:pt idx="1199">
                  <c:v>115.63</c:v>
                </c:pt>
                <c:pt idx="1200">
                  <c:v>115.91000000000012</c:v>
                </c:pt>
                <c:pt idx="1201">
                  <c:v>116.61</c:v>
                </c:pt>
                <c:pt idx="1202">
                  <c:v>115.63</c:v>
                </c:pt>
                <c:pt idx="1203">
                  <c:v>115.63</c:v>
                </c:pt>
                <c:pt idx="1204">
                  <c:v>116.28</c:v>
                </c:pt>
                <c:pt idx="1205">
                  <c:v>114.92</c:v>
                </c:pt>
                <c:pt idx="1206">
                  <c:v>113.77</c:v>
                </c:pt>
                <c:pt idx="1207">
                  <c:v>111.88</c:v>
                </c:pt>
                <c:pt idx="1208">
                  <c:v>112.19</c:v>
                </c:pt>
                <c:pt idx="1209">
                  <c:v>112.86</c:v>
                </c:pt>
                <c:pt idx="1210">
                  <c:v>111.36999999999999</c:v>
                </c:pt>
                <c:pt idx="1211">
                  <c:v>113.56</c:v>
                </c:pt>
                <c:pt idx="1212">
                  <c:v>112.81</c:v>
                </c:pt>
                <c:pt idx="1213">
                  <c:v>113.77</c:v>
                </c:pt>
                <c:pt idx="1214">
                  <c:v>112.75</c:v>
                </c:pt>
                <c:pt idx="1215">
                  <c:v>111.94000000000032</c:v>
                </c:pt>
                <c:pt idx="1216">
                  <c:v>113.29</c:v>
                </c:pt>
                <c:pt idx="1217">
                  <c:v>113.8</c:v>
                </c:pt>
                <c:pt idx="1218">
                  <c:v>113.71000000000002</c:v>
                </c:pt>
                <c:pt idx="1219">
                  <c:v>115.13</c:v>
                </c:pt>
                <c:pt idx="1220">
                  <c:v>115.43</c:v>
                </c:pt>
                <c:pt idx="1221">
                  <c:v>114.2</c:v>
                </c:pt>
                <c:pt idx="1222">
                  <c:v>114.73</c:v>
                </c:pt>
                <c:pt idx="1223">
                  <c:v>113.07</c:v>
                </c:pt>
                <c:pt idx="1224">
                  <c:v>115.03</c:v>
                </c:pt>
                <c:pt idx="1225">
                  <c:v>116.2</c:v>
                </c:pt>
                <c:pt idx="1226">
                  <c:v>116.74000000000002</c:v>
                </c:pt>
                <c:pt idx="1227">
                  <c:v>116.56</c:v>
                </c:pt>
                <c:pt idx="1228">
                  <c:v>117.01</c:v>
                </c:pt>
                <c:pt idx="1229">
                  <c:v>117.02</c:v>
                </c:pt>
                <c:pt idx="1230">
                  <c:v>116.63</c:v>
                </c:pt>
                <c:pt idx="1231">
                  <c:v>117.38</c:v>
                </c:pt>
                <c:pt idx="1232">
                  <c:v>117.5</c:v>
                </c:pt>
                <c:pt idx="1233">
                  <c:v>117.5</c:v>
                </c:pt>
                <c:pt idx="1234">
                  <c:v>116.78</c:v>
                </c:pt>
                <c:pt idx="1235">
                  <c:v>117.86999999999999</c:v>
                </c:pt>
                <c:pt idx="1236">
                  <c:v>118.06</c:v>
                </c:pt>
                <c:pt idx="1237">
                  <c:v>117.22</c:v>
                </c:pt>
                <c:pt idx="1238">
                  <c:v>117.36</c:v>
                </c:pt>
                <c:pt idx="1239">
                  <c:v>117.35</c:v>
                </c:pt>
                <c:pt idx="1240">
                  <c:v>117.1</c:v>
                </c:pt>
                <c:pt idx="1241">
                  <c:v>117.43</c:v>
                </c:pt>
                <c:pt idx="1242">
                  <c:v>117.72</c:v>
                </c:pt>
                <c:pt idx="1243">
                  <c:v>118.03</c:v>
                </c:pt>
                <c:pt idx="1244">
                  <c:v>118.29</c:v>
                </c:pt>
                <c:pt idx="1245">
                  <c:v>118.72</c:v>
                </c:pt>
                <c:pt idx="1246">
                  <c:v>119.3</c:v>
                </c:pt>
                <c:pt idx="1247">
                  <c:v>119.21000000000002</c:v>
                </c:pt>
                <c:pt idx="1248">
                  <c:v>118.98</c:v>
                </c:pt>
                <c:pt idx="1249">
                  <c:v>119.01</c:v>
                </c:pt>
                <c:pt idx="1250">
                  <c:v>117.72</c:v>
                </c:pt>
                <c:pt idx="1251">
                  <c:v>116.82</c:v>
                </c:pt>
                <c:pt idx="1252">
                  <c:v>116.73</c:v>
                </c:pt>
                <c:pt idx="1253">
                  <c:v>117.81</c:v>
                </c:pt>
                <c:pt idx="1254">
                  <c:v>117.64999999999999</c:v>
                </c:pt>
                <c:pt idx="1255">
                  <c:v>116.81</c:v>
                </c:pt>
                <c:pt idx="1256">
                  <c:v>117.13</c:v>
                </c:pt>
                <c:pt idx="1257">
                  <c:v>118.13</c:v>
                </c:pt>
                <c:pt idx="1258">
                  <c:v>117.16999999999999</c:v>
                </c:pt>
                <c:pt idx="1259">
                  <c:v>118.84</c:v>
                </c:pt>
                <c:pt idx="1260">
                  <c:v>119.58</c:v>
                </c:pt>
                <c:pt idx="1261">
                  <c:v>119.85</c:v>
                </c:pt>
                <c:pt idx="1262">
                  <c:v>119.97</c:v>
                </c:pt>
                <c:pt idx="1263">
                  <c:v>120.29</c:v>
                </c:pt>
                <c:pt idx="1264">
                  <c:v>120.42</c:v>
                </c:pt>
                <c:pt idx="1265">
                  <c:v>119.76</c:v>
                </c:pt>
                <c:pt idx="1266">
                  <c:v>120.56</c:v>
                </c:pt>
                <c:pt idx="1267">
                  <c:v>121.13</c:v>
                </c:pt>
                <c:pt idx="1268">
                  <c:v>120.98</c:v>
                </c:pt>
                <c:pt idx="1269">
                  <c:v>120.52</c:v>
                </c:pt>
                <c:pt idx="1270">
                  <c:v>120.72</c:v>
                </c:pt>
                <c:pt idx="1271">
                  <c:v>121.28</c:v>
                </c:pt>
                <c:pt idx="1272">
                  <c:v>121.99000000000002</c:v>
                </c:pt>
                <c:pt idx="1273">
                  <c:v>121.06</c:v>
                </c:pt>
                <c:pt idx="1274">
                  <c:v>121.16999999999999</c:v>
                </c:pt>
                <c:pt idx="1275">
                  <c:v>122.03</c:v>
                </c:pt>
                <c:pt idx="1276">
                  <c:v>122.16</c:v>
                </c:pt>
                <c:pt idx="1277">
                  <c:v>121.25</c:v>
                </c:pt>
                <c:pt idx="1278">
                  <c:v>120.33</c:v>
                </c:pt>
                <c:pt idx="1279">
                  <c:v>120.01</c:v>
                </c:pt>
                <c:pt idx="1280">
                  <c:v>120.82</c:v>
                </c:pt>
                <c:pt idx="1281">
                  <c:v>120.64999999999999</c:v>
                </c:pt>
                <c:pt idx="1282">
                  <c:v>121.5</c:v>
                </c:pt>
                <c:pt idx="1283">
                  <c:v>120.77</c:v>
                </c:pt>
                <c:pt idx="1284">
                  <c:v>119.7</c:v>
                </c:pt>
                <c:pt idx="1285">
                  <c:v>119.8</c:v>
                </c:pt>
                <c:pt idx="1286">
                  <c:v>119.7</c:v>
                </c:pt>
                <c:pt idx="1287">
                  <c:v>119.79</c:v>
                </c:pt>
                <c:pt idx="1288">
                  <c:v>119.97</c:v>
                </c:pt>
                <c:pt idx="1289">
                  <c:v>118.75</c:v>
                </c:pt>
                <c:pt idx="1290">
                  <c:v>119.04</c:v>
                </c:pt>
                <c:pt idx="1291">
                  <c:v>118.32</c:v>
                </c:pt>
                <c:pt idx="1292">
                  <c:v>119.05</c:v>
                </c:pt>
                <c:pt idx="1293">
                  <c:v>118.64999999999999</c:v>
                </c:pt>
                <c:pt idx="1294">
                  <c:v>119.85</c:v>
                </c:pt>
                <c:pt idx="1295">
                  <c:v>119.98</c:v>
                </c:pt>
                <c:pt idx="1296">
                  <c:v>119.64</c:v>
                </c:pt>
                <c:pt idx="1297">
                  <c:v>119.63</c:v>
                </c:pt>
                <c:pt idx="1298">
                  <c:v>121.13</c:v>
                </c:pt>
                <c:pt idx="1299">
                  <c:v>121.43</c:v>
                </c:pt>
                <c:pt idx="1300">
                  <c:v>120.94000000000032</c:v>
                </c:pt>
                <c:pt idx="1301">
                  <c:v>121.91000000000012</c:v>
                </c:pt>
                <c:pt idx="1302">
                  <c:v>121.81</c:v>
                </c:pt>
                <c:pt idx="1303">
                  <c:v>120.92</c:v>
                </c:pt>
                <c:pt idx="1304">
                  <c:v>120.52</c:v>
                </c:pt>
                <c:pt idx="1305">
                  <c:v>120.58</c:v>
                </c:pt>
                <c:pt idx="1306">
                  <c:v>121.58</c:v>
                </c:pt>
                <c:pt idx="1307">
                  <c:v>120.92</c:v>
                </c:pt>
                <c:pt idx="1308">
                  <c:v>119.95</c:v>
                </c:pt>
                <c:pt idx="1309">
                  <c:v>118.86</c:v>
                </c:pt>
                <c:pt idx="1310">
                  <c:v>119.31</c:v>
                </c:pt>
                <c:pt idx="1311">
                  <c:v>119.36</c:v>
                </c:pt>
                <c:pt idx="1312">
                  <c:v>119.39</c:v>
                </c:pt>
                <c:pt idx="1313">
                  <c:v>119.39</c:v>
                </c:pt>
                <c:pt idx="1314">
                  <c:v>119.53</c:v>
                </c:pt>
                <c:pt idx="1315">
                  <c:v>120.58</c:v>
                </c:pt>
                <c:pt idx="1316">
                  <c:v>120.67999999999998</c:v>
                </c:pt>
                <c:pt idx="1317">
                  <c:v>120.48</c:v>
                </c:pt>
                <c:pt idx="1318">
                  <c:v>119.28</c:v>
                </c:pt>
                <c:pt idx="1319">
                  <c:v>117.54</c:v>
                </c:pt>
                <c:pt idx="1320">
                  <c:v>117.05</c:v>
                </c:pt>
                <c:pt idx="1321">
                  <c:v>117.48</c:v>
                </c:pt>
                <c:pt idx="1322">
                  <c:v>116.61999999999999</c:v>
                </c:pt>
                <c:pt idx="1323">
                  <c:v>116.39</c:v>
                </c:pt>
                <c:pt idx="1324">
                  <c:v>115.67999999999998</c:v>
                </c:pt>
                <c:pt idx="1325">
                  <c:v>115.59</c:v>
                </c:pt>
                <c:pt idx="1326">
                  <c:v>116.55</c:v>
                </c:pt>
                <c:pt idx="1327">
                  <c:v>116.89</c:v>
                </c:pt>
                <c:pt idx="1328">
                  <c:v>115.71000000000002</c:v>
                </c:pt>
                <c:pt idx="1329">
                  <c:v>117.42</c:v>
                </c:pt>
                <c:pt idx="1330">
                  <c:v>115.66</c:v>
                </c:pt>
                <c:pt idx="1331">
                  <c:v>115.86</c:v>
                </c:pt>
                <c:pt idx="1332">
                  <c:v>117.79</c:v>
                </c:pt>
                <c:pt idx="1333">
                  <c:v>117.52</c:v>
                </c:pt>
                <c:pt idx="1334">
                  <c:v>117.02</c:v>
                </c:pt>
                <c:pt idx="1335">
                  <c:v>115.8</c:v>
                </c:pt>
                <c:pt idx="1336">
                  <c:v>117.71000000000002</c:v>
                </c:pt>
                <c:pt idx="1337">
                  <c:v>118.58</c:v>
                </c:pt>
                <c:pt idx="1338">
                  <c:v>119.36999999999999</c:v>
                </c:pt>
                <c:pt idx="1339">
                  <c:v>119.91000000000012</c:v>
                </c:pt>
                <c:pt idx="1340">
                  <c:v>119.93</c:v>
                </c:pt>
                <c:pt idx="1341">
                  <c:v>120.19</c:v>
                </c:pt>
                <c:pt idx="1342">
                  <c:v>119.82</c:v>
                </c:pt>
                <c:pt idx="1343">
                  <c:v>120.03</c:v>
                </c:pt>
                <c:pt idx="1344">
                  <c:v>121.07</c:v>
                </c:pt>
                <c:pt idx="1345">
                  <c:v>121.34</c:v>
                </c:pt>
                <c:pt idx="1346">
                  <c:v>120.86999999999999</c:v>
                </c:pt>
                <c:pt idx="1347">
                  <c:v>121.1</c:v>
                </c:pt>
                <c:pt idx="1348">
                  <c:v>122.25</c:v>
                </c:pt>
                <c:pt idx="1349">
                  <c:v>122.8</c:v>
                </c:pt>
                <c:pt idx="1350">
                  <c:v>123.43</c:v>
                </c:pt>
                <c:pt idx="1351">
                  <c:v>124.06</c:v>
                </c:pt>
                <c:pt idx="1352">
                  <c:v>124.51</c:v>
                </c:pt>
                <c:pt idx="1353">
                  <c:v>124.51</c:v>
                </c:pt>
                <c:pt idx="1354">
                  <c:v>124.77</c:v>
                </c:pt>
                <c:pt idx="1355">
                  <c:v>123.71000000000002</c:v>
                </c:pt>
                <c:pt idx="1356">
                  <c:v>123.72</c:v>
                </c:pt>
                <c:pt idx="1357">
                  <c:v>122.98</c:v>
                </c:pt>
                <c:pt idx="1358">
                  <c:v>124.47</c:v>
                </c:pt>
                <c:pt idx="1359">
                  <c:v>124.53</c:v>
                </c:pt>
                <c:pt idx="1360">
                  <c:v>124.23</c:v>
                </c:pt>
                <c:pt idx="1361">
                  <c:v>124.38</c:v>
                </c:pt>
                <c:pt idx="1362">
                  <c:v>123.78</c:v>
                </c:pt>
                <c:pt idx="1363">
                  <c:v>123.64999999999999</c:v>
                </c:pt>
                <c:pt idx="1364">
                  <c:v>123.99000000000002</c:v>
                </c:pt>
                <c:pt idx="1365">
                  <c:v>124.11</c:v>
                </c:pt>
                <c:pt idx="1366">
                  <c:v>124.79</c:v>
                </c:pt>
                <c:pt idx="1367">
                  <c:v>125.32</c:v>
                </c:pt>
                <c:pt idx="1368">
                  <c:v>125.13</c:v>
                </c:pt>
                <c:pt idx="1369">
                  <c:v>124.77</c:v>
                </c:pt>
                <c:pt idx="1370">
                  <c:v>124.02</c:v>
                </c:pt>
                <c:pt idx="1371">
                  <c:v>123.99000000000002</c:v>
                </c:pt>
                <c:pt idx="1372">
                  <c:v>124.3</c:v>
                </c:pt>
                <c:pt idx="1373">
                  <c:v>124.85</c:v>
                </c:pt>
                <c:pt idx="1374">
                  <c:v>124.92</c:v>
                </c:pt>
                <c:pt idx="1375">
                  <c:v>123.71000000000002</c:v>
                </c:pt>
                <c:pt idx="1376">
                  <c:v>123.88</c:v>
                </c:pt>
                <c:pt idx="1377">
                  <c:v>123.52</c:v>
                </c:pt>
                <c:pt idx="1378">
                  <c:v>122.92</c:v>
                </c:pt>
                <c:pt idx="1379">
                  <c:v>124.95</c:v>
                </c:pt>
                <c:pt idx="1380">
                  <c:v>125.44000000000032</c:v>
                </c:pt>
                <c:pt idx="1381">
                  <c:v>125.45</c:v>
                </c:pt>
                <c:pt idx="1382">
                  <c:v>126.64999999999999</c:v>
                </c:pt>
                <c:pt idx="1383">
                  <c:v>127.11</c:v>
                </c:pt>
                <c:pt idx="1384">
                  <c:v>127.07</c:v>
                </c:pt>
                <c:pt idx="1385">
                  <c:v>127.53</c:v>
                </c:pt>
                <c:pt idx="1386">
                  <c:v>126.72</c:v>
                </c:pt>
                <c:pt idx="1387">
                  <c:v>126.86</c:v>
                </c:pt>
                <c:pt idx="1388">
                  <c:v>126.38</c:v>
                </c:pt>
                <c:pt idx="1389">
                  <c:v>125.9</c:v>
                </c:pt>
                <c:pt idx="1390">
                  <c:v>126.6</c:v>
                </c:pt>
                <c:pt idx="1391">
                  <c:v>124.27</c:v>
                </c:pt>
                <c:pt idx="1392">
                  <c:v>124.47</c:v>
                </c:pt>
                <c:pt idx="1393">
                  <c:v>124.77</c:v>
                </c:pt>
                <c:pt idx="1394">
                  <c:v>124.57</c:v>
                </c:pt>
                <c:pt idx="1395">
                  <c:v>125.44000000000032</c:v>
                </c:pt>
                <c:pt idx="1396">
                  <c:v>126.43</c:v>
                </c:pt>
                <c:pt idx="1397">
                  <c:v>126.55</c:v>
                </c:pt>
                <c:pt idx="1398">
                  <c:v>126.05</c:v>
                </c:pt>
                <c:pt idx="1399">
                  <c:v>126.3</c:v>
                </c:pt>
                <c:pt idx="1400">
                  <c:v>125.16999999999999</c:v>
                </c:pt>
                <c:pt idx="1401">
                  <c:v>124.49000000000002</c:v>
                </c:pt>
                <c:pt idx="1402">
                  <c:v>124.58</c:v>
                </c:pt>
                <c:pt idx="1403">
                  <c:v>123.57</c:v>
                </c:pt>
                <c:pt idx="1404">
                  <c:v>124.67999999999998</c:v>
                </c:pt>
                <c:pt idx="1405">
                  <c:v>124.49000000000002</c:v>
                </c:pt>
                <c:pt idx="1406">
                  <c:v>124.79</c:v>
                </c:pt>
                <c:pt idx="1407">
                  <c:v>124.39</c:v>
                </c:pt>
                <c:pt idx="1408">
                  <c:v>125.64</c:v>
                </c:pt>
                <c:pt idx="1409">
                  <c:v>126.11</c:v>
                </c:pt>
                <c:pt idx="1410">
                  <c:v>127.04</c:v>
                </c:pt>
                <c:pt idx="1411">
                  <c:v>126.82</c:v>
                </c:pt>
                <c:pt idx="1412">
                  <c:v>126.38</c:v>
                </c:pt>
                <c:pt idx="1413">
                  <c:v>127.33</c:v>
                </c:pt>
                <c:pt idx="1414">
                  <c:v>126.88</c:v>
                </c:pt>
                <c:pt idx="1415">
                  <c:v>127.05</c:v>
                </c:pt>
                <c:pt idx="1416">
                  <c:v>127.5</c:v>
                </c:pt>
                <c:pt idx="1417">
                  <c:v>126.17999999999998</c:v>
                </c:pt>
                <c:pt idx="1418">
                  <c:v>127.23</c:v>
                </c:pt>
                <c:pt idx="1419">
                  <c:v>127.02</c:v>
                </c:pt>
                <c:pt idx="1420">
                  <c:v>126.81</c:v>
                </c:pt>
                <c:pt idx="1421">
                  <c:v>125.92</c:v>
                </c:pt>
                <c:pt idx="1422">
                  <c:v>125.66999999999999</c:v>
                </c:pt>
                <c:pt idx="1423">
                  <c:v>125.96000000000002</c:v>
                </c:pt>
                <c:pt idx="1424">
                  <c:v>125.32</c:v>
                </c:pt>
                <c:pt idx="1425">
                  <c:v>126.25</c:v>
                </c:pt>
                <c:pt idx="1426">
                  <c:v>126.52</c:v>
                </c:pt>
                <c:pt idx="1427">
                  <c:v>127.84</c:v>
                </c:pt>
                <c:pt idx="1428">
                  <c:v>128.4</c:v>
                </c:pt>
                <c:pt idx="1429">
                  <c:v>128.62</c:v>
                </c:pt>
                <c:pt idx="1430">
                  <c:v>128.81</c:v>
                </c:pt>
                <c:pt idx="1431">
                  <c:v>128.58000000000001</c:v>
                </c:pt>
                <c:pt idx="1432">
                  <c:v>127.81</c:v>
                </c:pt>
                <c:pt idx="1433">
                  <c:v>128.57</c:v>
                </c:pt>
                <c:pt idx="1434">
                  <c:v>128.23999999999998</c:v>
                </c:pt>
                <c:pt idx="1435">
                  <c:v>128.37</c:v>
                </c:pt>
                <c:pt idx="1436">
                  <c:v>128.23999999999998</c:v>
                </c:pt>
                <c:pt idx="1437">
                  <c:v>127.43</c:v>
                </c:pt>
                <c:pt idx="1438">
                  <c:v>128.39000000000001</c:v>
                </c:pt>
                <c:pt idx="1439">
                  <c:v>128.13</c:v>
                </c:pt>
                <c:pt idx="1440">
                  <c:v>127.61999999999999</c:v>
                </c:pt>
                <c:pt idx="1441">
                  <c:v>127.89</c:v>
                </c:pt>
                <c:pt idx="1442">
                  <c:v>128.69999999999999</c:v>
                </c:pt>
                <c:pt idx="1443">
                  <c:v>129.26999999999998</c:v>
                </c:pt>
                <c:pt idx="1444">
                  <c:v>129.04</c:v>
                </c:pt>
                <c:pt idx="1445">
                  <c:v>127.69</c:v>
                </c:pt>
                <c:pt idx="1446">
                  <c:v>127.81</c:v>
                </c:pt>
                <c:pt idx="1447">
                  <c:v>126.83</c:v>
                </c:pt>
                <c:pt idx="1448">
                  <c:v>127</c:v>
                </c:pt>
                <c:pt idx="1449">
                  <c:v>127.08</c:v>
                </c:pt>
                <c:pt idx="1450">
                  <c:v>128.88000000000065</c:v>
                </c:pt>
                <c:pt idx="1451">
                  <c:v>129.10999999999999</c:v>
                </c:pt>
                <c:pt idx="1452">
                  <c:v>129.26</c:v>
                </c:pt>
                <c:pt idx="1453">
                  <c:v>129.26</c:v>
                </c:pt>
                <c:pt idx="1454">
                  <c:v>128.93</c:v>
                </c:pt>
                <c:pt idx="1455">
                  <c:v>128.30000000000001</c:v>
                </c:pt>
                <c:pt idx="1456">
                  <c:v>128.68</c:v>
                </c:pt>
                <c:pt idx="1457">
                  <c:v>129.12</c:v>
                </c:pt>
                <c:pt idx="1458">
                  <c:v>129.23999999999998</c:v>
                </c:pt>
                <c:pt idx="1459">
                  <c:v>129.44999999999999</c:v>
                </c:pt>
                <c:pt idx="1460">
                  <c:v>128.94999999999999</c:v>
                </c:pt>
                <c:pt idx="1461">
                  <c:v>129.39000000000001</c:v>
                </c:pt>
                <c:pt idx="1462">
                  <c:v>130.70999999999998</c:v>
                </c:pt>
                <c:pt idx="1463">
                  <c:v>130.6</c:v>
                </c:pt>
                <c:pt idx="1464">
                  <c:v>130.63999999999999</c:v>
                </c:pt>
                <c:pt idx="1465">
                  <c:v>130.46</c:v>
                </c:pt>
                <c:pt idx="1466">
                  <c:v>128.81</c:v>
                </c:pt>
                <c:pt idx="1467">
                  <c:v>127.35</c:v>
                </c:pt>
                <c:pt idx="1468">
                  <c:v>127.66</c:v>
                </c:pt>
                <c:pt idx="1469">
                  <c:v>127.42</c:v>
                </c:pt>
                <c:pt idx="1470">
                  <c:v>125.3</c:v>
                </c:pt>
                <c:pt idx="1471">
                  <c:v>124.47</c:v>
                </c:pt>
                <c:pt idx="1472">
                  <c:v>124.98</c:v>
                </c:pt>
                <c:pt idx="1473">
                  <c:v>124.47</c:v>
                </c:pt>
                <c:pt idx="1474">
                  <c:v>123.92</c:v>
                </c:pt>
                <c:pt idx="1475">
                  <c:v>124.14</c:v>
                </c:pt>
                <c:pt idx="1476">
                  <c:v>124.28</c:v>
                </c:pt>
                <c:pt idx="1477">
                  <c:v>125.35</c:v>
                </c:pt>
                <c:pt idx="1478">
                  <c:v>126.89</c:v>
                </c:pt>
                <c:pt idx="1479">
                  <c:v>127.14</c:v>
                </c:pt>
                <c:pt idx="1480">
                  <c:v>124.75</c:v>
                </c:pt>
                <c:pt idx="1481">
                  <c:v>124</c:v>
                </c:pt>
                <c:pt idx="1482">
                  <c:v>124.16999999999999</c:v>
                </c:pt>
                <c:pt idx="1483">
                  <c:v>123.61999999999999</c:v>
                </c:pt>
                <c:pt idx="1484">
                  <c:v>122.04</c:v>
                </c:pt>
                <c:pt idx="1485">
                  <c:v>120.81</c:v>
                </c:pt>
                <c:pt idx="1486">
                  <c:v>121.44000000000032</c:v>
                </c:pt>
                <c:pt idx="1487">
                  <c:v>124.01</c:v>
                </c:pt>
                <c:pt idx="1488">
                  <c:v>123.54</c:v>
                </c:pt>
                <c:pt idx="1489">
                  <c:v>122.41000000000012</c:v>
                </c:pt>
                <c:pt idx="1490">
                  <c:v>122.42</c:v>
                </c:pt>
                <c:pt idx="1491">
                  <c:v>123.6</c:v>
                </c:pt>
                <c:pt idx="1492">
                  <c:v>122.98</c:v>
                </c:pt>
                <c:pt idx="1493">
                  <c:v>122.86</c:v>
                </c:pt>
                <c:pt idx="1494">
                  <c:v>123.45</c:v>
                </c:pt>
                <c:pt idx="1495">
                  <c:v>122.33</c:v>
                </c:pt>
                <c:pt idx="1496">
                  <c:v>123.02</c:v>
                </c:pt>
                <c:pt idx="1497">
                  <c:v>125.66</c:v>
                </c:pt>
                <c:pt idx="1498">
                  <c:v>125.4</c:v>
                </c:pt>
                <c:pt idx="1499">
                  <c:v>126.39</c:v>
                </c:pt>
                <c:pt idx="1500">
                  <c:v>125.47</c:v>
                </c:pt>
                <c:pt idx="1501">
                  <c:v>125.8</c:v>
                </c:pt>
                <c:pt idx="1502">
                  <c:v>124.95</c:v>
                </c:pt>
                <c:pt idx="1503">
                  <c:v>125.13</c:v>
                </c:pt>
                <c:pt idx="1504">
                  <c:v>125.63</c:v>
                </c:pt>
                <c:pt idx="1505">
                  <c:v>124.25</c:v>
                </c:pt>
                <c:pt idx="1506">
                  <c:v>122.61999999999999</c:v>
                </c:pt>
                <c:pt idx="1507">
                  <c:v>122.01</c:v>
                </c:pt>
                <c:pt idx="1508">
                  <c:v>121.84</c:v>
                </c:pt>
                <c:pt idx="1509">
                  <c:v>122.08</c:v>
                </c:pt>
                <c:pt idx="1510">
                  <c:v>124.34</c:v>
                </c:pt>
                <c:pt idx="1511">
                  <c:v>123.29</c:v>
                </c:pt>
                <c:pt idx="1512">
                  <c:v>124.46000000000002</c:v>
                </c:pt>
                <c:pt idx="1513">
                  <c:v>125.24000000000002</c:v>
                </c:pt>
                <c:pt idx="1514">
                  <c:v>125.22</c:v>
                </c:pt>
                <c:pt idx="1515">
                  <c:v>124.72</c:v>
                </c:pt>
                <c:pt idx="1516">
                  <c:v>126.24000000000002</c:v>
                </c:pt>
                <c:pt idx="1517">
                  <c:v>126.06</c:v>
                </c:pt>
                <c:pt idx="1518">
                  <c:v>125.49000000000002</c:v>
                </c:pt>
                <c:pt idx="1519">
                  <c:v>126.24000000000002</c:v>
                </c:pt>
                <c:pt idx="1520">
                  <c:v>126.46000000000002</c:v>
                </c:pt>
                <c:pt idx="1521">
                  <c:v>126.36</c:v>
                </c:pt>
                <c:pt idx="1522">
                  <c:v>126</c:v>
                </c:pt>
                <c:pt idx="1523">
                  <c:v>125.57</c:v>
                </c:pt>
                <c:pt idx="1524">
                  <c:v>125.06</c:v>
                </c:pt>
                <c:pt idx="1525">
                  <c:v>125.64</c:v>
                </c:pt>
                <c:pt idx="1526">
                  <c:v>125.16</c:v>
                </c:pt>
                <c:pt idx="1527">
                  <c:v>125.3</c:v>
                </c:pt>
                <c:pt idx="1528">
                  <c:v>128.02000000000001</c:v>
                </c:pt>
                <c:pt idx="1529">
                  <c:v>128.22999999999999</c:v>
                </c:pt>
                <c:pt idx="1530">
                  <c:v>128.70999999999998</c:v>
                </c:pt>
                <c:pt idx="1531">
                  <c:v>128.22999999999999</c:v>
                </c:pt>
                <c:pt idx="1532">
                  <c:v>128.35000000000065</c:v>
                </c:pt>
                <c:pt idx="1533">
                  <c:v>127.79</c:v>
                </c:pt>
                <c:pt idx="1534">
                  <c:v>128.08000000000001</c:v>
                </c:pt>
                <c:pt idx="1535">
                  <c:v>128.01</c:v>
                </c:pt>
                <c:pt idx="1536">
                  <c:v>128.66</c:v>
                </c:pt>
                <c:pt idx="1537">
                  <c:v>128.93</c:v>
                </c:pt>
                <c:pt idx="1538">
                  <c:v>128.97999999999999</c:v>
                </c:pt>
                <c:pt idx="1539">
                  <c:v>128.94</c:v>
                </c:pt>
                <c:pt idx="1540">
                  <c:v>129.66</c:v>
                </c:pt>
                <c:pt idx="1541">
                  <c:v>129.87</c:v>
                </c:pt>
                <c:pt idx="1542">
                  <c:v>128.6</c:v>
                </c:pt>
                <c:pt idx="1543">
                  <c:v>127.97</c:v>
                </c:pt>
                <c:pt idx="1544">
                  <c:v>128.46</c:v>
                </c:pt>
                <c:pt idx="1545">
                  <c:v>128.51</c:v>
                </c:pt>
                <c:pt idx="1546">
                  <c:v>129.88000000000065</c:v>
                </c:pt>
                <c:pt idx="1547">
                  <c:v>130.4</c:v>
                </c:pt>
                <c:pt idx="1548">
                  <c:v>130.22</c:v>
                </c:pt>
                <c:pt idx="1549">
                  <c:v>130.57</c:v>
                </c:pt>
                <c:pt idx="1550">
                  <c:v>130.69999999999999</c:v>
                </c:pt>
                <c:pt idx="1551">
                  <c:v>130.41</c:v>
                </c:pt>
                <c:pt idx="1552">
                  <c:v>131.09</c:v>
                </c:pt>
                <c:pt idx="1553">
                  <c:v>130.4</c:v>
                </c:pt>
                <c:pt idx="1554">
                  <c:v>130.07</c:v>
                </c:pt>
                <c:pt idx="1555">
                  <c:v>131.19999999999999</c:v>
                </c:pt>
                <c:pt idx="1556">
                  <c:v>132.18</c:v>
                </c:pt>
                <c:pt idx="1557">
                  <c:v>132.22999999999999</c:v>
                </c:pt>
                <c:pt idx="1558">
                  <c:v>132.47</c:v>
                </c:pt>
                <c:pt idx="1559">
                  <c:v>132.13999999999999</c:v>
                </c:pt>
                <c:pt idx="1560">
                  <c:v>131.68</c:v>
                </c:pt>
                <c:pt idx="1561">
                  <c:v>131.94999999999999</c:v>
                </c:pt>
                <c:pt idx="1562">
                  <c:v>133.56</c:v>
                </c:pt>
                <c:pt idx="1563">
                  <c:v>133.89000000000001</c:v>
                </c:pt>
                <c:pt idx="1564">
                  <c:v>133.54</c:v>
                </c:pt>
                <c:pt idx="1565">
                  <c:v>133.63</c:v>
                </c:pt>
                <c:pt idx="1566">
                  <c:v>133.9</c:v>
                </c:pt>
                <c:pt idx="1567">
                  <c:v>133.57</c:v>
                </c:pt>
                <c:pt idx="1568">
                  <c:v>134.84</c:v>
                </c:pt>
                <c:pt idx="1569">
                  <c:v>135.12</c:v>
                </c:pt>
                <c:pt idx="1570">
                  <c:v>135.44999999999999</c:v>
                </c:pt>
                <c:pt idx="1571">
                  <c:v>134.94999999999999</c:v>
                </c:pt>
                <c:pt idx="1572">
                  <c:v>135.13999999999999</c:v>
                </c:pt>
                <c:pt idx="1573">
                  <c:v>135.25</c:v>
                </c:pt>
                <c:pt idx="1574">
                  <c:v>135.41</c:v>
                </c:pt>
                <c:pt idx="1575">
                  <c:v>136.22999999999999</c:v>
                </c:pt>
                <c:pt idx="1576">
                  <c:v>136.28</c:v>
                </c:pt>
                <c:pt idx="1577">
                  <c:v>136.76999999999998</c:v>
                </c:pt>
                <c:pt idx="1578">
                  <c:v>137.44</c:v>
                </c:pt>
                <c:pt idx="1579">
                  <c:v>136.32000000000065</c:v>
                </c:pt>
                <c:pt idx="1580">
                  <c:v>136.35000000000065</c:v>
                </c:pt>
                <c:pt idx="1581">
                  <c:v>136.35000000000065</c:v>
                </c:pt>
                <c:pt idx="1582">
                  <c:v>135.34</c:v>
                </c:pt>
                <c:pt idx="1583">
                  <c:v>135.04</c:v>
                </c:pt>
                <c:pt idx="1584">
                  <c:v>136.56</c:v>
                </c:pt>
                <c:pt idx="1585">
                  <c:v>136.88000000000065</c:v>
                </c:pt>
                <c:pt idx="1586">
                  <c:v>137.19999999999999</c:v>
                </c:pt>
                <c:pt idx="1587">
                  <c:v>136.49</c:v>
                </c:pt>
                <c:pt idx="1588">
                  <c:v>136.72999999999999</c:v>
                </c:pt>
                <c:pt idx="1589">
                  <c:v>137.09</c:v>
                </c:pt>
                <c:pt idx="1590">
                  <c:v>137.97</c:v>
                </c:pt>
                <c:pt idx="1591">
                  <c:v>138.32000000000065</c:v>
                </c:pt>
                <c:pt idx="1592">
                  <c:v>138.63</c:v>
                </c:pt>
                <c:pt idx="1593">
                  <c:v>138.76999999999998</c:v>
                </c:pt>
                <c:pt idx="1594">
                  <c:v>138.70999999999998</c:v>
                </c:pt>
                <c:pt idx="1595">
                  <c:v>138.91999999999999</c:v>
                </c:pt>
                <c:pt idx="1596">
                  <c:v>139.25</c:v>
                </c:pt>
                <c:pt idx="1597">
                  <c:v>138.73999999999998</c:v>
                </c:pt>
                <c:pt idx="1598">
                  <c:v>136.85000000000065</c:v>
                </c:pt>
                <c:pt idx="1599">
                  <c:v>137.37</c:v>
                </c:pt>
                <c:pt idx="1600">
                  <c:v>138.66999999999999</c:v>
                </c:pt>
                <c:pt idx="1601">
                  <c:v>138.79</c:v>
                </c:pt>
                <c:pt idx="1602">
                  <c:v>138.44</c:v>
                </c:pt>
                <c:pt idx="1603">
                  <c:v>139.65</c:v>
                </c:pt>
                <c:pt idx="1604">
                  <c:v>140.19999999999999</c:v>
                </c:pt>
                <c:pt idx="1605">
                  <c:v>140.04</c:v>
                </c:pt>
                <c:pt idx="1606">
                  <c:v>139.5</c:v>
                </c:pt>
                <c:pt idx="1607">
                  <c:v>139.73999999999998</c:v>
                </c:pt>
                <c:pt idx="1608">
                  <c:v>140.05000000000001</c:v>
                </c:pt>
                <c:pt idx="1609">
                  <c:v>139.9</c:v>
                </c:pt>
                <c:pt idx="1610">
                  <c:v>140.1</c:v>
                </c:pt>
                <c:pt idx="1611">
                  <c:v>141.33000000000001</c:v>
                </c:pt>
                <c:pt idx="1612">
                  <c:v>141.47999999999999</c:v>
                </c:pt>
                <c:pt idx="1613">
                  <c:v>141</c:v>
                </c:pt>
                <c:pt idx="1614">
                  <c:v>141.28</c:v>
                </c:pt>
                <c:pt idx="1615">
                  <c:v>141.09</c:v>
                </c:pt>
                <c:pt idx="1616">
                  <c:v>140.58000000000001</c:v>
                </c:pt>
                <c:pt idx="1617">
                  <c:v>139.85000000000065</c:v>
                </c:pt>
                <c:pt idx="1618">
                  <c:v>141.44999999999999</c:v>
                </c:pt>
                <c:pt idx="1619">
                  <c:v>141.23999999999998</c:v>
                </c:pt>
                <c:pt idx="1620">
                  <c:v>140.60999999999999</c:v>
                </c:pt>
                <c:pt idx="1621">
                  <c:v>140.46</c:v>
                </c:pt>
                <c:pt idx="1622">
                  <c:v>140.63999999999999</c:v>
                </c:pt>
                <c:pt idx="1623">
                  <c:v>139.76</c:v>
                </c:pt>
                <c:pt idx="1624">
                  <c:v>140.08000000000001</c:v>
                </c:pt>
                <c:pt idx="1625">
                  <c:v>140.01</c:v>
                </c:pt>
                <c:pt idx="1626">
                  <c:v>140.29</c:v>
                </c:pt>
                <c:pt idx="1627">
                  <c:v>141.16</c:v>
                </c:pt>
                <c:pt idx="1628">
                  <c:v>141.85000000000065</c:v>
                </c:pt>
                <c:pt idx="1629">
                  <c:v>141.93</c:v>
                </c:pt>
                <c:pt idx="1630">
                  <c:v>141.80000000000001</c:v>
                </c:pt>
                <c:pt idx="1631">
                  <c:v>141.37</c:v>
                </c:pt>
                <c:pt idx="1632">
                  <c:v>141.76999999999998</c:v>
                </c:pt>
                <c:pt idx="1633">
                  <c:v>141.02000000000001</c:v>
                </c:pt>
                <c:pt idx="1634">
                  <c:v>141.49</c:v>
                </c:pt>
                <c:pt idx="1635">
                  <c:v>142.70999999999998</c:v>
                </c:pt>
                <c:pt idx="1636">
                  <c:v>141.1</c:v>
                </c:pt>
                <c:pt idx="1637">
                  <c:v>140.91999999999999</c:v>
                </c:pt>
                <c:pt idx="1638">
                  <c:v>140.76999999999998</c:v>
                </c:pt>
                <c:pt idx="1639">
                  <c:v>141.6</c:v>
                </c:pt>
                <c:pt idx="1640">
                  <c:v>142.54</c:v>
                </c:pt>
                <c:pt idx="1641">
                  <c:v>143.34</c:v>
                </c:pt>
                <c:pt idx="1642">
                  <c:v>143.57</c:v>
                </c:pt>
                <c:pt idx="1643">
                  <c:v>143.41999999999999</c:v>
                </c:pt>
                <c:pt idx="1644">
                  <c:v>143.51</c:v>
                </c:pt>
                <c:pt idx="1645">
                  <c:v>143.76</c:v>
                </c:pt>
                <c:pt idx="1646">
                  <c:v>143.59</c:v>
                </c:pt>
                <c:pt idx="1647">
                  <c:v>142.56</c:v>
                </c:pt>
                <c:pt idx="1648">
                  <c:v>142.08000000000001</c:v>
                </c:pt>
                <c:pt idx="1649">
                  <c:v>143.18</c:v>
                </c:pt>
                <c:pt idx="1650">
                  <c:v>144.30000000000001</c:v>
                </c:pt>
                <c:pt idx="1651">
                  <c:v>144.46</c:v>
                </c:pt>
                <c:pt idx="1652">
                  <c:v>144.34</c:v>
                </c:pt>
                <c:pt idx="1653">
                  <c:v>144.72999999999999</c:v>
                </c:pt>
                <c:pt idx="1654">
                  <c:v>144.53</c:v>
                </c:pt>
                <c:pt idx="1655">
                  <c:v>144.43</c:v>
                </c:pt>
                <c:pt idx="1656">
                  <c:v>143.93</c:v>
                </c:pt>
                <c:pt idx="1657">
                  <c:v>143.76</c:v>
                </c:pt>
                <c:pt idx="1658">
                  <c:v>138.76</c:v>
                </c:pt>
                <c:pt idx="1659">
                  <c:v>139.55000000000001</c:v>
                </c:pt>
                <c:pt idx="1660">
                  <c:v>139.19</c:v>
                </c:pt>
                <c:pt idx="1661">
                  <c:v>137.59</c:v>
                </c:pt>
                <c:pt idx="1662">
                  <c:v>136.26</c:v>
                </c:pt>
                <c:pt idx="1663">
                  <c:v>138.39000000000001</c:v>
                </c:pt>
                <c:pt idx="1664">
                  <c:v>138.08000000000001</c:v>
                </c:pt>
                <c:pt idx="1665">
                  <c:v>139.07</c:v>
                </c:pt>
                <c:pt idx="1666">
                  <c:v>139.16999999999999</c:v>
                </c:pt>
                <c:pt idx="1667">
                  <c:v>139.51</c:v>
                </c:pt>
                <c:pt idx="1668">
                  <c:v>136.69999999999999</c:v>
                </c:pt>
                <c:pt idx="1669">
                  <c:v>137.62</c:v>
                </c:pt>
                <c:pt idx="1670">
                  <c:v>138.12</c:v>
                </c:pt>
                <c:pt idx="1671">
                  <c:v>137.58000000000001</c:v>
                </c:pt>
                <c:pt idx="1672">
                  <c:v>139.08000000000001</c:v>
                </c:pt>
                <c:pt idx="1673">
                  <c:v>139.97</c:v>
                </c:pt>
                <c:pt idx="1674">
                  <c:v>142.36000000000001</c:v>
                </c:pt>
                <c:pt idx="1675">
                  <c:v>142.33000000000001</c:v>
                </c:pt>
                <c:pt idx="1676">
                  <c:v>142.47999999999999</c:v>
                </c:pt>
                <c:pt idx="1677">
                  <c:v>142.6</c:v>
                </c:pt>
                <c:pt idx="1678">
                  <c:v>141.72</c:v>
                </c:pt>
                <c:pt idx="1679">
                  <c:v>140.60999999999999</c:v>
                </c:pt>
                <c:pt idx="1680">
                  <c:v>141.13</c:v>
                </c:pt>
                <c:pt idx="1681">
                  <c:v>140.97</c:v>
                </c:pt>
                <c:pt idx="1682">
                  <c:v>141.33000000000001</c:v>
                </c:pt>
                <c:pt idx="1683">
                  <c:v>142.66</c:v>
                </c:pt>
                <c:pt idx="1684">
                  <c:v>142.81</c:v>
                </c:pt>
                <c:pt idx="1685">
                  <c:v>143.29</c:v>
                </c:pt>
                <c:pt idx="1686">
                  <c:v>143.72</c:v>
                </c:pt>
                <c:pt idx="1687">
                  <c:v>142.80000000000001</c:v>
                </c:pt>
                <c:pt idx="1688">
                  <c:v>143.68</c:v>
                </c:pt>
                <c:pt idx="1689">
                  <c:v>144.18</c:v>
                </c:pt>
                <c:pt idx="1690">
                  <c:v>145.72999999999999</c:v>
                </c:pt>
                <c:pt idx="1691">
                  <c:v>146.03</c:v>
                </c:pt>
                <c:pt idx="1692">
                  <c:v>146.13999999999999</c:v>
                </c:pt>
                <c:pt idx="1693">
                  <c:v>145.94999999999999</c:v>
                </c:pt>
                <c:pt idx="1694">
                  <c:v>147.30000000000001</c:v>
                </c:pt>
                <c:pt idx="1695">
                  <c:v>146.94</c:v>
                </c:pt>
                <c:pt idx="1696">
                  <c:v>146.91</c:v>
                </c:pt>
                <c:pt idx="1697">
                  <c:v>148.41999999999999</c:v>
                </c:pt>
                <c:pt idx="1698">
                  <c:v>148.34</c:v>
                </c:pt>
                <c:pt idx="1699">
                  <c:v>148.30000000000001</c:v>
                </c:pt>
                <c:pt idx="1700">
                  <c:v>147.12</c:v>
                </c:pt>
                <c:pt idx="1701">
                  <c:v>148.51</c:v>
                </c:pt>
                <c:pt idx="1702">
                  <c:v>149.16999999999999</c:v>
                </c:pt>
                <c:pt idx="1703">
                  <c:v>149.5</c:v>
                </c:pt>
                <c:pt idx="1704">
                  <c:v>149.86000000000001</c:v>
                </c:pt>
                <c:pt idx="1705">
                  <c:v>149.69999999999999</c:v>
                </c:pt>
                <c:pt idx="1706">
                  <c:v>150.20999999999998</c:v>
                </c:pt>
                <c:pt idx="1707">
                  <c:v>148.13</c:v>
                </c:pt>
                <c:pt idx="1708">
                  <c:v>149.58000000000001</c:v>
                </c:pt>
                <c:pt idx="1709">
                  <c:v>149.30000000000001</c:v>
                </c:pt>
                <c:pt idx="1710">
                  <c:v>149.10999999999999</c:v>
                </c:pt>
                <c:pt idx="1711">
                  <c:v>150.43</c:v>
                </c:pt>
                <c:pt idx="1712">
                  <c:v>151.53</c:v>
                </c:pt>
                <c:pt idx="1713">
                  <c:v>151.46</c:v>
                </c:pt>
                <c:pt idx="1714">
                  <c:v>151.26999999999998</c:v>
                </c:pt>
                <c:pt idx="1715">
                  <c:v>149.80000000000001</c:v>
                </c:pt>
                <c:pt idx="1716">
                  <c:v>150.62</c:v>
                </c:pt>
                <c:pt idx="1717">
                  <c:v>150.85000000000065</c:v>
                </c:pt>
                <c:pt idx="1718">
                  <c:v>152.10999999999999</c:v>
                </c:pt>
                <c:pt idx="1719">
                  <c:v>152.13999999999999</c:v>
                </c:pt>
                <c:pt idx="1720">
                  <c:v>152.72</c:v>
                </c:pt>
                <c:pt idx="1721">
                  <c:v>153</c:v>
                </c:pt>
                <c:pt idx="1722">
                  <c:v>152.19</c:v>
                </c:pt>
                <c:pt idx="1723">
                  <c:v>150.83000000000001</c:v>
                </c:pt>
                <c:pt idx="1724">
                  <c:v>148.16</c:v>
                </c:pt>
                <c:pt idx="1725">
                  <c:v>149.85000000000065</c:v>
                </c:pt>
                <c:pt idx="1726">
                  <c:v>150</c:v>
                </c:pt>
                <c:pt idx="1727">
                  <c:v>148.38000000000065</c:v>
                </c:pt>
                <c:pt idx="1728">
                  <c:v>150.68</c:v>
                </c:pt>
                <c:pt idx="1729">
                  <c:v>151.4</c:v>
                </c:pt>
                <c:pt idx="1730">
                  <c:v>152.39000000000001</c:v>
                </c:pt>
                <c:pt idx="1731">
                  <c:v>152.20999999999998</c:v>
                </c:pt>
                <c:pt idx="1732">
                  <c:v>152.46</c:v>
                </c:pt>
                <c:pt idx="1733">
                  <c:v>150.38000000000065</c:v>
                </c:pt>
                <c:pt idx="1734">
                  <c:v>151.34</c:v>
                </c:pt>
                <c:pt idx="1735">
                  <c:v>149.41</c:v>
                </c:pt>
                <c:pt idx="1736">
                  <c:v>148.89000000000001</c:v>
                </c:pt>
                <c:pt idx="1737">
                  <c:v>148.39000000000001</c:v>
                </c:pt>
                <c:pt idx="1738">
                  <c:v>149.81</c:v>
                </c:pt>
                <c:pt idx="1739">
                  <c:v>149.73999999999998</c:v>
                </c:pt>
                <c:pt idx="1740">
                  <c:v>149.51</c:v>
                </c:pt>
                <c:pt idx="1741">
                  <c:v>151.12</c:v>
                </c:pt>
                <c:pt idx="1742">
                  <c:v>151.66</c:v>
                </c:pt>
                <c:pt idx="1743">
                  <c:v>151.69999999999999</c:v>
                </c:pt>
                <c:pt idx="1744">
                  <c:v>152.26999999999998</c:v>
                </c:pt>
                <c:pt idx="1745">
                  <c:v>152.39000000000001</c:v>
                </c:pt>
                <c:pt idx="1746">
                  <c:v>150.22</c:v>
                </c:pt>
                <c:pt idx="1747">
                  <c:v>151.1</c:v>
                </c:pt>
                <c:pt idx="1748">
                  <c:v>153.94999999999999</c:v>
                </c:pt>
                <c:pt idx="1749">
                  <c:v>154.43</c:v>
                </c:pt>
                <c:pt idx="1750">
                  <c:v>154.10999999999999</c:v>
                </c:pt>
                <c:pt idx="1751">
                  <c:v>154.08000000000001</c:v>
                </c:pt>
                <c:pt idx="1752">
                  <c:v>153.78</c:v>
                </c:pt>
                <c:pt idx="1753">
                  <c:v>154.46</c:v>
                </c:pt>
                <c:pt idx="1754">
                  <c:v>152.57</c:v>
                </c:pt>
                <c:pt idx="1755">
                  <c:v>153.26</c:v>
                </c:pt>
                <c:pt idx="1756">
                  <c:v>150.22</c:v>
                </c:pt>
                <c:pt idx="1757">
                  <c:v>150.87</c:v>
                </c:pt>
                <c:pt idx="1758">
                  <c:v>147.33000000000001</c:v>
                </c:pt>
                <c:pt idx="1759">
                  <c:v>144.97</c:v>
                </c:pt>
                <c:pt idx="1760">
                  <c:v>146.47999999999999</c:v>
                </c:pt>
                <c:pt idx="1761">
                  <c:v>144.63999999999999</c:v>
                </c:pt>
                <c:pt idx="1762">
                  <c:v>145.66999999999999</c:v>
                </c:pt>
                <c:pt idx="1763">
                  <c:v>146.35000000000065</c:v>
                </c:pt>
                <c:pt idx="1764">
                  <c:v>142.44</c:v>
                </c:pt>
                <c:pt idx="1765">
                  <c:v>145.83000000000001</c:v>
                </c:pt>
                <c:pt idx="1766">
                  <c:v>146.76999999999998</c:v>
                </c:pt>
                <c:pt idx="1767">
                  <c:v>148.89000000000001</c:v>
                </c:pt>
                <c:pt idx="1768">
                  <c:v>144.52000000000001</c:v>
                </c:pt>
                <c:pt idx="1769">
                  <c:v>144.53</c:v>
                </c:pt>
                <c:pt idx="1770">
                  <c:v>144.46</c:v>
                </c:pt>
                <c:pt idx="1771">
                  <c:v>141.84</c:v>
                </c:pt>
                <c:pt idx="1772">
                  <c:v>140.36000000000001</c:v>
                </c:pt>
                <c:pt idx="1773">
                  <c:v>143.76999999999998</c:v>
                </c:pt>
                <c:pt idx="1774">
                  <c:v>143.72999999999999</c:v>
                </c:pt>
                <c:pt idx="1775">
                  <c:v>143.89000000000001</c:v>
                </c:pt>
                <c:pt idx="1776">
                  <c:v>145.6</c:v>
                </c:pt>
                <c:pt idx="1777">
                  <c:v>145.43</c:v>
                </c:pt>
                <c:pt idx="1778">
                  <c:v>147.1</c:v>
                </c:pt>
                <c:pt idx="1779">
                  <c:v>145.78</c:v>
                </c:pt>
                <c:pt idx="1780">
                  <c:v>142.39000000000001</c:v>
                </c:pt>
                <c:pt idx="1781">
                  <c:v>145.52000000000001</c:v>
                </c:pt>
                <c:pt idx="1782">
                  <c:v>144.91</c:v>
                </c:pt>
                <c:pt idx="1783">
                  <c:v>146.54</c:v>
                </c:pt>
                <c:pt idx="1784">
                  <c:v>148.09</c:v>
                </c:pt>
                <c:pt idx="1785">
                  <c:v>146.44</c:v>
                </c:pt>
                <c:pt idx="1786">
                  <c:v>147.09</c:v>
                </c:pt>
                <c:pt idx="1787">
                  <c:v>144.62</c:v>
                </c:pt>
                <c:pt idx="1788">
                  <c:v>144.39000000000001</c:v>
                </c:pt>
                <c:pt idx="1789">
                  <c:v>146.35000000000065</c:v>
                </c:pt>
                <c:pt idx="1790">
                  <c:v>146.39000000000001</c:v>
                </c:pt>
                <c:pt idx="1791">
                  <c:v>147.59</c:v>
                </c:pt>
                <c:pt idx="1792">
                  <c:v>147.62</c:v>
                </c:pt>
                <c:pt idx="1793">
                  <c:v>146.86000000000001</c:v>
                </c:pt>
                <c:pt idx="1794">
                  <c:v>151.20999999999998</c:v>
                </c:pt>
                <c:pt idx="1795">
                  <c:v>152.13999999999999</c:v>
                </c:pt>
                <c:pt idx="1796">
                  <c:v>151.10999999999999</c:v>
                </c:pt>
                <c:pt idx="1797">
                  <c:v>151.76999999999998</c:v>
                </c:pt>
                <c:pt idx="1798">
                  <c:v>150.97</c:v>
                </c:pt>
                <c:pt idx="1799">
                  <c:v>150.86000000000001</c:v>
                </c:pt>
                <c:pt idx="1800">
                  <c:v>151.69</c:v>
                </c:pt>
                <c:pt idx="1801">
                  <c:v>152.32000000000065</c:v>
                </c:pt>
                <c:pt idx="1802">
                  <c:v>151.84</c:v>
                </c:pt>
                <c:pt idx="1803">
                  <c:v>153.88000000000065</c:v>
                </c:pt>
                <c:pt idx="1804">
                  <c:v>153.87</c:v>
                </c:pt>
                <c:pt idx="1805">
                  <c:v>153.22</c:v>
                </c:pt>
                <c:pt idx="1806">
                  <c:v>153.52000000000001</c:v>
                </c:pt>
                <c:pt idx="1807">
                  <c:v>155.07</c:v>
                </c:pt>
                <c:pt idx="1808">
                  <c:v>154.5</c:v>
                </c:pt>
                <c:pt idx="1809">
                  <c:v>155.73999999999998</c:v>
                </c:pt>
                <c:pt idx="1810">
                  <c:v>155.47999999999999</c:v>
                </c:pt>
                <c:pt idx="1811">
                  <c:v>154.65</c:v>
                </c:pt>
                <c:pt idx="1812">
                  <c:v>155.37</c:v>
                </c:pt>
                <c:pt idx="1813">
                  <c:v>154.02000000000001</c:v>
                </c:pt>
                <c:pt idx="1814">
                  <c:v>152.97999999999999</c:v>
                </c:pt>
                <c:pt idx="1815">
                  <c:v>153.26999999999998</c:v>
                </c:pt>
                <c:pt idx="1816">
                  <c:v>153.10999999999999</c:v>
                </c:pt>
                <c:pt idx="1817">
                  <c:v>149.19</c:v>
                </c:pt>
                <c:pt idx="1818">
                  <c:v>149.78</c:v>
                </c:pt>
                <c:pt idx="1819">
                  <c:v>151.07</c:v>
                </c:pt>
                <c:pt idx="1820">
                  <c:v>150.63</c:v>
                </c:pt>
                <c:pt idx="1821">
                  <c:v>150.44999999999999</c:v>
                </c:pt>
                <c:pt idx="1822">
                  <c:v>152.55000000000001</c:v>
                </c:pt>
                <c:pt idx="1823">
                  <c:v>153.10999999999999</c:v>
                </c:pt>
                <c:pt idx="1824">
                  <c:v>152.13</c:v>
                </c:pt>
                <c:pt idx="1825">
                  <c:v>153.94</c:v>
                </c:pt>
                <c:pt idx="1826">
                  <c:v>149.97999999999999</c:v>
                </c:pt>
                <c:pt idx="1827">
                  <c:v>149.20999999999998</c:v>
                </c:pt>
                <c:pt idx="1828">
                  <c:v>150.97</c:v>
                </c:pt>
                <c:pt idx="1829">
                  <c:v>146.63</c:v>
                </c:pt>
                <c:pt idx="1830">
                  <c:v>146.6</c:v>
                </c:pt>
                <c:pt idx="1831">
                  <c:v>144.53</c:v>
                </c:pt>
                <c:pt idx="1832">
                  <c:v>143.10999999999999</c:v>
                </c:pt>
                <c:pt idx="1833">
                  <c:v>147.30000000000001</c:v>
                </c:pt>
                <c:pt idx="1834">
                  <c:v>146.25</c:v>
                </c:pt>
                <c:pt idx="1835">
                  <c:v>144.4</c:v>
                </c:pt>
                <c:pt idx="1836">
                  <c:v>145.13999999999999</c:v>
                </c:pt>
                <c:pt idx="1837">
                  <c:v>142.81</c:v>
                </c:pt>
                <c:pt idx="1838">
                  <c:v>143.16999999999999</c:v>
                </c:pt>
                <c:pt idx="1839">
                  <c:v>140.88000000000065</c:v>
                </c:pt>
                <c:pt idx="1840">
                  <c:v>143.26999999999998</c:v>
                </c:pt>
                <c:pt idx="1841">
                  <c:v>139.94</c:v>
                </c:pt>
                <c:pt idx="1842">
                  <c:v>142.03</c:v>
                </c:pt>
                <c:pt idx="1843">
                  <c:v>146.18</c:v>
                </c:pt>
                <c:pt idx="1844">
                  <c:v>146.23999999999998</c:v>
                </c:pt>
                <c:pt idx="1845">
                  <c:v>147.4</c:v>
                </c:pt>
                <c:pt idx="1846">
                  <c:v>146.47999999999999</c:v>
                </c:pt>
                <c:pt idx="1847">
                  <c:v>145.53</c:v>
                </c:pt>
                <c:pt idx="1848">
                  <c:v>147.80000000000001</c:v>
                </c:pt>
                <c:pt idx="1849">
                  <c:v>150.07</c:v>
                </c:pt>
                <c:pt idx="1850">
                  <c:v>149.80000000000001</c:v>
                </c:pt>
                <c:pt idx="1851">
                  <c:v>150.94</c:v>
                </c:pt>
                <c:pt idx="1852">
                  <c:v>147.05000000000001</c:v>
                </c:pt>
                <c:pt idx="1853">
                  <c:v>147.94999999999999</c:v>
                </c:pt>
                <c:pt idx="1854">
                  <c:v>148.07</c:v>
                </c:pt>
                <c:pt idx="1855">
                  <c:v>145.94999999999999</c:v>
                </c:pt>
                <c:pt idx="1856">
                  <c:v>143.75</c:v>
                </c:pt>
                <c:pt idx="1857">
                  <c:v>144.66999999999999</c:v>
                </c:pt>
                <c:pt idx="1858">
                  <c:v>144.44999999999999</c:v>
                </c:pt>
                <c:pt idx="1859">
                  <c:v>145.19999999999999</c:v>
                </c:pt>
                <c:pt idx="1860">
                  <c:v>147.63</c:v>
                </c:pt>
                <c:pt idx="1861">
                  <c:v>148.80000000000001</c:v>
                </c:pt>
                <c:pt idx="1862">
                  <c:v>146.82000000000065</c:v>
                </c:pt>
                <c:pt idx="1863">
                  <c:v>147.01</c:v>
                </c:pt>
                <c:pt idx="1864">
                  <c:v>146.04</c:v>
                </c:pt>
                <c:pt idx="1865">
                  <c:v>143.94</c:v>
                </c:pt>
                <c:pt idx="1866">
                  <c:v>143.86000000000001</c:v>
                </c:pt>
                <c:pt idx="1867">
                  <c:v>140.29</c:v>
                </c:pt>
                <c:pt idx="1868">
                  <c:v>140.75</c:v>
                </c:pt>
                <c:pt idx="1869">
                  <c:v>138.18</c:v>
                </c:pt>
                <c:pt idx="1870">
                  <c:v>140</c:v>
                </c:pt>
                <c:pt idx="1871">
                  <c:v>141.16999999999999</c:v>
                </c:pt>
                <c:pt idx="1872">
                  <c:v>139.23999999999998</c:v>
                </c:pt>
                <c:pt idx="1873">
                  <c:v>140.72</c:v>
                </c:pt>
                <c:pt idx="1874">
                  <c:v>137.19</c:v>
                </c:pt>
                <c:pt idx="1875">
                  <c:v>136.49</c:v>
                </c:pt>
                <c:pt idx="1876">
                  <c:v>132.51</c:v>
                </c:pt>
                <c:pt idx="1877">
                  <c:v>131.68</c:v>
                </c:pt>
                <c:pt idx="1878">
                  <c:v>130.26999999999998</c:v>
                </c:pt>
                <c:pt idx="1879">
                  <c:v>133.16999999999999</c:v>
                </c:pt>
                <c:pt idx="1880">
                  <c:v>134.46</c:v>
                </c:pt>
                <c:pt idx="1881">
                  <c:v>132.34</c:v>
                </c:pt>
                <c:pt idx="1882">
                  <c:v>134.69</c:v>
                </c:pt>
                <c:pt idx="1883">
                  <c:v>135.56</c:v>
                </c:pt>
                <c:pt idx="1884">
                  <c:v>134.87</c:v>
                </c:pt>
                <c:pt idx="1885">
                  <c:v>137.25</c:v>
                </c:pt>
                <c:pt idx="1886">
                  <c:v>139.01</c:v>
                </c:pt>
                <c:pt idx="1887">
                  <c:v>137.47999999999999</c:v>
                </c:pt>
                <c:pt idx="1888">
                  <c:v>133.09</c:v>
                </c:pt>
                <c:pt idx="1889">
                  <c:v>132.1</c:v>
                </c:pt>
                <c:pt idx="1890">
                  <c:v>133.16999999999999</c:v>
                </c:pt>
                <c:pt idx="1891">
                  <c:v>132.58000000000001</c:v>
                </c:pt>
                <c:pt idx="1892">
                  <c:v>133.36000000000001</c:v>
                </c:pt>
                <c:pt idx="1893">
                  <c:v>134.35000000000065</c:v>
                </c:pt>
                <c:pt idx="1894">
                  <c:v>136.20999999999998</c:v>
                </c:pt>
                <c:pt idx="1895">
                  <c:v>134.37</c:v>
                </c:pt>
                <c:pt idx="1896">
                  <c:v>134.51</c:v>
                </c:pt>
                <c:pt idx="1897">
                  <c:v>134.36000000000001</c:v>
                </c:pt>
                <c:pt idx="1898">
                  <c:v>135.5</c:v>
                </c:pt>
                <c:pt idx="1899">
                  <c:v>133.79</c:v>
                </c:pt>
                <c:pt idx="1900">
                  <c:v>134.85000000000065</c:v>
                </c:pt>
                <c:pt idx="1901">
                  <c:v>136.70999999999998</c:v>
                </c:pt>
                <c:pt idx="1902">
                  <c:v>137.69</c:v>
                </c:pt>
                <c:pt idx="1903">
                  <c:v>137.57</c:v>
                </c:pt>
                <c:pt idx="1904">
                  <c:v>136.26</c:v>
                </c:pt>
                <c:pt idx="1905">
                  <c:v>132.55000000000001</c:v>
                </c:pt>
                <c:pt idx="1906">
                  <c:v>132.57</c:v>
                </c:pt>
                <c:pt idx="1907">
                  <c:v>132.13999999999999</c:v>
                </c:pt>
                <c:pt idx="1908">
                  <c:v>132.89000000000001</c:v>
                </c:pt>
                <c:pt idx="1909">
                  <c:v>129.93</c:v>
                </c:pt>
                <c:pt idx="1910">
                  <c:v>128.84</c:v>
                </c:pt>
                <c:pt idx="1911">
                  <c:v>126.85</c:v>
                </c:pt>
                <c:pt idx="1912">
                  <c:v>131.59</c:v>
                </c:pt>
                <c:pt idx="1913">
                  <c:v>130.41</c:v>
                </c:pt>
                <c:pt idx="1914">
                  <c:v>131.08000000000001</c:v>
                </c:pt>
                <c:pt idx="1915">
                  <c:v>128.33000000000001</c:v>
                </c:pt>
                <c:pt idx="1916">
                  <c:v>127.11</c:v>
                </c:pt>
                <c:pt idx="1917">
                  <c:v>132.58000000000001</c:v>
                </c:pt>
                <c:pt idx="1918">
                  <c:v>129.35000000000065</c:v>
                </c:pt>
                <c:pt idx="1919">
                  <c:v>132.5</c:v>
                </c:pt>
                <c:pt idx="1920">
                  <c:v>134.86000000000001</c:v>
                </c:pt>
                <c:pt idx="1921">
                  <c:v>133.6</c:v>
                </c:pt>
                <c:pt idx="1922">
                  <c:v>132.13999999999999</c:v>
                </c:pt>
                <c:pt idx="1923">
                  <c:v>131.04</c:v>
                </c:pt>
                <c:pt idx="1924">
                  <c:v>131.79</c:v>
                </c:pt>
                <c:pt idx="1925">
                  <c:v>136.58000000000001</c:v>
                </c:pt>
                <c:pt idx="1926">
                  <c:v>136.36000000000001</c:v>
                </c:pt>
                <c:pt idx="1927">
                  <c:v>136.54</c:v>
                </c:pt>
                <c:pt idx="1928">
                  <c:v>136.63999999999999</c:v>
                </c:pt>
                <c:pt idx="1929">
                  <c:v>136.82000000000065</c:v>
                </c:pt>
                <c:pt idx="1930">
                  <c:v>136.15</c:v>
                </c:pt>
                <c:pt idx="1931">
                  <c:v>135</c:v>
                </c:pt>
                <c:pt idx="1932">
                  <c:v>135.60999999999999</c:v>
                </c:pt>
                <c:pt idx="1933">
                  <c:v>132.85000000000065</c:v>
                </c:pt>
                <c:pt idx="1934">
                  <c:v>132.37</c:v>
                </c:pt>
                <c:pt idx="1935">
                  <c:v>132.97</c:v>
                </c:pt>
                <c:pt idx="1936">
                  <c:v>136.09</c:v>
                </c:pt>
                <c:pt idx="1937">
                  <c:v>136.19999999999999</c:v>
                </c:pt>
                <c:pt idx="1938">
                  <c:v>138.60999999999999</c:v>
                </c:pt>
                <c:pt idx="1939">
                  <c:v>138.4</c:v>
                </c:pt>
                <c:pt idx="1940">
                  <c:v>137.16</c:v>
                </c:pt>
                <c:pt idx="1941">
                  <c:v>137.54</c:v>
                </c:pt>
                <c:pt idx="1942">
                  <c:v>138.44</c:v>
                </c:pt>
                <c:pt idx="1943">
                  <c:v>139.37</c:v>
                </c:pt>
                <c:pt idx="1944">
                  <c:v>139.23999999999998</c:v>
                </c:pt>
                <c:pt idx="1945">
                  <c:v>138.72999999999999</c:v>
                </c:pt>
                <c:pt idx="1946">
                  <c:v>138.16999999999999</c:v>
                </c:pt>
                <c:pt idx="1947">
                  <c:v>140.41</c:v>
                </c:pt>
                <c:pt idx="1948">
                  <c:v>141.52000000000001</c:v>
                </c:pt>
                <c:pt idx="1949">
                  <c:v>138.99</c:v>
                </c:pt>
                <c:pt idx="1950">
                  <c:v>139.46</c:v>
                </c:pt>
                <c:pt idx="1951">
                  <c:v>138.58000000000001</c:v>
                </c:pt>
                <c:pt idx="1952">
                  <c:v>140.12</c:v>
                </c:pt>
                <c:pt idx="1953">
                  <c:v>140.72</c:v>
                </c:pt>
                <c:pt idx="1954">
                  <c:v>142.26</c:v>
                </c:pt>
                <c:pt idx="1955">
                  <c:v>142.43</c:v>
                </c:pt>
                <c:pt idx="1956">
                  <c:v>142.54</c:v>
                </c:pt>
                <c:pt idx="1957">
                  <c:v>141.20999999999998</c:v>
                </c:pt>
                <c:pt idx="1958">
                  <c:v>138.96</c:v>
                </c:pt>
                <c:pt idx="1959">
                  <c:v>139.38000000000065</c:v>
                </c:pt>
                <c:pt idx="1960">
                  <c:v>137.51</c:v>
                </c:pt>
                <c:pt idx="1961">
                  <c:v>138.47</c:v>
                </c:pt>
                <c:pt idx="1962">
                  <c:v>139.05000000000001</c:v>
                </c:pt>
                <c:pt idx="1963">
                  <c:v>139.83000000000001</c:v>
                </c:pt>
                <c:pt idx="1964">
                  <c:v>140.04</c:v>
                </c:pt>
                <c:pt idx="1965">
                  <c:v>138.56</c:v>
                </c:pt>
                <c:pt idx="1966">
                  <c:v>137.81</c:v>
                </c:pt>
                <c:pt idx="1967">
                  <c:v>137.86000000000001</c:v>
                </c:pt>
                <c:pt idx="1968">
                  <c:v>140.54</c:v>
                </c:pt>
                <c:pt idx="1969">
                  <c:v>136.22</c:v>
                </c:pt>
                <c:pt idx="1970">
                  <c:v>136.32000000000065</c:v>
                </c:pt>
                <c:pt idx="1971">
                  <c:v>135.96</c:v>
                </c:pt>
                <c:pt idx="1972">
                  <c:v>133.63999999999999</c:v>
                </c:pt>
                <c:pt idx="1973">
                  <c:v>134.12</c:v>
                </c:pt>
                <c:pt idx="1974">
                  <c:v>136.15</c:v>
                </c:pt>
                <c:pt idx="1975">
                  <c:v>136.18</c:v>
                </c:pt>
                <c:pt idx="1976">
                  <c:v>135.26</c:v>
                </c:pt>
                <c:pt idx="1977">
                  <c:v>133.91</c:v>
                </c:pt>
                <c:pt idx="1978">
                  <c:v>134.44999999999999</c:v>
                </c:pt>
                <c:pt idx="1979">
                  <c:v>131.94999999999999</c:v>
                </c:pt>
                <c:pt idx="1980">
                  <c:v>131.88000000000065</c:v>
                </c:pt>
                <c:pt idx="1981">
                  <c:v>131.51</c:v>
                </c:pt>
                <c:pt idx="1982">
                  <c:v>132.37</c:v>
                </c:pt>
                <c:pt idx="1983">
                  <c:v>128.51</c:v>
                </c:pt>
                <c:pt idx="1984">
                  <c:v>128.02000000000001</c:v>
                </c:pt>
                <c:pt idx="1985">
                  <c:v>128.13999999999999</c:v>
                </c:pt>
                <c:pt idx="1986">
                  <c:v>128.62</c:v>
                </c:pt>
                <c:pt idx="1987">
                  <c:v>126.32</c:v>
                </c:pt>
                <c:pt idx="1988">
                  <c:v>126.44000000000032</c:v>
                </c:pt>
                <c:pt idx="1989">
                  <c:v>125.36</c:v>
                </c:pt>
                <c:pt idx="1990">
                  <c:v>127.55</c:v>
                </c:pt>
                <c:pt idx="1991">
                  <c:v>124.66</c:v>
                </c:pt>
                <c:pt idx="1992">
                  <c:v>125.46000000000002</c:v>
                </c:pt>
                <c:pt idx="1993">
                  <c:v>124.08</c:v>
                </c:pt>
                <c:pt idx="1994">
                  <c:v>122.93</c:v>
                </c:pt>
                <c:pt idx="1995">
                  <c:v>121.64</c:v>
                </c:pt>
                <c:pt idx="1996">
                  <c:v>124.7</c:v>
                </c:pt>
                <c:pt idx="1997">
                  <c:v>126.3</c:v>
                </c:pt>
                <c:pt idx="1998">
                  <c:v>126.33</c:v>
                </c:pt>
                <c:pt idx="1999">
                  <c:v>127.96000000000002</c:v>
                </c:pt>
                <c:pt idx="2000">
                  <c:v>128.44999999999999</c:v>
                </c:pt>
                <c:pt idx="2001">
                  <c:v>125.52</c:v>
                </c:pt>
                <c:pt idx="2002">
                  <c:v>125.99000000000002</c:v>
                </c:pt>
                <c:pt idx="2003">
                  <c:v>123.66999999999999</c:v>
                </c:pt>
                <c:pt idx="2004">
                  <c:v>126.58</c:v>
                </c:pt>
                <c:pt idx="2005">
                  <c:v>128.63</c:v>
                </c:pt>
                <c:pt idx="2006">
                  <c:v>127.02</c:v>
                </c:pt>
                <c:pt idx="2007">
                  <c:v>126.29</c:v>
                </c:pt>
                <c:pt idx="2008">
                  <c:v>125.23</c:v>
                </c:pt>
                <c:pt idx="2009">
                  <c:v>128.82000000000065</c:v>
                </c:pt>
                <c:pt idx="2010">
                  <c:v>129.30000000000001</c:v>
                </c:pt>
                <c:pt idx="2011">
                  <c:v>127.04</c:v>
                </c:pt>
                <c:pt idx="2012">
                  <c:v>130.1</c:v>
                </c:pt>
                <c:pt idx="2013">
                  <c:v>131.07</c:v>
                </c:pt>
                <c:pt idx="2014">
                  <c:v>129.49</c:v>
                </c:pt>
                <c:pt idx="2015">
                  <c:v>129.10999999999999</c:v>
                </c:pt>
                <c:pt idx="2016">
                  <c:v>129.87</c:v>
                </c:pt>
                <c:pt idx="2017">
                  <c:v>128.47</c:v>
                </c:pt>
                <c:pt idx="2018">
                  <c:v>127.22</c:v>
                </c:pt>
                <c:pt idx="2019">
                  <c:v>127.98</c:v>
                </c:pt>
                <c:pt idx="2020">
                  <c:v>128.31</c:v>
                </c:pt>
                <c:pt idx="2021">
                  <c:v>129.82000000000065</c:v>
                </c:pt>
                <c:pt idx="2022">
                  <c:v>127.27</c:v>
                </c:pt>
                <c:pt idx="2023">
                  <c:v>127.69</c:v>
                </c:pt>
                <c:pt idx="2024">
                  <c:v>128.72999999999999</c:v>
                </c:pt>
                <c:pt idx="2025">
                  <c:v>130.63999999999999</c:v>
                </c:pt>
                <c:pt idx="2026">
                  <c:v>128.85000000000065</c:v>
                </c:pt>
                <c:pt idx="2027">
                  <c:v>128.37</c:v>
                </c:pt>
                <c:pt idx="2028">
                  <c:v>128.19999999999999</c:v>
                </c:pt>
                <c:pt idx="2029">
                  <c:v>124.4</c:v>
                </c:pt>
                <c:pt idx="2030">
                  <c:v>124.91000000000012</c:v>
                </c:pt>
                <c:pt idx="2031">
                  <c:v>127.53</c:v>
                </c:pt>
                <c:pt idx="2032">
                  <c:v>123.27</c:v>
                </c:pt>
                <c:pt idx="2033">
                  <c:v>124.06</c:v>
                </c:pt>
                <c:pt idx="2034">
                  <c:v>125.81</c:v>
                </c:pt>
                <c:pt idx="2035">
                  <c:v>126.03</c:v>
                </c:pt>
                <c:pt idx="2036">
                  <c:v>120.07</c:v>
                </c:pt>
                <c:pt idx="2037">
                  <c:v>122.2</c:v>
                </c:pt>
                <c:pt idx="2038">
                  <c:v>116.44000000000032</c:v>
                </c:pt>
                <c:pt idx="2039">
                  <c:v>121.5</c:v>
                </c:pt>
                <c:pt idx="2040">
                  <c:v>126.45</c:v>
                </c:pt>
                <c:pt idx="2041">
                  <c:v>121.63</c:v>
                </c:pt>
                <c:pt idx="2042">
                  <c:v>119.7</c:v>
                </c:pt>
                <c:pt idx="2043">
                  <c:v>119.54</c:v>
                </c:pt>
                <c:pt idx="2044">
                  <c:v>121.92</c:v>
                </c:pt>
                <c:pt idx="2045">
                  <c:v>122.36999999999999</c:v>
                </c:pt>
                <c:pt idx="2046">
                  <c:v>111.6</c:v>
                </c:pt>
                <c:pt idx="2047">
                  <c:v>117.63</c:v>
                </c:pt>
                <c:pt idx="2048">
                  <c:v>117.2</c:v>
                </c:pt>
                <c:pt idx="2049">
                  <c:v>112.55</c:v>
                </c:pt>
                <c:pt idx="2050">
                  <c:v>111</c:v>
                </c:pt>
                <c:pt idx="2051">
                  <c:v>106.71000000000002</c:v>
                </c:pt>
                <c:pt idx="2052">
                  <c:v>100.61999999999999</c:v>
                </c:pt>
                <c:pt idx="2053">
                  <c:v>99.460000000000022</c:v>
                </c:pt>
                <c:pt idx="2054">
                  <c:v>91.92</c:v>
                </c:pt>
                <c:pt idx="2055">
                  <c:v>90.86999999999999</c:v>
                </c:pt>
                <c:pt idx="2056">
                  <c:v>101.52</c:v>
                </c:pt>
                <c:pt idx="2057">
                  <c:v>100.86999999999999</c:v>
                </c:pt>
                <c:pt idx="2058">
                  <c:v>91.740000000000023</c:v>
                </c:pt>
                <c:pt idx="2059">
                  <c:v>95.63</c:v>
                </c:pt>
                <c:pt idx="2060">
                  <c:v>95.09</c:v>
                </c:pt>
                <c:pt idx="2061">
                  <c:v>99.669999999999987</c:v>
                </c:pt>
                <c:pt idx="2062">
                  <c:v>96.61</c:v>
                </c:pt>
                <c:pt idx="2063">
                  <c:v>90.7</c:v>
                </c:pt>
                <c:pt idx="2064">
                  <c:v>91.86999999999999</c:v>
                </c:pt>
                <c:pt idx="2065">
                  <c:v>88.73</c:v>
                </c:pt>
                <c:pt idx="2066">
                  <c:v>85.86999999999999</c:v>
                </c:pt>
                <c:pt idx="2067">
                  <c:v>95.16</c:v>
                </c:pt>
                <c:pt idx="2068">
                  <c:v>94.13</c:v>
                </c:pt>
                <c:pt idx="2069">
                  <c:v>96.55</c:v>
                </c:pt>
                <c:pt idx="2070">
                  <c:v>97.990000000000023</c:v>
                </c:pt>
                <c:pt idx="2071">
                  <c:v>97.77</c:v>
                </c:pt>
                <c:pt idx="2072">
                  <c:v>101.69</c:v>
                </c:pt>
                <c:pt idx="2073">
                  <c:v>96.38</c:v>
                </c:pt>
                <c:pt idx="2074">
                  <c:v>91.6</c:v>
                </c:pt>
                <c:pt idx="2075">
                  <c:v>94.29</c:v>
                </c:pt>
                <c:pt idx="2076">
                  <c:v>93.09</c:v>
                </c:pt>
                <c:pt idx="2077">
                  <c:v>86.39</c:v>
                </c:pt>
                <c:pt idx="2078">
                  <c:v>92.440000000000026</c:v>
                </c:pt>
                <c:pt idx="2079">
                  <c:v>88.57</c:v>
                </c:pt>
                <c:pt idx="2080">
                  <c:v>86.33</c:v>
                </c:pt>
                <c:pt idx="2081">
                  <c:v>87.240000000000023</c:v>
                </c:pt>
                <c:pt idx="2082">
                  <c:v>81.93</c:v>
                </c:pt>
                <c:pt idx="2083">
                  <c:v>76.400000000000006</c:v>
                </c:pt>
                <c:pt idx="2084">
                  <c:v>81.239999999999995</c:v>
                </c:pt>
                <c:pt idx="2085">
                  <c:v>86.52</c:v>
                </c:pt>
                <c:pt idx="2086">
                  <c:v>87.1</c:v>
                </c:pt>
                <c:pt idx="2087">
                  <c:v>90.22</c:v>
                </c:pt>
                <c:pt idx="2088">
                  <c:v>91.06</c:v>
                </c:pt>
                <c:pt idx="2089">
                  <c:v>82.86999999999999</c:v>
                </c:pt>
                <c:pt idx="2090">
                  <c:v>86.19</c:v>
                </c:pt>
                <c:pt idx="2091">
                  <c:v>88.47</c:v>
                </c:pt>
                <c:pt idx="2092">
                  <c:v>85.89</c:v>
                </c:pt>
                <c:pt idx="2093">
                  <c:v>89.04</c:v>
                </c:pt>
                <c:pt idx="2094">
                  <c:v>92.5</c:v>
                </c:pt>
                <c:pt idx="2095">
                  <c:v>90.32</c:v>
                </c:pt>
                <c:pt idx="2096">
                  <c:v>91.410000000000025</c:v>
                </c:pt>
                <c:pt idx="2097">
                  <c:v>88.82</c:v>
                </c:pt>
                <c:pt idx="2098">
                  <c:v>89.460000000000022</c:v>
                </c:pt>
                <c:pt idx="2099">
                  <c:v>88.3</c:v>
                </c:pt>
                <c:pt idx="2100">
                  <c:v>92.85</c:v>
                </c:pt>
                <c:pt idx="2101">
                  <c:v>91.960000000000022</c:v>
                </c:pt>
                <c:pt idx="2102">
                  <c:v>90.02</c:v>
                </c:pt>
                <c:pt idx="2103">
                  <c:v>90.240000000000023</c:v>
                </c:pt>
                <c:pt idx="2104">
                  <c:v>88.61999999999999</c:v>
                </c:pt>
                <c:pt idx="2105">
                  <c:v>87.75</c:v>
                </c:pt>
                <c:pt idx="2106">
                  <c:v>88.28</c:v>
                </c:pt>
                <c:pt idx="2107">
                  <c:v>88.45</c:v>
                </c:pt>
                <c:pt idx="2108">
                  <c:v>90.61</c:v>
                </c:pt>
                <c:pt idx="2109">
                  <c:v>91.910000000000025</c:v>
                </c:pt>
                <c:pt idx="2110">
                  <c:v>94.81</c:v>
                </c:pt>
                <c:pt idx="2111">
                  <c:v>94.4</c:v>
                </c:pt>
                <c:pt idx="2112">
                  <c:v>95.14</c:v>
                </c:pt>
                <c:pt idx="2113">
                  <c:v>92.34</c:v>
                </c:pt>
                <c:pt idx="2114">
                  <c:v>92.66</c:v>
                </c:pt>
                <c:pt idx="2115">
                  <c:v>90.649999999999991</c:v>
                </c:pt>
                <c:pt idx="2116">
                  <c:v>88.56</c:v>
                </c:pt>
                <c:pt idx="2117">
                  <c:v>88.72</c:v>
                </c:pt>
                <c:pt idx="2118">
                  <c:v>85.73</c:v>
                </c:pt>
                <c:pt idx="2119">
                  <c:v>85.85</c:v>
                </c:pt>
                <c:pt idx="2120">
                  <c:v>86.5</c:v>
                </c:pt>
                <c:pt idx="2121">
                  <c:v>81.92</c:v>
                </c:pt>
                <c:pt idx="2122">
                  <c:v>85.5</c:v>
                </c:pt>
                <c:pt idx="2123">
                  <c:v>84.16</c:v>
                </c:pt>
                <c:pt idx="2124">
                  <c:v>84.61</c:v>
                </c:pt>
                <c:pt idx="2125">
                  <c:v>85.08</c:v>
                </c:pt>
                <c:pt idx="2126">
                  <c:v>86.01</c:v>
                </c:pt>
                <c:pt idx="2127">
                  <c:v>88.940000000000026</c:v>
                </c:pt>
                <c:pt idx="2128">
                  <c:v>85.960000000000022</c:v>
                </c:pt>
                <c:pt idx="2129">
                  <c:v>84.03</c:v>
                </c:pt>
                <c:pt idx="2130">
                  <c:v>84</c:v>
                </c:pt>
                <c:pt idx="2131">
                  <c:v>85.34</c:v>
                </c:pt>
                <c:pt idx="2132">
                  <c:v>84.740000000000023</c:v>
                </c:pt>
                <c:pt idx="2133">
                  <c:v>86.11</c:v>
                </c:pt>
                <c:pt idx="2134">
                  <c:v>88.490000000000023</c:v>
                </c:pt>
                <c:pt idx="2135">
                  <c:v>88.61</c:v>
                </c:pt>
                <c:pt idx="2136">
                  <c:v>84.28</c:v>
                </c:pt>
                <c:pt idx="2137">
                  <c:v>84.97</c:v>
                </c:pt>
                <c:pt idx="2138">
                  <c:v>85.149999999999991</c:v>
                </c:pt>
                <c:pt idx="2139">
                  <c:v>84.25</c:v>
                </c:pt>
                <c:pt idx="2140">
                  <c:v>80.430000000000007</c:v>
                </c:pt>
                <c:pt idx="2141">
                  <c:v>80.349999999999994</c:v>
                </c:pt>
                <c:pt idx="2142">
                  <c:v>79.47</c:v>
                </c:pt>
                <c:pt idx="2143">
                  <c:v>78.56</c:v>
                </c:pt>
                <c:pt idx="2144">
                  <c:v>76.14</c:v>
                </c:pt>
                <c:pt idx="2145">
                  <c:v>79.16</c:v>
                </c:pt>
                <c:pt idx="2146">
                  <c:v>78.36999999999999</c:v>
                </c:pt>
                <c:pt idx="2147">
                  <c:v>77.179999999999978</c:v>
                </c:pt>
                <c:pt idx="2148">
                  <c:v>75.400000000000006</c:v>
                </c:pt>
                <c:pt idx="2149">
                  <c:v>71.930000000000007</c:v>
                </c:pt>
                <c:pt idx="2150">
                  <c:v>71.430000000000007</c:v>
                </c:pt>
                <c:pt idx="2151">
                  <c:v>73.149999999999991</c:v>
                </c:pt>
                <c:pt idx="2152">
                  <c:v>70.08</c:v>
                </c:pt>
                <c:pt idx="2153">
                  <c:v>70.209999999999994</c:v>
                </c:pt>
                <c:pt idx="2154">
                  <c:v>69.489999999999995</c:v>
                </c:pt>
                <c:pt idx="2155">
                  <c:v>73.900000000000006</c:v>
                </c:pt>
                <c:pt idx="2156">
                  <c:v>74.11999999999999</c:v>
                </c:pt>
                <c:pt idx="2157">
                  <c:v>77.14</c:v>
                </c:pt>
                <c:pt idx="2158">
                  <c:v>77.75</c:v>
                </c:pt>
                <c:pt idx="2159">
                  <c:v>77.47</c:v>
                </c:pt>
                <c:pt idx="2160">
                  <c:v>79.97</c:v>
                </c:pt>
                <c:pt idx="2161">
                  <c:v>81.61999999999999</c:v>
                </c:pt>
                <c:pt idx="2162">
                  <c:v>80.540000000000006</c:v>
                </c:pt>
                <c:pt idx="2163">
                  <c:v>78.959999999999994</c:v>
                </c:pt>
                <c:pt idx="2164">
                  <c:v>84.55</c:v>
                </c:pt>
                <c:pt idx="2165">
                  <c:v>82.82</c:v>
                </c:pt>
                <c:pt idx="2166">
                  <c:v>83.6</c:v>
                </c:pt>
                <c:pt idx="2167">
                  <c:v>85.5</c:v>
                </c:pt>
                <c:pt idx="2168">
                  <c:v>83.79</c:v>
                </c:pt>
                <c:pt idx="2169">
                  <c:v>80.88</c:v>
                </c:pt>
                <c:pt idx="2170">
                  <c:v>81.940000000000026</c:v>
                </c:pt>
                <c:pt idx="2171">
                  <c:v>83.33</c:v>
                </c:pt>
                <c:pt idx="2172">
                  <c:v>85.73</c:v>
                </c:pt>
                <c:pt idx="2173">
                  <c:v>86.56</c:v>
                </c:pt>
                <c:pt idx="2174">
                  <c:v>85.76</c:v>
                </c:pt>
                <c:pt idx="2175">
                  <c:v>83.78</c:v>
                </c:pt>
                <c:pt idx="2176">
                  <c:v>84.75</c:v>
                </c:pt>
                <c:pt idx="2177">
                  <c:v>87.93</c:v>
                </c:pt>
                <c:pt idx="2178">
                  <c:v>86.410000000000025</c:v>
                </c:pt>
                <c:pt idx="2179">
                  <c:v>87.47</c:v>
                </c:pt>
                <c:pt idx="2180">
                  <c:v>88.8</c:v>
                </c:pt>
                <c:pt idx="2181">
                  <c:v>89.240000000000023</c:v>
                </c:pt>
                <c:pt idx="2182">
                  <c:v>85.45</c:v>
                </c:pt>
                <c:pt idx="2183">
                  <c:v>87.25</c:v>
                </c:pt>
                <c:pt idx="2184">
                  <c:v>86.53</c:v>
                </c:pt>
                <c:pt idx="2185">
                  <c:v>87.39</c:v>
                </c:pt>
                <c:pt idx="2186">
                  <c:v>88.910000000000025</c:v>
                </c:pt>
                <c:pt idx="2187">
                  <c:v>88</c:v>
                </c:pt>
                <c:pt idx="2188">
                  <c:v>87.75</c:v>
                </c:pt>
                <c:pt idx="2189">
                  <c:v>89.649999999999991</c:v>
                </c:pt>
                <c:pt idx="2190">
                  <c:v>89.55</c:v>
                </c:pt>
                <c:pt idx="2191">
                  <c:v>93.08</c:v>
                </c:pt>
                <c:pt idx="2192">
                  <c:v>92.740000000000023</c:v>
                </c:pt>
                <c:pt idx="2193">
                  <c:v>94.36</c:v>
                </c:pt>
                <c:pt idx="2194">
                  <c:v>93.13</c:v>
                </c:pt>
                <c:pt idx="2195">
                  <c:v>95.32</c:v>
                </c:pt>
                <c:pt idx="2196">
                  <c:v>93.34</c:v>
                </c:pt>
                <c:pt idx="2197">
                  <c:v>93.28</c:v>
                </c:pt>
                <c:pt idx="2198">
                  <c:v>90.85</c:v>
                </c:pt>
                <c:pt idx="2199">
                  <c:v>91.75</c:v>
                </c:pt>
                <c:pt idx="2200">
                  <c:v>90.740000000000023</c:v>
                </c:pt>
                <c:pt idx="2201">
                  <c:v>93.48</c:v>
                </c:pt>
                <c:pt idx="2202">
                  <c:v>93.35</c:v>
                </c:pt>
                <c:pt idx="2203">
                  <c:v>92.86</c:v>
                </c:pt>
                <c:pt idx="2204">
                  <c:v>93.6</c:v>
                </c:pt>
                <c:pt idx="2205">
                  <c:v>91.85</c:v>
                </c:pt>
                <c:pt idx="2206">
                  <c:v>93.27</c:v>
                </c:pt>
                <c:pt idx="2207">
                  <c:v>94.53</c:v>
                </c:pt>
                <c:pt idx="2208">
                  <c:v>97.179999999999978</c:v>
                </c:pt>
                <c:pt idx="2209">
                  <c:v>95.86999999999999</c:v>
                </c:pt>
                <c:pt idx="2210">
                  <c:v>96.940000000000026</c:v>
                </c:pt>
                <c:pt idx="2211">
                  <c:v>96.710000000000022</c:v>
                </c:pt>
                <c:pt idx="2212">
                  <c:v>96.61</c:v>
                </c:pt>
                <c:pt idx="2213">
                  <c:v>96.940000000000026</c:v>
                </c:pt>
                <c:pt idx="2214">
                  <c:v>96.63</c:v>
                </c:pt>
                <c:pt idx="2215">
                  <c:v>97.22</c:v>
                </c:pt>
                <c:pt idx="2216">
                  <c:v>97.36999999999999</c:v>
                </c:pt>
                <c:pt idx="2217">
                  <c:v>95.07</c:v>
                </c:pt>
                <c:pt idx="2218">
                  <c:v>93.86</c:v>
                </c:pt>
                <c:pt idx="2219">
                  <c:v>93.73</c:v>
                </c:pt>
                <c:pt idx="2220">
                  <c:v>94.53</c:v>
                </c:pt>
                <c:pt idx="2221">
                  <c:v>94.82</c:v>
                </c:pt>
                <c:pt idx="2222">
                  <c:v>91.93</c:v>
                </c:pt>
                <c:pt idx="2223">
                  <c:v>92.149999999999991</c:v>
                </c:pt>
                <c:pt idx="2224">
                  <c:v>92.79</c:v>
                </c:pt>
                <c:pt idx="2225">
                  <c:v>94.77</c:v>
                </c:pt>
                <c:pt idx="2226">
                  <c:v>94.649999999999991</c:v>
                </c:pt>
                <c:pt idx="2227">
                  <c:v>95.490000000000023</c:v>
                </c:pt>
                <c:pt idx="2228">
                  <c:v>94.710000000000022</c:v>
                </c:pt>
                <c:pt idx="2229">
                  <c:v>95.13</c:v>
                </c:pt>
                <c:pt idx="2230">
                  <c:v>92.36999999999999</c:v>
                </c:pt>
                <c:pt idx="2231">
                  <c:v>92.6</c:v>
                </c:pt>
                <c:pt idx="2232">
                  <c:v>90.81</c:v>
                </c:pt>
                <c:pt idx="2233">
                  <c:v>90.669999999999987</c:v>
                </c:pt>
                <c:pt idx="2234">
                  <c:v>91</c:v>
                </c:pt>
                <c:pt idx="2235">
                  <c:v>90.61999999999999</c:v>
                </c:pt>
                <c:pt idx="2236">
                  <c:v>92.86</c:v>
                </c:pt>
                <c:pt idx="2237">
                  <c:v>93.34</c:v>
                </c:pt>
                <c:pt idx="2238">
                  <c:v>96.1</c:v>
                </c:pt>
                <c:pt idx="2239">
                  <c:v>96.93</c:v>
                </c:pt>
                <c:pt idx="2240">
                  <c:v>96.940000000000026</c:v>
                </c:pt>
                <c:pt idx="2241">
                  <c:v>98.03</c:v>
                </c:pt>
                <c:pt idx="2242">
                  <c:v>98.36</c:v>
                </c:pt>
                <c:pt idx="2243">
                  <c:v>100.66</c:v>
                </c:pt>
                <c:pt idx="2244">
                  <c:v>101.02</c:v>
                </c:pt>
                <c:pt idx="2245">
                  <c:v>101.31</c:v>
                </c:pt>
                <c:pt idx="2246">
                  <c:v>101.02</c:v>
                </c:pt>
                <c:pt idx="2247">
                  <c:v>100.57</c:v>
                </c:pt>
                <c:pt idx="2248">
                  <c:v>101.75</c:v>
                </c:pt>
                <c:pt idx="2249">
                  <c:v>101.83</c:v>
                </c:pt>
                <c:pt idx="2250">
                  <c:v>103.39</c:v>
                </c:pt>
                <c:pt idx="2251">
                  <c:v>103.69</c:v>
                </c:pt>
                <c:pt idx="2252">
                  <c:v>103.42</c:v>
                </c:pt>
                <c:pt idx="2253">
                  <c:v>102.82</c:v>
                </c:pt>
                <c:pt idx="2254">
                  <c:v>104.17999999999998</c:v>
                </c:pt>
                <c:pt idx="2255">
                  <c:v>103.85</c:v>
                </c:pt>
                <c:pt idx="2256">
                  <c:v>102.55</c:v>
                </c:pt>
                <c:pt idx="2257">
                  <c:v>103.74000000000002</c:v>
                </c:pt>
                <c:pt idx="2258">
                  <c:v>104.49000000000002</c:v>
                </c:pt>
                <c:pt idx="2259">
                  <c:v>103.6</c:v>
                </c:pt>
                <c:pt idx="2260">
                  <c:v>101.08</c:v>
                </c:pt>
                <c:pt idx="2261">
                  <c:v>102.14</c:v>
                </c:pt>
                <c:pt idx="2262">
                  <c:v>102.86</c:v>
                </c:pt>
                <c:pt idx="2263">
                  <c:v>103.99000000000002</c:v>
                </c:pt>
                <c:pt idx="2264">
                  <c:v>105.93</c:v>
                </c:pt>
                <c:pt idx="2265">
                  <c:v>105.86</c:v>
                </c:pt>
                <c:pt idx="2266">
                  <c:v>106.11</c:v>
                </c:pt>
                <c:pt idx="2267">
                  <c:v>106.13</c:v>
                </c:pt>
                <c:pt idx="2268">
                  <c:v>106.42</c:v>
                </c:pt>
                <c:pt idx="2269">
                  <c:v>106.22</c:v>
                </c:pt>
                <c:pt idx="2270">
                  <c:v>105.36</c:v>
                </c:pt>
                <c:pt idx="2271">
                  <c:v>103.02</c:v>
                </c:pt>
                <c:pt idx="2272">
                  <c:v>102.7</c:v>
                </c:pt>
                <c:pt idx="2273">
                  <c:v>103.58</c:v>
                </c:pt>
                <c:pt idx="2274">
                  <c:v>104.94000000000032</c:v>
                </c:pt>
                <c:pt idx="2275">
                  <c:v>105.86</c:v>
                </c:pt>
                <c:pt idx="2276">
                  <c:v>106.7</c:v>
                </c:pt>
                <c:pt idx="2277">
                  <c:v>107.81</c:v>
                </c:pt>
                <c:pt idx="2278">
                  <c:v>107.66999999999999</c:v>
                </c:pt>
                <c:pt idx="2279">
                  <c:v>108.33</c:v>
                </c:pt>
                <c:pt idx="2280">
                  <c:v>108.66999999999999</c:v>
                </c:pt>
                <c:pt idx="2281">
                  <c:v>110.35</c:v>
                </c:pt>
                <c:pt idx="2282">
                  <c:v>110.02</c:v>
                </c:pt>
                <c:pt idx="2283">
                  <c:v>110.29</c:v>
                </c:pt>
                <c:pt idx="2284">
                  <c:v>109.92</c:v>
                </c:pt>
                <c:pt idx="2285">
                  <c:v>110.64</c:v>
                </c:pt>
                <c:pt idx="2286">
                  <c:v>109.52</c:v>
                </c:pt>
                <c:pt idx="2287">
                  <c:v>108.49000000000002</c:v>
                </c:pt>
                <c:pt idx="2288">
                  <c:v>107.83</c:v>
                </c:pt>
                <c:pt idx="2289">
                  <c:v>109.75</c:v>
                </c:pt>
                <c:pt idx="2290">
                  <c:v>109.51</c:v>
                </c:pt>
                <c:pt idx="2291">
                  <c:v>109.14999999999999</c:v>
                </c:pt>
                <c:pt idx="2292">
                  <c:v>106.35</c:v>
                </c:pt>
                <c:pt idx="2293">
                  <c:v>105.86</c:v>
                </c:pt>
                <c:pt idx="2294">
                  <c:v>107.44000000000032</c:v>
                </c:pt>
                <c:pt idx="2295">
                  <c:v>108.89</c:v>
                </c:pt>
                <c:pt idx="2296">
                  <c:v>109.24000000000002</c:v>
                </c:pt>
                <c:pt idx="2297">
                  <c:v>110.08</c:v>
                </c:pt>
                <c:pt idx="2298">
                  <c:v>110.7</c:v>
                </c:pt>
                <c:pt idx="2299">
                  <c:v>111.16999999999999</c:v>
                </c:pt>
                <c:pt idx="2300">
                  <c:v>110.86999999999999</c:v>
                </c:pt>
                <c:pt idx="2301">
                  <c:v>112.84</c:v>
                </c:pt>
                <c:pt idx="2302">
                  <c:v>113.3</c:v>
                </c:pt>
                <c:pt idx="2303">
                  <c:v>112.39</c:v>
                </c:pt>
                <c:pt idx="2304">
                  <c:v>113.44000000000032</c:v>
                </c:pt>
                <c:pt idx="2305">
                  <c:v>112.77</c:v>
                </c:pt>
                <c:pt idx="2306">
                  <c:v>111.79</c:v>
                </c:pt>
                <c:pt idx="2307">
                  <c:v>112.98</c:v>
                </c:pt>
                <c:pt idx="2308">
                  <c:v>111.61</c:v>
                </c:pt>
                <c:pt idx="2309">
                  <c:v>110.31</c:v>
                </c:pt>
                <c:pt idx="2310">
                  <c:v>109.93</c:v>
                </c:pt>
                <c:pt idx="2311">
                  <c:v>107.79</c:v>
                </c:pt>
                <c:pt idx="2312">
                  <c:v>110.23</c:v>
                </c:pt>
                <c:pt idx="2313">
                  <c:v>107.11999999999999</c:v>
                </c:pt>
                <c:pt idx="2314">
                  <c:v>107.79</c:v>
                </c:pt>
                <c:pt idx="2315">
                  <c:v>108.08</c:v>
                </c:pt>
                <c:pt idx="2316">
                  <c:v>108.19</c:v>
                </c:pt>
                <c:pt idx="2317">
                  <c:v>110.27</c:v>
                </c:pt>
                <c:pt idx="2318">
                  <c:v>110.57</c:v>
                </c:pt>
                <c:pt idx="2319">
                  <c:v>113.04</c:v>
                </c:pt>
                <c:pt idx="2320">
                  <c:v>113.04</c:v>
                </c:pt>
                <c:pt idx="2321">
                  <c:v>112.46000000000002</c:v>
                </c:pt>
                <c:pt idx="2322">
                  <c:v>113.09</c:v>
                </c:pt>
                <c:pt idx="2323">
                  <c:v>114.75</c:v>
                </c:pt>
                <c:pt idx="2324">
                  <c:v>114.86999999999999</c:v>
                </c:pt>
                <c:pt idx="2325">
                  <c:v>114.84</c:v>
                </c:pt>
                <c:pt idx="2326">
                  <c:v>113.3</c:v>
                </c:pt>
                <c:pt idx="2327">
                  <c:v>112.94000000000032</c:v>
                </c:pt>
                <c:pt idx="2328">
                  <c:v>114.47</c:v>
                </c:pt>
                <c:pt idx="2329">
                  <c:v>114.39</c:v>
                </c:pt>
                <c:pt idx="2330">
                  <c:v>114.91000000000012</c:v>
                </c:pt>
                <c:pt idx="2331">
                  <c:v>112.95</c:v>
                </c:pt>
                <c:pt idx="2332">
                  <c:v>113.39</c:v>
                </c:pt>
                <c:pt idx="2333">
                  <c:v>114.79</c:v>
                </c:pt>
                <c:pt idx="2334">
                  <c:v>114.83</c:v>
                </c:pt>
                <c:pt idx="2335">
                  <c:v>113.86</c:v>
                </c:pt>
                <c:pt idx="2336">
                  <c:v>114.46000000000002</c:v>
                </c:pt>
                <c:pt idx="2337">
                  <c:v>114.16</c:v>
                </c:pt>
                <c:pt idx="2338">
                  <c:v>113</c:v>
                </c:pt>
                <c:pt idx="2339">
                  <c:v>113.43</c:v>
                </c:pt>
                <c:pt idx="2340">
                  <c:v>114.11</c:v>
                </c:pt>
                <c:pt idx="2341">
                  <c:v>114.54</c:v>
                </c:pt>
                <c:pt idx="2342">
                  <c:v>115.32</c:v>
                </c:pt>
                <c:pt idx="2343">
                  <c:v>114.69</c:v>
                </c:pt>
                <c:pt idx="2344">
                  <c:v>114.82</c:v>
                </c:pt>
                <c:pt idx="2345">
                  <c:v>113.48</c:v>
                </c:pt>
                <c:pt idx="2346">
                  <c:v>114.16</c:v>
                </c:pt>
                <c:pt idx="2347">
                  <c:v>115.34</c:v>
                </c:pt>
                <c:pt idx="2348">
                  <c:v>115.78</c:v>
                </c:pt>
                <c:pt idx="2349">
                  <c:v>116.08</c:v>
                </c:pt>
                <c:pt idx="2350">
                  <c:v>116.69</c:v>
                </c:pt>
                <c:pt idx="2351">
                  <c:v>116.82</c:v>
                </c:pt>
                <c:pt idx="2352">
                  <c:v>116.66</c:v>
                </c:pt>
                <c:pt idx="2353">
                  <c:v>116.73</c:v>
                </c:pt>
                <c:pt idx="2354">
                  <c:v>115.5</c:v>
                </c:pt>
                <c:pt idx="2355">
                  <c:v>117.35</c:v>
                </c:pt>
                <c:pt idx="2356">
                  <c:v>117.71000000000002</c:v>
                </c:pt>
                <c:pt idx="2357">
                  <c:v>117.82</c:v>
                </c:pt>
                <c:pt idx="2358">
                  <c:v>118.3</c:v>
                </c:pt>
                <c:pt idx="2359">
                  <c:v>118.64</c:v>
                </c:pt>
                <c:pt idx="2360">
                  <c:v>118.81</c:v>
                </c:pt>
                <c:pt idx="2361">
                  <c:v>117.71000000000002</c:v>
                </c:pt>
                <c:pt idx="2362">
                  <c:v>118.7</c:v>
                </c:pt>
                <c:pt idx="2363">
                  <c:v>118.99000000000002</c:v>
                </c:pt>
                <c:pt idx="2364">
                  <c:v>117.71000000000002</c:v>
                </c:pt>
                <c:pt idx="2365">
                  <c:v>119.14999999999999</c:v>
                </c:pt>
                <c:pt idx="2366">
                  <c:v>117.9</c:v>
                </c:pt>
                <c:pt idx="2367">
                  <c:v>115.66</c:v>
                </c:pt>
                <c:pt idx="2368">
                  <c:v>113.09</c:v>
                </c:pt>
                <c:pt idx="2369">
                  <c:v>113.59</c:v>
                </c:pt>
                <c:pt idx="2370">
                  <c:v>113.1</c:v>
                </c:pt>
                <c:pt idx="2371">
                  <c:v>113.66999999999999</c:v>
                </c:pt>
                <c:pt idx="2372">
                  <c:v>112.32</c:v>
                </c:pt>
                <c:pt idx="2373">
                  <c:v>111.23</c:v>
                </c:pt>
                <c:pt idx="2374">
                  <c:v>112.8</c:v>
                </c:pt>
                <c:pt idx="2375">
                  <c:v>114.26</c:v>
                </c:pt>
                <c:pt idx="2376">
                  <c:v>113.66</c:v>
                </c:pt>
                <c:pt idx="2377">
                  <c:v>110.13</c:v>
                </c:pt>
                <c:pt idx="2378">
                  <c:v>110.46000000000002</c:v>
                </c:pt>
                <c:pt idx="2379">
                  <c:v>109.52</c:v>
                </c:pt>
                <c:pt idx="2380">
                  <c:v>110.92</c:v>
                </c:pt>
                <c:pt idx="2381">
                  <c:v>110.7</c:v>
                </c:pt>
                <c:pt idx="2382">
                  <c:v>111.78</c:v>
                </c:pt>
                <c:pt idx="2383">
                  <c:v>111.54</c:v>
                </c:pt>
                <c:pt idx="2384">
                  <c:v>113.55</c:v>
                </c:pt>
                <c:pt idx="2385">
                  <c:v>114.05</c:v>
                </c:pt>
                <c:pt idx="2386">
                  <c:v>114.78</c:v>
                </c:pt>
                <c:pt idx="2387">
                  <c:v>114.99000000000002</c:v>
                </c:pt>
                <c:pt idx="2388">
                  <c:v>114.85</c:v>
                </c:pt>
                <c:pt idx="2389">
                  <c:v>113.45</c:v>
                </c:pt>
                <c:pt idx="2390">
                  <c:v>114.59</c:v>
                </c:pt>
                <c:pt idx="2391">
                  <c:v>114.36999999999999</c:v>
                </c:pt>
                <c:pt idx="2392">
                  <c:v>114.52</c:v>
                </c:pt>
                <c:pt idx="2393">
                  <c:v>115.66</c:v>
                </c:pt>
                <c:pt idx="2394">
                  <c:v>115.95</c:v>
                </c:pt>
                <c:pt idx="2395">
                  <c:v>116.01</c:v>
                </c:pt>
                <c:pt idx="2396">
                  <c:v>116.44000000000032</c:v>
                </c:pt>
                <c:pt idx="2397">
                  <c:v>118.07</c:v>
                </c:pt>
                <c:pt idx="2398">
                  <c:v>118.07</c:v>
                </c:pt>
                <c:pt idx="2399">
                  <c:v>118.27</c:v>
                </c:pt>
                <c:pt idx="2400">
                  <c:v>118.82</c:v>
                </c:pt>
                <c:pt idx="2401">
                  <c:v>119.33</c:v>
                </c:pt>
                <c:pt idx="2402">
                  <c:v>119.31</c:v>
                </c:pt>
                <c:pt idx="2403">
                  <c:v>119.34</c:v>
                </c:pt>
                <c:pt idx="2404">
                  <c:v>120.28</c:v>
                </c:pt>
                <c:pt idx="2405">
                  <c:v>120.99000000000002</c:v>
                </c:pt>
                <c:pt idx="2406">
                  <c:v>120.95</c:v>
                </c:pt>
                <c:pt idx="2407">
                  <c:v>120.31</c:v>
                </c:pt>
                <c:pt idx="2408">
                  <c:v>120.93</c:v>
                </c:pt>
                <c:pt idx="2409">
                  <c:v>121.8</c:v>
                </c:pt>
                <c:pt idx="2410">
                  <c:v>121.13</c:v>
                </c:pt>
                <c:pt idx="2411">
                  <c:v>120.93</c:v>
                </c:pt>
                <c:pt idx="2412">
                  <c:v>121</c:v>
                </c:pt>
                <c:pt idx="2413">
                  <c:v>121.69</c:v>
                </c:pt>
                <c:pt idx="2414">
                  <c:v>121.73</c:v>
                </c:pt>
                <c:pt idx="2415">
                  <c:v>121.33</c:v>
                </c:pt>
                <c:pt idx="2416">
                  <c:v>122.23</c:v>
                </c:pt>
                <c:pt idx="2417">
                  <c:v>123.42</c:v>
                </c:pt>
                <c:pt idx="2418">
                  <c:v>122.76</c:v>
                </c:pt>
                <c:pt idx="2419">
                  <c:v>123.16999999999999</c:v>
                </c:pt>
                <c:pt idx="2420">
                  <c:v>123.99000000000002</c:v>
                </c:pt>
                <c:pt idx="2421">
                  <c:v>124.21000000000002</c:v>
                </c:pt>
                <c:pt idx="2422">
                  <c:v>124.3</c:v>
                </c:pt>
                <c:pt idx="2423">
                  <c:v>125.69</c:v>
                </c:pt>
                <c:pt idx="2424">
                  <c:v>125.8</c:v>
                </c:pt>
                <c:pt idx="2425">
                  <c:v>123.76</c:v>
                </c:pt>
                <c:pt idx="2426">
                  <c:v>124.3</c:v>
                </c:pt>
                <c:pt idx="2427">
                  <c:v>125.3</c:v>
                </c:pt>
                <c:pt idx="2428">
                  <c:v>125.14</c:v>
                </c:pt>
                <c:pt idx="2429">
                  <c:v>125.39</c:v>
                </c:pt>
                <c:pt idx="2430">
                  <c:v>126.29</c:v>
                </c:pt>
                <c:pt idx="2431">
                  <c:v>125.73</c:v>
                </c:pt>
                <c:pt idx="2432">
                  <c:v>122.83</c:v>
                </c:pt>
                <c:pt idx="2433">
                  <c:v>123.63</c:v>
                </c:pt>
                <c:pt idx="2434">
                  <c:v>125.24000000000002</c:v>
                </c:pt>
                <c:pt idx="2435">
                  <c:v>123.14</c:v>
                </c:pt>
                <c:pt idx="2436">
                  <c:v>124.71000000000002</c:v>
                </c:pt>
                <c:pt idx="2437">
                  <c:v>120.9</c:v>
                </c:pt>
                <c:pt idx="2438">
                  <c:v>117</c:v>
                </c:pt>
                <c:pt idx="2439">
                  <c:v>115.22</c:v>
                </c:pt>
                <c:pt idx="2440">
                  <c:v>120.24000000000002</c:v>
                </c:pt>
                <c:pt idx="2441">
                  <c:v>119.86999999999999</c:v>
                </c:pt>
                <c:pt idx="2442">
                  <c:v>121.57</c:v>
                </c:pt>
                <c:pt idx="2443">
                  <c:v>117.98</c:v>
                </c:pt>
                <c:pt idx="2444">
                  <c:v>116.3</c:v>
                </c:pt>
                <c:pt idx="2445">
                  <c:v>115.71000000000002</c:v>
                </c:pt>
                <c:pt idx="2446">
                  <c:v>111.23</c:v>
                </c:pt>
                <c:pt idx="2447">
                  <c:v>112.89</c:v>
                </c:pt>
                <c:pt idx="2448">
                  <c:v>111.49000000000002</c:v>
                </c:pt>
                <c:pt idx="2449">
                  <c:v>110.84</c:v>
                </c:pt>
                <c:pt idx="2450">
                  <c:v>114.54</c:v>
                </c:pt>
                <c:pt idx="2451">
                  <c:v>113.14</c:v>
                </c:pt>
                <c:pt idx="2452">
                  <c:v>111.19</c:v>
                </c:pt>
                <c:pt idx="2453">
                  <c:v>114.08</c:v>
                </c:pt>
                <c:pt idx="2454">
                  <c:v>114.56</c:v>
                </c:pt>
                <c:pt idx="2455">
                  <c:v>110.6</c:v>
                </c:pt>
                <c:pt idx="2456">
                  <c:v>109.09</c:v>
                </c:pt>
                <c:pt idx="2457">
                  <c:v>110.29</c:v>
                </c:pt>
                <c:pt idx="2458">
                  <c:v>109.64999999999999</c:v>
                </c:pt>
                <c:pt idx="2459">
                  <c:v>112.88</c:v>
                </c:pt>
                <c:pt idx="2460">
                  <c:v>113.42</c:v>
                </c:pt>
                <c:pt idx="2461">
                  <c:v>113.21000000000002</c:v>
                </c:pt>
                <c:pt idx="2462">
                  <c:v>115.86999999999999</c:v>
                </c:pt>
                <c:pt idx="2463">
                  <c:v>115.82</c:v>
                </c:pt>
                <c:pt idx="2464">
                  <c:v>115.97</c:v>
                </c:pt>
                <c:pt idx="2465">
                  <c:v>116.11999999999999</c:v>
                </c:pt>
                <c:pt idx="2466">
                  <c:v>115.66999999999999</c:v>
                </c:pt>
                <c:pt idx="2467">
                  <c:v>113.79</c:v>
                </c:pt>
                <c:pt idx="2468">
                  <c:v>113.47</c:v>
                </c:pt>
                <c:pt idx="2469">
                  <c:v>111.53</c:v>
                </c:pt>
                <c:pt idx="2470">
                  <c:v>111.84</c:v>
                </c:pt>
                <c:pt idx="2471">
                  <c:v>111.61999999999999</c:v>
                </c:pt>
                <c:pt idx="2472">
                  <c:v>108.11999999999999</c:v>
                </c:pt>
                <c:pt idx="2473">
                  <c:v>107.05</c:v>
                </c:pt>
                <c:pt idx="2474">
                  <c:v>106.7</c:v>
                </c:pt>
                <c:pt idx="2475">
                  <c:v>106.21000000000002</c:v>
                </c:pt>
                <c:pt idx="2476">
                  <c:v>106.75</c:v>
                </c:pt>
                <c:pt idx="2477">
                  <c:v>110.11</c:v>
                </c:pt>
                <c:pt idx="2478">
                  <c:v>111.14999999999999</c:v>
                </c:pt>
                <c:pt idx="2479">
                  <c:v>111.98</c:v>
                </c:pt>
                <c:pt idx="2480">
                  <c:v>112.09</c:v>
                </c:pt>
                <c:pt idx="2481">
                  <c:v>113.86999999999999</c:v>
                </c:pt>
                <c:pt idx="2482">
                  <c:v>113.85</c:v>
                </c:pt>
                <c:pt idx="2483">
                  <c:v>113.97</c:v>
                </c:pt>
                <c:pt idx="2484">
                  <c:v>110.7</c:v>
                </c:pt>
                <c:pt idx="2485">
                  <c:v>111.38</c:v>
                </c:pt>
                <c:pt idx="2486">
                  <c:v>112.64999999999999</c:v>
                </c:pt>
                <c:pt idx="2487">
                  <c:v>113.74000000000002</c:v>
                </c:pt>
                <c:pt idx="2488">
                  <c:v>114.73</c:v>
                </c:pt>
                <c:pt idx="2489">
                  <c:v>116.02</c:v>
                </c:pt>
                <c:pt idx="2490">
                  <c:v>115.89</c:v>
                </c:pt>
                <c:pt idx="2491">
                  <c:v>115.05</c:v>
                </c:pt>
                <c:pt idx="2492">
                  <c:v>114.58</c:v>
                </c:pt>
                <c:pt idx="2493">
                  <c:v>114.6</c:v>
                </c:pt>
                <c:pt idx="2494">
                  <c:v>117.13</c:v>
                </c:pt>
                <c:pt idx="2495">
                  <c:v>116.54</c:v>
                </c:pt>
                <c:pt idx="2496">
                  <c:v>117.3</c:v>
                </c:pt>
                <c:pt idx="2497">
                  <c:v>117.16</c:v>
                </c:pt>
                <c:pt idx="2498">
                  <c:v>116.73</c:v>
                </c:pt>
                <c:pt idx="2499">
                  <c:v>117.36999999999999</c:v>
                </c:pt>
                <c:pt idx="2500">
                  <c:v>116.66</c:v>
                </c:pt>
                <c:pt idx="2501">
                  <c:v>113.42</c:v>
                </c:pt>
                <c:pt idx="2502">
                  <c:v>112.84</c:v>
                </c:pt>
                <c:pt idx="2503">
                  <c:v>112.36999999999999</c:v>
                </c:pt>
                <c:pt idx="2504">
                  <c:v>112.4</c:v>
                </c:pt>
                <c:pt idx="2505">
                  <c:v>113.79</c:v>
                </c:pt>
                <c:pt idx="2506">
                  <c:v>113.94000000000032</c:v>
                </c:pt>
                <c:pt idx="2507">
                  <c:v>112.08</c:v>
                </c:pt>
                <c:pt idx="2508">
                  <c:v>111.66999999999999</c:v>
                </c:pt>
                <c:pt idx="2509">
                  <c:v>111.19</c:v>
                </c:pt>
                <c:pt idx="2510">
                  <c:v>109.55</c:v>
                </c:pt>
                <c:pt idx="2511">
                  <c:v>109.95</c:v>
                </c:pt>
                <c:pt idx="2512">
                  <c:v>109.09</c:v>
                </c:pt>
                <c:pt idx="2513">
                  <c:v>110.92</c:v>
                </c:pt>
                <c:pt idx="2514">
                  <c:v>109.28</c:v>
                </c:pt>
                <c:pt idx="2515">
                  <c:v>109.33</c:v>
                </c:pt>
                <c:pt idx="2516">
                  <c:v>112.59</c:v>
                </c:pt>
                <c:pt idx="2517">
                  <c:v>113.61999999999999</c:v>
                </c:pt>
                <c:pt idx="2518">
                  <c:v>115.13</c:v>
                </c:pt>
                <c:pt idx="2519">
                  <c:v>113.81</c:v>
                </c:pt>
                <c:pt idx="2520">
                  <c:v>114.53</c:v>
                </c:pt>
                <c:pt idx="2521">
                  <c:v>115.08</c:v>
                </c:pt>
                <c:pt idx="2522">
                  <c:v>115.63</c:v>
                </c:pt>
                <c:pt idx="2523">
                  <c:v>116.98</c:v>
                </c:pt>
                <c:pt idx="2524">
                  <c:v>116.92</c:v>
                </c:pt>
                <c:pt idx="2525">
                  <c:v>117.33</c:v>
                </c:pt>
                <c:pt idx="2526">
                  <c:v>117.31</c:v>
                </c:pt>
                <c:pt idx="2527">
                  <c:v>117.42</c:v>
                </c:pt>
                <c:pt idx="2528">
                  <c:v>119.2</c:v>
                </c:pt>
                <c:pt idx="2529">
                  <c:v>118.9</c:v>
                </c:pt>
                <c:pt idx="2530">
                  <c:v>118.34</c:v>
                </c:pt>
                <c:pt idx="2531">
                  <c:v>117.39</c:v>
                </c:pt>
                <c:pt idx="2532">
                  <c:v>119.88</c:v>
                </c:pt>
                <c:pt idx="2533">
                  <c:v>119.2</c:v>
                </c:pt>
                <c:pt idx="2534">
                  <c:v>119.81</c:v>
                </c:pt>
                <c:pt idx="2535">
                  <c:v>119.54</c:v>
                </c:pt>
                <c:pt idx="2536">
                  <c:v>119.16999999999999</c:v>
                </c:pt>
                <c:pt idx="2537">
                  <c:v>119.72</c:v>
                </c:pt>
                <c:pt idx="2538">
                  <c:v>118.74000000000002</c:v>
                </c:pt>
                <c:pt idx="2539">
                  <c:v>121.22</c:v>
                </c:pt>
                <c:pt idx="2540">
                  <c:v>121.16</c:v>
                </c:pt>
                <c:pt idx="2541">
                  <c:v>120.99000000000002</c:v>
                </c:pt>
                <c:pt idx="2542">
                  <c:v>121.75</c:v>
                </c:pt>
                <c:pt idx="2543">
                  <c:v>121.77</c:v>
                </c:pt>
                <c:pt idx="2544">
                  <c:v>122.21000000000002</c:v>
                </c:pt>
                <c:pt idx="2545">
                  <c:v>123.1</c:v>
                </c:pt>
                <c:pt idx="2546">
                  <c:v>122.66</c:v>
                </c:pt>
                <c:pt idx="2547">
                  <c:v>122.91000000000012</c:v>
                </c:pt>
                <c:pt idx="2548">
                  <c:v>121.79</c:v>
                </c:pt>
                <c:pt idx="2549">
                  <c:v>123.09</c:v>
                </c:pt>
                <c:pt idx="2550">
                  <c:v>123.3</c:v>
                </c:pt>
                <c:pt idx="2551">
                  <c:v>123.61</c:v>
                </c:pt>
                <c:pt idx="2552">
                  <c:v>123.89</c:v>
                </c:pt>
                <c:pt idx="2553">
                  <c:v>123.93</c:v>
                </c:pt>
                <c:pt idx="2554">
                  <c:v>123.64999999999999</c:v>
                </c:pt>
                <c:pt idx="2555">
                  <c:v>123.82</c:v>
                </c:pt>
                <c:pt idx="2556">
                  <c:v>123.76</c:v>
                </c:pt>
                <c:pt idx="2557">
                  <c:v>124.85</c:v>
                </c:pt>
                <c:pt idx="2558">
                  <c:v>125.31</c:v>
                </c:pt>
                <c:pt idx="2559">
                  <c:v>127.75</c:v>
                </c:pt>
                <c:pt idx="2560">
                  <c:v>128.25</c:v>
                </c:pt>
                <c:pt idx="2561">
                  <c:v>127.99000000000002</c:v>
                </c:pt>
                <c:pt idx="2562">
                  <c:v>127.01</c:v>
                </c:pt>
                <c:pt idx="2563">
                  <c:v>127.6</c:v>
                </c:pt>
                <c:pt idx="2564">
                  <c:v>125.57</c:v>
                </c:pt>
                <c:pt idx="2565">
                  <c:v>125.42</c:v>
                </c:pt>
                <c:pt idx="2566">
                  <c:v>123.38</c:v>
                </c:pt>
                <c:pt idx="2567">
                  <c:v>123.44000000000032</c:v>
                </c:pt>
                <c:pt idx="2568">
                  <c:v>125.34</c:v>
                </c:pt>
                <c:pt idx="2569">
                  <c:v>125.67999999999998</c:v>
                </c:pt>
                <c:pt idx="2570">
                  <c:v>125.5</c:v>
                </c:pt>
                <c:pt idx="2571">
                  <c:v>123.67999999999998</c:v>
                </c:pt>
                <c:pt idx="2572">
                  <c:v>125.53</c:v>
                </c:pt>
                <c:pt idx="2573">
                  <c:v>124.6</c:v>
                </c:pt>
                <c:pt idx="2574">
                  <c:v>124.45</c:v>
                </c:pt>
                <c:pt idx="2575">
                  <c:v>123.69</c:v>
                </c:pt>
                <c:pt idx="2576">
                  <c:v>126.41000000000012</c:v>
                </c:pt>
                <c:pt idx="2577">
                  <c:v>128.04</c:v>
                </c:pt>
                <c:pt idx="2578">
                  <c:v>128.38000000000065</c:v>
                </c:pt>
                <c:pt idx="2579">
                  <c:v>128.22</c:v>
                </c:pt>
                <c:pt idx="2580">
                  <c:v>128.26999999999998</c:v>
                </c:pt>
                <c:pt idx="2581">
                  <c:v>128.75</c:v>
                </c:pt>
                <c:pt idx="2582">
                  <c:v>129.23999999999998</c:v>
                </c:pt>
                <c:pt idx="2583">
                  <c:v>130.01</c:v>
                </c:pt>
                <c:pt idx="2584">
                  <c:v>130.02000000000001</c:v>
                </c:pt>
                <c:pt idx="2585">
                  <c:v>130.15</c:v>
                </c:pt>
                <c:pt idx="2586">
                  <c:v>129.47</c:v>
                </c:pt>
                <c:pt idx="2587">
                  <c:v>130.29</c:v>
                </c:pt>
                <c:pt idx="2588">
                  <c:v>130.44</c:v>
                </c:pt>
                <c:pt idx="2589">
                  <c:v>130.76999999999998</c:v>
                </c:pt>
                <c:pt idx="2590">
                  <c:v>131.57</c:v>
                </c:pt>
                <c:pt idx="2591">
                  <c:v>132.02000000000001</c:v>
                </c:pt>
                <c:pt idx="2592">
                  <c:v>131.81</c:v>
                </c:pt>
                <c:pt idx="2593">
                  <c:v>131.87</c:v>
                </c:pt>
                <c:pt idx="2594">
                  <c:v>131.96</c:v>
                </c:pt>
                <c:pt idx="2595">
                  <c:v>132.13</c:v>
                </c:pt>
                <c:pt idx="2596">
                  <c:v>131.94999999999999</c:v>
                </c:pt>
                <c:pt idx="2597">
                  <c:v>131.93</c:v>
                </c:pt>
                <c:pt idx="2598">
                  <c:v>133.41</c:v>
                </c:pt>
                <c:pt idx="2599">
                  <c:v>133.22999999999999</c:v>
                </c:pt>
                <c:pt idx="2600">
                  <c:v>133.9</c:v>
                </c:pt>
                <c:pt idx="2601">
                  <c:v>133.65</c:v>
                </c:pt>
                <c:pt idx="2602">
                  <c:v>133.4</c:v>
                </c:pt>
                <c:pt idx="2603">
                  <c:v>133.22999999999999</c:v>
                </c:pt>
                <c:pt idx="2604">
                  <c:v>133.75</c:v>
                </c:pt>
                <c:pt idx="2605">
                  <c:v>134.96</c:v>
                </c:pt>
                <c:pt idx="2606">
                  <c:v>134.72999999999999</c:v>
                </c:pt>
                <c:pt idx="2607">
                  <c:v>135.72</c:v>
                </c:pt>
                <c:pt idx="2608">
                  <c:v>135.91999999999999</c:v>
                </c:pt>
                <c:pt idx="2609">
                  <c:v>134.51</c:v>
                </c:pt>
                <c:pt idx="2610">
                  <c:v>134.33000000000001</c:v>
                </c:pt>
                <c:pt idx="2611">
                  <c:v>134.66</c:v>
                </c:pt>
                <c:pt idx="2612">
                  <c:v>135.44999999999999</c:v>
                </c:pt>
                <c:pt idx="2613">
                  <c:v>135.47999999999999</c:v>
                </c:pt>
                <c:pt idx="2614">
                  <c:v>136.18</c:v>
                </c:pt>
                <c:pt idx="2615">
                  <c:v>136.47</c:v>
                </c:pt>
                <c:pt idx="2616">
                  <c:v>134.02000000000001</c:v>
                </c:pt>
                <c:pt idx="2617">
                  <c:v>135.05000000000001</c:v>
                </c:pt>
                <c:pt idx="2618">
                  <c:v>137.32000000000065</c:v>
                </c:pt>
                <c:pt idx="2619">
                  <c:v>136.97</c:v>
                </c:pt>
                <c:pt idx="2620">
                  <c:v>137.28</c:v>
                </c:pt>
                <c:pt idx="2621">
                  <c:v>137.66</c:v>
                </c:pt>
                <c:pt idx="2622">
                  <c:v>138.49</c:v>
                </c:pt>
                <c:pt idx="2623">
                  <c:v>139.09</c:v>
                </c:pt>
                <c:pt idx="2624">
                  <c:v>138.70999999999998</c:v>
                </c:pt>
                <c:pt idx="2625">
                  <c:v>138.84</c:v>
                </c:pt>
                <c:pt idx="2626">
                  <c:v>139.62</c:v>
                </c:pt>
                <c:pt idx="2627">
                  <c:v>139.97</c:v>
                </c:pt>
                <c:pt idx="2628">
                  <c:v>139.52000000000001</c:v>
                </c:pt>
                <c:pt idx="2629">
                  <c:v>140.44</c:v>
                </c:pt>
                <c:pt idx="2630">
                  <c:v>140.9</c:v>
                </c:pt>
                <c:pt idx="2631">
                  <c:v>141.18</c:v>
                </c:pt>
                <c:pt idx="2632">
                  <c:v>138.20999999999998</c:v>
                </c:pt>
                <c:pt idx="2633">
                  <c:v>137.33000000000001</c:v>
                </c:pt>
                <c:pt idx="2634">
                  <c:v>137.23999999999998</c:v>
                </c:pt>
                <c:pt idx="2635">
                  <c:v>138.72</c:v>
                </c:pt>
                <c:pt idx="2636">
                  <c:v>139.44999999999999</c:v>
                </c:pt>
                <c:pt idx="2637">
                  <c:v>137.22999999999999</c:v>
                </c:pt>
                <c:pt idx="2638">
                  <c:v>137.47</c:v>
                </c:pt>
                <c:pt idx="2639">
                  <c:v>139.85000000000065</c:v>
                </c:pt>
                <c:pt idx="2640">
                  <c:v>138.83000000000001</c:v>
                </c:pt>
                <c:pt idx="2641">
                  <c:v>137.66999999999999</c:v>
                </c:pt>
                <c:pt idx="2642">
                  <c:v>138.89000000000001</c:v>
                </c:pt>
                <c:pt idx="2643">
                  <c:v>138.70999999999998</c:v>
                </c:pt>
                <c:pt idx="2644">
                  <c:v>136.07</c:v>
                </c:pt>
                <c:pt idx="2645">
                  <c:v>137.06</c:v>
                </c:pt>
                <c:pt idx="2646">
                  <c:v>136.23999999999998</c:v>
                </c:pt>
                <c:pt idx="2647">
                  <c:v>134.69999999999999</c:v>
                </c:pt>
                <c:pt idx="2648">
                  <c:v>132.09</c:v>
                </c:pt>
                <c:pt idx="2649">
                  <c:v>133.84</c:v>
                </c:pt>
                <c:pt idx="2650">
                  <c:v>134.41</c:v>
                </c:pt>
                <c:pt idx="2651">
                  <c:v>136.4</c:v>
                </c:pt>
                <c:pt idx="2652">
                  <c:v>135.9</c:v>
                </c:pt>
                <c:pt idx="2653">
                  <c:v>136.32000000000065</c:v>
                </c:pt>
                <c:pt idx="2654">
                  <c:v>137.63999999999999</c:v>
                </c:pt>
                <c:pt idx="2655">
                  <c:v>138.09</c:v>
                </c:pt>
                <c:pt idx="2656">
                  <c:v>137.69</c:v>
                </c:pt>
                <c:pt idx="2657">
                  <c:v>138.72</c:v>
                </c:pt>
                <c:pt idx="2658">
                  <c:v>139.66999999999999</c:v>
                </c:pt>
                <c:pt idx="2659">
                  <c:v>139.44</c:v>
                </c:pt>
                <c:pt idx="2660">
                  <c:v>140.15</c:v>
                </c:pt>
                <c:pt idx="2661">
                  <c:v>140.22</c:v>
                </c:pt>
                <c:pt idx="2662">
                  <c:v>140.19</c:v>
                </c:pt>
                <c:pt idx="2663">
                  <c:v>140.52000000000001</c:v>
                </c:pt>
                <c:pt idx="2664">
                  <c:v>140.33000000000001</c:v>
                </c:pt>
                <c:pt idx="2665">
                  <c:v>139.76</c:v>
                </c:pt>
                <c:pt idx="2666">
                  <c:v>139.38000000000065</c:v>
                </c:pt>
                <c:pt idx="2667">
                  <c:v>138.30000000000001</c:v>
                </c:pt>
                <c:pt idx="2668">
                  <c:v>138.39000000000001</c:v>
                </c:pt>
                <c:pt idx="2669">
                  <c:v>138.41999999999999</c:v>
                </c:pt>
                <c:pt idx="2670">
                  <c:v>138.99</c:v>
                </c:pt>
                <c:pt idx="2671">
                  <c:v>137.44</c:v>
                </c:pt>
                <c:pt idx="2672">
                  <c:v>138.23999999999998</c:v>
                </c:pt>
                <c:pt idx="2673">
                  <c:v>140.13</c:v>
                </c:pt>
                <c:pt idx="2674">
                  <c:v>140.85000000000065</c:v>
                </c:pt>
                <c:pt idx="2675">
                  <c:v>141.89000000000001</c:v>
                </c:pt>
                <c:pt idx="2676">
                  <c:v>142.82000000000065</c:v>
                </c:pt>
                <c:pt idx="2677">
                  <c:v>143.33000000000001</c:v>
                </c:pt>
                <c:pt idx="2678">
                  <c:v>143.63999999999999</c:v>
                </c:pt>
                <c:pt idx="2679">
                  <c:v>143.4</c:v>
                </c:pt>
                <c:pt idx="2680">
                  <c:v>142.84</c:v>
                </c:pt>
                <c:pt idx="2681">
                  <c:v>141.88000000000065</c:v>
                </c:pt>
                <c:pt idx="2682">
                  <c:v>140.63</c:v>
                </c:pt>
                <c:pt idx="2683">
                  <c:v>141.19</c:v>
                </c:pt>
                <c:pt idx="2684">
                  <c:v>141.84</c:v>
                </c:pt>
                <c:pt idx="2685">
                  <c:v>143</c:v>
                </c:pt>
                <c:pt idx="2686">
                  <c:v>141.46</c:v>
                </c:pt>
                <c:pt idx="2687">
                  <c:v>142.18</c:v>
                </c:pt>
                <c:pt idx="2688">
                  <c:v>141.02000000000001</c:v>
                </c:pt>
                <c:pt idx="2689">
                  <c:v>140.12</c:v>
                </c:pt>
                <c:pt idx="2690">
                  <c:v>140.08000000000001</c:v>
                </c:pt>
                <c:pt idx="2691">
                  <c:v>141.35000000000065</c:v>
                </c:pt>
                <c:pt idx="2692">
                  <c:v>141.66999999999999</c:v>
                </c:pt>
                <c:pt idx="2693">
                  <c:v>140.58000000000001</c:v>
                </c:pt>
                <c:pt idx="2694">
                  <c:v>138.89000000000001</c:v>
                </c:pt>
                <c:pt idx="2695">
                  <c:v>138.76999999999998</c:v>
                </c:pt>
                <c:pt idx="2696">
                  <c:v>139.22999999999999</c:v>
                </c:pt>
                <c:pt idx="2697">
                  <c:v>139.86000000000001</c:v>
                </c:pt>
                <c:pt idx="2698">
                  <c:v>140.44999999999999</c:v>
                </c:pt>
                <c:pt idx="2699">
                  <c:v>141.9</c:v>
                </c:pt>
                <c:pt idx="2700">
                  <c:v>138.69</c:v>
                </c:pt>
                <c:pt idx="2701">
                  <c:v>135.69999999999999</c:v>
                </c:pt>
                <c:pt idx="2702">
                  <c:v>135.6</c:v>
                </c:pt>
                <c:pt idx="2703">
                  <c:v>135.03</c:v>
                </c:pt>
                <c:pt idx="2704">
                  <c:v>136.02000000000001</c:v>
                </c:pt>
                <c:pt idx="2705">
                  <c:v>134.10999999999999</c:v>
                </c:pt>
                <c:pt idx="2706">
                  <c:v>135.94</c:v>
                </c:pt>
                <c:pt idx="2707">
                  <c:v>133.53</c:v>
                </c:pt>
                <c:pt idx="2708">
                  <c:v>133.73999999999998</c:v>
                </c:pt>
                <c:pt idx="2709">
                  <c:v>134.12</c:v>
                </c:pt>
                <c:pt idx="2710">
                  <c:v>134.86000000000001</c:v>
                </c:pt>
                <c:pt idx="2711">
                  <c:v>136.69999999999999</c:v>
                </c:pt>
                <c:pt idx="2712">
                  <c:v>135.82000000000065</c:v>
                </c:pt>
                <c:pt idx="2713">
                  <c:v>135.44</c:v>
                </c:pt>
                <c:pt idx="2714">
                  <c:v>133.86000000000001</c:v>
                </c:pt>
                <c:pt idx="2715">
                  <c:v>135.09</c:v>
                </c:pt>
                <c:pt idx="2716">
                  <c:v>136.9</c:v>
                </c:pt>
                <c:pt idx="2717">
                  <c:v>138.06</c:v>
                </c:pt>
                <c:pt idx="2718">
                  <c:v>139.43</c:v>
                </c:pt>
                <c:pt idx="2719">
                  <c:v>141.47</c:v>
                </c:pt>
                <c:pt idx="2720">
                  <c:v>141.30000000000001</c:v>
                </c:pt>
                <c:pt idx="2721">
                  <c:v>141.47999999999999</c:v>
                </c:pt>
                <c:pt idx="2722">
                  <c:v>142.94999999999999</c:v>
                </c:pt>
                <c:pt idx="2723">
                  <c:v>141.96</c:v>
                </c:pt>
                <c:pt idx="2724">
                  <c:v>139.37</c:v>
                </c:pt>
                <c:pt idx="2725">
                  <c:v>138.72999999999999</c:v>
                </c:pt>
                <c:pt idx="2726">
                  <c:v>139.16</c:v>
                </c:pt>
                <c:pt idx="2727">
                  <c:v>138.19999999999999</c:v>
                </c:pt>
                <c:pt idx="2728">
                  <c:v>138.99</c:v>
                </c:pt>
                <c:pt idx="2729">
                  <c:v>137.82000000000065</c:v>
                </c:pt>
                <c:pt idx="2730">
                  <c:v>140.1</c:v>
                </c:pt>
                <c:pt idx="2731">
                  <c:v>140</c:v>
                </c:pt>
                <c:pt idx="2732">
                  <c:v>142.04</c:v>
                </c:pt>
                <c:pt idx="2733">
                  <c:v>141.22999999999999</c:v>
                </c:pt>
                <c:pt idx="2734">
                  <c:v>140.66999999999999</c:v>
                </c:pt>
                <c:pt idx="2735">
                  <c:v>137.80000000000001</c:v>
                </c:pt>
                <c:pt idx="2736">
                  <c:v>137.36000000000001</c:v>
                </c:pt>
                <c:pt idx="2737">
                  <c:v>136.44999999999999</c:v>
                </c:pt>
                <c:pt idx="2738">
                  <c:v>135.84</c:v>
                </c:pt>
                <c:pt idx="2739">
                  <c:v>132.32000000000065</c:v>
                </c:pt>
                <c:pt idx="2740">
                  <c:v>133.04</c:v>
                </c:pt>
                <c:pt idx="2741">
                  <c:v>126.61999999999999</c:v>
                </c:pt>
                <c:pt idx="2742">
                  <c:v>126.52</c:v>
                </c:pt>
                <c:pt idx="2743">
                  <c:v>117.97</c:v>
                </c:pt>
                <c:pt idx="2744">
                  <c:v>123.6</c:v>
                </c:pt>
                <c:pt idx="2745">
                  <c:v>118.28</c:v>
                </c:pt>
                <c:pt idx="2746">
                  <c:v>123.74000000000002</c:v>
                </c:pt>
                <c:pt idx="2747">
                  <c:v>124.43</c:v>
                </c:pt>
                <c:pt idx="2748">
                  <c:v>125.93</c:v>
                </c:pt>
                <c:pt idx="2749">
                  <c:v>126.05</c:v>
                </c:pt>
                <c:pt idx="2750">
                  <c:v>120.36999999999999</c:v>
                </c:pt>
                <c:pt idx="2751">
                  <c:v>118.54</c:v>
                </c:pt>
                <c:pt idx="2752">
                  <c:v>118.58</c:v>
                </c:pt>
                <c:pt idx="2753">
                  <c:v>122.66999999999999</c:v>
                </c:pt>
                <c:pt idx="2754">
                  <c:v>124.3</c:v>
                </c:pt>
                <c:pt idx="2755">
                  <c:v>122.34</c:v>
                </c:pt>
                <c:pt idx="2756">
                  <c:v>124.23</c:v>
                </c:pt>
                <c:pt idx="2757">
                  <c:v>127.77</c:v>
                </c:pt>
                <c:pt idx="2758">
                  <c:v>128.1</c:v>
                </c:pt>
                <c:pt idx="2759">
                  <c:v>128.73999999999998</c:v>
                </c:pt>
                <c:pt idx="2760">
                  <c:v>127.24000000000002</c:v>
                </c:pt>
                <c:pt idx="2761">
                  <c:v>124</c:v>
                </c:pt>
                <c:pt idx="2762">
                  <c:v>123.09</c:v>
                </c:pt>
                <c:pt idx="2763">
                  <c:v>126.66999999999999</c:v>
                </c:pt>
                <c:pt idx="2764">
                  <c:v>125.33</c:v>
                </c:pt>
                <c:pt idx="2765">
                  <c:v>121.96000000000002</c:v>
                </c:pt>
                <c:pt idx="2766">
                  <c:v>122.8</c:v>
                </c:pt>
                <c:pt idx="2767">
                  <c:v>124</c:v>
                </c:pt>
                <c:pt idx="2768">
                  <c:v>125.67999999999998</c:v>
                </c:pt>
                <c:pt idx="2769">
                  <c:v>127.88</c:v>
                </c:pt>
                <c:pt idx="2770">
                  <c:v>128.57</c:v>
                </c:pt>
                <c:pt idx="2771">
                  <c:v>127.33</c:v>
                </c:pt>
                <c:pt idx="2772">
                  <c:v>127.1</c:v>
                </c:pt>
                <c:pt idx="2773">
                  <c:v>123.35</c:v>
                </c:pt>
                <c:pt idx="2774">
                  <c:v>119.36</c:v>
                </c:pt>
                <c:pt idx="2775">
                  <c:v>120.09</c:v>
                </c:pt>
                <c:pt idx="2776">
                  <c:v>122.81</c:v>
                </c:pt>
                <c:pt idx="2777">
                  <c:v>124.16999999999999</c:v>
                </c:pt>
                <c:pt idx="2778">
                  <c:v>121.6</c:v>
                </c:pt>
                <c:pt idx="2779">
                  <c:v>122.55</c:v>
                </c:pt>
                <c:pt idx="2780">
                  <c:v>119.46000000000002</c:v>
                </c:pt>
                <c:pt idx="2781">
                  <c:v>116.05</c:v>
                </c:pt>
                <c:pt idx="2782">
                  <c:v>118.7</c:v>
                </c:pt>
                <c:pt idx="2783">
                  <c:v>120.91000000000012</c:v>
                </c:pt>
                <c:pt idx="2784">
                  <c:v>123.17999999999998</c:v>
                </c:pt>
                <c:pt idx="2785">
                  <c:v>122.16999999999999</c:v>
                </c:pt>
                <c:pt idx="2786">
                  <c:v>126.35</c:v>
                </c:pt>
                <c:pt idx="2787">
                  <c:v>126.42</c:v>
                </c:pt>
                <c:pt idx="2788">
                  <c:v>127.69</c:v>
                </c:pt>
                <c:pt idx="2789">
                  <c:v>127.31</c:v>
                </c:pt>
                <c:pt idx="2790">
                  <c:v>129.55000000000001</c:v>
                </c:pt>
                <c:pt idx="2791">
                  <c:v>127.05</c:v>
                </c:pt>
                <c:pt idx="2792">
                  <c:v>129.65</c:v>
                </c:pt>
                <c:pt idx="2793">
                  <c:v>128.04</c:v>
                </c:pt>
                <c:pt idx="2794">
                  <c:v>128.56</c:v>
                </c:pt>
                <c:pt idx="2795">
                  <c:v>130.97999999999999</c:v>
                </c:pt>
                <c:pt idx="2796">
                  <c:v>132.70999999999998</c:v>
                </c:pt>
                <c:pt idx="2797">
                  <c:v>130.06</c:v>
                </c:pt>
                <c:pt idx="2798">
                  <c:v>131.44999999999999</c:v>
                </c:pt>
                <c:pt idx="2799">
                  <c:v>136.01</c:v>
                </c:pt>
                <c:pt idx="2800">
                  <c:v>136.07</c:v>
                </c:pt>
                <c:pt idx="2801">
                  <c:v>132.69</c:v>
                </c:pt>
                <c:pt idx="2802">
                  <c:v>131.09</c:v>
                </c:pt>
                <c:pt idx="2803">
                  <c:v>133.56</c:v>
                </c:pt>
                <c:pt idx="2804">
                  <c:v>132.75</c:v>
                </c:pt>
                <c:pt idx="2805">
                  <c:v>133.56</c:v>
                </c:pt>
                <c:pt idx="2806">
                  <c:v>135.18</c:v>
                </c:pt>
                <c:pt idx="2807">
                  <c:v>130.20999999999998</c:v>
                </c:pt>
                <c:pt idx="2808">
                  <c:v>131.36000000000001</c:v>
                </c:pt>
                <c:pt idx="2809">
                  <c:v>132.68</c:v>
                </c:pt>
                <c:pt idx="2810">
                  <c:v>133.35000000000065</c:v>
                </c:pt>
                <c:pt idx="2811">
                  <c:v>131.16999999999999</c:v>
                </c:pt>
                <c:pt idx="2812">
                  <c:v>128.91999999999999</c:v>
                </c:pt>
                <c:pt idx="2813">
                  <c:v>128.86000000000001</c:v>
                </c:pt>
                <c:pt idx="2814">
                  <c:v>126.44000000000032</c:v>
                </c:pt>
                <c:pt idx="2815">
                  <c:v>125.92</c:v>
                </c:pt>
                <c:pt idx="2816">
                  <c:v>123.11999999999999</c:v>
                </c:pt>
                <c:pt idx="2817">
                  <c:v>122.79</c:v>
                </c:pt>
                <c:pt idx="2818">
                  <c:v>126.4</c:v>
                </c:pt>
                <c:pt idx="2819">
                  <c:v>126.71000000000002</c:v>
                </c:pt>
                <c:pt idx="2820">
                  <c:v>132.26</c:v>
                </c:pt>
                <c:pt idx="2821">
                  <c:v>132</c:v>
                </c:pt>
                <c:pt idx="2822">
                  <c:v>131.97</c:v>
                </c:pt>
                <c:pt idx="2823">
                  <c:v>133.33000000000001</c:v>
                </c:pt>
                <c:pt idx="2824">
                  <c:v>133.44999999999999</c:v>
                </c:pt>
                <c:pt idx="2825">
                  <c:v>133.69999999999999</c:v>
                </c:pt>
                <c:pt idx="2826">
                  <c:v>130.85000000000065</c:v>
                </c:pt>
                <c:pt idx="2827">
                  <c:v>133.07</c:v>
                </c:pt>
                <c:pt idx="2828">
                  <c:v>131.07</c:v>
                </c:pt>
                <c:pt idx="2829">
                  <c:v>129.93</c:v>
                </c:pt>
                <c:pt idx="2830">
                  <c:v>128.44</c:v>
                </c:pt>
                <c:pt idx="2831">
                  <c:v>128.87</c:v>
                </c:pt>
                <c:pt idx="2832">
                  <c:v>129.30000000000001</c:v>
                </c:pt>
                <c:pt idx="2833">
                  <c:v>127.76</c:v>
                </c:pt>
                <c:pt idx="2834">
                  <c:v>131.6</c:v>
                </c:pt>
                <c:pt idx="2835">
                  <c:v>131.82000000000065</c:v>
                </c:pt>
                <c:pt idx="2836">
                  <c:v>132.94999999999999</c:v>
                </c:pt>
                <c:pt idx="2837">
                  <c:v>134.15</c:v>
                </c:pt>
                <c:pt idx="2838">
                  <c:v>134.16999999999999</c:v>
                </c:pt>
                <c:pt idx="2839">
                  <c:v>132.5</c:v>
                </c:pt>
                <c:pt idx="2840">
                  <c:v>133.91999999999999</c:v>
                </c:pt>
                <c:pt idx="2841">
                  <c:v>133.36000000000001</c:v>
                </c:pt>
                <c:pt idx="2842">
                  <c:v>135.41</c:v>
                </c:pt>
                <c:pt idx="2843">
                  <c:v>135.44999999999999</c:v>
                </c:pt>
                <c:pt idx="2844">
                  <c:v>135.86000000000001</c:v>
                </c:pt>
                <c:pt idx="2845">
                  <c:v>135.56</c:v>
                </c:pt>
                <c:pt idx="2846">
                  <c:v>135.85000000000065</c:v>
                </c:pt>
                <c:pt idx="2847">
                  <c:v>137.07</c:v>
                </c:pt>
                <c:pt idx="2848">
                  <c:v>137.13</c:v>
                </c:pt>
                <c:pt idx="2849">
                  <c:v>137.46</c:v>
                </c:pt>
                <c:pt idx="2850">
                  <c:v>136.78</c:v>
                </c:pt>
                <c:pt idx="2851">
                  <c:v>137.26999999999998</c:v>
                </c:pt>
                <c:pt idx="2852">
                  <c:v>138.82000000000065</c:v>
                </c:pt>
                <c:pt idx="2853">
                  <c:v>139.51</c:v>
                </c:pt>
                <c:pt idx="2854">
                  <c:v>139.58000000000001</c:v>
                </c:pt>
                <c:pt idx="2855">
                  <c:v>139.66</c:v>
                </c:pt>
                <c:pt idx="2856">
                  <c:v>139.55000000000001</c:v>
                </c:pt>
                <c:pt idx="2857">
                  <c:v>140.73999999999998</c:v>
                </c:pt>
                <c:pt idx="2858">
                  <c:v>139.94999999999999</c:v>
                </c:pt>
                <c:pt idx="2859">
                  <c:v>139.73999999999998</c:v>
                </c:pt>
                <c:pt idx="2860">
                  <c:v>139.39000000000001</c:v>
                </c:pt>
                <c:pt idx="2861">
                  <c:v>139.31</c:v>
                </c:pt>
                <c:pt idx="2862">
                  <c:v>140.6</c:v>
                </c:pt>
                <c:pt idx="2863">
                  <c:v>140.76999999999998</c:v>
                </c:pt>
                <c:pt idx="2864">
                  <c:v>142.86000000000001</c:v>
                </c:pt>
                <c:pt idx="2865">
                  <c:v>142.79</c:v>
                </c:pt>
                <c:pt idx="2866">
                  <c:v>143.07</c:v>
                </c:pt>
                <c:pt idx="2867">
                  <c:v>143.4</c:v>
                </c:pt>
                <c:pt idx="2868">
                  <c:v>143.63999999999999</c:v>
                </c:pt>
                <c:pt idx="2869">
                  <c:v>142.63</c:v>
                </c:pt>
                <c:pt idx="2870">
                  <c:v>143.60999999999999</c:v>
                </c:pt>
                <c:pt idx="2871">
                  <c:v>143.49</c:v>
                </c:pt>
                <c:pt idx="2872">
                  <c:v>142.75</c:v>
                </c:pt>
                <c:pt idx="2873">
                  <c:v>144.37</c:v>
                </c:pt>
                <c:pt idx="2874">
                  <c:v>144.69</c:v>
                </c:pt>
                <c:pt idx="2875">
                  <c:v>144.75</c:v>
                </c:pt>
                <c:pt idx="2876">
                  <c:v>144.28</c:v>
                </c:pt>
                <c:pt idx="2877">
                  <c:v>144.94999999999999</c:v>
                </c:pt>
                <c:pt idx="2878">
                  <c:v>145.18</c:v>
                </c:pt>
                <c:pt idx="2879">
                  <c:v>145.37</c:v>
                </c:pt>
                <c:pt idx="2880">
                  <c:v>145.87</c:v>
                </c:pt>
                <c:pt idx="2881">
                  <c:v>145.18</c:v>
                </c:pt>
                <c:pt idx="2882">
                  <c:v>146.1</c:v>
                </c:pt>
                <c:pt idx="2883">
                  <c:v>145.63</c:v>
                </c:pt>
                <c:pt idx="2884">
                  <c:v>145.03</c:v>
                </c:pt>
                <c:pt idx="2885">
                  <c:v>142.76999999999998</c:v>
                </c:pt>
                <c:pt idx="2886">
                  <c:v>143.81</c:v>
                </c:pt>
                <c:pt idx="2887">
                  <c:v>145.26</c:v>
                </c:pt>
                <c:pt idx="2888">
                  <c:v>145.78</c:v>
                </c:pt>
                <c:pt idx="2889">
                  <c:v>145.79</c:v>
                </c:pt>
                <c:pt idx="2890">
                  <c:v>148.47</c:v>
                </c:pt>
                <c:pt idx="2891">
                  <c:v>148.28</c:v>
                </c:pt>
                <c:pt idx="2892">
                  <c:v>149.16999999999999</c:v>
                </c:pt>
                <c:pt idx="2893">
                  <c:v>149.35000000000065</c:v>
                </c:pt>
                <c:pt idx="2894">
                  <c:v>149.91</c:v>
                </c:pt>
                <c:pt idx="2895">
                  <c:v>149.44</c:v>
                </c:pt>
                <c:pt idx="2896">
                  <c:v>149.16999999999999</c:v>
                </c:pt>
                <c:pt idx="2897">
                  <c:v>148.08000000000001</c:v>
                </c:pt>
                <c:pt idx="2898">
                  <c:v>148.52000000000001</c:v>
                </c:pt>
                <c:pt idx="2899">
                  <c:v>150.6</c:v>
                </c:pt>
                <c:pt idx="2900">
                  <c:v>150.19</c:v>
                </c:pt>
                <c:pt idx="2901">
                  <c:v>149.43</c:v>
                </c:pt>
                <c:pt idx="2902">
                  <c:v>149.22999999999999</c:v>
                </c:pt>
                <c:pt idx="2903">
                  <c:v>149.79</c:v>
                </c:pt>
                <c:pt idx="2904">
                  <c:v>150.91999999999999</c:v>
                </c:pt>
                <c:pt idx="2905">
                  <c:v>150.33000000000001</c:v>
                </c:pt>
                <c:pt idx="2906">
                  <c:v>148.80000000000001</c:v>
                </c:pt>
                <c:pt idx="2907">
                  <c:v>148.76</c:v>
                </c:pt>
                <c:pt idx="2908">
                  <c:v>144.5</c:v>
                </c:pt>
                <c:pt idx="2909">
                  <c:v>145.62</c:v>
                </c:pt>
                <c:pt idx="2910">
                  <c:v>147.63999999999999</c:v>
                </c:pt>
                <c:pt idx="2911">
                  <c:v>145.83000000000001</c:v>
                </c:pt>
                <c:pt idx="2912">
                  <c:v>145.69999999999999</c:v>
                </c:pt>
                <c:pt idx="2913">
                  <c:v>147.94</c:v>
                </c:pt>
                <c:pt idx="2914">
                  <c:v>147.34</c:v>
                </c:pt>
                <c:pt idx="2915">
                  <c:v>146.47999999999999</c:v>
                </c:pt>
                <c:pt idx="2916">
                  <c:v>146.63999999999999</c:v>
                </c:pt>
                <c:pt idx="2917">
                  <c:v>145.38000000000065</c:v>
                </c:pt>
                <c:pt idx="2918">
                  <c:v>145.91</c:v>
                </c:pt>
                <c:pt idx="2919">
                  <c:v>147.94999999999999</c:v>
                </c:pt>
                <c:pt idx="2920">
                  <c:v>148.94</c:v>
                </c:pt>
                <c:pt idx="2921">
                  <c:v>149.25</c:v>
                </c:pt>
                <c:pt idx="2922">
                  <c:v>148.66</c:v>
                </c:pt>
                <c:pt idx="2923">
                  <c:v>149.1</c:v>
                </c:pt>
                <c:pt idx="2924">
                  <c:v>147.94</c:v>
                </c:pt>
                <c:pt idx="2925">
                  <c:v>145.55000000000001</c:v>
                </c:pt>
                <c:pt idx="2926">
                  <c:v>145.55000000000001</c:v>
                </c:pt>
                <c:pt idx="2927">
                  <c:v>144.97</c:v>
                </c:pt>
                <c:pt idx="2928">
                  <c:v>144.05000000000001</c:v>
                </c:pt>
                <c:pt idx="2929">
                  <c:v>144.43</c:v>
                </c:pt>
                <c:pt idx="2930">
                  <c:v>143.94999999999999</c:v>
                </c:pt>
                <c:pt idx="2931">
                  <c:v>142.34</c:v>
                </c:pt>
                <c:pt idx="2932">
                  <c:v>141.52000000000001</c:v>
                </c:pt>
                <c:pt idx="2933">
                  <c:v>140.91999999999999</c:v>
                </c:pt>
                <c:pt idx="2934">
                  <c:v>139.94999999999999</c:v>
                </c:pt>
                <c:pt idx="2935">
                  <c:v>140.01</c:v>
                </c:pt>
                <c:pt idx="2936">
                  <c:v>140.26</c:v>
                </c:pt>
                <c:pt idx="2937">
                  <c:v>140.46</c:v>
                </c:pt>
                <c:pt idx="2938">
                  <c:v>140.18</c:v>
                </c:pt>
                <c:pt idx="2939">
                  <c:v>141.75</c:v>
                </c:pt>
                <c:pt idx="2940">
                  <c:v>139.72</c:v>
                </c:pt>
                <c:pt idx="2941">
                  <c:v>139.35000000000065</c:v>
                </c:pt>
                <c:pt idx="2942">
                  <c:v>135.87</c:v>
                </c:pt>
                <c:pt idx="2943">
                  <c:v>135.88000000000065</c:v>
                </c:pt>
                <c:pt idx="2944">
                  <c:v>136.69</c:v>
                </c:pt>
                <c:pt idx="2945">
                  <c:v>139.89000000000001</c:v>
                </c:pt>
                <c:pt idx="2946">
                  <c:v>139.87</c:v>
                </c:pt>
                <c:pt idx="2947">
                  <c:v>141.01</c:v>
                </c:pt>
                <c:pt idx="2948">
                  <c:v>139.18</c:v>
                </c:pt>
                <c:pt idx="2949">
                  <c:v>140.81</c:v>
                </c:pt>
                <c:pt idx="2950">
                  <c:v>139.82000000000065</c:v>
                </c:pt>
                <c:pt idx="2951">
                  <c:v>141.32000000000065</c:v>
                </c:pt>
                <c:pt idx="2952">
                  <c:v>142.76999999999998</c:v>
                </c:pt>
                <c:pt idx="2953">
                  <c:v>142.97999999999999</c:v>
                </c:pt>
                <c:pt idx="2954">
                  <c:v>144.41</c:v>
                </c:pt>
                <c:pt idx="2955">
                  <c:v>144.16999999999999</c:v>
                </c:pt>
                <c:pt idx="2956">
                  <c:v>140.9</c:v>
                </c:pt>
                <c:pt idx="2957">
                  <c:v>141.91999999999999</c:v>
                </c:pt>
                <c:pt idx="2958">
                  <c:v>139.66</c:v>
                </c:pt>
                <c:pt idx="2959">
                  <c:v>140.33000000000001</c:v>
                </c:pt>
                <c:pt idx="2960">
                  <c:v>141.63</c:v>
                </c:pt>
                <c:pt idx="2961">
                  <c:v>141.31</c:v>
                </c:pt>
                <c:pt idx="2962">
                  <c:v>144.87</c:v>
                </c:pt>
                <c:pt idx="2963">
                  <c:v>145.22</c:v>
                </c:pt>
                <c:pt idx="2964">
                  <c:v>146.19</c:v>
                </c:pt>
                <c:pt idx="2965">
                  <c:v>145.51</c:v>
                </c:pt>
                <c:pt idx="2966">
                  <c:v>144.13999999999999</c:v>
                </c:pt>
                <c:pt idx="2967">
                  <c:v>143.87</c:v>
                </c:pt>
                <c:pt idx="2968">
                  <c:v>142.66999999999999</c:v>
                </c:pt>
                <c:pt idx="2969">
                  <c:v>142.66999999999999</c:v>
                </c:pt>
                <c:pt idx="2970">
                  <c:v>141.94999999999999</c:v>
                </c:pt>
                <c:pt idx="2971">
                  <c:v>144.31</c:v>
                </c:pt>
                <c:pt idx="2972">
                  <c:v>143.97999999999999</c:v>
                </c:pt>
                <c:pt idx="2973">
                  <c:v>145.04</c:v>
                </c:pt>
                <c:pt idx="2974">
                  <c:v>146.05000000000001</c:v>
                </c:pt>
                <c:pt idx="2975">
                  <c:v>146.49</c:v>
                </c:pt>
                <c:pt idx="2976">
                  <c:v>144.99</c:v>
                </c:pt>
                <c:pt idx="2977">
                  <c:v>143.65</c:v>
                </c:pt>
                <c:pt idx="2978">
                  <c:v>142.36000000000001</c:v>
                </c:pt>
                <c:pt idx="2979">
                  <c:v>142.32000000000065</c:v>
                </c:pt>
                <c:pt idx="2980">
                  <c:v>144.68</c:v>
                </c:pt>
                <c:pt idx="2981">
                  <c:v>147.49</c:v>
                </c:pt>
                <c:pt idx="2982">
                  <c:v>147.39000000000001</c:v>
                </c:pt>
                <c:pt idx="2983">
                  <c:v>146.73999999999998</c:v>
                </c:pt>
                <c:pt idx="2984">
                  <c:v>146.32000000000065</c:v>
                </c:pt>
                <c:pt idx="2985">
                  <c:v>145.25</c:v>
                </c:pt>
                <c:pt idx="2986">
                  <c:v>148.05000000000001</c:v>
                </c:pt>
                <c:pt idx="2987">
                  <c:v>148.38000000000065</c:v>
                </c:pt>
                <c:pt idx="2988">
                  <c:v>149.15</c:v>
                </c:pt>
                <c:pt idx="2989">
                  <c:v>149.28</c:v>
                </c:pt>
                <c:pt idx="2990">
                  <c:v>149.41</c:v>
                </c:pt>
                <c:pt idx="2991">
                  <c:v>149.73999999999998</c:v>
                </c:pt>
                <c:pt idx="2992">
                  <c:v>149.55000000000001</c:v>
                </c:pt>
                <c:pt idx="2993">
                  <c:v>149.52000000000001</c:v>
                </c:pt>
                <c:pt idx="2994">
                  <c:v>150.87</c:v>
                </c:pt>
                <c:pt idx="2995">
                  <c:v>151.15</c:v>
                </c:pt>
                <c:pt idx="2996">
                  <c:v>151.12</c:v>
                </c:pt>
                <c:pt idx="2997">
                  <c:v>150.59</c:v>
                </c:pt>
                <c:pt idx="2998">
                  <c:v>150.65</c:v>
                </c:pt>
                <c:pt idx="2999">
                  <c:v>149.44</c:v>
                </c:pt>
                <c:pt idx="3000">
                  <c:v>150.4</c:v>
                </c:pt>
                <c:pt idx="3001">
                  <c:v>150.32000000000065</c:v>
                </c:pt>
                <c:pt idx="3002">
                  <c:v>150.20999999999998</c:v>
                </c:pt>
                <c:pt idx="3003">
                  <c:v>150.39000000000001</c:v>
                </c:pt>
                <c:pt idx="3004">
                  <c:v>149.22999999999999</c:v>
                </c:pt>
                <c:pt idx="3005">
                  <c:v>150</c:v>
                </c:pt>
                <c:pt idx="3006">
                  <c:v>149.83000000000001</c:v>
                </c:pt>
                <c:pt idx="3007">
                  <c:v>149.69</c:v>
                </c:pt>
                <c:pt idx="3008">
                  <c:v>152.79</c:v>
                </c:pt>
                <c:pt idx="3009">
                  <c:v>153.44999999999999</c:v>
                </c:pt>
                <c:pt idx="3010">
                  <c:v>152.51</c:v>
                </c:pt>
                <c:pt idx="3011">
                  <c:v>153</c:v>
                </c:pt>
                <c:pt idx="3012">
                  <c:v>153.37</c:v>
                </c:pt>
                <c:pt idx="3013">
                  <c:v>155.86000000000001</c:v>
                </c:pt>
                <c:pt idx="3014">
                  <c:v>156.5</c:v>
                </c:pt>
                <c:pt idx="3015">
                  <c:v>156</c:v>
                </c:pt>
                <c:pt idx="3016">
                  <c:v>155.79</c:v>
                </c:pt>
                <c:pt idx="3017">
                  <c:v>155.96</c:v>
                </c:pt>
                <c:pt idx="3018">
                  <c:v>155.86000000000001</c:v>
                </c:pt>
                <c:pt idx="3019">
                  <c:v>155.86000000000001</c:v>
                </c:pt>
                <c:pt idx="3020">
                  <c:v>155.49</c:v>
                </c:pt>
                <c:pt idx="3021">
                  <c:v>153.86000000000001</c:v>
                </c:pt>
                <c:pt idx="3022">
                  <c:v>152.97999999999999</c:v>
                </c:pt>
                <c:pt idx="3023">
                  <c:v>154.47999999999999</c:v>
                </c:pt>
                <c:pt idx="3024">
                  <c:v>153.78</c:v>
                </c:pt>
                <c:pt idx="3025">
                  <c:v>154.16999999999999</c:v>
                </c:pt>
                <c:pt idx="3026">
                  <c:v>154.32000000000065</c:v>
                </c:pt>
                <c:pt idx="3027">
                  <c:v>154.9</c:v>
                </c:pt>
                <c:pt idx="3028">
                  <c:v>155.99</c:v>
                </c:pt>
                <c:pt idx="3029">
                  <c:v>155.97999999999999</c:v>
                </c:pt>
                <c:pt idx="3030">
                  <c:v>155.44</c:v>
                </c:pt>
                <c:pt idx="3031">
                  <c:v>153.91999999999999</c:v>
                </c:pt>
                <c:pt idx="3032">
                  <c:v>152.97999999999999</c:v>
                </c:pt>
                <c:pt idx="3033">
                  <c:v>153.07</c:v>
                </c:pt>
                <c:pt idx="3034">
                  <c:v>152.60999999999999</c:v>
                </c:pt>
                <c:pt idx="3035">
                  <c:v>153.84</c:v>
                </c:pt>
                <c:pt idx="3036">
                  <c:v>155.43</c:v>
                </c:pt>
                <c:pt idx="3037">
                  <c:v>156.09</c:v>
                </c:pt>
                <c:pt idx="3038">
                  <c:v>155.72</c:v>
                </c:pt>
                <c:pt idx="3039">
                  <c:v>153.13</c:v>
                </c:pt>
                <c:pt idx="3040">
                  <c:v>153.20999999999998</c:v>
                </c:pt>
                <c:pt idx="3041">
                  <c:v>151.04</c:v>
                </c:pt>
                <c:pt idx="3042">
                  <c:v>150.52000000000001</c:v>
                </c:pt>
                <c:pt idx="3043">
                  <c:v>150.97</c:v>
                </c:pt>
                <c:pt idx="3044">
                  <c:v>150.86000000000001</c:v>
                </c:pt>
                <c:pt idx="3045">
                  <c:v>150.9</c:v>
                </c:pt>
                <c:pt idx="3046">
                  <c:v>151.15</c:v>
                </c:pt>
                <c:pt idx="3047">
                  <c:v>151.47999999999999</c:v>
                </c:pt>
                <c:pt idx="3048">
                  <c:v>152.72</c:v>
                </c:pt>
                <c:pt idx="3049">
                  <c:v>149.25</c:v>
                </c:pt>
                <c:pt idx="3050">
                  <c:v>147.44999999999999</c:v>
                </c:pt>
                <c:pt idx="3051">
                  <c:v>147.69999999999999</c:v>
                </c:pt>
                <c:pt idx="3052">
                  <c:v>147.72999999999999</c:v>
                </c:pt>
                <c:pt idx="3053">
                  <c:v>147.15</c:v>
                </c:pt>
                <c:pt idx="3054">
                  <c:v>145.16</c:v>
                </c:pt>
                <c:pt idx="3055">
                  <c:v>144.91</c:v>
                </c:pt>
                <c:pt idx="3056">
                  <c:v>145.63</c:v>
                </c:pt>
                <c:pt idx="3057">
                  <c:v>148.53</c:v>
                </c:pt>
                <c:pt idx="3058">
                  <c:v>148.63</c:v>
                </c:pt>
                <c:pt idx="3059">
                  <c:v>148.94999999999999</c:v>
                </c:pt>
                <c:pt idx="3060">
                  <c:v>150.89000000000001</c:v>
                </c:pt>
                <c:pt idx="3061">
                  <c:v>150.55000000000001</c:v>
                </c:pt>
                <c:pt idx="3062">
                  <c:v>149.79</c:v>
                </c:pt>
                <c:pt idx="3063">
                  <c:v>151</c:v>
                </c:pt>
                <c:pt idx="3064">
                  <c:v>151.69999999999999</c:v>
                </c:pt>
                <c:pt idx="3065">
                  <c:v>151.70999999999998</c:v>
                </c:pt>
                <c:pt idx="3066">
                  <c:v>150.99</c:v>
                </c:pt>
                <c:pt idx="3067">
                  <c:v>150.70999999999998</c:v>
                </c:pt>
                <c:pt idx="3068">
                  <c:v>150.97999999999999</c:v>
                </c:pt>
                <c:pt idx="3069">
                  <c:v>151.51</c:v>
                </c:pt>
                <c:pt idx="3070">
                  <c:v>151.99</c:v>
                </c:pt>
                <c:pt idx="3071">
                  <c:v>152.04</c:v>
                </c:pt>
                <c:pt idx="3072">
                  <c:v>153.01</c:v>
                </c:pt>
                <c:pt idx="3073">
                  <c:v>153.08000000000001</c:v>
                </c:pt>
                <c:pt idx="3074">
                  <c:v>152.13</c:v>
                </c:pt>
                <c:pt idx="3075">
                  <c:v>151.55000000000001</c:v>
                </c:pt>
                <c:pt idx="3076">
                  <c:v>153.32000000000065</c:v>
                </c:pt>
                <c:pt idx="3077">
                  <c:v>155.09</c:v>
                </c:pt>
                <c:pt idx="3078">
                  <c:v>153.94</c:v>
                </c:pt>
                <c:pt idx="3079">
                  <c:v>154.79</c:v>
                </c:pt>
                <c:pt idx="3080">
                  <c:v>153.35000000000065</c:v>
                </c:pt>
                <c:pt idx="3081">
                  <c:v>152.07</c:v>
                </c:pt>
                <c:pt idx="3082">
                  <c:v>150.39000000000001</c:v>
                </c:pt>
                <c:pt idx="3083">
                  <c:v>152.96</c:v>
                </c:pt>
                <c:pt idx="3084">
                  <c:v>156.84</c:v>
                </c:pt>
                <c:pt idx="3085">
                  <c:v>156.52000000000001</c:v>
                </c:pt>
                <c:pt idx="3086">
                  <c:v>157.23999999999998</c:v>
                </c:pt>
                <c:pt idx="3087">
                  <c:v>156.72999999999999</c:v>
                </c:pt>
                <c:pt idx="3088">
                  <c:v>156.26999999999998</c:v>
                </c:pt>
                <c:pt idx="3089">
                  <c:v>156.76</c:v>
                </c:pt>
                <c:pt idx="3090">
                  <c:v>157.91</c:v>
                </c:pt>
                <c:pt idx="3091">
                  <c:v>157.91999999999999</c:v>
                </c:pt>
                <c:pt idx="3092">
                  <c:v>157.76</c:v>
                </c:pt>
                <c:pt idx="3093">
                  <c:v>157.94999999999999</c:v>
                </c:pt>
                <c:pt idx="3094">
                  <c:v>157.94999999999999</c:v>
                </c:pt>
                <c:pt idx="3095">
                  <c:v>158.85000000000065</c:v>
                </c:pt>
                <c:pt idx="3096">
                  <c:v>159.41999999999999</c:v>
                </c:pt>
                <c:pt idx="3097">
                  <c:v>160.16999999999999</c:v>
                </c:pt>
                <c:pt idx="3098">
                  <c:v>160.36000000000001</c:v>
                </c:pt>
                <c:pt idx="3099">
                  <c:v>160.38000000000065</c:v>
                </c:pt>
                <c:pt idx="3100">
                  <c:v>161.25</c:v>
                </c:pt>
                <c:pt idx="3101">
                  <c:v>160.97999999999999</c:v>
                </c:pt>
                <c:pt idx="3102">
                  <c:v>161.76999999999998</c:v>
                </c:pt>
                <c:pt idx="3103">
                  <c:v>161.18</c:v>
                </c:pt>
                <c:pt idx="3104">
                  <c:v>160.79</c:v>
                </c:pt>
                <c:pt idx="3105">
                  <c:v>162.4</c:v>
                </c:pt>
                <c:pt idx="3106">
                  <c:v>160.52000000000001</c:v>
                </c:pt>
                <c:pt idx="3107">
                  <c:v>162.22999999999999</c:v>
                </c:pt>
                <c:pt idx="3108">
                  <c:v>162.32000000000065</c:v>
                </c:pt>
                <c:pt idx="3109">
                  <c:v>162.05000000000001</c:v>
                </c:pt>
                <c:pt idx="3110">
                  <c:v>162.97</c:v>
                </c:pt>
                <c:pt idx="3111">
                  <c:v>162.86000000000001</c:v>
                </c:pt>
                <c:pt idx="3112">
                  <c:v>163.10999999999999</c:v>
                </c:pt>
                <c:pt idx="3113">
                  <c:v>163.29</c:v>
                </c:pt>
                <c:pt idx="3114">
                  <c:v>163.41999999999999</c:v>
                </c:pt>
                <c:pt idx="3115">
                  <c:v>163.25</c:v>
                </c:pt>
                <c:pt idx="3116">
                  <c:v>164.43</c:v>
                </c:pt>
                <c:pt idx="3117">
                  <c:v>162.34</c:v>
                </c:pt>
                <c:pt idx="3118">
                  <c:v>161.32000000000065</c:v>
                </c:pt>
                <c:pt idx="3119">
                  <c:v>162.76999999999998</c:v>
                </c:pt>
                <c:pt idx="3120">
                  <c:v>159.79</c:v>
                </c:pt>
                <c:pt idx="3121">
                  <c:v>160.78</c:v>
                </c:pt>
                <c:pt idx="3122">
                  <c:v>162.89000000000001</c:v>
                </c:pt>
                <c:pt idx="3123">
                  <c:v>162.76999999999998</c:v>
                </c:pt>
                <c:pt idx="3124">
                  <c:v>163.15</c:v>
                </c:pt>
                <c:pt idx="3125">
                  <c:v>163.91</c:v>
                </c:pt>
                <c:pt idx="3126">
                  <c:v>165.47</c:v>
                </c:pt>
                <c:pt idx="3127">
                  <c:v>165.67</c:v>
                </c:pt>
                <c:pt idx="3128">
                  <c:v>166</c:v>
                </c:pt>
                <c:pt idx="3129">
                  <c:v>166.73999999999998</c:v>
                </c:pt>
                <c:pt idx="3130">
                  <c:v>167.28</c:v>
                </c:pt>
                <c:pt idx="3131">
                  <c:v>166.9</c:v>
                </c:pt>
                <c:pt idx="3132">
                  <c:v>167.13</c:v>
                </c:pt>
                <c:pt idx="3133">
                  <c:v>168.07</c:v>
                </c:pt>
                <c:pt idx="3134">
                  <c:v>167.8</c:v>
                </c:pt>
                <c:pt idx="3135">
                  <c:v>166.85000000000065</c:v>
                </c:pt>
                <c:pt idx="3136">
                  <c:v>166.42000000000004</c:v>
                </c:pt>
                <c:pt idx="3137">
                  <c:v>167.51</c:v>
                </c:pt>
                <c:pt idx="3138">
                  <c:v>166.10999999999999</c:v>
                </c:pt>
                <c:pt idx="3139">
                  <c:v>167.29</c:v>
                </c:pt>
                <c:pt idx="3140">
                  <c:v>166.68</c:v>
                </c:pt>
                <c:pt idx="3141">
                  <c:v>168.01</c:v>
                </c:pt>
                <c:pt idx="3142">
                  <c:v>167.96</c:v>
                </c:pt>
                <c:pt idx="3143">
                  <c:v>168.66</c:v>
                </c:pt>
                <c:pt idx="3144">
                  <c:v>168.75</c:v>
                </c:pt>
                <c:pt idx="3145">
                  <c:v>166.98000000000027</c:v>
                </c:pt>
                <c:pt idx="3146">
                  <c:v>167.68</c:v>
                </c:pt>
                <c:pt idx="3147">
                  <c:v>166.95000000000007</c:v>
                </c:pt>
                <c:pt idx="3148">
                  <c:v>168.06</c:v>
                </c:pt>
                <c:pt idx="3149">
                  <c:v>168.64</c:v>
                </c:pt>
                <c:pt idx="3150">
                  <c:v>170.75</c:v>
                </c:pt>
                <c:pt idx="3151">
                  <c:v>171.4</c:v>
                </c:pt>
                <c:pt idx="3152">
                  <c:v>170.88000000000065</c:v>
                </c:pt>
                <c:pt idx="3153">
                  <c:v>166.88000000000065</c:v>
                </c:pt>
                <c:pt idx="3154">
                  <c:v>169.26999999999998</c:v>
                </c:pt>
                <c:pt idx="3155">
                  <c:v>166.86</c:v>
                </c:pt>
                <c:pt idx="3156">
                  <c:v>165.73</c:v>
                </c:pt>
                <c:pt idx="3157">
                  <c:v>167.23</c:v>
                </c:pt>
                <c:pt idx="3158">
                  <c:v>167.99</c:v>
                </c:pt>
                <c:pt idx="3159">
                  <c:v>169.7</c:v>
                </c:pt>
                <c:pt idx="3160">
                  <c:v>169.76</c:v>
                </c:pt>
                <c:pt idx="3161">
                  <c:v>170.44</c:v>
                </c:pt>
                <c:pt idx="3162">
                  <c:v>170.08</c:v>
                </c:pt>
                <c:pt idx="3163">
                  <c:v>171.3</c:v>
                </c:pt>
                <c:pt idx="3164">
                  <c:v>171.78</c:v>
                </c:pt>
                <c:pt idx="3165">
                  <c:v>171.82000000000065</c:v>
                </c:pt>
                <c:pt idx="3166">
                  <c:v>173.63</c:v>
                </c:pt>
                <c:pt idx="3167">
                  <c:v>173.93</c:v>
                </c:pt>
                <c:pt idx="3168">
                  <c:v>174.85000000000065</c:v>
                </c:pt>
                <c:pt idx="3169">
                  <c:v>175.67</c:v>
                </c:pt>
                <c:pt idx="3170">
                  <c:v>175.87</c:v>
                </c:pt>
                <c:pt idx="3171">
                  <c:v>177.68</c:v>
                </c:pt>
                <c:pt idx="3172">
                  <c:v>178.6</c:v>
                </c:pt>
                <c:pt idx="3173">
                  <c:v>177.7</c:v>
                </c:pt>
                <c:pt idx="3174">
                  <c:v>179.52</c:v>
                </c:pt>
                <c:pt idx="3175">
                  <c:v>179.69</c:v>
                </c:pt>
                <c:pt idx="3176">
                  <c:v>178.2</c:v>
                </c:pt>
                <c:pt idx="3177">
                  <c:v>177.67</c:v>
                </c:pt>
                <c:pt idx="3178">
                  <c:v>177.55</c:v>
                </c:pt>
                <c:pt idx="3179">
                  <c:v>178.64</c:v>
                </c:pt>
                <c:pt idx="3180">
                  <c:v>177.39000000000001</c:v>
                </c:pt>
                <c:pt idx="3181">
                  <c:v>178.07</c:v>
                </c:pt>
                <c:pt idx="3182">
                  <c:v>175.5</c:v>
                </c:pt>
                <c:pt idx="3183">
                  <c:v>176.52</c:v>
                </c:pt>
                <c:pt idx="3184">
                  <c:v>175.55</c:v>
                </c:pt>
                <c:pt idx="3185">
                  <c:v>173.15</c:v>
                </c:pt>
                <c:pt idx="3186">
                  <c:v>174.63</c:v>
                </c:pt>
                <c:pt idx="3187">
                  <c:v>176.86</c:v>
                </c:pt>
                <c:pt idx="3188">
                  <c:v>176.8</c:v>
                </c:pt>
                <c:pt idx="3189">
                  <c:v>174.98000000000027</c:v>
                </c:pt>
                <c:pt idx="3190">
                  <c:v>173.49</c:v>
                </c:pt>
                <c:pt idx="3191">
                  <c:v>176.07</c:v>
                </c:pt>
                <c:pt idx="3192">
                  <c:v>175.04</c:v>
                </c:pt>
                <c:pt idx="3193">
                  <c:v>176.35000000000065</c:v>
                </c:pt>
                <c:pt idx="3194">
                  <c:v>177.67</c:v>
                </c:pt>
                <c:pt idx="3195">
                  <c:v>175.32000000000065</c:v>
                </c:pt>
                <c:pt idx="3196">
                  <c:v>171.09</c:v>
                </c:pt>
                <c:pt idx="3197">
                  <c:v>171.5</c:v>
                </c:pt>
                <c:pt idx="3198">
                  <c:v>169.46</c:v>
                </c:pt>
                <c:pt idx="3199">
                  <c:v>171.04</c:v>
                </c:pt>
                <c:pt idx="3200">
                  <c:v>172.63</c:v>
                </c:pt>
                <c:pt idx="3201">
                  <c:v>173.70999999999998</c:v>
                </c:pt>
                <c:pt idx="3202">
                  <c:v>173.02</c:v>
                </c:pt>
                <c:pt idx="3203">
                  <c:v>173.91</c:v>
                </c:pt>
                <c:pt idx="3204">
                  <c:v>173.85000000000065</c:v>
                </c:pt>
                <c:pt idx="3205">
                  <c:v>173.87</c:v>
                </c:pt>
                <c:pt idx="3206">
                  <c:v>175.59</c:v>
                </c:pt>
                <c:pt idx="3207">
                  <c:v>176.53</c:v>
                </c:pt>
                <c:pt idx="3208">
                  <c:v>177.83</c:v>
                </c:pt>
                <c:pt idx="3209">
                  <c:v>177.89000000000001</c:v>
                </c:pt>
                <c:pt idx="3210">
                  <c:v>180.32000000000065</c:v>
                </c:pt>
                <c:pt idx="3211">
                  <c:v>180.84</c:v>
                </c:pt>
                <c:pt idx="3212">
                  <c:v>181.06</c:v>
                </c:pt>
                <c:pt idx="3213">
                  <c:v>180.43</c:v>
                </c:pt>
                <c:pt idx="3214">
                  <c:v>180.94</c:v>
                </c:pt>
                <c:pt idx="3215">
                  <c:v>181.87</c:v>
                </c:pt>
                <c:pt idx="3216">
                  <c:v>182.19</c:v>
                </c:pt>
                <c:pt idx="3217">
                  <c:v>182.53</c:v>
                </c:pt>
                <c:pt idx="3218">
                  <c:v>182.2</c:v>
                </c:pt>
                <c:pt idx="3219">
                  <c:v>181.48000000000027</c:v>
                </c:pt>
                <c:pt idx="3220">
                  <c:v>182.06</c:v>
                </c:pt>
                <c:pt idx="3221">
                  <c:v>182.19</c:v>
                </c:pt>
                <c:pt idx="3222">
                  <c:v>181.55</c:v>
                </c:pt>
                <c:pt idx="3223">
                  <c:v>181.72</c:v>
                </c:pt>
                <c:pt idx="3224">
                  <c:v>181.72</c:v>
                </c:pt>
                <c:pt idx="3225">
                  <c:v>184.03</c:v>
                </c:pt>
                <c:pt idx="3226">
                  <c:v>184.31</c:v>
                </c:pt>
                <c:pt idx="3227">
                  <c:v>184.08</c:v>
                </c:pt>
                <c:pt idx="3228">
                  <c:v>182.99</c:v>
                </c:pt>
                <c:pt idx="3229">
                  <c:v>182.34</c:v>
                </c:pt>
                <c:pt idx="3230">
                  <c:v>183.07</c:v>
                </c:pt>
                <c:pt idx="3231">
                  <c:v>182.49</c:v>
                </c:pt>
                <c:pt idx="3232">
                  <c:v>182.28</c:v>
                </c:pt>
                <c:pt idx="3233">
                  <c:v>182.76</c:v>
                </c:pt>
                <c:pt idx="3234">
                  <c:v>181.83</c:v>
                </c:pt>
                <c:pt idx="3235">
                  <c:v>178.65</c:v>
                </c:pt>
                <c:pt idx="3236">
                  <c:v>177.59</c:v>
                </c:pt>
                <c:pt idx="3237">
                  <c:v>178.34</c:v>
                </c:pt>
                <c:pt idx="3238">
                  <c:v>177.32000000000065</c:v>
                </c:pt>
                <c:pt idx="3239">
                  <c:v>178.89000000000001</c:v>
                </c:pt>
                <c:pt idx="3240">
                  <c:v>179.66</c:v>
                </c:pt>
                <c:pt idx="3241">
                  <c:v>178.98000000000027</c:v>
                </c:pt>
                <c:pt idx="3242">
                  <c:v>176.12</c:v>
                </c:pt>
                <c:pt idx="3243">
                  <c:v>176.65</c:v>
                </c:pt>
                <c:pt idx="3244">
                  <c:v>177.06</c:v>
                </c:pt>
                <c:pt idx="3245">
                  <c:v>176.5</c:v>
                </c:pt>
                <c:pt idx="3246">
                  <c:v>177.25</c:v>
                </c:pt>
                <c:pt idx="3247">
                  <c:v>178.70999999999998</c:v>
                </c:pt>
                <c:pt idx="3248">
                  <c:v>178.95000000000007</c:v>
                </c:pt>
                <c:pt idx="3249">
                  <c:v>179</c:v>
                </c:pt>
                <c:pt idx="3250">
                  <c:v>180.83</c:v>
                </c:pt>
                <c:pt idx="3251">
                  <c:v>182.16</c:v>
                </c:pt>
                <c:pt idx="3252">
                  <c:v>182.75</c:v>
                </c:pt>
                <c:pt idx="3253">
                  <c:v>182.16</c:v>
                </c:pt>
                <c:pt idx="3254">
                  <c:v>182.63</c:v>
                </c:pt>
                <c:pt idx="3255">
                  <c:v>183.62</c:v>
                </c:pt>
                <c:pt idx="3256">
                  <c:v>184.43</c:v>
                </c:pt>
                <c:pt idx="3257">
                  <c:v>186.64</c:v>
                </c:pt>
                <c:pt idx="3258">
                  <c:v>186.38000000000065</c:v>
                </c:pt>
                <c:pt idx="3259">
                  <c:v>185.02</c:v>
                </c:pt>
                <c:pt idx="3260">
                  <c:v>184.12</c:v>
                </c:pt>
                <c:pt idx="3261">
                  <c:v>183.72</c:v>
                </c:pt>
                <c:pt idx="3262">
                  <c:v>183.23</c:v>
                </c:pt>
                <c:pt idx="3263">
                  <c:v>183.94</c:v>
                </c:pt>
                <c:pt idx="3264">
                  <c:v>183.2</c:v>
                </c:pt>
                <c:pt idx="3265">
                  <c:v>182.13</c:v>
                </c:pt>
                <c:pt idx="3266">
                  <c:v>183.63</c:v>
                </c:pt>
                <c:pt idx="3267">
                  <c:v>183.51</c:v>
                </c:pt>
                <c:pt idx="3268">
                  <c:v>181.83</c:v>
                </c:pt>
                <c:pt idx="3269">
                  <c:v>183.17</c:v>
                </c:pt>
                <c:pt idx="3270">
                  <c:v>181.57</c:v>
                </c:pt>
                <c:pt idx="3271">
                  <c:v>179.3</c:v>
                </c:pt>
                <c:pt idx="3272">
                  <c:v>179.39000000000001</c:v>
                </c:pt>
                <c:pt idx="3273">
                  <c:v>183.33</c:v>
                </c:pt>
                <c:pt idx="3274">
                  <c:v>184.52</c:v>
                </c:pt>
                <c:pt idx="3275">
                  <c:v>185.26999999999998</c:v>
                </c:pt>
                <c:pt idx="3276">
                  <c:v>183.97</c:v>
                </c:pt>
                <c:pt idx="3277">
                  <c:v>186.5</c:v>
                </c:pt>
                <c:pt idx="3278">
                  <c:v>187.79</c:v>
                </c:pt>
                <c:pt idx="3279">
                  <c:v>189.01</c:v>
                </c:pt>
                <c:pt idx="3280">
                  <c:v>189.02</c:v>
                </c:pt>
                <c:pt idx="3281">
                  <c:v>190.06</c:v>
                </c:pt>
                <c:pt idx="3282">
                  <c:v>189.08</c:v>
                </c:pt>
                <c:pt idx="3283">
                  <c:v>189.69</c:v>
                </c:pt>
                <c:pt idx="3284">
                  <c:v>190.47</c:v>
                </c:pt>
                <c:pt idx="3285">
                  <c:v>190.65</c:v>
                </c:pt>
                <c:pt idx="3286">
                  <c:v>191.67</c:v>
                </c:pt>
                <c:pt idx="3287">
                  <c:v>190.70999999999998</c:v>
                </c:pt>
                <c:pt idx="3288">
                  <c:v>190.03</c:v>
                </c:pt>
                <c:pt idx="3289">
                  <c:v>191.2</c:v>
                </c:pt>
                <c:pt idx="3290">
                  <c:v>190.7</c:v>
                </c:pt>
                <c:pt idx="3291">
                  <c:v>191.53</c:v>
                </c:pt>
                <c:pt idx="3292">
                  <c:v>188.96</c:v>
                </c:pt>
                <c:pt idx="3293">
                  <c:v>191.48000000000027</c:v>
                </c:pt>
                <c:pt idx="3294">
                  <c:v>191.19</c:v>
                </c:pt>
                <c:pt idx="3295">
                  <c:v>192.84</c:v>
                </c:pt>
                <c:pt idx="3296">
                  <c:v>193.78</c:v>
                </c:pt>
                <c:pt idx="3297">
                  <c:v>194.6</c:v>
                </c:pt>
                <c:pt idx="3298">
                  <c:v>193.73999999999998</c:v>
                </c:pt>
                <c:pt idx="3299">
                  <c:v>193.32000000000065</c:v>
                </c:pt>
                <c:pt idx="3300">
                  <c:v>192.62</c:v>
                </c:pt>
                <c:pt idx="3301">
                  <c:v>194.22</c:v>
                </c:pt>
                <c:pt idx="3302">
                  <c:v>195.18</c:v>
                </c:pt>
                <c:pt idx="3303">
                  <c:v>194.9</c:v>
                </c:pt>
                <c:pt idx="3304">
                  <c:v>194.98000000000027</c:v>
                </c:pt>
                <c:pt idx="3305">
                  <c:v>195.49</c:v>
                </c:pt>
                <c:pt idx="3306">
                  <c:v>195.36</c:v>
                </c:pt>
                <c:pt idx="3307">
                  <c:v>194.85000000000065</c:v>
                </c:pt>
                <c:pt idx="3308">
                  <c:v>194.26</c:v>
                </c:pt>
                <c:pt idx="3309">
                  <c:v>194.09</c:v>
                </c:pt>
                <c:pt idx="3310">
                  <c:v>193.26</c:v>
                </c:pt>
                <c:pt idx="3311">
                  <c:v>195.4</c:v>
                </c:pt>
                <c:pt idx="3312">
                  <c:v>195.79</c:v>
                </c:pt>
                <c:pt idx="3313">
                  <c:v>195.2</c:v>
                </c:pt>
                <c:pt idx="3314">
                  <c:v>192.98000000000027</c:v>
                </c:pt>
                <c:pt idx="3315">
                  <c:v>192.37</c:v>
                </c:pt>
                <c:pt idx="3316">
                  <c:v>192.41</c:v>
                </c:pt>
                <c:pt idx="3317">
                  <c:v>193.63</c:v>
                </c:pt>
                <c:pt idx="3318">
                  <c:v>193.08</c:v>
                </c:pt>
                <c:pt idx="3319">
                  <c:v>196.26999999999998</c:v>
                </c:pt>
                <c:pt idx="3320">
                  <c:v>196.15</c:v>
                </c:pt>
                <c:pt idx="3321">
                  <c:v>197.15</c:v>
                </c:pt>
                <c:pt idx="3322">
                  <c:v>198.2</c:v>
                </c:pt>
                <c:pt idx="3323">
                  <c:v>198.83</c:v>
                </c:pt>
                <c:pt idx="3324">
                  <c:v>199.70999999999998</c:v>
                </c:pt>
                <c:pt idx="3325">
                  <c:v>199.68</c:v>
                </c:pt>
                <c:pt idx="3326">
                  <c:v>200.49</c:v>
                </c:pt>
                <c:pt idx="3327">
                  <c:v>198.7</c:v>
                </c:pt>
                <c:pt idx="3328">
                  <c:v>198.6</c:v>
                </c:pt>
              </c:numCache>
            </c:numRef>
          </c:val>
        </c:ser>
        <c:marker val="1"/>
        <c:axId val="170326656"/>
        <c:axId val="170230144"/>
      </c:lineChart>
      <c:dateAx>
        <c:axId val="170326656"/>
        <c:scaling>
          <c:orientation val="minMax"/>
        </c:scaling>
        <c:axPos val="b"/>
        <c:numFmt formatCode="d/m/yyyy" sourceLinked="1"/>
        <c:majorTickMark val="none"/>
        <c:tickLblPos val="nextTo"/>
        <c:crossAx val="170230144"/>
        <c:crosses val="autoZero"/>
        <c:auto val="1"/>
        <c:lblOffset val="100"/>
      </c:dateAx>
      <c:valAx>
        <c:axId val="170230144"/>
        <c:scaling>
          <c:orientation val="minMax"/>
        </c:scaling>
        <c:axPos val="l"/>
        <c:majorGridlines/>
        <c:numFmt formatCode="General" sourceLinked="1"/>
        <c:majorTickMark val="none"/>
        <c:tickLblPos val="nextTo"/>
        <c:spPr>
          <a:ln w="9525">
            <a:noFill/>
          </a:ln>
        </c:spPr>
        <c:crossAx val="170326656"/>
        <c:crosses val="autoZero"/>
        <c:crossBetween val="between"/>
        <c:majorUnit val="20"/>
      </c:valAx>
    </c:plotArea>
    <c:plotVisOnly val="1"/>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cs-CZ"/>
  <c:chart>
    <c:autoTitleDeleted val="1"/>
    <c:plotArea>
      <c:layout/>
      <c:lineChart>
        <c:grouping val="stacked"/>
        <c:ser>
          <c:idx val="0"/>
          <c:order val="0"/>
          <c:tx>
            <c:strRef>
              <c:f>List1!$B$1:$B$2</c:f>
              <c:strCache>
                <c:ptCount val="1"/>
                <c:pt idx="0">
                  <c:v>SPY US Equity Date</c:v>
                </c:pt>
              </c:strCache>
            </c:strRef>
          </c:tx>
          <c:marker>
            <c:symbol val="none"/>
          </c:marker>
          <c:cat>
            <c:numRef>
              <c:f>List1!$A$4:$A$3593</c:f>
              <c:numCache>
                <c:formatCode>d/m/yyyy</c:formatCode>
                <c:ptCount val="3590"/>
                <c:pt idx="0">
                  <c:v>36529</c:v>
                </c:pt>
                <c:pt idx="1">
                  <c:v>36530</c:v>
                </c:pt>
                <c:pt idx="2">
                  <c:v>36531</c:v>
                </c:pt>
                <c:pt idx="3">
                  <c:v>36532</c:v>
                </c:pt>
                <c:pt idx="4">
                  <c:v>36535</c:v>
                </c:pt>
                <c:pt idx="5">
                  <c:v>36536</c:v>
                </c:pt>
                <c:pt idx="6">
                  <c:v>36537</c:v>
                </c:pt>
                <c:pt idx="7">
                  <c:v>36538</c:v>
                </c:pt>
                <c:pt idx="8">
                  <c:v>36539</c:v>
                </c:pt>
                <c:pt idx="9">
                  <c:v>36543</c:v>
                </c:pt>
                <c:pt idx="10">
                  <c:v>36544</c:v>
                </c:pt>
                <c:pt idx="11">
                  <c:v>36545</c:v>
                </c:pt>
                <c:pt idx="12">
                  <c:v>36546</c:v>
                </c:pt>
                <c:pt idx="13">
                  <c:v>36549</c:v>
                </c:pt>
                <c:pt idx="14">
                  <c:v>36550</c:v>
                </c:pt>
                <c:pt idx="15">
                  <c:v>36551</c:v>
                </c:pt>
                <c:pt idx="16">
                  <c:v>36552</c:v>
                </c:pt>
                <c:pt idx="17">
                  <c:v>36553</c:v>
                </c:pt>
                <c:pt idx="18">
                  <c:v>36556</c:v>
                </c:pt>
                <c:pt idx="19">
                  <c:v>36557</c:v>
                </c:pt>
                <c:pt idx="20">
                  <c:v>36558</c:v>
                </c:pt>
                <c:pt idx="21">
                  <c:v>36559</c:v>
                </c:pt>
                <c:pt idx="22">
                  <c:v>36560</c:v>
                </c:pt>
                <c:pt idx="23">
                  <c:v>36563</c:v>
                </c:pt>
                <c:pt idx="24">
                  <c:v>36564</c:v>
                </c:pt>
                <c:pt idx="25">
                  <c:v>36565</c:v>
                </c:pt>
                <c:pt idx="26">
                  <c:v>36566</c:v>
                </c:pt>
                <c:pt idx="27">
                  <c:v>36567</c:v>
                </c:pt>
                <c:pt idx="28">
                  <c:v>36570</c:v>
                </c:pt>
                <c:pt idx="29">
                  <c:v>36571</c:v>
                </c:pt>
                <c:pt idx="30">
                  <c:v>36572</c:v>
                </c:pt>
                <c:pt idx="31">
                  <c:v>36573</c:v>
                </c:pt>
                <c:pt idx="32">
                  <c:v>36574</c:v>
                </c:pt>
                <c:pt idx="33">
                  <c:v>36578</c:v>
                </c:pt>
                <c:pt idx="34">
                  <c:v>36579</c:v>
                </c:pt>
                <c:pt idx="35">
                  <c:v>36580</c:v>
                </c:pt>
                <c:pt idx="36">
                  <c:v>36581</c:v>
                </c:pt>
                <c:pt idx="37">
                  <c:v>36584</c:v>
                </c:pt>
                <c:pt idx="38">
                  <c:v>36585</c:v>
                </c:pt>
                <c:pt idx="39">
                  <c:v>36586</c:v>
                </c:pt>
                <c:pt idx="40">
                  <c:v>36587</c:v>
                </c:pt>
                <c:pt idx="41">
                  <c:v>36588</c:v>
                </c:pt>
                <c:pt idx="42">
                  <c:v>36591</c:v>
                </c:pt>
                <c:pt idx="43">
                  <c:v>36592</c:v>
                </c:pt>
                <c:pt idx="44">
                  <c:v>36593</c:v>
                </c:pt>
                <c:pt idx="45">
                  <c:v>36594</c:v>
                </c:pt>
                <c:pt idx="46">
                  <c:v>36595</c:v>
                </c:pt>
                <c:pt idx="47">
                  <c:v>36598</c:v>
                </c:pt>
                <c:pt idx="48">
                  <c:v>36599</c:v>
                </c:pt>
                <c:pt idx="49">
                  <c:v>36600</c:v>
                </c:pt>
                <c:pt idx="50">
                  <c:v>36601</c:v>
                </c:pt>
                <c:pt idx="51">
                  <c:v>36602</c:v>
                </c:pt>
                <c:pt idx="52">
                  <c:v>36605</c:v>
                </c:pt>
                <c:pt idx="53">
                  <c:v>36606</c:v>
                </c:pt>
                <c:pt idx="54">
                  <c:v>36607</c:v>
                </c:pt>
                <c:pt idx="55">
                  <c:v>36608</c:v>
                </c:pt>
                <c:pt idx="56">
                  <c:v>36609</c:v>
                </c:pt>
                <c:pt idx="57">
                  <c:v>36612</c:v>
                </c:pt>
                <c:pt idx="58">
                  <c:v>36613</c:v>
                </c:pt>
                <c:pt idx="59">
                  <c:v>36614</c:v>
                </c:pt>
                <c:pt idx="60">
                  <c:v>36615</c:v>
                </c:pt>
                <c:pt idx="61">
                  <c:v>36616</c:v>
                </c:pt>
                <c:pt idx="62">
                  <c:v>36619</c:v>
                </c:pt>
                <c:pt idx="63">
                  <c:v>36620</c:v>
                </c:pt>
                <c:pt idx="64">
                  <c:v>36621</c:v>
                </c:pt>
                <c:pt idx="65">
                  <c:v>36622</c:v>
                </c:pt>
                <c:pt idx="66">
                  <c:v>36623</c:v>
                </c:pt>
                <c:pt idx="67">
                  <c:v>36626</c:v>
                </c:pt>
                <c:pt idx="68">
                  <c:v>36627</c:v>
                </c:pt>
                <c:pt idx="69">
                  <c:v>36628</c:v>
                </c:pt>
                <c:pt idx="70">
                  <c:v>36629</c:v>
                </c:pt>
                <c:pt idx="71">
                  <c:v>36630</c:v>
                </c:pt>
                <c:pt idx="72">
                  <c:v>36633</c:v>
                </c:pt>
                <c:pt idx="73">
                  <c:v>36634</c:v>
                </c:pt>
                <c:pt idx="74">
                  <c:v>36635</c:v>
                </c:pt>
                <c:pt idx="75">
                  <c:v>36636</c:v>
                </c:pt>
                <c:pt idx="76">
                  <c:v>36640</c:v>
                </c:pt>
                <c:pt idx="77">
                  <c:v>36641</c:v>
                </c:pt>
                <c:pt idx="78">
                  <c:v>36642</c:v>
                </c:pt>
                <c:pt idx="79">
                  <c:v>36643</c:v>
                </c:pt>
                <c:pt idx="80">
                  <c:v>36644</c:v>
                </c:pt>
                <c:pt idx="81">
                  <c:v>36647</c:v>
                </c:pt>
                <c:pt idx="82">
                  <c:v>36648</c:v>
                </c:pt>
                <c:pt idx="83">
                  <c:v>36649</c:v>
                </c:pt>
                <c:pt idx="84">
                  <c:v>36650</c:v>
                </c:pt>
                <c:pt idx="85">
                  <c:v>36651</c:v>
                </c:pt>
                <c:pt idx="86">
                  <c:v>36654</c:v>
                </c:pt>
                <c:pt idx="87">
                  <c:v>36655</c:v>
                </c:pt>
                <c:pt idx="88">
                  <c:v>36656</c:v>
                </c:pt>
                <c:pt idx="89">
                  <c:v>36657</c:v>
                </c:pt>
                <c:pt idx="90">
                  <c:v>36658</c:v>
                </c:pt>
                <c:pt idx="91">
                  <c:v>36661</c:v>
                </c:pt>
                <c:pt idx="92">
                  <c:v>36662</c:v>
                </c:pt>
                <c:pt idx="93">
                  <c:v>36663</c:v>
                </c:pt>
                <c:pt idx="94">
                  <c:v>36664</c:v>
                </c:pt>
                <c:pt idx="95">
                  <c:v>36665</c:v>
                </c:pt>
                <c:pt idx="96">
                  <c:v>36668</c:v>
                </c:pt>
                <c:pt idx="97">
                  <c:v>36669</c:v>
                </c:pt>
                <c:pt idx="98">
                  <c:v>36670</c:v>
                </c:pt>
                <c:pt idx="99">
                  <c:v>36671</c:v>
                </c:pt>
                <c:pt idx="100">
                  <c:v>36672</c:v>
                </c:pt>
                <c:pt idx="101">
                  <c:v>36676</c:v>
                </c:pt>
                <c:pt idx="102">
                  <c:v>36677</c:v>
                </c:pt>
                <c:pt idx="103">
                  <c:v>36678</c:v>
                </c:pt>
                <c:pt idx="104">
                  <c:v>36679</c:v>
                </c:pt>
                <c:pt idx="105">
                  <c:v>36682</c:v>
                </c:pt>
                <c:pt idx="106">
                  <c:v>36683</c:v>
                </c:pt>
                <c:pt idx="107">
                  <c:v>36684</c:v>
                </c:pt>
                <c:pt idx="108">
                  <c:v>36685</c:v>
                </c:pt>
                <c:pt idx="109">
                  <c:v>36686</c:v>
                </c:pt>
                <c:pt idx="110">
                  <c:v>36689</c:v>
                </c:pt>
                <c:pt idx="111">
                  <c:v>36690</c:v>
                </c:pt>
                <c:pt idx="112">
                  <c:v>36691</c:v>
                </c:pt>
                <c:pt idx="113">
                  <c:v>36692</c:v>
                </c:pt>
                <c:pt idx="114">
                  <c:v>36693</c:v>
                </c:pt>
                <c:pt idx="115">
                  <c:v>36696</c:v>
                </c:pt>
                <c:pt idx="116">
                  <c:v>36697</c:v>
                </c:pt>
                <c:pt idx="117">
                  <c:v>36698</c:v>
                </c:pt>
                <c:pt idx="118">
                  <c:v>36699</c:v>
                </c:pt>
                <c:pt idx="119">
                  <c:v>36700</c:v>
                </c:pt>
                <c:pt idx="120">
                  <c:v>36703</c:v>
                </c:pt>
                <c:pt idx="121">
                  <c:v>36704</c:v>
                </c:pt>
                <c:pt idx="122">
                  <c:v>36705</c:v>
                </c:pt>
                <c:pt idx="123">
                  <c:v>36706</c:v>
                </c:pt>
                <c:pt idx="124">
                  <c:v>36707</c:v>
                </c:pt>
                <c:pt idx="125">
                  <c:v>36710</c:v>
                </c:pt>
                <c:pt idx="126">
                  <c:v>36712</c:v>
                </c:pt>
                <c:pt idx="127">
                  <c:v>36713</c:v>
                </c:pt>
                <c:pt idx="128">
                  <c:v>36714</c:v>
                </c:pt>
                <c:pt idx="129">
                  <c:v>36717</c:v>
                </c:pt>
                <c:pt idx="130">
                  <c:v>36718</c:v>
                </c:pt>
                <c:pt idx="131">
                  <c:v>36719</c:v>
                </c:pt>
                <c:pt idx="132">
                  <c:v>36720</c:v>
                </c:pt>
                <c:pt idx="133">
                  <c:v>36721</c:v>
                </c:pt>
                <c:pt idx="134">
                  <c:v>36724</c:v>
                </c:pt>
                <c:pt idx="135">
                  <c:v>36725</c:v>
                </c:pt>
                <c:pt idx="136">
                  <c:v>36726</c:v>
                </c:pt>
                <c:pt idx="137">
                  <c:v>36727</c:v>
                </c:pt>
                <c:pt idx="138">
                  <c:v>36728</c:v>
                </c:pt>
                <c:pt idx="139">
                  <c:v>36731</c:v>
                </c:pt>
                <c:pt idx="140">
                  <c:v>36732</c:v>
                </c:pt>
                <c:pt idx="141">
                  <c:v>36733</c:v>
                </c:pt>
                <c:pt idx="142">
                  <c:v>36734</c:v>
                </c:pt>
                <c:pt idx="143">
                  <c:v>36735</c:v>
                </c:pt>
                <c:pt idx="144">
                  <c:v>36738</c:v>
                </c:pt>
                <c:pt idx="145">
                  <c:v>36739</c:v>
                </c:pt>
                <c:pt idx="146">
                  <c:v>36740</c:v>
                </c:pt>
                <c:pt idx="147">
                  <c:v>36741</c:v>
                </c:pt>
                <c:pt idx="148">
                  <c:v>36742</c:v>
                </c:pt>
                <c:pt idx="149">
                  <c:v>36745</c:v>
                </c:pt>
                <c:pt idx="150">
                  <c:v>36746</c:v>
                </c:pt>
                <c:pt idx="151">
                  <c:v>36747</c:v>
                </c:pt>
                <c:pt idx="152">
                  <c:v>36748</c:v>
                </c:pt>
                <c:pt idx="153">
                  <c:v>36749</c:v>
                </c:pt>
                <c:pt idx="154">
                  <c:v>36752</c:v>
                </c:pt>
                <c:pt idx="155">
                  <c:v>36753</c:v>
                </c:pt>
                <c:pt idx="156">
                  <c:v>36754</c:v>
                </c:pt>
                <c:pt idx="157">
                  <c:v>36755</c:v>
                </c:pt>
                <c:pt idx="158">
                  <c:v>36756</c:v>
                </c:pt>
                <c:pt idx="159">
                  <c:v>36759</c:v>
                </c:pt>
                <c:pt idx="160">
                  <c:v>36760</c:v>
                </c:pt>
                <c:pt idx="161">
                  <c:v>36761</c:v>
                </c:pt>
                <c:pt idx="162">
                  <c:v>36762</c:v>
                </c:pt>
                <c:pt idx="163">
                  <c:v>36763</c:v>
                </c:pt>
                <c:pt idx="164">
                  <c:v>36766</c:v>
                </c:pt>
                <c:pt idx="165">
                  <c:v>36767</c:v>
                </c:pt>
                <c:pt idx="166">
                  <c:v>36768</c:v>
                </c:pt>
                <c:pt idx="167">
                  <c:v>36769</c:v>
                </c:pt>
                <c:pt idx="168">
                  <c:v>36770</c:v>
                </c:pt>
                <c:pt idx="169">
                  <c:v>36774</c:v>
                </c:pt>
                <c:pt idx="170">
                  <c:v>36775</c:v>
                </c:pt>
                <c:pt idx="171">
                  <c:v>36776</c:v>
                </c:pt>
                <c:pt idx="172">
                  <c:v>36777</c:v>
                </c:pt>
                <c:pt idx="173">
                  <c:v>36780</c:v>
                </c:pt>
                <c:pt idx="174">
                  <c:v>36781</c:v>
                </c:pt>
                <c:pt idx="175">
                  <c:v>36782</c:v>
                </c:pt>
                <c:pt idx="176">
                  <c:v>36783</c:v>
                </c:pt>
                <c:pt idx="177">
                  <c:v>36784</c:v>
                </c:pt>
                <c:pt idx="178">
                  <c:v>36787</c:v>
                </c:pt>
                <c:pt idx="179">
                  <c:v>36788</c:v>
                </c:pt>
                <c:pt idx="180">
                  <c:v>36789</c:v>
                </c:pt>
                <c:pt idx="181">
                  <c:v>36790</c:v>
                </c:pt>
                <c:pt idx="182">
                  <c:v>36791</c:v>
                </c:pt>
                <c:pt idx="183">
                  <c:v>36794</c:v>
                </c:pt>
                <c:pt idx="184">
                  <c:v>36795</c:v>
                </c:pt>
                <c:pt idx="185">
                  <c:v>36796</c:v>
                </c:pt>
                <c:pt idx="186">
                  <c:v>36797</c:v>
                </c:pt>
                <c:pt idx="187">
                  <c:v>36798</c:v>
                </c:pt>
                <c:pt idx="188">
                  <c:v>36801</c:v>
                </c:pt>
                <c:pt idx="189">
                  <c:v>36802</c:v>
                </c:pt>
                <c:pt idx="190">
                  <c:v>36803</c:v>
                </c:pt>
                <c:pt idx="191">
                  <c:v>36804</c:v>
                </c:pt>
                <c:pt idx="192">
                  <c:v>36805</c:v>
                </c:pt>
                <c:pt idx="193">
                  <c:v>36808</c:v>
                </c:pt>
                <c:pt idx="194">
                  <c:v>36809</c:v>
                </c:pt>
                <c:pt idx="195">
                  <c:v>36810</c:v>
                </c:pt>
                <c:pt idx="196">
                  <c:v>36811</c:v>
                </c:pt>
                <c:pt idx="197">
                  <c:v>36812</c:v>
                </c:pt>
                <c:pt idx="198">
                  <c:v>36815</c:v>
                </c:pt>
                <c:pt idx="199">
                  <c:v>36816</c:v>
                </c:pt>
                <c:pt idx="200">
                  <c:v>36817</c:v>
                </c:pt>
                <c:pt idx="201">
                  <c:v>36818</c:v>
                </c:pt>
                <c:pt idx="202">
                  <c:v>36819</c:v>
                </c:pt>
                <c:pt idx="203">
                  <c:v>36822</c:v>
                </c:pt>
                <c:pt idx="204">
                  <c:v>36823</c:v>
                </c:pt>
                <c:pt idx="205">
                  <c:v>36824</c:v>
                </c:pt>
                <c:pt idx="206">
                  <c:v>36825</c:v>
                </c:pt>
                <c:pt idx="207">
                  <c:v>36826</c:v>
                </c:pt>
                <c:pt idx="208">
                  <c:v>36829</c:v>
                </c:pt>
                <c:pt idx="209">
                  <c:v>36830</c:v>
                </c:pt>
                <c:pt idx="210">
                  <c:v>36831</c:v>
                </c:pt>
                <c:pt idx="211">
                  <c:v>36832</c:v>
                </c:pt>
                <c:pt idx="212">
                  <c:v>36833</c:v>
                </c:pt>
                <c:pt idx="213">
                  <c:v>36836</c:v>
                </c:pt>
                <c:pt idx="214">
                  <c:v>36837</c:v>
                </c:pt>
                <c:pt idx="215">
                  <c:v>36838</c:v>
                </c:pt>
                <c:pt idx="216">
                  <c:v>36839</c:v>
                </c:pt>
                <c:pt idx="217">
                  <c:v>36840</c:v>
                </c:pt>
                <c:pt idx="218">
                  <c:v>36843</c:v>
                </c:pt>
                <c:pt idx="219">
                  <c:v>36844</c:v>
                </c:pt>
                <c:pt idx="220">
                  <c:v>36845</c:v>
                </c:pt>
                <c:pt idx="221">
                  <c:v>36846</c:v>
                </c:pt>
                <c:pt idx="222">
                  <c:v>36847</c:v>
                </c:pt>
                <c:pt idx="223">
                  <c:v>36850</c:v>
                </c:pt>
                <c:pt idx="224">
                  <c:v>36851</c:v>
                </c:pt>
                <c:pt idx="225">
                  <c:v>36852</c:v>
                </c:pt>
                <c:pt idx="226">
                  <c:v>36854</c:v>
                </c:pt>
                <c:pt idx="227">
                  <c:v>36857</c:v>
                </c:pt>
                <c:pt idx="228">
                  <c:v>36858</c:v>
                </c:pt>
                <c:pt idx="229">
                  <c:v>36859</c:v>
                </c:pt>
                <c:pt idx="230">
                  <c:v>36860</c:v>
                </c:pt>
                <c:pt idx="231">
                  <c:v>36861</c:v>
                </c:pt>
                <c:pt idx="232">
                  <c:v>36864</c:v>
                </c:pt>
                <c:pt idx="233">
                  <c:v>36865</c:v>
                </c:pt>
                <c:pt idx="234">
                  <c:v>36866</c:v>
                </c:pt>
                <c:pt idx="235">
                  <c:v>36867</c:v>
                </c:pt>
                <c:pt idx="236">
                  <c:v>36868</c:v>
                </c:pt>
                <c:pt idx="237">
                  <c:v>36871</c:v>
                </c:pt>
                <c:pt idx="238">
                  <c:v>36872</c:v>
                </c:pt>
                <c:pt idx="239">
                  <c:v>36873</c:v>
                </c:pt>
                <c:pt idx="240">
                  <c:v>36874</c:v>
                </c:pt>
                <c:pt idx="241">
                  <c:v>36875</c:v>
                </c:pt>
                <c:pt idx="242">
                  <c:v>36878</c:v>
                </c:pt>
                <c:pt idx="243">
                  <c:v>36879</c:v>
                </c:pt>
                <c:pt idx="244">
                  <c:v>36880</c:v>
                </c:pt>
                <c:pt idx="245">
                  <c:v>36881</c:v>
                </c:pt>
                <c:pt idx="246">
                  <c:v>36882</c:v>
                </c:pt>
                <c:pt idx="247">
                  <c:v>36886</c:v>
                </c:pt>
                <c:pt idx="248">
                  <c:v>36887</c:v>
                </c:pt>
                <c:pt idx="249">
                  <c:v>36888</c:v>
                </c:pt>
                <c:pt idx="250">
                  <c:v>36889</c:v>
                </c:pt>
                <c:pt idx="251">
                  <c:v>36893</c:v>
                </c:pt>
                <c:pt idx="252">
                  <c:v>36894</c:v>
                </c:pt>
                <c:pt idx="253">
                  <c:v>36895</c:v>
                </c:pt>
                <c:pt idx="254">
                  <c:v>36896</c:v>
                </c:pt>
                <c:pt idx="255">
                  <c:v>36899</c:v>
                </c:pt>
                <c:pt idx="256">
                  <c:v>36900</c:v>
                </c:pt>
                <c:pt idx="257">
                  <c:v>36901</c:v>
                </c:pt>
                <c:pt idx="258">
                  <c:v>36902</c:v>
                </c:pt>
                <c:pt idx="259">
                  <c:v>36903</c:v>
                </c:pt>
                <c:pt idx="260">
                  <c:v>36907</c:v>
                </c:pt>
                <c:pt idx="261">
                  <c:v>36908</c:v>
                </c:pt>
                <c:pt idx="262">
                  <c:v>36909</c:v>
                </c:pt>
                <c:pt idx="263">
                  <c:v>36910</c:v>
                </c:pt>
                <c:pt idx="264">
                  <c:v>36913</c:v>
                </c:pt>
                <c:pt idx="265">
                  <c:v>36914</c:v>
                </c:pt>
                <c:pt idx="266">
                  <c:v>36915</c:v>
                </c:pt>
                <c:pt idx="267">
                  <c:v>36916</c:v>
                </c:pt>
                <c:pt idx="268">
                  <c:v>36917</c:v>
                </c:pt>
                <c:pt idx="269">
                  <c:v>36920</c:v>
                </c:pt>
                <c:pt idx="270">
                  <c:v>36921</c:v>
                </c:pt>
                <c:pt idx="271">
                  <c:v>36922</c:v>
                </c:pt>
                <c:pt idx="272">
                  <c:v>36923</c:v>
                </c:pt>
                <c:pt idx="273">
                  <c:v>36924</c:v>
                </c:pt>
                <c:pt idx="274">
                  <c:v>36927</c:v>
                </c:pt>
                <c:pt idx="275">
                  <c:v>36928</c:v>
                </c:pt>
                <c:pt idx="276">
                  <c:v>36929</c:v>
                </c:pt>
                <c:pt idx="277">
                  <c:v>36930</c:v>
                </c:pt>
                <c:pt idx="278">
                  <c:v>36931</c:v>
                </c:pt>
                <c:pt idx="279">
                  <c:v>36934</c:v>
                </c:pt>
                <c:pt idx="280">
                  <c:v>36935</c:v>
                </c:pt>
                <c:pt idx="281">
                  <c:v>36936</c:v>
                </c:pt>
                <c:pt idx="282">
                  <c:v>36937</c:v>
                </c:pt>
                <c:pt idx="283">
                  <c:v>36938</c:v>
                </c:pt>
                <c:pt idx="284">
                  <c:v>36942</c:v>
                </c:pt>
                <c:pt idx="285">
                  <c:v>36943</c:v>
                </c:pt>
                <c:pt idx="286">
                  <c:v>36944</c:v>
                </c:pt>
                <c:pt idx="287">
                  <c:v>36945</c:v>
                </c:pt>
                <c:pt idx="288">
                  <c:v>36948</c:v>
                </c:pt>
                <c:pt idx="289">
                  <c:v>36949</c:v>
                </c:pt>
                <c:pt idx="290">
                  <c:v>36950</c:v>
                </c:pt>
                <c:pt idx="291">
                  <c:v>36951</c:v>
                </c:pt>
                <c:pt idx="292">
                  <c:v>36952</c:v>
                </c:pt>
                <c:pt idx="293">
                  <c:v>36955</c:v>
                </c:pt>
                <c:pt idx="294">
                  <c:v>36956</c:v>
                </c:pt>
                <c:pt idx="295">
                  <c:v>36957</c:v>
                </c:pt>
                <c:pt idx="296">
                  <c:v>36958</c:v>
                </c:pt>
                <c:pt idx="297">
                  <c:v>36959</c:v>
                </c:pt>
                <c:pt idx="298">
                  <c:v>36962</c:v>
                </c:pt>
                <c:pt idx="299">
                  <c:v>36963</c:v>
                </c:pt>
                <c:pt idx="300">
                  <c:v>36964</c:v>
                </c:pt>
                <c:pt idx="301">
                  <c:v>36965</c:v>
                </c:pt>
                <c:pt idx="302">
                  <c:v>36966</c:v>
                </c:pt>
                <c:pt idx="303">
                  <c:v>36969</c:v>
                </c:pt>
                <c:pt idx="304">
                  <c:v>36970</c:v>
                </c:pt>
                <c:pt idx="305">
                  <c:v>36971</c:v>
                </c:pt>
                <c:pt idx="306">
                  <c:v>36972</c:v>
                </c:pt>
                <c:pt idx="307">
                  <c:v>36973</c:v>
                </c:pt>
                <c:pt idx="308">
                  <c:v>36976</c:v>
                </c:pt>
                <c:pt idx="309">
                  <c:v>36977</c:v>
                </c:pt>
                <c:pt idx="310">
                  <c:v>36978</c:v>
                </c:pt>
                <c:pt idx="311">
                  <c:v>36979</c:v>
                </c:pt>
                <c:pt idx="312">
                  <c:v>36980</c:v>
                </c:pt>
                <c:pt idx="313">
                  <c:v>36983</c:v>
                </c:pt>
                <c:pt idx="314">
                  <c:v>36984</c:v>
                </c:pt>
                <c:pt idx="315">
                  <c:v>36985</c:v>
                </c:pt>
                <c:pt idx="316">
                  <c:v>36986</c:v>
                </c:pt>
                <c:pt idx="317">
                  <c:v>36987</c:v>
                </c:pt>
                <c:pt idx="318">
                  <c:v>36990</c:v>
                </c:pt>
                <c:pt idx="319">
                  <c:v>36991</c:v>
                </c:pt>
                <c:pt idx="320">
                  <c:v>36992</c:v>
                </c:pt>
                <c:pt idx="321">
                  <c:v>36993</c:v>
                </c:pt>
                <c:pt idx="322">
                  <c:v>36997</c:v>
                </c:pt>
                <c:pt idx="323">
                  <c:v>36998</c:v>
                </c:pt>
                <c:pt idx="324">
                  <c:v>36999</c:v>
                </c:pt>
                <c:pt idx="325">
                  <c:v>37000</c:v>
                </c:pt>
                <c:pt idx="326">
                  <c:v>37001</c:v>
                </c:pt>
                <c:pt idx="327">
                  <c:v>37004</c:v>
                </c:pt>
                <c:pt idx="328">
                  <c:v>37005</c:v>
                </c:pt>
                <c:pt idx="329">
                  <c:v>37006</c:v>
                </c:pt>
                <c:pt idx="330">
                  <c:v>37007</c:v>
                </c:pt>
                <c:pt idx="331">
                  <c:v>37008</c:v>
                </c:pt>
                <c:pt idx="332">
                  <c:v>37011</c:v>
                </c:pt>
                <c:pt idx="333">
                  <c:v>37012</c:v>
                </c:pt>
                <c:pt idx="334">
                  <c:v>37013</c:v>
                </c:pt>
                <c:pt idx="335">
                  <c:v>37014</c:v>
                </c:pt>
                <c:pt idx="336">
                  <c:v>37015</c:v>
                </c:pt>
                <c:pt idx="337">
                  <c:v>37018</c:v>
                </c:pt>
                <c:pt idx="338">
                  <c:v>37019</c:v>
                </c:pt>
                <c:pt idx="339">
                  <c:v>37020</c:v>
                </c:pt>
                <c:pt idx="340">
                  <c:v>37021</c:v>
                </c:pt>
                <c:pt idx="341">
                  <c:v>37022</c:v>
                </c:pt>
                <c:pt idx="342">
                  <c:v>37025</c:v>
                </c:pt>
                <c:pt idx="343">
                  <c:v>37026</c:v>
                </c:pt>
                <c:pt idx="344">
                  <c:v>37027</c:v>
                </c:pt>
                <c:pt idx="345">
                  <c:v>37028</c:v>
                </c:pt>
                <c:pt idx="346">
                  <c:v>37029</c:v>
                </c:pt>
                <c:pt idx="347">
                  <c:v>37032</c:v>
                </c:pt>
                <c:pt idx="348">
                  <c:v>37033</c:v>
                </c:pt>
                <c:pt idx="349">
                  <c:v>37034</c:v>
                </c:pt>
                <c:pt idx="350">
                  <c:v>37035</c:v>
                </c:pt>
                <c:pt idx="351">
                  <c:v>37036</c:v>
                </c:pt>
                <c:pt idx="352">
                  <c:v>37040</c:v>
                </c:pt>
                <c:pt idx="353">
                  <c:v>37041</c:v>
                </c:pt>
                <c:pt idx="354">
                  <c:v>37042</c:v>
                </c:pt>
                <c:pt idx="355">
                  <c:v>37043</c:v>
                </c:pt>
                <c:pt idx="356">
                  <c:v>37046</c:v>
                </c:pt>
                <c:pt idx="357">
                  <c:v>37047</c:v>
                </c:pt>
                <c:pt idx="358">
                  <c:v>37048</c:v>
                </c:pt>
                <c:pt idx="359">
                  <c:v>37049</c:v>
                </c:pt>
                <c:pt idx="360">
                  <c:v>37050</c:v>
                </c:pt>
                <c:pt idx="361">
                  <c:v>37053</c:v>
                </c:pt>
                <c:pt idx="362">
                  <c:v>37054</c:v>
                </c:pt>
                <c:pt idx="363">
                  <c:v>37055</c:v>
                </c:pt>
                <c:pt idx="364">
                  <c:v>37056</c:v>
                </c:pt>
                <c:pt idx="365">
                  <c:v>37057</c:v>
                </c:pt>
                <c:pt idx="366">
                  <c:v>37060</c:v>
                </c:pt>
                <c:pt idx="367">
                  <c:v>37061</c:v>
                </c:pt>
                <c:pt idx="368">
                  <c:v>37062</c:v>
                </c:pt>
                <c:pt idx="369">
                  <c:v>37063</c:v>
                </c:pt>
                <c:pt idx="370">
                  <c:v>37064</c:v>
                </c:pt>
                <c:pt idx="371">
                  <c:v>37067</c:v>
                </c:pt>
                <c:pt idx="372">
                  <c:v>37068</c:v>
                </c:pt>
                <c:pt idx="373">
                  <c:v>37069</c:v>
                </c:pt>
                <c:pt idx="374">
                  <c:v>37070</c:v>
                </c:pt>
                <c:pt idx="375">
                  <c:v>37071</c:v>
                </c:pt>
                <c:pt idx="376">
                  <c:v>37074</c:v>
                </c:pt>
                <c:pt idx="377">
                  <c:v>37075</c:v>
                </c:pt>
                <c:pt idx="378">
                  <c:v>37077</c:v>
                </c:pt>
                <c:pt idx="379">
                  <c:v>37078</c:v>
                </c:pt>
                <c:pt idx="380">
                  <c:v>37081</c:v>
                </c:pt>
                <c:pt idx="381">
                  <c:v>37082</c:v>
                </c:pt>
                <c:pt idx="382">
                  <c:v>37083</c:v>
                </c:pt>
                <c:pt idx="383">
                  <c:v>37084</c:v>
                </c:pt>
                <c:pt idx="384">
                  <c:v>37085</c:v>
                </c:pt>
                <c:pt idx="385">
                  <c:v>37088</c:v>
                </c:pt>
                <c:pt idx="386">
                  <c:v>37089</c:v>
                </c:pt>
                <c:pt idx="387">
                  <c:v>37090</c:v>
                </c:pt>
                <c:pt idx="388">
                  <c:v>37091</c:v>
                </c:pt>
                <c:pt idx="389">
                  <c:v>37092</c:v>
                </c:pt>
                <c:pt idx="390">
                  <c:v>37095</c:v>
                </c:pt>
                <c:pt idx="391">
                  <c:v>37096</c:v>
                </c:pt>
                <c:pt idx="392">
                  <c:v>37097</c:v>
                </c:pt>
                <c:pt idx="393">
                  <c:v>37098</c:v>
                </c:pt>
                <c:pt idx="394">
                  <c:v>37099</c:v>
                </c:pt>
                <c:pt idx="395">
                  <c:v>37102</c:v>
                </c:pt>
                <c:pt idx="396">
                  <c:v>37103</c:v>
                </c:pt>
                <c:pt idx="397">
                  <c:v>37104</c:v>
                </c:pt>
                <c:pt idx="398">
                  <c:v>37105</c:v>
                </c:pt>
                <c:pt idx="399">
                  <c:v>37106</c:v>
                </c:pt>
                <c:pt idx="400">
                  <c:v>37109</c:v>
                </c:pt>
                <c:pt idx="401">
                  <c:v>37110</c:v>
                </c:pt>
                <c:pt idx="402">
                  <c:v>37111</c:v>
                </c:pt>
                <c:pt idx="403">
                  <c:v>37112</c:v>
                </c:pt>
                <c:pt idx="404">
                  <c:v>37113</c:v>
                </c:pt>
                <c:pt idx="405">
                  <c:v>37116</c:v>
                </c:pt>
                <c:pt idx="406">
                  <c:v>37117</c:v>
                </c:pt>
                <c:pt idx="407">
                  <c:v>37118</c:v>
                </c:pt>
                <c:pt idx="408">
                  <c:v>37119</c:v>
                </c:pt>
                <c:pt idx="409">
                  <c:v>37120</c:v>
                </c:pt>
                <c:pt idx="410">
                  <c:v>37123</c:v>
                </c:pt>
                <c:pt idx="411">
                  <c:v>37124</c:v>
                </c:pt>
                <c:pt idx="412">
                  <c:v>37125</c:v>
                </c:pt>
                <c:pt idx="413">
                  <c:v>37126</c:v>
                </c:pt>
                <c:pt idx="414">
                  <c:v>37127</c:v>
                </c:pt>
                <c:pt idx="415">
                  <c:v>37130</c:v>
                </c:pt>
                <c:pt idx="416">
                  <c:v>37131</c:v>
                </c:pt>
                <c:pt idx="417">
                  <c:v>37132</c:v>
                </c:pt>
                <c:pt idx="418">
                  <c:v>37133</c:v>
                </c:pt>
                <c:pt idx="419">
                  <c:v>37134</c:v>
                </c:pt>
                <c:pt idx="420">
                  <c:v>37138</c:v>
                </c:pt>
                <c:pt idx="421">
                  <c:v>37139</c:v>
                </c:pt>
                <c:pt idx="422">
                  <c:v>37140</c:v>
                </c:pt>
                <c:pt idx="423">
                  <c:v>37141</c:v>
                </c:pt>
                <c:pt idx="424">
                  <c:v>37144</c:v>
                </c:pt>
                <c:pt idx="425">
                  <c:v>37151</c:v>
                </c:pt>
                <c:pt idx="426">
                  <c:v>37152</c:v>
                </c:pt>
                <c:pt idx="427">
                  <c:v>37153</c:v>
                </c:pt>
                <c:pt idx="428">
                  <c:v>37154</c:v>
                </c:pt>
                <c:pt idx="429">
                  <c:v>37155</c:v>
                </c:pt>
                <c:pt idx="430">
                  <c:v>37158</c:v>
                </c:pt>
                <c:pt idx="431">
                  <c:v>37159</c:v>
                </c:pt>
                <c:pt idx="432">
                  <c:v>37160</c:v>
                </c:pt>
                <c:pt idx="433">
                  <c:v>37161</c:v>
                </c:pt>
                <c:pt idx="434">
                  <c:v>37162</c:v>
                </c:pt>
                <c:pt idx="435">
                  <c:v>37165</c:v>
                </c:pt>
                <c:pt idx="436">
                  <c:v>37166</c:v>
                </c:pt>
                <c:pt idx="437">
                  <c:v>37167</c:v>
                </c:pt>
                <c:pt idx="438">
                  <c:v>37168</c:v>
                </c:pt>
                <c:pt idx="439">
                  <c:v>37169</c:v>
                </c:pt>
                <c:pt idx="440">
                  <c:v>37172</c:v>
                </c:pt>
                <c:pt idx="441">
                  <c:v>37173</c:v>
                </c:pt>
                <c:pt idx="442">
                  <c:v>37174</c:v>
                </c:pt>
                <c:pt idx="443">
                  <c:v>37175</c:v>
                </c:pt>
                <c:pt idx="444">
                  <c:v>37176</c:v>
                </c:pt>
                <c:pt idx="445">
                  <c:v>37179</c:v>
                </c:pt>
                <c:pt idx="446">
                  <c:v>37180</c:v>
                </c:pt>
                <c:pt idx="447">
                  <c:v>37181</c:v>
                </c:pt>
                <c:pt idx="448">
                  <c:v>37182</c:v>
                </c:pt>
                <c:pt idx="449">
                  <c:v>37183</c:v>
                </c:pt>
                <c:pt idx="450">
                  <c:v>37186</c:v>
                </c:pt>
                <c:pt idx="451">
                  <c:v>37187</c:v>
                </c:pt>
                <c:pt idx="452">
                  <c:v>37188</c:v>
                </c:pt>
                <c:pt idx="453">
                  <c:v>37189</c:v>
                </c:pt>
                <c:pt idx="454">
                  <c:v>37190</c:v>
                </c:pt>
                <c:pt idx="455">
                  <c:v>37193</c:v>
                </c:pt>
                <c:pt idx="456">
                  <c:v>37194</c:v>
                </c:pt>
                <c:pt idx="457">
                  <c:v>37195</c:v>
                </c:pt>
                <c:pt idx="458">
                  <c:v>37196</c:v>
                </c:pt>
                <c:pt idx="459">
                  <c:v>37197</c:v>
                </c:pt>
                <c:pt idx="460">
                  <c:v>37200</c:v>
                </c:pt>
                <c:pt idx="461">
                  <c:v>37201</c:v>
                </c:pt>
                <c:pt idx="462">
                  <c:v>37202</c:v>
                </c:pt>
                <c:pt idx="463">
                  <c:v>37203</c:v>
                </c:pt>
                <c:pt idx="464">
                  <c:v>37204</c:v>
                </c:pt>
                <c:pt idx="465">
                  <c:v>37207</c:v>
                </c:pt>
                <c:pt idx="466">
                  <c:v>37208</c:v>
                </c:pt>
                <c:pt idx="467">
                  <c:v>37209</c:v>
                </c:pt>
                <c:pt idx="468">
                  <c:v>37210</c:v>
                </c:pt>
                <c:pt idx="469">
                  <c:v>37211</c:v>
                </c:pt>
                <c:pt idx="470">
                  <c:v>37214</c:v>
                </c:pt>
                <c:pt idx="471">
                  <c:v>37215</c:v>
                </c:pt>
                <c:pt idx="472">
                  <c:v>37216</c:v>
                </c:pt>
                <c:pt idx="473">
                  <c:v>37218</c:v>
                </c:pt>
                <c:pt idx="474">
                  <c:v>37221</c:v>
                </c:pt>
                <c:pt idx="475">
                  <c:v>37222</c:v>
                </c:pt>
                <c:pt idx="476">
                  <c:v>37223</c:v>
                </c:pt>
                <c:pt idx="477">
                  <c:v>37224</c:v>
                </c:pt>
                <c:pt idx="478">
                  <c:v>37225</c:v>
                </c:pt>
                <c:pt idx="479">
                  <c:v>37228</c:v>
                </c:pt>
                <c:pt idx="480">
                  <c:v>37229</c:v>
                </c:pt>
                <c:pt idx="481">
                  <c:v>37230</c:v>
                </c:pt>
                <c:pt idx="482">
                  <c:v>37231</c:v>
                </c:pt>
                <c:pt idx="483">
                  <c:v>37232</c:v>
                </c:pt>
                <c:pt idx="484">
                  <c:v>37235</c:v>
                </c:pt>
                <c:pt idx="485">
                  <c:v>37236</c:v>
                </c:pt>
                <c:pt idx="486">
                  <c:v>37237</c:v>
                </c:pt>
                <c:pt idx="487">
                  <c:v>37238</c:v>
                </c:pt>
                <c:pt idx="488">
                  <c:v>37239</c:v>
                </c:pt>
                <c:pt idx="489">
                  <c:v>37242</c:v>
                </c:pt>
                <c:pt idx="490">
                  <c:v>37243</c:v>
                </c:pt>
                <c:pt idx="491">
                  <c:v>37244</c:v>
                </c:pt>
                <c:pt idx="492">
                  <c:v>37245</c:v>
                </c:pt>
                <c:pt idx="493">
                  <c:v>37246</c:v>
                </c:pt>
                <c:pt idx="494">
                  <c:v>37249</c:v>
                </c:pt>
                <c:pt idx="495">
                  <c:v>37251</c:v>
                </c:pt>
                <c:pt idx="496">
                  <c:v>37252</c:v>
                </c:pt>
                <c:pt idx="497">
                  <c:v>37253</c:v>
                </c:pt>
                <c:pt idx="498">
                  <c:v>37256</c:v>
                </c:pt>
                <c:pt idx="499">
                  <c:v>37258</c:v>
                </c:pt>
                <c:pt idx="500">
                  <c:v>37259</c:v>
                </c:pt>
                <c:pt idx="501">
                  <c:v>37260</c:v>
                </c:pt>
                <c:pt idx="502">
                  <c:v>37263</c:v>
                </c:pt>
                <c:pt idx="503">
                  <c:v>37264</c:v>
                </c:pt>
                <c:pt idx="504">
                  <c:v>37265</c:v>
                </c:pt>
                <c:pt idx="505">
                  <c:v>37266</c:v>
                </c:pt>
                <c:pt idx="506">
                  <c:v>37267</c:v>
                </c:pt>
                <c:pt idx="507">
                  <c:v>37270</c:v>
                </c:pt>
                <c:pt idx="508">
                  <c:v>37271</c:v>
                </c:pt>
                <c:pt idx="509">
                  <c:v>37272</c:v>
                </c:pt>
                <c:pt idx="510">
                  <c:v>37273</c:v>
                </c:pt>
                <c:pt idx="511">
                  <c:v>37274</c:v>
                </c:pt>
                <c:pt idx="512">
                  <c:v>37278</c:v>
                </c:pt>
                <c:pt idx="513">
                  <c:v>37279</c:v>
                </c:pt>
                <c:pt idx="514">
                  <c:v>37280</c:v>
                </c:pt>
                <c:pt idx="515">
                  <c:v>37281</c:v>
                </c:pt>
                <c:pt idx="516">
                  <c:v>37284</c:v>
                </c:pt>
                <c:pt idx="517">
                  <c:v>37285</c:v>
                </c:pt>
                <c:pt idx="518">
                  <c:v>37286</c:v>
                </c:pt>
                <c:pt idx="519">
                  <c:v>37287</c:v>
                </c:pt>
                <c:pt idx="520">
                  <c:v>37288</c:v>
                </c:pt>
                <c:pt idx="521">
                  <c:v>37291</c:v>
                </c:pt>
                <c:pt idx="522">
                  <c:v>37292</c:v>
                </c:pt>
                <c:pt idx="523">
                  <c:v>37293</c:v>
                </c:pt>
                <c:pt idx="524">
                  <c:v>37294</c:v>
                </c:pt>
                <c:pt idx="525">
                  <c:v>37295</c:v>
                </c:pt>
                <c:pt idx="526">
                  <c:v>37298</c:v>
                </c:pt>
                <c:pt idx="527">
                  <c:v>37299</c:v>
                </c:pt>
                <c:pt idx="528">
                  <c:v>37300</c:v>
                </c:pt>
                <c:pt idx="529">
                  <c:v>37301</c:v>
                </c:pt>
                <c:pt idx="530">
                  <c:v>37302</c:v>
                </c:pt>
                <c:pt idx="531">
                  <c:v>37306</c:v>
                </c:pt>
                <c:pt idx="532">
                  <c:v>37307</c:v>
                </c:pt>
                <c:pt idx="533">
                  <c:v>37308</c:v>
                </c:pt>
                <c:pt idx="534">
                  <c:v>37309</c:v>
                </c:pt>
                <c:pt idx="535">
                  <c:v>37312</c:v>
                </c:pt>
                <c:pt idx="536">
                  <c:v>37313</c:v>
                </c:pt>
                <c:pt idx="537">
                  <c:v>37314</c:v>
                </c:pt>
                <c:pt idx="538">
                  <c:v>37315</c:v>
                </c:pt>
                <c:pt idx="539">
                  <c:v>37316</c:v>
                </c:pt>
                <c:pt idx="540">
                  <c:v>37319</c:v>
                </c:pt>
                <c:pt idx="541">
                  <c:v>37320</c:v>
                </c:pt>
                <c:pt idx="542">
                  <c:v>37321</c:v>
                </c:pt>
                <c:pt idx="543">
                  <c:v>37322</c:v>
                </c:pt>
                <c:pt idx="544">
                  <c:v>37323</c:v>
                </c:pt>
                <c:pt idx="545">
                  <c:v>37326</c:v>
                </c:pt>
                <c:pt idx="546">
                  <c:v>37327</c:v>
                </c:pt>
                <c:pt idx="547">
                  <c:v>37328</c:v>
                </c:pt>
                <c:pt idx="548">
                  <c:v>37329</c:v>
                </c:pt>
                <c:pt idx="549">
                  <c:v>37330</c:v>
                </c:pt>
                <c:pt idx="550">
                  <c:v>37333</c:v>
                </c:pt>
                <c:pt idx="551">
                  <c:v>37334</c:v>
                </c:pt>
                <c:pt idx="552">
                  <c:v>37335</c:v>
                </c:pt>
                <c:pt idx="553">
                  <c:v>37336</c:v>
                </c:pt>
                <c:pt idx="554">
                  <c:v>37337</c:v>
                </c:pt>
                <c:pt idx="555">
                  <c:v>37340</c:v>
                </c:pt>
                <c:pt idx="556">
                  <c:v>37341</c:v>
                </c:pt>
                <c:pt idx="557">
                  <c:v>37342</c:v>
                </c:pt>
                <c:pt idx="558">
                  <c:v>37343</c:v>
                </c:pt>
                <c:pt idx="559">
                  <c:v>37347</c:v>
                </c:pt>
                <c:pt idx="560">
                  <c:v>37348</c:v>
                </c:pt>
                <c:pt idx="561">
                  <c:v>37349</c:v>
                </c:pt>
                <c:pt idx="562">
                  <c:v>37350</c:v>
                </c:pt>
                <c:pt idx="563">
                  <c:v>37351</c:v>
                </c:pt>
                <c:pt idx="564">
                  <c:v>37354</c:v>
                </c:pt>
                <c:pt idx="565">
                  <c:v>37355</c:v>
                </c:pt>
                <c:pt idx="566">
                  <c:v>37356</c:v>
                </c:pt>
                <c:pt idx="567">
                  <c:v>37357</c:v>
                </c:pt>
                <c:pt idx="568">
                  <c:v>37358</c:v>
                </c:pt>
                <c:pt idx="569">
                  <c:v>37361</c:v>
                </c:pt>
                <c:pt idx="570">
                  <c:v>37362</c:v>
                </c:pt>
                <c:pt idx="571">
                  <c:v>37363</c:v>
                </c:pt>
                <c:pt idx="572">
                  <c:v>37364</c:v>
                </c:pt>
                <c:pt idx="573">
                  <c:v>37365</c:v>
                </c:pt>
                <c:pt idx="574">
                  <c:v>37368</c:v>
                </c:pt>
                <c:pt idx="575">
                  <c:v>37369</c:v>
                </c:pt>
                <c:pt idx="576">
                  <c:v>37370</c:v>
                </c:pt>
                <c:pt idx="577">
                  <c:v>37371</c:v>
                </c:pt>
                <c:pt idx="578">
                  <c:v>37372</c:v>
                </c:pt>
                <c:pt idx="579">
                  <c:v>37375</c:v>
                </c:pt>
                <c:pt idx="580">
                  <c:v>37376</c:v>
                </c:pt>
                <c:pt idx="581">
                  <c:v>37377</c:v>
                </c:pt>
                <c:pt idx="582">
                  <c:v>37378</c:v>
                </c:pt>
                <c:pt idx="583">
                  <c:v>37379</c:v>
                </c:pt>
                <c:pt idx="584">
                  <c:v>37382</c:v>
                </c:pt>
                <c:pt idx="585">
                  <c:v>37383</c:v>
                </c:pt>
                <c:pt idx="586">
                  <c:v>37384</c:v>
                </c:pt>
                <c:pt idx="587">
                  <c:v>37385</c:v>
                </c:pt>
                <c:pt idx="588">
                  <c:v>37386</c:v>
                </c:pt>
                <c:pt idx="589">
                  <c:v>37389</c:v>
                </c:pt>
                <c:pt idx="590">
                  <c:v>37390</c:v>
                </c:pt>
                <c:pt idx="591">
                  <c:v>37391</c:v>
                </c:pt>
                <c:pt idx="592">
                  <c:v>37392</c:v>
                </c:pt>
                <c:pt idx="593">
                  <c:v>37393</c:v>
                </c:pt>
                <c:pt idx="594">
                  <c:v>37396</c:v>
                </c:pt>
                <c:pt idx="595">
                  <c:v>37397</c:v>
                </c:pt>
                <c:pt idx="596">
                  <c:v>37398</c:v>
                </c:pt>
                <c:pt idx="597">
                  <c:v>37399</c:v>
                </c:pt>
                <c:pt idx="598">
                  <c:v>37400</c:v>
                </c:pt>
                <c:pt idx="599">
                  <c:v>37404</c:v>
                </c:pt>
                <c:pt idx="600">
                  <c:v>37405</c:v>
                </c:pt>
                <c:pt idx="601">
                  <c:v>37406</c:v>
                </c:pt>
                <c:pt idx="602">
                  <c:v>37407</c:v>
                </c:pt>
                <c:pt idx="603">
                  <c:v>37410</c:v>
                </c:pt>
                <c:pt idx="604">
                  <c:v>37411</c:v>
                </c:pt>
                <c:pt idx="605">
                  <c:v>37412</c:v>
                </c:pt>
                <c:pt idx="606">
                  <c:v>37413</c:v>
                </c:pt>
                <c:pt idx="607">
                  <c:v>37414</c:v>
                </c:pt>
                <c:pt idx="608">
                  <c:v>37417</c:v>
                </c:pt>
                <c:pt idx="609">
                  <c:v>37418</c:v>
                </c:pt>
                <c:pt idx="610">
                  <c:v>37419</c:v>
                </c:pt>
                <c:pt idx="611">
                  <c:v>37420</c:v>
                </c:pt>
                <c:pt idx="612">
                  <c:v>37421</c:v>
                </c:pt>
                <c:pt idx="613">
                  <c:v>37424</c:v>
                </c:pt>
                <c:pt idx="614">
                  <c:v>37425</c:v>
                </c:pt>
                <c:pt idx="615">
                  <c:v>37426</c:v>
                </c:pt>
                <c:pt idx="616">
                  <c:v>37427</c:v>
                </c:pt>
                <c:pt idx="617">
                  <c:v>37428</c:v>
                </c:pt>
                <c:pt idx="618">
                  <c:v>37431</c:v>
                </c:pt>
                <c:pt idx="619">
                  <c:v>37432</c:v>
                </c:pt>
                <c:pt idx="620">
                  <c:v>37433</c:v>
                </c:pt>
                <c:pt idx="621">
                  <c:v>37434</c:v>
                </c:pt>
                <c:pt idx="622">
                  <c:v>37435</c:v>
                </c:pt>
                <c:pt idx="623">
                  <c:v>37438</c:v>
                </c:pt>
                <c:pt idx="624">
                  <c:v>37439</c:v>
                </c:pt>
                <c:pt idx="625">
                  <c:v>37440</c:v>
                </c:pt>
                <c:pt idx="626">
                  <c:v>37442</c:v>
                </c:pt>
                <c:pt idx="627">
                  <c:v>37445</c:v>
                </c:pt>
                <c:pt idx="628">
                  <c:v>37446</c:v>
                </c:pt>
                <c:pt idx="629">
                  <c:v>37447</c:v>
                </c:pt>
                <c:pt idx="630">
                  <c:v>37448</c:v>
                </c:pt>
                <c:pt idx="631">
                  <c:v>37449</c:v>
                </c:pt>
                <c:pt idx="632">
                  <c:v>37452</c:v>
                </c:pt>
                <c:pt idx="633">
                  <c:v>37453</c:v>
                </c:pt>
                <c:pt idx="634">
                  <c:v>37454</c:v>
                </c:pt>
                <c:pt idx="635">
                  <c:v>37455</c:v>
                </c:pt>
                <c:pt idx="636">
                  <c:v>37456</c:v>
                </c:pt>
                <c:pt idx="637">
                  <c:v>37459</c:v>
                </c:pt>
                <c:pt idx="638">
                  <c:v>37460</c:v>
                </c:pt>
                <c:pt idx="639">
                  <c:v>37461</c:v>
                </c:pt>
                <c:pt idx="640">
                  <c:v>37462</c:v>
                </c:pt>
                <c:pt idx="641">
                  <c:v>37463</c:v>
                </c:pt>
                <c:pt idx="642">
                  <c:v>37466</c:v>
                </c:pt>
                <c:pt idx="643">
                  <c:v>37467</c:v>
                </c:pt>
                <c:pt idx="644">
                  <c:v>37468</c:v>
                </c:pt>
                <c:pt idx="645">
                  <c:v>37469</c:v>
                </c:pt>
                <c:pt idx="646">
                  <c:v>37470</c:v>
                </c:pt>
                <c:pt idx="647">
                  <c:v>37473</c:v>
                </c:pt>
                <c:pt idx="648">
                  <c:v>37474</c:v>
                </c:pt>
                <c:pt idx="649">
                  <c:v>37475</c:v>
                </c:pt>
                <c:pt idx="650">
                  <c:v>37476</c:v>
                </c:pt>
                <c:pt idx="651">
                  <c:v>37477</c:v>
                </c:pt>
                <c:pt idx="652">
                  <c:v>37480</c:v>
                </c:pt>
                <c:pt idx="653">
                  <c:v>37481</c:v>
                </c:pt>
                <c:pt idx="654">
                  <c:v>37482</c:v>
                </c:pt>
                <c:pt idx="655">
                  <c:v>37483</c:v>
                </c:pt>
                <c:pt idx="656">
                  <c:v>37484</c:v>
                </c:pt>
                <c:pt idx="657">
                  <c:v>37487</c:v>
                </c:pt>
                <c:pt idx="658">
                  <c:v>37488</c:v>
                </c:pt>
                <c:pt idx="659">
                  <c:v>37489</c:v>
                </c:pt>
                <c:pt idx="660">
                  <c:v>37490</c:v>
                </c:pt>
                <c:pt idx="661">
                  <c:v>37491</c:v>
                </c:pt>
                <c:pt idx="662">
                  <c:v>37494</c:v>
                </c:pt>
                <c:pt idx="663">
                  <c:v>37495</c:v>
                </c:pt>
                <c:pt idx="664">
                  <c:v>37496</c:v>
                </c:pt>
                <c:pt idx="665">
                  <c:v>37497</c:v>
                </c:pt>
                <c:pt idx="666">
                  <c:v>37498</c:v>
                </c:pt>
                <c:pt idx="667">
                  <c:v>37502</c:v>
                </c:pt>
                <c:pt idx="668">
                  <c:v>37503</c:v>
                </c:pt>
                <c:pt idx="669">
                  <c:v>37504</c:v>
                </c:pt>
                <c:pt idx="670">
                  <c:v>37505</c:v>
                </c:pt>
                <c:pt idx="671">
                  <c:v>37508</c:v>
                </c:pt>
                <c:pt idx="672">
                  <c:v>37509</c:v>
                </c:pt>
                <c:pt idx="673">
                  <c:v>37510</c:v>
                </c:pt>
                <c:pt idx="674">
                  <c:v>37511</c:v>
                </c:pt>
                <c:pt idx="675">
                  <c:v>37512</c:v>
                </c:pt>
                <c:pt idx="676">
                  <c:v>37515</c:v>
                </c:pt>
                <c:pt idx="677">
                  <c:v>37516</c:v>
                </c:pt>
                <c:pt idx="678">
                  <c:v>37517</c:v>
                </c:pt>
                <c:pt idx="679">
                  <c:v>37518</c:v>
                </c:pt>
                <c:pt idx="680">
                  <c:v>37519</c:v>
                </c:pt>
                <c:pt idx="681">
                  <c:v>37522</c:v>
                </c:pt>
                <c:pt idx="682">
                  <c:v>37523</c:v>
                </c:pt>
                <c:pt idx="683">
                  <c:v>37524</c:v>
                </c:pt>
                <c:pt idx="684">
                  <c:v>37525</c:v>
                </c:pt>
                <c:pt idx="685">
                  <c:v>37526</c:v>
                </c:pt>
                <c:pt idx="686">
                  <c:v>37529</c:v>
                </c:pt>
                <c:pt idx="687">
                  <c:v>37530</c:v>
                </c:pt>
                <c:pt idx="688">
                  <c:v>37531</c:v>
                </c:pt>
                <c:pt idx="689">
                  <c:v>37532</c:v>
                </c:pt>
                <c:pt idx="690">
                  <c:v>37533</c:v>
                </c:pt>
                <c:pt idx="691">
                  <c:v>37536</c:v>
                </c:pt>
                <c:pt idx="692">
                  <c:v>37537</c:v>
                </c:pt>
                <c:pt idx="693">
                  <c:v>37538</c:v>
                </c:pt>
                <c:pt idx="694">
                  <c:v>37539</c:v>
                </c:pt>
                <c:pt idx="695">
                  <c:v>37540</c:v>
                </c:pt>
                <c:pt idx="696">
                  <c:v>37543</c:v>
                </c:pt>
                <c:pt idx="697">
                  <c:v>37544</c:v>
                </c:pt>
                <c:pt idx="698">
                  <c:v>37545</c:v>
                </c:pt>
                <c:pt idx="699">
                  <c:v>37546</c:v>
                </c:pt>
                <c:pt idx="700">
                  <c:v>37547</c:v>
                </c:pt>
                <c:pt idx="701">
                  <c:v>37550</c:v>
                </c:pt>
                <c:pt idx="702">
                  <c:v>37551</c:v>
                </c:pt>
                <c:pt idx="703">
                  <c:v>37552</c:v>
                </c:pt>
                <c:pt idx="704">
                  <c:v>37553</c:v>
                </c:pt>
                <c:pt idx="705">
                  <c:v>37554</c:v>
                </c:pt>
                <c:pt idx="706">
                  <c:v>37557</c:v>
                </c:pt>
                <c:pt idx="707">
                  <c:v>37558</c:v>
                </c:pt>
                <c:pt idx="708">
                  <c:v>37559</c:v>
                </c:pt>
                <c:pt idx="709">
                  <c:v>37560</c:v>
                </c:pt>
                <c:pt idx="710">
                  <c:v>37561</c:v>
                </c:pt>
                <c:pt idx="711">
                  <c:v>37564</c:v>
                </c:pt>
                <c:pt idx="712">
                  <c:v>37565</c:v>
                </c:pt>
                <c:pt idx="713">
                  <c:v>37566</c:v>
                </c:pt>
                <c:pt idx="714">
                  <c:v>37567</c:v>
                </c:pt>
                <c:pt idx="715">
                  <c:v>37568</c:v>
                </c:pt>
                <c:pt idx="716">
                  <c:v>37571</c:v>
                </c:pt>
                <c:pt idx="717">
                  <c:v>37572</c:v>
                </c:pt>
                <c:pt idx="718">
                  <c:v>37573</c:v>
                </c:pt>
                <c:pt idx="719">
                  <c:v>37574</c:v>
                </c:pt>
                <c:pt idx="720">
                  <c:v>37575</c:v>
                </c:pt>
                <c:pt idx="721">
                  <c:v>37578</c:v>
                </c:pt>
                <c:pt idx="722">
                  <c:v>37579</c:v>
                </c:pt>
                <c:pt idx="723">
                  <c:v>37580</c:v>
                </c:pt>
                <c:pt idx="724">
                  <c:v>37581</c:v>
                </c:pt>
                <c:pt idx="725">
                  <c:v>37582</c:v>
                </c:pt>
                <c:pt idx="726">
                  <c:v>37585</c:v>
                </c:pt>
                <c:pt idx="727">
                  <c:v>37586</c:v>
                </c:pt>
                <c:pt idx="728">
                  <c:v>37587</c:v>
                </c:pt>
                <c:pt idx="729">
                  <c:v>37589</c:v>
                </c:pt>
                <c:pt idx="730">
                  <c:v>37592</c:v>
                </c:pt>
                <c:pt idx="731">
                  <c:v>37593</c:v>
                </c:pt>
                <c:pt idx="732">
                  <c:v>37594</c:v>
                </c:pt>
                <c:pt idx="733">
                  <c:v>37595</c:v>
                </c:pt>
                <c:pt idx="734">
                  <c:v>37596</c:v>
                </c:pt>
                <c:pt idx="735">
                  <c:v>37599</c:v>
                </c:pt>
                <c:pt idx="736">
                  <c:v>37600</c:v>
                </c:pt>
                <c:pt idx="737">
                  <c:v>37601</c:v>
                </c:pt>
                <c:pt idx="738">
                  <c:v>37602</c:v>
                </c:pt>
                <c:pt idx="739">
                  <c:v>37603</c:v>
                </c:pt>
                <c:pt idx="740">
                  <c:v>37606</c:v>
                </c:pt>
                <c:pt idx="741">
                  <c:v>37607</c:v>
                </c:pt>
                <c:pt idx="742">
                  <c:v>37608</c:v>
                </c:pt>
                <c:pt idx="743">
                  <c:v>37609</c:v>
                </c:pt>
                <c:pt idx="744">
                  <c:v>37610</c:v>
                </c:pt>
                <c:pt idx="745">
                  <c:v>37613</c:v>
                </c:pt>
                <c:pt idx="746">
                  <c:v>37614</c:v>
                </c:pt>
                <c:pt idx="747">
                  <c:v>37616</c:v>
                </c:pt>
                <c:pt idx="748">
                  <c:v>37617</c:v>
                </c:pt>
                <c:pt idx="749">
                  <c:v>37620</c:v>
                </c:pt>
                <c:pt idx="750">
                  <c:v>37621</c:v>
                </c:pt>
                <c:pt idx="751">
                  <c:v>37623</c:v>
                </c:pt>
                <c:pt idx="752">
                  <c:v>37624</c:v>
                </c:pt>
                <c:pt idx="753">
                  <c:v>37627</c:v>
                </c:pt>
                <c:pt idx="754">
                  <c:v>37628</c:v>
                </c:pt>
                <c:pt idx="755">
                  <c:v>37629</c:v>
                </c:pt>
                <c:pt idx="756">
                  <c:v>37630</c:v>
                </c:pt>
                <c:pt idx="757">
                  <c:v>37631</c:v>
                </c:pt>
                <c:pt idx="758">
                  <c:v>37634</c:v>
                </c:pt>
                <c:pt idx="759">
                  <c:v>37635</c:v>
                </c:pt>
                <c:pt idx="760">
                  <c:v>37636</c:v>
                </c:pt>
                <c:pt idx="761">
                  <c:v>37637</c:v>
                </c:pt>
                <c:pt idx="762">
                  <c:v>37638</c:v>
                </c:pt>
                <c:pt idx="763">
                  <c:v>37642</c:v>
                </c:pt>
                <c:pt idx="764">
                  <c:v>37643</c:v>
                </c:pt>
                <c:pt idx="765">
                  <c:v>37644</c:v>
                </c:pt>
                <c:pt idx="766">
                  <c:v>37645</c:v>
                </c:pt>
                <c:pt idx="767">
                  <c:v>37648</c:v>
                </c:pt>
                <c:pt idx="768">
                  <c:v>37649</c:v>
                </c:pt>
                <c:pt idx="769">
                  <c:v>37650</c:v>
                </c:pt>
                <c:pt idx="770">
                  <c:v>37651</c:v>
                </c:pt>
                <c:pt idx="771">
                  <c:v>37652</c:v>
                </c:pt>
                <c:pt idx="772">
                  <c:v>37655</c:v>
                </c:pt>
                <c:pt idx="773">
                  <c:v>37656</c:v>
                </c:pt>
                <c:pt idx="774">
                  <c:v>37657</c:v>
                </c:pt>
                <c:pt idx="775">
                  <c:v>37658</c:v>
                </c:pt>
                <c:pt idx="776">
                  <c:v>37659</c:v>
                </c:pt>
                <c:pt idx="777">
                  <c:v>37662</c:v>
                </c:pt>
                <c:pt idx="778">
                  <c:v>37663</c:v>
                </c:pt>
                <c:pt idx="779">
                  <c:v>37664</c:v>
                </c:pt>
                <c:pt idx="780">
                  <c:v>37665</c:v>
                </c:pt>
                <c:pt idx="781">
                  <c:v>37666</c:v>
                </c:pt>
                <c:pt idx="782">
                  <c:v>37670</c:v>
                </c:pt>
                <c:pt idx="783">
                  <c:v>37671</c:v>
                </c:pt>
                <c:pt idx="784">
                  <c:v>37672</c:v>
                </c:pt>
                <c:pt idx="785">
                  <c:v>37673</c:v>
                </c:pt>
                <c:pt idx="786">
                  <c:v>37676</c:v>
                </c:pt>
                <c:pt idx="787">
                  <c:v>37677</c:v>
                </c:pt>
                <c:pt idx="788">
                  <c:v>37678</c:v>
                </c:pt>
                <c:pt idx="789">
                  <c:v>37679</c:v>
                </c:pt>
                <c:pt idx="790">
                  <c:v>37680</c:v>
                </c:pt>
                <c:pt idx="791">
                  <c:v>37683</c:v>
                </c:pt>
                <c:pt idx="792">
                  <c:v>37684</c:v>
                </c:pt>
                <c:pt idx="793">
                  <c:v>37685</c:v>
                </c:pt>
                <c:pt idx="794">
                  <c:v>37686</c:v>
                </c:pt>
                <c:pt idx="795">
                  <c:v>37687</c:v>
                </c:pt>
                <c:pt idx="796">
                  <c:v>37690</c:v>
                </c:pt>
                <c:pt idx="797">
                  <c:v>37691</c:v>
                </c:pt>
                <c:pt idx="798">
                  <c:v>37692</c:v>
                </c:pt>
                <c:pt idx="799">
                  <c:v>37693</c:v>
                </c:pt>
                <c:pt idx="800">
                  <c:v>37694</c:v>
                </c:pt>
                <c:pt idx="801">
                  <c:v>37697</c:v>
                </c:pt>
                <c:pt idx="802">
                  <c:v>37698</c:v>
                </c:pt>
                <c:pt idx="803">
                  <c:v>37699</c:v>
                </c:pt>
                <c:pt idx="804">
                  <c:v>37700</c:v>
                </c:pt>
                <c:pt idx="805">
                  <c:v>37701</c:v>
                </c:pt>
                <c:pt idx="806">
                  <c:v>37704</c:v>
                </c:pt>
                <c:pt idx="807">
                  <c:v>37705</c:v>
                </c:pt>
                <c:pt idx="808">
                  <c:v>37706</c:v>
                </c:pt>
                <c:pt idx="809">
                  <c:v>37707</c:v>
                </c:pt>
                <c:pt idx="810">
                  <c:v>37708</c:v>
                </c:pt>
                <c:pt idx="811">
                  <c:v>37711</c:v>
                </c:pt>
                <c:pt idx="812">
                  <c:v>37712</c:v>
                </c:pt>
                <c:pt idx="813">
                  <c:v>37713</c:v>
                </c:pt>
                <c:pt idx="814">
                  <c:v>37714</c:v>
                </c:pt>
                <c:pt idx="815">
                  <c:v>37715</c:v>
                </c:pt>
                <c:pt idx="816">
                  <c:v>37718</c:v>
                </c:pt>
                <c:pt idx="817">
                  <c:v>37719</c:v>
                </c:pt>
                <c:pt idx="818">
                  <c:v>37720</c:v>
                </c:pt>
                <c:pt idx="819">
                  <c:v>37721</c:v>
                </c:pt>
                <c:pt idx="820">
                  <c:v>37722</c:v>
                </c:pt>
                <c:pt idx="821">
                  <c:v>37725</c:v>
                </c:pt>
                <c:pt idx="822">
                  <c:v>37726</c:v>
                </c:pt>
                <c:pt idx="823">
                  <c:v>37727</c:v>
                </c:pt>
                <c:pt idx="824">
                  <c:v>37728</c:v>
                </c:pt>
                <c:pt idx="825">
                  <c:v>37732</c:v>
                </c:pt>
                <c:pt idx="826">
                  <c:v>37733</c:v>
                </c:pt>
                <c:pt idx="827">
                  <c:v>37734</c:v>
                </c:pt>
                <c:pt idx="828">
                  <c:v>37735</c:v>
                </c:pt>
                <c:pt idx="829">
                  <c:v>37736</c:v>
                </c:pt>
                <c:pt idx="830">
                  <c:v>37739</c:v>
                </c:pt>
                <c:pt idx="831">
                  <c:v>37740</c:v>
                </c:pt>
                <c:pt idx="832">
                  <c:v>37741</c:v>
                </c:pt>
                <c:pt idx="833">
                  <c:v>37742</c:v>
                </c:pt>
                <c:pt idx="834">
                  <c:v>37743</c:v>
                </c:pt>
                <c:pt idx="835">
                  <c:v>37746</c:v>
                </c:pt>
                <c:pt idx="836">
                  <c:v>37747</c:v>
                </c:pt>
                <c:pt idx="837">
                  <c:v>37748</c:v>
                </c:pt>
                <c:pt idx="838">
                  <c:v>37749</c:v>
                </c:pt>
                <c:pt idx="839">
                  <c:v>37750</c:v>
                </c:pt>
                <c:pt idx="840">
                  <c:v>37753</c:v>
                </c:pt>
                <c:pt idx="841">
                  <c:v>37754</c:v>
                </c:pt>
                <c:pt idx="842">
                  <c:v>37755</c:v>
                </c:pt>
                <c:pt idx="843">
                  <c:v>37756</c:v>
                </c:pt>
                <c:pt idx="844">
                  <c:v>37757</c:v>
                </c:pt>
                <c:pt idx="845">
                  <c:v>37760</c:v>
                </c:pt>
                <c:pt idx="846">
                  <c:v>37761</c:v>
                </c:pt>
                <c:pt idx="847">
                  <c:v>37762</c:v>
                </c:pt>
                <c:pt idx="848">
                  <c:v>37763</c:v>
                </c:pt>
                <c:pt idx="849">
                  <c:v>37764</c:v>
                </c:pt>
                <c:pt idx="850">
                  <c:v>37768</c:v>
                </c:pt>
                <c:pt idx="851">
                  <c:v>37769</c:v>
                </c:pt>
                <c:pt idx="852">
                  <c:v>37770</c:v>
                </c:pt>
                <c:pt idx="853">
                  <c:v>37771</c:v>
                </c:pt>
                <c:pt idx="854">
                  <c:v>37774</c:v>
                </c:pt>
                <c:pt idx="855">
                  <c:v>37775</c:v>
                </c:pt>
                <c:pt idx="856">
                  <c:v>37776</c:v>
                </c:pt>
                <c:pt idx="857">
                  <c:v>37777</c:v>
                </c:pt>
                <c:pt idx="858">
                  <c:v>37778</c:v>
                </c:pt>
                <c:pt idx="859">
                  <c:v>37781</c:v>
                </c:pt>
                <c:pt idx="860">
                  <c:v>37782</c:v>
                </c:pt>
                <c:pt idx="861">
                  <c:v>37783</c:v>
                </c:pt>
                <c:pt idx="862">
                  <c:v>37784</c:v>
                </c:pt>
                <c:pt idx="863">
                  <c:v>37785</c:v>
                </c:pt>
                <c:pt idx="864">
                  <c:v>37788</c:v>
                </c:pt>
                <c:pt idx="865">
                  <c:v>37789</c:v>
                </c:pt>
                <c:pt idx="866">
                  <c:v>37790</c:v>
                </c:pt>
                <c:pt idx="867">
                  <c:v>37791</c:v>
                </c:pt>
                <c:pt idx="868">
                  <c:v>37792</c:v>
                </c:pt>
                <c:pt idx="869">
                  <c:v>37795</c:v>
                </c:pt>
                <c:pt idx="870">
                  <c:v>37796</c:v>
                </c:pt>
                <c:pt idx="871">
                  <c:v>37797</c:v>
                </c:pt>
                <c:pt idx="872">
                  <c:v>37798</c:v>
                </c:pt>
                <c:pt idx="873">
                  <c:v>37799</c:v>
                </c:pt>
                <c:pt idx="874">
                  <c:v>37802</c:v>
                </c:pt>
                <c:pt idx="875">
                  <c:v>37803</c:v>
                </c:pt>
                <c:pt idx="876">
                  <c:v>37804</c:v>
                </c:pt>
                <c:pt idx="877">
                  <c:v>37805</c:v>
                </c:pt>
                <c:pt idx="878">
                  <c:v>37809</c:v>
                </c:pt>
                <c:pt idx="879">
                  <c:v>37810</c:v>
                </c:pt>
                <c:pt idx="880">
                  <c:v>37811</c:v>
                </c:pt>
                <c:pt idx="881">
                  <c:v>37812</c:v>
                </c:pt>
                <c:pt idx="882">
                  <c:v>37813</c:v>
                </c:pt>
                <c:pt idx="883">
                  <c:v>37816</c:v>
                </c:pt>
                <c:pt idx="884">
                  <c:v>37817</c:v>
                </c:pt>
                <c:pt idx="885">
                  <c:v>37818</c:v>
                </c:pt>
                <c:pt idx="886">
                  <c:v>37819</c:v>
                </c:pt>
                <c:pt idx="887">
                  <c:v>37820</c:v>
                </c:pt>
                <c:pt idx="888">
                  <c:v>37823</c:v>
                </c:pt>
                <c:pt idx="889">
                  <c:v>37824</c:v>
                </c:pt>
                <c:pt idx="890">
                  <c:v>37825</c:v>
                </c:pt>
                <c:pt idx="891">
                  <c:v>37826</c:v>
                </c:pt>
                <c:pt idx="892">
                  <c:v>37827</c:v>
                </c:pt>
                <c:pt idx="893">
                  <c:v>37830</c:v>
                </c:pt>
                <c:pt idx="894">
                  <c:v>37831</c:v>
                </c:pt>
                <c:pt idx="895">
                  <c:v>37832</c:v>
                </c:pt>
                <c:pt idx="896">
                  <c:v>37833</c:v>
                </c:pt>
                <c:pt idx="897">
                  <c:v>37834</c:v>
                </c:pt>
                <c:pt idx="898">
                  <c:v>37837</c:v>
                </c:pt>
                <c:pt idx="899">
                  <c:v>37838</c:v>
                </c:pt>
                <c:pt idx="900">
                  <c:v>37839</c:v>
                </c:pt>
                <c:pt idx="901">
                  <c:v>37840</c:v>
                </c:pt>
                <c:pt idx="902">
                  <c:v>37841</c:v>
                </c:pt>
                <c:pt idx="903">
                  <c:v>37844</c:v>
                </c:pt>
                <c:pt idx="904">
                  <c:v>37845</c:v>
                </c:pt>
                <c:pt idx="905">
                  <c:v>37846</c:v>
                </c:pt>
                <c:pt idx="906">
                  <c:v>37847</c:v>
                </c:pt>
                <c:pt idx="907">
                  <c:v>37848</c:v>
                </c:pt>
                <c:pt idx="908">
                  <c:v>37851</c:v>
                </c:pt>
                <c:pt idx="909">
                  <c:v>37852</c:v>
                </c:pt>
                <c:pt idx="910">
                  <c:v>37853</c:v>
                </c:pt>
                <c:pt idx="911">
                  <c:v>37854</c:v>
                </c:pt>
                <c:pt idx="912">
                  <c:v>37855</c:v>
                </c:pt>
                <c:pt idx="913">
                  <c:v>37858</c:v>
                </c:pt>
                <c:pt idx="914">
                  <c:v>37859</c:v>
                </c:pt>
                <c:pt idx="915">
                  <c:v>37860</c:v>
                </c:pt>
                <c:pt idx="916">
                  <c:v>37861</c:v>
                </c:pt>
                <c:pt idx="917">
                  <c:v>37862</c:v>
                </c:pt>
                <c:pt idx="918">
                  <c:v>37866</c:v>
                </c:pt>
                <c:pt idx="919">
                  <c:v>37867</c:v>
                </c:pt>
                <c:pt idx="920">
                  <c:v>37868</c:v>
                </c:pt>
                <c:pt idx="921">
                  <c:v>37869</c:v>
                </c:pt>
                <c:pt idx="922">
                  <c:v>37872</c:v>
                </c:pt>
                <c:pt idx="923">
                  <c:v>37873</c:v>
                </c:pt>
                <c:pt idx="924">
                  <c:v>37874</c:v>
                </c:pt>
                <c:pt idx="925">
                  <c:v>37875</c:v>
                </c:pt>
                <c:pt idx="926">
                  <c:v>37876</c:v>
                </c:pt>
                <c:pt idx="927">
                  <c:v>37879</c:v>
                </c:pt>
                <c:pt idx="928">
                  <c:v>37880</c:v>
                </c:pt>
                <c:pt idx="929">
                  <c:v>37881</c:v>
                </c:pt>
                <c:pt idx="930">
                  <c:v>37882</c:v>
                </c:pt>
                <c:pt idx="931">
                  <c:v>37883</c:v>
                </c:pt>
                <c:pt idx="932">
                  <c:v>37886</c:v>
                </c:pt>
                <c:pt idx="933">
                  <c:v>37887</c:v>
                </c:pt>
                <c:pt idx="934">
                  <c:v>37888</c:v>
                </c:pt>
                <c:pt idx="935">
                  <c:v>37889</c:v>
                </c:pt>
                <c:pt idx="936">
                  <c:v>37890</c:v>
                </c:pt>
                <c:pt idx="937">
                  <c:v>37893</c:v>
                </c:pt>
                <c:pt idx="938">
                  <c:v>37894</c:v>
                </c:pt>
                <c:pt idx="939">
                  <c:v>37895</c:v>
                </c:pt>
                <c:pt idx="940">
                  <c:v>37896</c:v>
                </c:pt>
                <c:pt idx="941">
                  <c:v>37897</c:v>
                </c:pt>
                <c:pt idx="942">
                  <c:v>37900</c:v>
                </c:pt>
                <c:pt idx="943">
                  <c:v>37901</c:v>
                </c:pt>
                <c:pt idx="944">
                  <c:v>37902</c:v>
                </c:pt>
                <c:pt idx="945">
                  <c:v>37903</c:v>
                </c:pt>
                <c:pt idx="946">
                  <c:v>37904</c:v>
                </c:pt>
                <c:pt idx="947">
                  <c:v>37907</c:v>
                </c:pt>
                <c:pt idx="948">
                  <c:v>37908</c:v>
                </c:pt>
                <c:pt idx="949">
                  <c:v>37909</c:v>
                </c:pt>
                <c:pt idx="950">
                  <c:v>37910</c:v>
                </c:pt>
                <c:pt idx="951">
                  <c:v>37911</c:v>
                </c:pt>
                <c:pt idx="952">
                  <c:v>37914</c:v>
                </c:pt>
                <c:pt idx="953">
                  <c:v>37915</c:v>
                </c:pt>
                <c:pt idx="954">
                  <c:v>37916</c:v>
                </c:pt>
                <c:pt idx="955">
                  <c:v>37917</c:v>
                </c:pt>
                <c:pt idx="956">
                  <c:v>37918</c:v>
                </c:pt>
                <c:pt idx="957">
                  <c:v>37921</c:v>
                </c:pt>
                <c:pt idx="958">
                  <c:v>37922</c:v>
                </c:pt>
                <c:pt idx="959">
                  <c:v>37923</c:v>
                </c:pt>
                <c:pt idx="960">
                  <c:v>37924</c:v>
                </c:pt>
                <c:pt idx="961">
                  <c:v>37925</c:v>
                </c:pt>
                <c:pt idx="962">
                  <c:v>37928</c:v>
                </c:pt>
                <c:pt idx="963">
                  <c:v>37929</c:v>
                </c:pt>
                <c:pt idx="964">
                  <c:v>37930</c:v>
                </c:pt>
                <c:pt idx="965">
                  <c:v>37931</c:v>
                </c:pt>
                <c:pt idx="966">
                  <c:v>37932</c:v>
                </c:pt>
                <c:pt idx="967">
                  <c:v>37935</c:v>
                </c:pt>
                <c:pt idx="968">
                  <c:v>37936</c:v>
                </c:pt>
                <c:pt idx="969">
                  <c:v>37937</c:v>
                </c:pt>
                <c:pt idx="970">
                  <c:v>37938</c:v>
                </c:pt>
                <c:pt idx="971">
                  <c:v>37939</c:v>
                </c:pt>
                <c:pt idx="972">
                  <c:v>37942</c:v>
                </c:pt>
                <c:pt idx="973">
                  <c:v>37943</c:v>
                </c:pt>
                <c:pt idx="974">
                  <c:v>37944</c:v>
                </c:pt>
                <c:pt idx="975">
                  <c:v>37945</c:v>
                </c:pt>
                <c:pt idx="976">
                  <c:v>37946</c:v>
                </c:pt>
                <c:pt idx="977">
                  <c:v>37949</c:v>
                </c:pt>
                <c:pt idx="978">
                  <c:v>37950</c:v>
                </c:pt>
                <c:pt idx="979">
                  <c:v>37951</c:v>
                </c:pt>
                <c:pt idx="980">
                  <c:v>37953</c:v>
                </c:pt>
                <c:pt idx="981">
                  <c:v>37956</c:v>
                </c:pt>
                <c:pt idx="982">
                  <c:v>37957</c:v>
                </c:pt>
                <c:pt idx="983">
                  <c:v>37958</c:v>
                </c:pt>
                <c:pt idx="984">
                  <c:v>37959</c:v>
                </c:pt>
                <c:pt idx="985">
                  <c:v>37960</c:v>
                </c:pt>
                <c:pt idx="986">
                  <c:v>37963</c:v>
                </c:pt>
                <c:pt idx="987">
                  <c:v>37964</c:v>
                </c:pt>
                <c:pt idx="988">
                  <c:v>37965</c:v>
                </c:pt>
                <c:pt idx="989">
                  <c:v>37966</c:v>
                </c:pt>
                <c:pt idx="990">
                  <c:v>37967</c:v>
                </c:pt>
                <c:pt idx="991">
                  <c:v>37970</c:v>
                </c:pt>
                <c:pt idx="992">
                  <c:v>37971</c:v>
                </c:pt>
                <c:pt idx="993">
                  <c:v>37972</c:v>
                </c:pt>
                <c:pt idx="994">
                  <c:v>37973</c:v>
                </c:pt>
                <c:pt idx="995">
                  <c:v>37974</c:v>
                </c:pt>
                <c:pt idx="996">
                  <c:v>37977</c:v>
                </c:pt>
                <c:pt idx="997">
                  <c:v>37978</c:v>
                </c:pt>
                <c:pt idx="998">
                  <c:v>37979</c:v>
                </c:pt>
                <c:pt idx="999">
                  <c:v>37981</c:v>
                </c:pt>
                <c:pt idx="1000">
                  <c:v>37984</c:v>
                </c:pt>
                <c:pt idx="1001">
                  <c:v>37985</c:v>
                </c:pt>
                <c:pt idx="1002">
                  <c:v>37986</c:v>
                </c:pt>
                <c:pt idx="1003">
                  <c:v>37988</c:v>
                </c:pt>
                <c:pt idx="1004">
                  <c:v>37991</c:v>
                </c:pt>
                <c:pt idx="1005">
                  <c:v>37992</c:v>
                </c:pt>
                <c:pt idx="1006">
                  <c:v>37993</c:v>
                </c:pt>
                <c:pt idx="1007">
                  <c:v>37994</c:v>
                </c:pt>
                <c:pt idx="1008">
                  <c:v>37995</c:v>
                </c:pt>
                <c:pt idx="1009">
                  <c:v>37998</c:v>
                </c:pt>
                <c:pt idx="1010">
                  <c:v>37999</c:v>
                </c:pt>
                <c:pt idx="1011">
                  <c:v>38000</c:v>
                </c:pt>
                <c:pt idx="1012">
                  <c:v>38001</c:v>
                </c:pt>
                <c:pt idx="1013">
                  <c:v>38002</c:v>
                </c:pt>
                <c:pt idx="1014">
                  <c:v>38006</c:v>
                </c:pt>
                <c:pt idx="1015">
                  <c:v>38007</c:v>
                </c:pt>
                <c:pt idx="1016">
                  <c:v>38008</c:v>
                </c:pt>
                <c:pt idx="1017">
                  <c:v>38009</c:v>
                </c:pt>
                <c:pt idx="1018">
                  <c:v>38012</c:v>
                </c:pt>
                <c:pt idx="1019">
                  <c:v>38013</c:v>
                </c:pt>
                <c:pt idx="1020">
                  <c:v>38014</c:v>
                </c:pt>
                <c:pt idx="1021">
                  <c:v>38015</c:v>
                </c:pt>
                <c:pt idx="1022">
                  <c:v>38016</c:v>
                </c:pt>
                <c:pt idx="1023">
                  <c:v>38019</c:v>
                </c:pt>
                <c:pt idx="1024">
                  <c:v>38020</c:v>
                </c:pt>
                <c:pt idx="1025">
                  <c:v>38021</c:v>
                </c:pt>
                <c:pt idx="1026">
                  <c:v>38022</c:v>
                </c:pt>
                <c:pt idx="1027">
                  <c:v>38023</c:v>
                </c:pt>
                <c:pt idx="1028">
                  <c:v>38026</c:v>
                </c:pt>
                <c:pt idx="1029">
                  <c:v>38027</c:v>
                </c:pt>
                <c:pt idx="1030">
                  <c:v>38028</c:v>
                </c:pt>
                <c:pt idx="1031">
                  <c:v>38029</c:v>
                </c:pt>
                <c:pt idx="1032">
                  <c:v>38030</c:v>
                </c:pt>
                <c:pt idx="1033">
                  <c:v>38034</c:v>
                </c:pt>
                <c:pt idx="1034">
                  <c:v>38035</c:v>
                </c:pt>
                <c:pt idx="1035">
                  <c:v>38036</c:v>
                </c:pt>
                <c:pt idx="1036">
                  <c:v>38037</c:v>
                </c:pt>
                <c:pt idx="1037">
                  <c:v>38040</c:v>
                </c:pt>
                <c:pt idx="1038">
                  <c:v>38041</c:v>
                </c:pt>
                <c:pt idx="1039">
                  <c:v>38042</c:v>
                </c:pt>
                <c:pt idx="1040">
                  <c:v>38043</c:v>
                </c:pt>
                <c:pt idx="1041">
                  <c:v>38044</c:v>
                </c:pt>
                <c:pt idx="1042">
                  <c:v>38047</c:v>
                </c:pt>
                <c:pt idx="1043">
                  <c:v>38048</c:v>
                </c:pt>
                <c:pt idx="1044">
                  <c:v>38049</c:v>
                </c:pt>
                <c:pt idx="1045">
                  <c:v>38050</c:v>
                </c:pt>
                <c:pt idx="1046">
                  <c:v>38051</c:v>
                </c:pt>
                <c:pt idx="1047">
                  <c:v>38054</c:v>
                </c:pt>
                <c:pt idx="1048">
                  <c:v>38055</c:v>
                </c:pt>
                <c:pt idx="1049">
                  <c:v>38056</c:v>
                </c:pt>
                <c:pt idx="1050">
                  <c:v>38057</c:v>
                </c:pt>
                <c:pt idx="1051">
                  <c:v>38058</c:v>
                </c:pt>
                <c:pt idx="1052">
                  <c:v>38061</c:v>
                </c:pt>
                <c:pt idx="1053">
                  <c:v>38062</c:v>
                </c:pt>
                <c:pt idx="1054">
                  <c:v>38063</c:v>
                </c:pt>
                <c:pt idx="1055">
                  <c:v>38064</c:v>
                </c:pt>
                <c:pt idx="1056">
                  <c:v>38065</c:v>
                </c:pt>
                <c:pt idx="1057">
                  <c:v>38068</c:v>
                </c:pt>
                <c:pt idx="1058">
                  <c:v>38069</c:v>
                </c:pt>
                <c:pt idx="1059">
                  <c:v>38070</c:v>
                </c:pt>
                <c:pt idx="1060">
                  <c:v>38071</c:v>
                </c:pt>
                <c:pt idx="1061">
                  <c:v>38072</c:v>
                </c:pt>
                <c:pt idx="1062">
                  <c:v>38075</c:v>
                </c:pt>
                <c:pt idx="1063">
                  <c:v>38076</c:v>
                </c:pt>
                <c:pt idx="1064">
                  <c:v>38077</c:v>
                </c:pt>
                <c:pt idx="1065">
                  <c:v>38078</c:v>
                </c:pt>
                <c:pt idx="1066">
                  <c:v>38079</c:v>
                </c:pt>
                <c:pt idx="1067">
                  <c:v>38082</c:v>
                </c:pt>
                <c:pt idx="1068">
                  <c:v>38083</c:v>
                </c:pt>
                <c:pt idx="1069">
                  <c:v>38084</c:v>
                </c:pt>
                <c:pt idx="1070">
                  <c:v>38085</c:v>
                </c:pt>
                <c:pt idx="1071">
                  <c:v>38089</c:v>
                </c:pt>
                <c:pt idx="1072">
                  <c:v>38090</c:v>
                </c:pt>
                <c:pt idx="1073">
                  <c:v>38091</c:v>
                </c:pt>
                <c:pt idx="1074">
                  <c:v>38092</c:v>
                </c:pt>
                <c:pt idx="1075">
                  <c:v>38093</c:v>
                </c:pt>
                <c:pt idx="1076">
                  <c:v>38096</c:v>
                </c:pt>
                <c:pt idx="1077">
                  <c:v>38097</c:v>
                </c:pt>
                <c:pt idx="1078">
                  <c:v>38098</c:v>
                </c:pt>
                <c:pt idx="1079">
                  <c:v>38099</c:v>
                </c:pt>
                <c:pt idx="1080">
                  <c:v>38100</c:v>
                </c:pt>
                <c:pt idx="1081">
                  <c:v>38103</c:v>
                </c:pt>
                <c:pt idx="1082">
                  <c:v>38104</c:v>
                </c:pt>
                <c:pt idx="1083">
                  <c:v>38105</c:v>
                </c:pt>
                <c:pt idx="1084">
                  <c:v>38106</c:v>
                </c:pt>
                <c:pt idx="1085">
                  <c:v>38107</c:v>
                </c:pt>
                <c:pt idx="1086">
                  <c:v>38110</c:v>
                </c:pt>
                <c:pt idx="1087">
                  <c:v>38111</c:v>
                </c:pt>
                <c:pt idx="1088">
                  <c:v>38112</c:v>
                </c:pt>
                <c:pt idx="1089">
                  <c:v>38113</c:v>
                </c:pt>
                <c:pt idx="1090">
                  <c:v>38114</c:v>
                </c:pt>
                <c:pt idx="1091">
                  <c:v>38117</c:v>
                </c:pt>
                <c:pt idx="1092">
                  <c:v>38118</c:v>
                </c:pt>
                <c:pt idx="1093">
                  <c:v>38119</c:v>
                </c:pt>
                <c:pt idx="1094">
                  <c:v>38120</c:v>
                </c:pt>
                <c:pt idx="1095">
                  <c:v>38121</c:v>
                </c:pt>
                <c:pt idx="1096">
                  <c:v>38124</c:v>
                </c:pt>
                <c:pt idx="1097">
                  <c:v>38125</c:v>
                </c:pt>
                <c:pt idx="1098">
                  <c:v>38126</c:v>
                </c:pt>
                <c:pt idx="1099">
                  <c:v>38127</c:v>
                </c:pt>
                <c:pt idx="1100">
                  <c:v>38128</c:v>
                </c:pt>
                <c:pt idx="1101">
                  <c:v>38131</c:v>
                </c:pt>
                <c:pt idx="1102">
                  <c:v>38132</c:v>
                </c:pt>
                <c:pt idx="1103">
                  <c:v>38133</c:v>
                </c:pt>
                <c:pt idx="1104">
                  <c:v>38134</c:v>
                </c:pt>
                <c:pt idx="1105">
                  <c:v>38135</c:v>
                </c:pt>
                <c:pt idx="1106">
                  <c:v>38139</c:v>
                </c:pt>
                <c:pt idx="1107">
                  <c:v>38140</c:v>
                </c:pt>
                <c:pt idx="1108">
                  <c:v>38141</c:v>
                </c:pt>
                <c:pt idx="1109">
                  <c:v>38142</c:v>
                </c:pt>
                <c:pt idx="1110">
                  <c:v>38145</c:v>
                </c:pt>
                <c:pt idx="1111">
                  <c:v>38146</c:v>
                </c:pt>
                <c:pt idx="1112">
                  <c:v>38147</c:v>
                </c:pt>
                <c:pt idx="1113">
                  <c:v>38148</c:v>
                </c:pt>
                <c:pt idx="1114">
                  <c:v>38152</c:v>
                </c:pt>
                <c:pt idx="1115">
                  <c:v>38153</c:v>
                </c:pt>
                <c:pt idx="1116">
                  <c:v>38154</c:v>
                </c:pt>
                <c:pt idx="1117">
                  <c:v>38155</c:v>
                </c:pt>
                <c:pt idx="1118">
                  <c:v>38156</c:v>
                </c:pt>
                <c:pt idx="1119">
                  <c:v>38159</c:v>
                </c:pt>
                <c:pt idx="1120">
                  <c:v>38160</c:v>
                </c:pt>
                <c:pt idx="1121">
                  <c:v>38161</c:v>
                </c:pt>
                <c:pt idx="1122">
                  <c:v>38162</c:v>
                </c:pt>
                <c:pt idx="1123">
                  <c:v>38163</c:v>
                </c:pt>
                <c:pt idx="1124">
                  <c:v>38166</c:v>
                </c:pt>
                <c:pt idx="1125">
                  <c:v>38167</c:v>
                </c:pt>
                <c:pt idx="1126">
                  <c:v>38168</c:v>
                </c:pt>
                <c:pt idx="1127">
                  <c:v>38169</c:v>
                </c:pt>
                <c:pt idx="1128">
                  <c:v>38170</c:v>
                </c:pt>
                <c:pt idx="1129">
                  <c:v>38174</c:v>
                </c:pt>
                <c:pt idx="1130">
                  <c:v>38175</c:v>
                </c:pt>
                <c:pt idx="1131">
                  <c:v>38176</c:v>
                </c:pt>
                <c:pt idx="1132">
                  <c:v>38177</c:v>
                </c:pt>
                <c:pt idx="1133">
                  <c:v>38180</c:v>
                </c:pt>
                <c:pt idx="1134">
                  <c:v>38181</c:v>
                </c:pt>
                <c:pt idx="1135">
                  <c:v>38182</c:v>
                </c:pt>
                <c:pt idx="1136">
                  <c:v>38183</c:v>
                </c:pt>
                <c:pt idx="1137">
                  <c:v>38184</c:v>
                </c:pt>
                <c:pt idx="1138">
                  <c:v>38187</c:v>
                </c:pt>
                <c:pt idx="1139">
                  <c:v>38188</c:v>
                </c:pt>
                <c:pt idx="1140">
                  <c:v>38189</c:v>
                </c:pt>
                <c:pt idx="1141">
                  <c:v>38190</c:v>
                </c:pt>
                <c:pt idx="1142">
                  <c:v>38191</c:v>
                </c:pt>
                <c:pt idx="1143">
                  <c:v>38194</c:v>
                </c:pt>
                <c:pt idx="1144">
                  <c:v>38195</c:v>
                </c:pt>
                <c:pt idx="1145">
                  <c:v>38196</c:v>
                </c:pt>
                <c:pt idx="1146">
                  <c:v>38197</c:v>
                </c:pt>
                <c:pt idx="1147">
                  <c:v>38198</c:v>
                </c:pt>
                <c:pt idx="1148">
                  <c:v>38201</c:v>
                </c:pt>
                <c:pt idx="1149">
                  <c:v>38202</c:v>
                </c:pt>
                <c:pt idx="1150">
                  <c:v>38203</c:v>
                </c:pt>
                <c:pt idx="1151">
                  <c:v>38204</c:v>
                </c:pt>
                <c:pt idx="1152">
                  <c:v>38205</c:v>
                </c:pt>
                <c:pt idx="1153">
                  <c:v>38208</c:v>
                </c:pt>
                <c:pt idx="1154">
                  <c:v>38209</c:v>
                </c:pt>
                <c:pt idx="1155">
                  <c:v>38210</c:v>
                </c:pt>
                <c:pt idx="1156">
                  <c:v>38211</c:v>
                </c:pt>
                <c:pt idx="1157">
                  <c:v>38212</c:v>
                </c:pt>
                <c:pt idx="1158">
                  <c:v>38215</c:v>
                </c:pt>
                <c:pt idx="1159">
                  <c:v>38216</c:v>
                </c:pt>
                <c:pt idx="1160">
                  <c:v>38217</c:v>
                </c:pt>
                <c:pt idx="1161">
                  <c:v>38218</c:v>
                </c:pt>
                <c:pt idx="1162">
                  <c:v>38219</c:v>
                </c:pt>
                <c:pt idx="1163">
                  <c:v>38222</c:v>
                </c:pt>
                <c:pt idx="1164">
                  <c:v>38223</c:v>
                </c:pt>
                <c:pt idx="1165">
                  <c:v>38224</c:v>
                </c:pt>
                <c:pt idx="1166">
                  <c:v>38225</c:v>
                </c:pt>
                <c:pt idx="1167">
                  <c:v>38226</c:v>
                </c:pt>
                <c:pt idx="1168">
                  <c:v>38229</c:v>
                </c:pt>
                <c:pt idx="1169">
                  <c:v>38230</c:v>
                </c:pt>
                <c:pt idx="1170">
                  <c:v>38231</c:v>
                </c:pt>
                <c:pt idx="1171">
                  <c:v>38232</c:v>
                </c:pt>
                <c:pt idx="1172">
                  <c:v>38233</c:v>
                </c:pt>
                <c:pt idx="1173">
                  <c:v>38237</c:v>
                </c:pt>
                <c:pt idx="1174">
                  <c:v>38238</c:v>
                </c:pt>
                <c:pt idx="1175">
                  <c:v>38239</c:v>
                </c:pt>
                <c:pt idx="1176">
                  <c:v>38240</c:v>
                </c:pt>
                <c:pt idx="1177">
                  <c:v>38243</c:v>
                </c:pt>
                <c:pt idx="1178">
                  <c:v>38244</c:v>
                </c:pt>
                <c:pt idx="1179">
                  <c:v>38245</c:v>
                </c:pt>
                <c:pt idx="1180">
                  <c:v>38246</c:v>
                </c:pt>
                <c:pt idx="1181">
                  <c:v>38247</c:v>
                </c:pt>
                <c:pt idx="1182">
                  <c:v>38250</c:v>
                </c:pt>
                <c:pt idx="1183">
                  <c:v>38251</c:v>
                </c:pt>
                <c:pt idx="1184">
                  <c:v>38252</c:v>
                </c:pt>
                <c:pt idx="1185">
                  <c:v>38253</c:v>
                </c:pt>
                <c:pt idx="1186">
                  <c:v>38254</c:v>
                </c:pt>
                <c:pt idx="1187">
                  <c:v>38257</c:v>
                </c:pt>
                <c:pt idx="1188">
                  <c:v>38258</c:v>
                </c:pt>
                <c:pt idx="1189">
                  <c:v>38259</c:v>
                </c:pt>
                <c:pt idx="1190">
                  <c:v>38260</c:v>
                </c:pt>
                <c:pt idx="1191">
                  <c:v>38261</c:v>
                </c:pt>
                <c:pt idx="1192">
                  <c:v>38264</c:v>
                </c:pt>
                <c:pt idx="1193">
                  <c:v>38265</c:v>
                </c:pt>
                <c:pt idx="1194">
                  <c:v>38266</c:v>
                </c:pt>
                <c:pt idx="1195">
                  <c:v>38267</c:v>
                </c:pt>
                <c:pt idx="1196">
                  <c:v>38268</c:v>
                </c:pt>
                <c:pt idx="1197">
                  <c:v>38271</c:v>
                </c:pt>
                <c:pt idx="1198">
                  <c:v>38272</c:v>
                </c:pt>
                <c:pt idx="1199">
                  <c:v>38273</c:v>
                </c:pt>
                <c:pt idx="1200">
                  <c:v>38274</c:v>
                </c:pt>
                <c:pt idx="1201">
                  <c:v>38275</c:v>
                </c:pt>
                <c:pt idx="1202">
                  <c:v>38278</c:v>
                </c:pt>
                <c:pt idx="1203">
                  <c:v>38279</c:v>
                </c:pt>
                <c:pt idx="1204">
                  <c:v>38280</c:v>
                </c:pt>
                <c:pt idx="1205">
                  <c:v>38281</c:v>
                </c:pt>
                <c:pt idx="1206">
                  <c:v>38282</c:v>
                </c:pt>
                <c:pt idx="1207">
                  <c:v>38285</c:v>
                </c:pt>
                <c:pt idx="1208">
                  <c:v>38286</c:v>
                </c:pt>
                <c:pt idx="1209">
                  <c:v>38287</c:v>
                </c:pt>
                <c:pt idx="1210">
                  <c:v>38288</c:v>
                </c:pt>
                <c:pt idx="1211">
                  <c:v>38289</c:v>
                </c:pt>
                <c:pt idx="1212">
                  <c:v>38292</c:v>
                </c:pt>
                <c:pt idx="1213">
                  <c:v>38293</c:v>
                </c:pt>
                <c:pt idx="1214">
                  <c:v>38294</c:v>
                </c:pt>
                <c:pt idx="1215">
                  <c:v>38295</c:v>
                </c:pt>
                <c:pt idx="1216">
                  <c:v>38296</c:v>
                </c:pt>
                <c:pt idx="1217">
                  <c:v>38299</c:v>
                </c:pt>
                <c:pt idx="1218">
                  <c:v>38300</c:v>
                </c:pt>
                <c:pt idx="1219">
                  <c:v>38301</c:v>
                </c:pt>
                <c:pt idx="1220">
                  <c:v>38302</c:v>
                </c:pt>
                <c:pt idx="1221">
                  <c:v>38303</c:v>
                </c:pt>
                <c:pt idx="1222">
                  <c:v>38306</c:v>
                </c:pt>
                <c:pt idx="1223">
                  <c:v>38307</c:v>
                </c:pt>
                <c:pt idx="1224">
                  <c:v>38308</c:v>
                </c:pt>
                <c:pt idx="1225">
                  <c:v>38309</c:v>
                </c:pt>
                <c:pt idx="1226">
                  <c:v>38310</c:v>
                </c:pt>
                <c:pt idx="1227">
                  <c:v>38313</c:v>
                </c:pt>
                <c:pt idx="1228">
                  <c:v>38314</c:v>
                </c:pt>
                <c:pt idx="1229">
                  <c:v>38315</c:v>
                </c:pt>
                <c:pt idx="1230">
                  <c:v>38317</c:v>
                </c:pt>
                <c:pt idx="1231">
                  <c:v>38320</c:v>
                </c:pt>
                <c:pt idx="1232">
                  <c:v>38321</c:v>
                </c:pt>
                <c:pt idx="1233">
                  <c:v>38322</c:v>
                </c:pt>
                <c:pt idx="1234">
                  <c:v>38323</c:v>
                </c:pt>
                <c:pt idx="1235">
                  <c:v>38324</c:v>
                </c:pt>
                <c:pt idx="1236">
                  <c:v>38327</c:v>
                </c:pt>
                <c:pt idx="1237">
                  <c:v>38328</c:v>
                </c:pt>
                <c:pt idx="1238">
                  <c:v>38329</c:v>
                </c:pt>
                <c:pt idx="1239">
                  <c:v>38330</c:v>
                </c:pt>
                <c:pt idx="1240">
                  <c:v>38331</c:v>
                </c:pt>
                <c:pt idx="1241">
                  <c:v>38334</c:v>
                </c:pt>
                <c:pt idx="1242">
                  <c:v>38335</c:v>
                </c:pt>
                <c:pt idx="1243">
                  <c:v>38336</c:v>
                </c:pt>
                <c:pt idx="1244">
                  <c:v>38337</c:v>
                </c:pt>
                <c:pt idx="1245">
                  <c:v>38338</c:v>
                </c:pt>
                <c:pt idx="1246">
                  <c:v>38341</c:v>
                </c:pt>
                <c:pt idx="1247">
                  <c:v>38342</c:v>
                </c:pt>
                <c:pt idx="1248">
                  <c:v>38343</c:v>
                </c:pt>
                <c:pt idx="1249">
                  <c:v>38344</c:v>
                </c:pt>
                <c:pt idx="1250">
                  <c:v>38348</c:v>
                </c:pt>
                <c:pt idx="1251">
                  <c:v>38349</c:v>
                </c:pt>
                <c:pt idx="1252">
                  <c:v>38350</c:v>
                </c:pt>
                <c:pt idx="1253">
                  <c:v>38351</c:v>
                </c:pt>
                <c:pt idx="1254">
                  <c:v>38352</c:v>
                </c:pt>
                <c:pt idx="1255">
                  <c:v>38355</c:v>
                </c:pt>
                <c:pt idx="1256">
                  <c:v>38356</c:v>
                </c:pt>
                <c:pt idx="1257">
                  <c:v>38357</c:v>
                </c:pt>
                <c:pt idx="1258">
                  <c:v>38358</c:v>
                </c:pt>
                <c:pt idx="1259">
                  <c:v>38359</c:v>
                </c:pt>
                <c:pt idx="1260">
                  <c:v>38362</c:v>
                </c:pt>
                <c:pt idx="1261">
                  <c:v>38363</c:v>
                </c:pt>
                <c:pt idx="1262">
                  <c:v>38364</c:v>
                </c:pt>
                <c:pt idx="1263">
                  <c:v>38365</c:v>
                </c:pt>
                <c:pt idx="1264">
                  <c:v>38366</c:v>
                </c:pt>
                <c:pt idx="1265">
                  <c:v>38370</c:v>
                </c:pt>
                <c:pt idx="1266">
                  <c:v>38371</c:v>
                </c:pt>
                <c:pt idx="1267">
                  <c:v>38372</c:v>
                </c:pt>
                <c:pt idx="1268">
                  <c:v>38373</c:v>
                </c:pt>
                <c:pt idx="1269">
                  <c:v>38376</c:v>
                </c:pt>
                <c:pt idx="1270">
                  <c:v>38377</c:v>
                </c:pt>
                <c:pt idx="1271">
                  <c:v>38378</c:v>
                </c:pt>
                <c:pt idx="1272">
                  <c:v>38379</c:v>
                </c:pt>
                <c:pt idx="1273">
                  <c:v>38380</c:v>
                </c:pt>
                <c:pt idx="1274">
                  <c:v>38383</c:v>
                </c:pt>
                <c:pt idx="1275">
                  <c:v>38384</c:v>
                </c:pt>
                <c:pt idx="1276">
                  <c:v>38385</c:v>
                </c:pt>
                <c:pt idx="1277">
                  <c:v>38386</c:v>
                </c:pt>
                <c:pt idx="1278">
                  <c:v>38387</c:v>
                </c:pt>
                <c:pt idx="1279">
                  <c:v>38390</c:v>
                </c:pt>
                <c:pt idx="1280">
                  <c:v>38391</c:v>
                </c:pt>
                <c:pt idx="1281">
                  <c:v>38392</c:v>
                </c:pt>
                <c:pt idx="1282">
                  <c:v>38393</c:v>
                </c:pt>
                <c:pt idx="1283">
                  <c:v>38394</c:v>
                </c:pt>
                <c:pt idx="1284">
                  <c:v>38397</c:v>
                </c:pt>
                <c:pt idx="1285">
                  <c:v>38398</c:v>
                </c:pt>
                <c:pt idx="1286">
                  <c:v>38399</c:v>
                </c:pt>
                <c:pt idx="1287">
                  <c:v>38400</c:v>
                </c:pt>
                <c:pt idx="1288">
                  <c:v>38401</c:v>
                </c:pt>
                <c:pt idx="1289">
                  <c:v>38405</c:v>
                </c:pt>
                <c:pt idx="1290">
                  <c:v>38406</c:v>
                </c:pt>
                <c:pt idx="1291">
                  <c:v>38407</c:v>
                </c:pt>
                <c:pt idx="1292">
                  <c:v>38408</c:v>
                </c:pt>
                <c:pt idx="1293">
                  <c:v>38411</c:v>
                </c:pt>
                <c:pt idx="1294">
                  <c:v>38412</c:v>
                </c:pt>
                <c:pt idx="1295">
                  <c:v>38413</c:v>
                </c:pt>
                <c:pt idx="1296">
                  <c:v>38414</c:v>
                </c:pt>
                <c:pt idx="1297">
                  <c:v>38415</c:v>
                </c:pt>
                <c:pt idx="1298">
                  <c:v>38418</c:v>
                </c:pt>
                <c:pt idx="1299">
                  <c:v>38419</c:v>
                </c:pt>
                <c:pt idx="1300">
                  <c:v>38420</c:v>
                </c:pt>
                <c:pt idx="1301">
                  <c:v>38421</c:v>
                </c:pt>
                <c:pt idx="1302">
                  <c:v>38422</c:v>
                </c:pt>
                <c:pt idx="1303">
                  <c:v>38425</c:v>
                </c:pt>
                <c:pt idx="1304">
                  <c:v>38426</c:v>
                </c:pt>
                <c:pt idx="1305">
                  <c:v>38427</c:v>
                </c:pt>
                <c:pt idx="1306">
                  <c:v>38428</c:v>
                </c:pt>
                <c:pt idx="1307">
                  <c:v>38429</c:v>
                </c:pt>
                <c:pt idx="1308">
                  <c:v>38432</c:v>
                </c:pt>
                <c:pt idx="1309">
                  <c:v>38433</c:v>
                </c:pt>
                <c:pt idx="1310">
                  <c:v>38434</c:v>
                </c:pt>
                <c:pt idx="1311">
                  <c:v>38435</c:v>
                </c:pt>
                <c:pt idx="1312">
                  <c:v>38439</c:v>
                </c:pt>
                <c:pt idx="1313">
                  <c:v>38440</c:v>
                </c:pt>
                <c:pt idx="1314">
                  <c:v>38441</c:v>
                </c:pt>
                <c:pt idx="1315">
                  <c:v>38442</c:v>
                </c:pt>
                <c:pt idx="1316">
                  <c:v>38443</c:v>
                </c:pt>
                <c:pt idx="1317">
                  <c:v>38446</c:v>
                </c:pt>
                <c:pt idx="1318">
                  <c:v>38447</c:v>
                </c:pt>
                <c:pt idx="1319">
                  <c:v>38448</c:v>
                </c:pt>
                <c:pt idx="1320">
                  <c:v>38449</c:v>
                </c:pt>
                <c:pt idx="1321">
                  <c:v>38450</c:v>
                </c:pt>
                <c:pt idx="1322">
                  <c:v>38453</c:v>
                </c:pt>
                <c:pt idx="1323">
                  <c:v>38454</c:v>
                </c:pt>
                <c:pt idx="1324">
                  <c:v>38455</c:v>
                </c:pt>
                <c:pt idx="1325">
                  <c:v>38456</c:v>
                </c:pt>
                <c:pt idx="1326">
                  <c:v>38457</c:v>
                </c:pt>
                <c:pt idx="1327">
                  <c:v>38460</c:v>
                </c:pt>
                <c:pt idx="1328">
                  <c:v>38461</c:v>
                </c:pt>
                <c:pt idx="1329">
                  <c:v>38462</c:v>
                </c:pt>
                <c:pt idx="1330">
                  <c:v>38463</c:v>
                </c:pt>
                <c:pt idx="1331">
                  <c:v>38464</c:v>
                </c:pt>
                <c:pt idx="1332">
                  <c:v>38467</c:v>
                </c:pt>
                <c:pt idx="1333">
                  <c:v>38468</c:v>
                </c:pt>
                <c:pt idx="1334">
                  <c:v>38469</c:v>
                </c:pt>
                <c:pt idx="1335">
                  <c:v>38470</c:v>
                </c:pt>
                <c:pt idx="1336">
                  <c:v>38471</c:v>
                </c:pt>
                <c:pt idx="1337">
                  <c:v>38474</c:v>
                </c:pt>
                <c:pt idx="1338">
                  <c:v>38475</c:v>
                </c:pt>
                <c:pt idx="1339">
                  <c:v>38476</c:v>
                </c:pt>
                <c:pt idx="1340">
                  <c:v>38477</c:v>
                </c:pt>
                <c:pt idx="1341">
                  <c:v>38478</c:v>
                </c:pt>
                <c:pt idx="1342">
                  <c:v>38481</c:v>
                </c:pt>
                <c:pt idx="1343">
                  <c:v>38482</c:v>
                </c:pt>
                <c:pt idx="1344">
                  <c:v>38483</c:v>
                </c:pt>
                <c:pt idx="1345">
                  <c:v>38484</c:v>
                </c:pt>
                <c:pt idx="1346">
                  <c:v>38485</c:v>
                </c:pt>
                <c:pt idx="1347">
                  <c:v>38488</c:v>
                </c:pt>
                <c:pt idx="1348">
                  <c:v>38489</c:v>
                </c:pt>
                <c:pt idx="1349">
                  <c:v>38490</c:v>
                </c:pt>
                <c:pt idx="1350">
                  <c:v>38491</c:v>
                </c:pt>
                <c:pt idx="1351">
                  <c:v>38492</c:v>
                </c:pt>
                <c:pt idx="1352">
                  <c:v>38495</c:v>
                </c:pt>
                <c:pt idx="1353">
                  <c:v>38496</c:v>
                </c:pt>
                <c:pt idx="1354">
                  <c:v>38497</c:v>
                </c:pt>
                <c:pt idx="1355">
                  <c:v>38498</c:v>
                </c:pt>
                <c:pt idx="1356">
                  <c:v>38499</c:v>
                </c:pt>
                <c:pt idx="1357">
                  <c:v>38503</c:v>
                </c:pt>
                <c:pt idx="1358">
                  <c:v>38504</c:v>
                </c:pt>
                <c:pt idx="1359">
                  <c:v>38505</c:v>
                </c:pt>
                <c:pt idx="1360">
                  <c:v>38506</c:v>
                </c:pt>
                <c:pt idx="1361">
                  <c:v>38509</c:v>
                </c:pt>
                <c:pt idx="1362">
                  <c:v>38510</c:v>
                </c:pt>
                <c:pt idx="1363">
                  <c:v>38511</c:v>
                </c:pt>
                <c:pt idx="1364">
                  <c:v>38512</c:v>
                </c:pt>
                <c:pt idx="1365">
                  <c:v>38513</c:v>
                </c:pt>
                <c:pt idx="1366">
                  <c:v>38516</c:v>
                </c:pt>
                <c:pt idx="1367">
                  <c:v>38517</c:v>
                </c:pt>
                <c:pt idx="1368">
                  <c:v>38518</c:v>
                </c:pt>
                <c:pt idx="1369">
                  <c:v>38519</c:v>
                </c:pt>
                <c:pt idx="1370">
                  <c:v>38520</c:v>
                </c:pt>
                <c:pt idx="1371">
                  <c:v>38523</c:v>
                </c:pt>
                <c:pt idx="1372">
                  <c:v>38524</c:v>
                </c:pt>
                <c:pt idx="1373">
                  <c:v>38525</c:v>
                </c:pt>
                <c:pt idx="1374">
                  <c:v>38526</c:v>
                </c:pt>
                <c:pt idx="1375">
                  <c:v>38527</c:v>
                </c:pt>
                <c:pt idx="1376">
                  <c:v>38530</c:v>
                </c:pt>
                <c:pt idx="1377">
                  <c:v>38531</c:v>
                </c:pt>
                <c:pt idx="1378">
                  <c:v>38532</c:v>
                </c:pt>
                <c:pt idx="1379">
                  <c:v>38533</c:v>
                </c:pt>
                <c:pt idx="1380">
                  <c:v>38534</c:v>
                </c:pt>
                <c:pt idx="1381">
                  <c:v>38538</c:v>
                </c:pt>
                <c:pt idx="1382">
                  <c:v>38539</c:v>
                </c:pt>
                <c:pt idx="1383">
                  <c:v>38540</c:v>
                </c:pt>
                <c:pt idx="1384">
                  <c:v>38541</c:v>
                </c:pt>
                <c:pt idx="1385">
                  <c:v>38544</c:v>
                </c:pt>
                <c:pt idx="1386">
                  <c:v>38545</c:v>
                </c:pt>
                <c:pt idx="1387">
                  <c:v>38546</c:v>
                </c:pt>
                <c:pt idx="1388">
                  <c:v>38547</c:v>
                </c:pt>
                <c:pt idx="1389">
                  <c:v>38548</c:v>
                </c:pt>
                <c:pt idx="1390">
                  <c:v>38551</c:v>
                </c:pt>
                <c:pt idx="1391">
                  <c:v>38552</c:v>
                </c:pt>
                <c:pt idx="1392">
                  <c:v>38553</c:v>
                </c:pt>
                <c:pt idx="1393">
                  <c:v>38554</c:v>
                </c:pt>
                <c:pt idx="1394">
                  <c:v>38555</c:v>
                </c:pt>
                <c:pt idx="1395">
                  <c:v>38558</c:v>
                </c:pt>
                <c:pt idx="1396">
                  <c:v>38559</c:v>
                </c:pt>
                <c:pt idx="1397">
                  <c:v>38560</c:v>
                </c:pt>
                <c:pt idx="1398">
                  <c:v>38561</c:v>
                </c:pt>
                <c:pt idx="1399">
                  <c:v>38562</c:v>
                </c:pt>
                <c:pt idx="1400">
                  <c:v>38565</c:v>
                </c:pt>
                <c:pt idx="1401">
                  <c:v>38566</c:v>
                </c:pt>
                <c:pt idx="1402">
                  <c:v>38567</c:v>
                </c:pt>
                <c:pt idx="1403">
                  <c:v>38568</c:v>
                </c:pt>
                <c:pt idx="1404">
                  <c:v>38569</c:v>
                </c:pt>
                <c:pt idx="1405">
                  <c:v>38572</c:v>
                </c:pt>
                <c:pt idx="1406">
                  <c:v>38573</c:v>
                </c:pt>
                <c:pt idx="1407">
                  <c:v>38574</c:v>
                </c:pt>
                <c:pt idx="1408">
                  <c:v>38575</c:v>
                </c:pt>
                <c:pt idx="1409">
                  <c:v>38576</c:v>
                </c:pt>
                <c:pt idx="1410">
                  <c:v>38579</c:v>
                </c:pt>
                <c:pt idx="1411">
                  <c:v>38580</c:v>
                </c:pt>
                <c:pt idx="1412">
                  <c:v>38581</c:v>
                </c:pt>
                <c:pt idx="1413">
                  <c:v>38582</c:v>
                </c:pt>
                <c:pt idx="1414">
                  <c:v>38583</c:v>
                </c:pt>
                <c:pt idx="1415">
                  <c:v>38586</c:v>
                </c:pt>
                <c:pt idx="1416">
                  <c:v>38587</c:v>
                </c:pt>
                <c:pt idx="1417">
                  <c:v>38588</c:v>
                </c:pt>
                <c:pt idx="1418">
                  <c:v>38589</c:v>
                </c:pt>
                <c:pt idx="1419">
                  <c:v>38590</c:v>
                </c:pt>
                <c:pt idx="1420">
                  <c:v>38593</c:v>
                </c:pt>
                <c:pt idx="1421">
                  <c:v>38594</c:v>
                </c:pt>
                <c:pt idx="1422">
                  <c:v>38595</c:v>
                </c:pt>
                <c:pt idx="1423">
                  <c:v>38596</c:v>
                </c:pt>
                <c:pt idx="1424">
                  <c:v>38597</c:v>
                </c:pt>
                <c:pt idx="1425">
                  <c:v>38601</c:v>
                </c:pt>
                <c:pt idx="1426">
                  <c:v>38602</c:v>
                </c:pt>
                <c:pt idx="1427">
                  <c:v>38603</c:v>
                </c:pt>
                <c:pt idx="1428">
                  <c:v>38604</c:v>
                </c:pt>
                <c:pt idx="1429">
                  <c:v>38607</c:v>
                </c:pt>
                <c:pt idx="1430">
                  <c:v>38608</c:v>
                </c:pt>
                <c:pt idx="1431">
                  <c:v>38609</c:v>
                </c:pt>
                <c:pt idx="1432">
                  <c:v>38610</c:v>
                </c:pt>
                <c:pt idx="1433">
                  <c:v>38611</c:v>
                </c:pt>
                <c:pt idx="1434">
                  <c:v>38614</c:v>
                </c:pt>
                <c:pt idx="1435">
                  <c:v>38615</c:v>
                </c:pt>
                <c:pt idx="1436">
                  <c:v>38616</c:v>
                </c:pt>
                <c:pt idx="1437">
                  <c:v>38617</c:v>
                </c:pt>
                <c:pt idx="1438">
                  <c:v>38618</c:v>
                </c:pt>
                <c:pt idx="1439">
                  <c:v>38621</c:v>
                </c:pt>
                <c:pt idx="1440">
                  <c:v>38622</c:v>
                </c:pt>
                <c:pt idx="1441">
                  <c:v>38623</c:v>
                </c:pt>
                <c:pt idx="1442">
                  <c:v>38624</c:v>
                </c:pt>
                <c:pt idx="1443">
                  <c:v>38625</c:v>
                </c:pt>
                <c:pt idx="1444">
                  <c:v>38628</c:v>
                </c:pt>
                <c:pt idx="1445">
                  <c:v>38629</c:v>
                </c:pt>
                <c:pt idx="1446">
                  <c:v>38630</c:v>
                </c:pt>
                <c:pt idx="1447">
                  <c:v>38631</c:v>
                </c:pt>
                <c:pt idx="1448">
                  <c:v>38632</c:v>
                </c:pt>
                <c:pt idx="1449">
                  <c:v>38635</c:v>
                </c:pt>
                <c:pt idx="1450">
                  <c:v>38636</c:v>
                </c:pt>
                <c:pt idx="1451">
                  <c:v>38637</c:v>
                </c:pt>
                <c:pt idx="1452">
                  <c:v>38638</c:v>
                </c:pt>
                <c:pt idx="1453">
                  <c:v>38639</c:v>
                </c:pt>
                <c:pt idx="1454">
                  <c:v>38642</c:v>
                </c:pt>
                <c:pt idx="1455">
                  <c:v>38643</c:v>
                </c:pt>
                <c:pt idx="1456">
                  <c:v>38644</c:v>
                </c:pt>
                <c:pt idx="1457">
                  <c:v>38645</c:v>
                </c:pt>
                <c:pt idx="1458">
                  <c:v>38646</c:v>
                </c:pt>
                <c:pt idx="1459">
                  <c:v>38649</c:v>
                </c:pt>
                <c:pt idx="1460">
                  <c:v>38650</c:v>
                </c:pt>
                <c:pt idx="1461">
                  <c:v>38651</c:v>
                </c:pt>
                <c:pt idx="1462">
                  <c:v>38652</c:v>
                </c:pt>
                <c:pt idx="1463">
                  <c:v>38653</c:v>
                </c:pt>
                <c:pt idx="1464">
                  <c:v>38656</c:v>
                </c:pt>
                <c:pt idx="1465">
                  <c:v>38657</c:v>
                </c:pt>
                <c:pt idx="1466">
                  <c:v>38658</c:v>
                </c:pt>
                <c:pt idx="1467">
                  <c:v>38659</c:v>
                </c:pt>
                <c:pt idx="1468">
                  <c:v>38660</c:v>
                </c:pt>
                <c:pt idx="1469">
                  <c:v>38663</c:v>
                </c:pt>
                <c:pt idx="1470">
                  <c:v>38664</c:v>
                </c:pt>
                <c:pt idx="1471">
                  <c:v>38665</c:v>
                </c:pt>
                <c:pt idx="1472">
                  <c:v>38666</c:v>
                </c:pt>
                <c:pt idx="1473">
                  <c:v>38667</c:v>
                </c:pt>
                <c:pt idx="1474">
                  <c:v>38670</c:v>
                </c:pt>
                <c:pt idx="1475">
                  <c:v>38671</c:v>
                </c:pt>
                <c:pt idx="1476">
                  <c:v>38672</c:v>
                </c:pt>
                <c:pt idx="1477">
                  <c:v>38673</c:v>
                </c:pt>
                <c:pt idx="1478">
                  <c:v>38674</c:v>
                </c:pt>
                <c:pt idx="1479">
                  <c:v>38677</c:v>
                </c:pt>
                <c:pt idx="1480">
                  <c:v>38678</c:v>
                </c:pt>
                <c:pt idx="1481">
                  <c:v>38679</c:v>
                </c:pt>
                <c:pt idx="1482">
                  <c:v>38681</c:v>
                </c:pt>
                <c:pt idx="1483">
                  <c:v>38684</c:v>
                </c:pt>
                <c:pt idx="1484">
                  <c:v>38685</c:v>
                </c:pt>
                <c:pt idx="1485">
                  <c:v>38686</c:v>
                </c:pt>
                <c:pt idx="1486">
                  <c:v>38687</c:v>
                </c:pt>
                <c:pt idx="1487">
                  <c:v>38688</c:v>
                </c:pt>
                <c:pt idx="1488">
                  <c:v>38691</c:v>
                </c:pt>
                <c:pt idx="1489">
                  <c:v>38692</c:v>
                </c:pt>
                <c:pt idx="1490">
                  <c:v>38693</c:v>
                </c:pt>
                <c:pt idx="1491">
                  <c:v>38694</c:v>
                </c:pt>
                <c:pt idx="1492">
                  <c:v>38695</c:v>
                </c:pt>
                <c:pt idx="1493">
                  <c:v>38698</c:v>
                </c:pt>
                <c:pt idx="1494">
                  <c:v>38699</c:v>
                </c:pt>
                <c:pt idx="1495">
                  <c:v>38700</c:v>
                </c:pt>
                <c:pt idx="1496">
                  <c:v>38701</c:v>
                </c:pt>
                <c:pt idx="1497">
                  <c:v>38702</c:v>
                </c:pt>
                <c:pt idx="1498">
                  <c:v>38705</c:v>
                </c:pt>
                <c:pt idx="1499">
                  <c:v>38706</c:v>
                </c:pt>
                <c:pt idx="1500">
                  <c:v>38707</c:v>
                </c:pt>
                <c:pt idx="1501">
                  <c:v>38708</c:v>
                </c:pt>
                <c:pt idx="1502">
                  <c:v>38709</c:v>
                </c:pt>
                <c:pt idx="1503">
                  <c:v>38713</c:v>
                </c:pt>
                <c:pt idx="1504">
                  <c:v>38714</c:v>
                </c:pt>
                <c:pt idx="1505">
                  <c:v>38715</c:v>
                </c:pt>
                <c:pt idx="1506">
                  <c:v>38716</c:v>
                </c:pt>
                <c:pt idx="1507">
                  <c:v>38720</c:v>
                </c:pt>
                <c:pt idx="1508">
                  <c:v>38721</c:v>
                </c:pt>
                <c:pt idx="1509">
                  <c:v>38722</c:v>
                </c:pt>
                <c:pt idx="1510">
                  <c:v>38723</c:v>
                </c:pt>
                <c:pt idx="1511">
                  <c:v>38726</c:v>
                </c:pt>
                <c:pt idx="1512">
                  <c:v>38727</c:v>
                </c:pt>
                <c:pt idx="1513">
                  <c:v>38728</c:v>
                </c:pt>
                <c:pt idx="1514">
                  <c:v>38729</c:v>
                </c:pt>
                <c:pt idx="1515">
                  <c:v>38730</c:v>
                </c:pt>
                <c:pt idx="1516">
                  <c:v>38734</c:v>
                </c:pt>
                <c:pt idx="1517">
                  <c:v>38735</c:v>
                </c:pt>
                <c:pt idx="1518">
                  <c:v>38736</c:v>
                </c:pt>
                <c:pt idx="1519">
                  <c:v>38737</c:v>
                </c:pt>
                <c:pt idx="1520">
                  <c:v>38740</c:v>
                </c:pt>
                <c:pt idx="1521">
                  <c:v>38741</c:v>
                </c:pt>
                <c:pt idx="1522">
                  <c:v>38742</c:v>
                </c:pt>
                <c:pt idx="1523">
                  <c:v>38743</c:v>
                </c:pt>
                <c:pt idx="1524">
                  <c:v>38744</c:v>
                </c:pt>
                <c:pt idx="1525">
                  <c:v>38747</c:v>
                </c:pt>
                <c:pt idx="1526">
                  <c:v>38748</c:v>
                </c:pt>
                <c:pt idx="1527">
                  <c:v>38749</c:v>
                </c:pt>
                <c:pt idx="1528">
                  <c:v>38750</c:v>
                </c:pt>
                <c:pt idx="1529">
                  <c:v>38751</c:v>
                </c:pt>
                <c:pt idx="1530">
                  <c:v>38754</c:v>
                </c:pt>
                <c:pt idx="1531">
                  <c:v>38755</c:v>
                </c:pt>
                <c:pt idx="1532">
                  <c:v>38756</c:v>
                </c:pt>
                <c:pt idx="1533">
                  <c:v>38757</c:v>
                </c:pt>
                <c:pt idx="1534">
                  <c:v>38758</c:v>
                </c:pt>
                <c:pt idx="1535">
                  <c:v>38761</c:v>
                </c:pt>
                <c:pt idx="1536">
                  <c:v>38762</c:v>
                </c:pt>
                <c:pt idx="1537">
                  <c:v>38763</c:v>
                </c:pt>
                <c:pt idx="1538">
                  <c:v>38764</c:v>
                </c:pt>
                <c:pt idx="1539">
                  <c:v>38765</c:v>
                </c:pt>
                <c:pt idx="1540">
                  <c:v>38769</c:v>
                </c:pt>
                <c:pt idx="1541">
                  <c:v>38770</c:v>
                </c:pt>
                <c:pt idx="1542">
                  <c:v>38771</c:v>
                </c:pt>
                <c:pt idx="1543">
                  <c:v>38772</c:v>
                </c:pt>
                <c:pt idx="1544">
                  <c:v>38775</c:v>
                </c:pt>
                <c:pt idx="1545">
                  <c:v>38776</c:v>
                </c:pt>
                <c:pt idx="1546">
                  <c:v>38777</c:v>
                </c:pt>
                <c:pt idx="1547">
                  <c:v>38778</c:v>
                </c:pt>
                <c:pt idx="1548">
                  <c:v>38779</c:v>
                </c:pt>
                <c:pt idx="1549">
                  <c:v>38782</c:v>
                </c:pt>
                <c:pt idx="1550">
                  <c:v>38783</c:v>
                </c:pt>
                <c:pt idx="1551">
                  <c:v>38784</c:v>
                </c:pt>
                <c:pt idx="1552">
                  <c:v>38785</c:v>
                </c:pt>
                <c:pt idx="1553">
                  <c:v>38786</c:v>
                </c:pt>
                <c:pt idx="1554">
                  <c:v>38789</c:v>
                </c:pt>
                <c:pt idx="1555">
                  <c:v>38790</c:v>
                </c:pt>
                <c:pt idx="1556">
                  <c:v>38791</c:v>
                </c:pt>
                <c:pt idx="1557">
                  <c:v>38792</c:v>
                </c:pt>
                <c:pt idx="1558">
                  <c:v>38793</c:v>
                </c:pt>
                <c:pt idx="1559">
                  <c:v>38796</c:v>
                </c:pt>
                <c:pt idx="1560">
                  <c:v>38797</c:v>
                </c:pt>
                <c:pt idx="1561">
                  <c:v>38798</c:v>
                </c:pt>
                <c:pt idx="1562">
                  <c:v>38799</c:v>
                </c:pt>
                <c:pt idx="1563">
                  <c:v>38800</c:v>
                </c:pt>
                <c:pt idx="1564">
                  <c:v>38803</c:v>
                </c:pt>
                <c:pt idx="1565">
                  <c:v>38804</c:v>
                </c:pt>
                <c:pt idx="1566">
                  <c:v>38805</c:v>
                </c:pt>
                <c:pt idx="1567">
                  <c:v>38806</c:v>
                </c:pt>
                <c:pt idx="1568">
                  <c:v>38807</c:v>
                </c:pt>
                <c:pt idx="1569">
                  <c:v>38810</c:v>
                </c:pt>
                <c:pt idx="1570">
                  <c:v>38811</c:v>
                </c:pt>
                <c:pt idx="1571">
                  <c:v>38812</c:v>
                </c:pt>
                <c:pt idx="1572">
                  <c:v>38813</c:v>
                </c:pt>
                <c:pt idx="1573">
                  <c:v>38814</c:v>
                </c:pt>
                <c:pt idx="1574">
                  <c:v>38817</c:v>
                </c:pt>
                <c:pt idx="1575">
                  <c:v>38818</c:v>
                </c:pt>
                <c:pt idx="1576">
                  <c:v>38819</c:v>
                </c:pt>
                <c:pt idx="1577">
                  <c:v>38820</c:v>
                </c:pt>
                <c:pt idx="1578">
                  <c:v>38824</c:v>
                </c:pt>
                <c:pt idx="1579">
                  <c:v>38825</c:v>
                </c:pt>
                <c:pt idx="1580">
                  <c:v>38826</c:v>
                </c:pt>
                <c:pt idx="1581">
                  <c:v>38827</c:v>
                </c:pt>
                <c:pt idx="1582">
                  <c:v>38828</c:v>
                </c:pt>
                <c:pt idx="1583">
                  <c:v>38831</c:v>
                </c:pt>
                <c:pt idx="1584">
                  <c:v>38832</c:v>
                </c:pt>
                <c:pt idx="1585">
                  <c:v>38833</c:v>
                </c:pt>
                <c:pt idx="1586">
                  <c:v>38834</c:v>
                </c:pt>
                <c:pt idx="1587">
                  <c:v>38835</c:v>
                </c:pt>
                <c:pt idx="1588">
                  <c:v>38838</c:v>
                </c:pt>
                <c:pt idx="1589">
                  <c:v>38839</c:v>
                </c:pt>
                <c:pt idx="1590">
                  <c:v>38840</c:v>
                </c:pt>
                <c:pt idx="1591">
                  <c:v>38841</c:v>
                </c:pt>
                <c:pt idx="1592">
                  <c:v>38842</c:v>
                </c:pt>
                <c:pt idx="1593">
                  <c:v>38845</c:v>
                </c:pt>
                <c:pt idx="1594">
                  <c:v>38846</c:v>
                </c:pt>
                <c:pt idx="1595">
                  <c:v>38847</c:v>
                </c:pt>
                <c:pt idx="1596">
                  <c:v>38848</c:v>
                </c:pt>
                <c:pt idx="1597">
                  <c:v>38849</c:v>
                </c:pt>
                <c:pt idx="1598">
                  <c:v>38852</c:v>
                </c:pt>
                <c:pt idx="1599">
                  <c:v>38853</c:v>
                </c:pt>
                <c:pt idx="1600">
                  <c:v>38854</c:v>
                </c:pt>
                <c:pt idx="1601">
                  <c:v>38855</c:v>
                </c:pt>
                <c:pt idx="1602">
                  <c:v>38856</c:v>
                </c:pt>
                <c:pt idx="1603">
                  <c:v>38859</c:v>
                </c:pt>
                <c:pt idx="1604">
                  <c:v>38860</c:v>
                </c:pt>
                <c:pt idx="1605">
                  <c:v>38861</c:v>
                </c:pt>
                <c:pt idx="1606">
                  <c:v>38862</c:v>
                </c:pt>
                <c:pt idx="1607">
                  <c:v>38863</c:v>
                </c:pt>
                <c:pt idx="1608">
                  <c:v>38867</c:v>
                </c:pt>
                <c:pt idx="1609">
                  <c:v>38868</c:v>
                </c:pt>
                <c:pt idx="1610">
                  <c:v>38869</c:v>
                </c:pt>
                <c:pt idx="1611">
                  <c:v>38870</c:v>
                </c:pt>
                <c:pt idx="1612">
                  <c:v>38873</c:v>
                </c:pt>
                <c:pt idx="1613">
                  <c:v>38874</c:v>
                </c:pt>
                <c:pt idx="1614">
                  <c:v>38875</c:v>
                </c:pt>
                <c:pt idx="1615">
                  <c:v>38876</c:v>
                </c:pt>
                <c:pt idx="1616">
                  <c:v>38877</c:v>
                </c:pt>
                <c:pt idx="1617">
                  <c:v>38880</c:v>
                </c:pt>
                <c:pt idx="1618">
                  <c:v>38881</c:v>
                </c:pt>
                <c:pt idx="1619">
                  <c:v>38882</c:v>
                </c:pt>
                <c:pt idx="1620">
                  <c:v>38883</c:v>
                </c:pt>
                <c:pt idx="1621">
                  <c:v>38884</c:v>
                </c:pt>
                <c:pt idx="1622">
                  <c:v>38887</c:v>
                </c:pt>
                <c:pt idx="1623">
                  <c:v>38888</c:v>
                </c:pt>
                <c:pt idx="1624">
                  <c:v>38889</c:v>
                </c:pt>
                <c:pt idx="1625">
                  <c:v>38890</c:v>
                </c:pt>
                <c:pt idx="1626">
                  <c:v>38891</c:v>
                </c:pt>
                <c:pt idx="1627">
                  <c:v>38894</c:v>
                </c:pt>
                <c:pt idx="1628">
                  <c:v>38895</c:v>
                </c:pt>
                <c:pt idx="1629">
                  <c:v>38896</c:v>
                </c:pt>
                <c:pt idx="1630">
                  <c:v>38897</c:v>
                </c:pt>
                <c:pt idx="1631">
                  <c:v>38898</c:v>
                </c:pt>
                <c:pt idx="1632">
                  <c:v>38901</c:v>
                </c:pt>
                <c:pt idx="1633">
                  <c:v>38903</c:v>
                </c:pt>
                <c:pt idx="1634">
                  <c:v>38904</c:v>
                </c:pt>
                <c:pt idx="1635">
                  <c:v>38905</c:v>
                </c:pt>
                <c:pt idx="1636">
                  <c:v>38908</c:v>
                </c:pt>
                <c:pt idx="1637">
                  <c:v>38909</c:v>
                </c:pt>
                <c:pt idx="1638">
                  <c:v>38910</c:v>
                </c:pt>
                <c:pt idx="1639">
                  <c:v>38911</c:v>
                </c:pt>
                <c:pt idx="1640">
                  <c:v>38912</c:v>
                </c:pt>
                <c:pt idx="1641">
                  <c:v>38915</c:v>
                </c:pt>
                <c:pt idx="1642">
                  <c:v>38916</c:v>
                </c:pt>
                <c:pt idx="1643">
                  <c:v>38917</c:v>
                </c:pt>
                <c:pt idx="1644">
                  <c:v>38918</c:v>
                </c:pt>
                <c:pt idx="1645">
                  <c:v>38919</c:v>
                </c:pt>
                <c:pt idx="1646">
                  <c:v>38922</c:v>
                </c:pt>
                <c:pt idx="1647">
                  <c:v>38923</c:v>
                </c:pt>
                <c:pt idx="1648">
                  <c:v>38924</c:v>
                </c:pt>
                <c:pt idx="1649">
                  <c:v>38925</c:v>
                </c:pt>
                <c:pt idx="1650">
                  <c:v>38926</c:v>
                </c:pt>
                <c:pt idx="1651">
                  <c:v>38929</c:v>
                </c:pt>
                <c:pt idx="1652">
                  <c:v>38930</c:v>
                </c:pt>
                <c:pt idx="1653">
                  <c:v>38931</c:v>
                </c:pt>
                <c:pt idx="1654">
                  <c:v>38932</c:v>
                </c:pt>
                <c:pt idx="1655">
                  <c:v>38933</c:v>
                </c:pt>
                <c:pt idx="1656">
                  <c:v>38936</c:v>
                </c:pt>
                <c:pt idx="1657">
                  <c:v>38937</c:v>
                </c:pt>
                <c:pt idx="1658">
                  <c:v>38938</c:v>
                </c:pt>
                <c:pt idx="1659">
                  <c:v>38939</c:v>
                </c:pt>
                <c:pt idx="1660">
                  <c:v>38940</c:v>
                </c:pt>
                <c:pt idx="1661">
                  <c:v>38943</c:v>
                </c:pt>
                <c:pt idx="1662">
                  <c:v>38944</c:v>
                </c:pt>
                <c:pt idx="1663">
                  <c:v>38945</c:v>
                </c:pt>
                <c:pt idx="1664">
                  <c:v>38946</c:v>
                </c:pt>
                <c:pt idx="1665">
                  <c:v>38947</c:v>
                </c:pt>
                <c:pt idx="1666">
                  <c:v>38950</c:v>
                </c:pt>
                <c:pt idx="1667">
                  <c:v>38951</c:v>
                </c:pt>
                <c:pt idx="1668">
                  <c:v>38952</c:v>
                </c:pt>
                <c:pt idx="1669">
                  <c:v>38953</c:v>
                </c:pt>
                <c:pt idx="1670">
                  <c:v>38954</c:v>
                </c:pt>
                <c:pt idx="1671">
                  <c:v>38957</c:v>
                </c:pt>
                <c:pt idx="1672">
                  <c:v>38958</c:v>
                </c:pt>
                <c:pt idx="1673">
                  <c:v>38959</c:v>
                </c:pt>
                <c:pt idx="1674">
                  <c:v>38960</c:v>
                </c:pt>
                <c:pt idx="1675">
                  <c:v>38961</c:v>
                </c:pt>
                <c:pt idx="1676">
                  <c:v>38965</c:v>
                </c:pt>
                <c:pt idx="1677">
                  <c:v>38966</c:v>
                </c:pt>
                <c:pt idx="1678">
                  <c:v>38967</c:v>
                </c:pt>
                <c:pt idx="1679">
                  <c:v>38968</c:v>
                </c:pt>
                <c:pt idx="1680">
                  <c:v>38971</c:v>
                </c:pt>
                <c:pt idx="1681">
                  <c:v>38972</c:v>
                </c:pt>
                <c:pt idx="1682">
                  <c:v>38973</c:v>
                </c:pt>
                <c:pt idx="1683">
                  <c:v>38974</c:v>
                </c:pt>
                <c:pt idx="1684">
                  <c:v>38975</c:v>
                </c:pt>
                <c:pt idx="1685">
                  <c:v>38978</c:v>
                </c:pt>
                <c:pt idx="1686">
                  <c:v>38979</c:v>
                </c:pt>
                <c:pt idx="1687">
                  <c:v>38980</c:v>
                </c:pt>
                <c:pt idx="1688">
                  <c:v>38981</c:v>
                </c:pt>
                <c:pt idx="1689">
                  <c:v>38982</c:v>
                </c:pt>
                <c:pt idx="1690">
                  <c:v>38985</c:v>
                </c:pt>
                <c:pt idx="1691">
                  <c:v>38986</c:v>
                </c:pt>
                <c:pt idx="1692">
                  <c:v>38987</c:v>
                </c:pt>
                <c:pt idx="1693">
                  <c:v>38988</c:v>
                </c:pt>
                <c:pt idx="1694">
                  <c:v>38989</c:v>
                </c:pt>
                <c:pt idx="1695">
                  <c:v>38992</c:v>
                </c:pt>
                <c:pt idx="1696">
                  <c:v>38993</c:v>
                </c:pt>
                <c:pt idx="1697">
                  <c:v>38994</c:v>
                </c:pt>
                <c:pt idx="1698">
                  <c:v>38995</c:v>
                </c:pt>
                <c:pt idx="1699">
                  <c:v>38996</c:v>
                </c:pt>
                <c:pt idx="1700">
                  <c:v>38999</c:v>
                </c:pt>
                <c:pt idx="1701">
                  <c:v>39000</c:v>
                </c:pt>
                <c:pt idx="1702">
                  <c:v>39001</c:v>
                </c:pt>
                <c:pt idx="1703">
                  <c:v>39002</c:v>
                </c:pt>
                <c:pt idx="1704">
                  <c:v>39003</c:v>
                </c:pt>
                <c:pt idx="1705">
                  <c:v>39006</c:v>
                </c:pt>
                <c:pt idx="1706">
                  <c:v>39007</c:v>
                </c:pt>
                <c:pt idx="1707">
                  <c:v>39008</c:v>
                </c:pt>
                <c:pt idx="1708">
                  <c:v>39009</c:v>
                </c:pt>
                <c:pt idx="1709">
                  <c:v>39010</c:v>
                </c:pt>
                <c:pt idx="1710">
                  <c:v>39013</c:v>
                </c:pt>
                <c:pt idx="1711">
                  <c:v>39014</c:v>
                </c:pt>
                <c:pt idx="1712">
                  <c:v>39015</c:v>
                </c:pt>
                <c:pt idx="1713">
                  <c:v>39016</c:v>
                </c:pt>
                <c:pt idx="1714">
                  <c:v>39017</c:v>
                </c:pt>
                <c:pt idx="1715">
                  <c:v>39020</c:v>
                </c:pt>
                <c:pt idx="1716">
                  <c:v>39021</c:v>
                </c:pt>
                <c:pt idx="1717">
                  <c:v>39022</c:v>
                </c:pt>
                <c:pt idx="1718">
                  <c:v>39023</c:v>
                </c:pt>
                <c:pt idx="1719">
                  <c:v>39024</c:v>
                </c:pt>
                <c:pt idx="1720">
                  <c:v>39027</c:v>
                </c:pt>
                <c:pt idx="1721">
                  <c:v>39028</c:v>
                </c:pt>
                <c:pt idx="1722">
                  <c:v>39029</c:v>
                </c:pt>
                <c:pt idx="1723">
                  <c:v>39030</c:v>
                </c:pt>
                <c:pt idx="1724">
                  <c:v>39031</c:v>
                </c:pt>
                <c:pt idx="1725">
                  <c:v>39034</c:v>
                </c:pt>
                <c:pt idx="1726">
                  <c:v>39035</c:v>
                </c:pt>
                <c:pt idx="1727">
                  <c:v>39036</c:v>
                </c:pt>
                <c:pt idx="1728">
                  <c:v>39037</c:v>
                </c:pt>
                <c:pt idx="1729">
                  <c:v>39038</c:v>
                </c:pt>
                <c:pt idx="1730">
                  <c:v>39041</c:v>
                </c:pt>
                <c:pt idx="1731">
                  <c:v>39042</c:v>
                </c:pt>
                <c:pt idx="1732">
                  <c:v>39043</c:v>
                </c:pt>
                <c:pt idx="1733">
                  <c:v>39045</c:v>
                </c:pt>
                <c:pt idx="1734">
                  <c:v>39048</c:v>
                </c:pt>
                <c:pt idx="1735">
                  <c:v>39049</c:v>
                </c:pt>
                <c:pt idx="1736">
                  <c:v>39050</c:v>
                </c:pt>
                <c:pt idx="1737">
                  <c:v>39051</c:v>
                </c:pt>
                <c:pt idx="1738">
                  <c:v>39052</c:v>
                </c:pt>
                <c:pt idx="1739">
                  <c:v>39055</c:v>
                </c:pt>
                <c:pt idx="1740">
                  <c:v>39056</c:v>
                </c:pt>
                <c:pt idx="1741">
                  <c:v>39057</c:v>
                </c:pt>
                <c:pt idx="1742">
                  <c:v>39058</c:v>
                </c:pt>
                <c:pt idx="1743">
                  <c:v>39059</c:v>
                </c:pt>
                <c:pt idx="1744">
                  <c:v>39062</c:v>
                </c:pt>
                <c:pt idx="1745">
                  <c:v>39063</c:v>
                </c:pt>
                <c:pt idx="1746">
                  <c:v>39064</c:v>
                </c:pt>
                <c:pt idx="1747">
                  <c:v>39065</c:v>
                </c:pt>
                <c:pt idx="1748">
                  <c:v>39066</c:v>
                </c:pt>
                <c:pt idx="1749">
                  <c:v>39069</c:v>
                </c:pt>
                <c:pt idx="1750">
                  <c:v>39070</c:v>
                </c:pt>
                <c:pt idx="1751">
                  <c:v>39071</c:v>
                </c:pt>
                <c:pt idx="1752">
                  <c:v>39072</c:v>
                </c:pt>
                <c:pt idx="1753">
                  <c:v>39073</c:v>
                </c:pt>
                <c:pt idx="1754">
                  <c:v>39077</c:v>
                </c:pt>
                <c:pt idx="1755">
                  <c:v>39078</c:v>
                </c:pt>
                <c:pt idx="1756">
                  <c:v>39079</c:v>
                </c:pt>
                <c:pt idx="1757">
                  <c:v>39080</c:v>
                </c:pt>
                <c:pt idx="1758">
                  <c:v>39085</c:v>
                </c:pt>
                <c:pt idx="1759">
                  <c:v>39086</c:v>
                </c:pt>
                <c:pt idx="1760">
                  <c:v>39087</c:v>
                </c:pt>
                <c:pt idx="1761">
                  <c:v>39090</c:v>
                </c:pt>
                <c:pt idx="1762">
                  <c:v>39091</c:v>
                </c:pt>
                <c:pt idx="1763">
                  <c:v>39092</c:v>
                </c:pt>
                <c:pt idx="1764">
                  <c:v>39093</c:v>
                </c:pt>
                <c:pt idx="1765">
                  <c:v>39094</c:v>
                </c:pt>
                <c:pt idx="1766">
                  <c:v>39098</c:v>
                </c:pt>
                <c:pt idx="1767">
                  <c:v>39099</c:v>
                </c:pt>
                <c:pt idx="1768">
                  <c:v>39100</c:v>
                </c:pt>
                <c:pt idx="1769">
                  <c:v>39101</c:v>
                </c:pt>
                <c:pt idx="1770">
                  <c:v>39104</c:v>
                </c:pt>
                <c:pt idx="1771">
                  <c:v>39105</c:v>
                </c:pt>
                <c:pt idx="1772">
                  <c:v>39106</c:v>
                </c:pt>
                <c:pt idx="1773">
                  <c:v>39107</c:v>
                </c:pt>
                <c:pt idx="1774">
                  <c:v>39108</c:v>
                </c:pt>
                <c:pt idx="1775">
                  <c:v>39111</c:v>
                </c:pt>
                <c:pt idx="1776">
                  <c:v>39112</c:v>
                </c:pt>
                <c:pt idx="1777">
                  <c:v>39113</c:v>
                </c:pt>
                <c:pt idx="1778">
                  <c:v>39114</c:v>
                </c:pt>
                <c:pt idx="1779">
                  <c:v>39115</c:v>
                </c:pt>
                <c:pt idx="1780">
                  <c:v>39118</c:v>
                </c:pt>
                <c:pt idx="1781">
                  <c:v>39119</c:v>
                </c:pt>
                <c:pt idx="1782">
                  <c:v>39120</c:v>
                </c:pt>
                <c:pt idx="1783">
                  <c:v>39121</c:v>
                </c:pt>
                <c:pt idx="1784">
                  <c:v>39122</c:v>
                </c:pt>
                <c:pt idx="1785">
                  <c:v>39125</c:v>
                </c:pt>
                <c:pt idx="1786">
                  <c:v>39126</c:v>
                </c:pt>
                <c:pt idx="1787">
                  <c:v>39127</c:v>
                </c:pt>
                <c:pt idx="1788">
                  <c:v>39128</c:v>
                </c:pt>
                <c:pt idx="1789">
                  <c:v>39129</c:v>
                </c:pt>
                <c:pt idx="1790">
                  <c:v>39133</c:v>
                </c:pt>
                <c:pt idx="1791">
                  <c:v>39134</c:v>
                </c:pt>
                <c:pt idx="1792">
                  <c:v>39135</c:v>
                </c:pt>
                <c:pt idx="1793">
                  <c:v>39136</c:v>
                </c:pt>
                <c:pt idx="1794">
                  <c:v>39139</c:v>
                </c:pt>
                <c:pt idx="1795">
                  <c:v>39140</c:v>
                </c:pt>
                <c:pt idx="1796">
                  <c:v>39141</c:v>
                </c:pt>
                <c:pt idx="1797">
                  <c:v>39142</c:v>
                </c:pt>
                <c:pt idx="1798">
                  <c:v>39143</c:v>
                </c:pt>
                <c:pt idx="1799">
                  <c:v>39146</c:v>
                </c:pt>
                <c:pt idx="1800">
                  <c:v>39147</c:v>
                </c:pt>
                <c:pt idx="1801">
                  <c:v>39148</c:v>
                </c:pt>
                <c:pt idx="1802">
                  <c:v>39149</c:v>
                </c:pt>
                <c:pt idx="1803">
                  <c:v>39150</c:v>
                </c:pt>
                <c:pt idx="1804">
                  <c:v>39153</c:v>
                </c:pt>
                <c:pt idx="1805">
                  <c:v>39154</c:v>
                </c:pt>
                <c:pt idx="1806">
                  <c:v>39155</c:v>
                </c:pt>
                <c:pt idx="1807">
                  <c:v>39156</c:v>
                </c:pt>
                <c:pt idx="1808">
                  <c:v>39157</c:v>
                </c:pt>
                <c:pt idx="1809">
                  <c:v>39160</c:v>
                </c:pt>
                <c:pt idx="1810">
                  <c:v>39161</c:v>
                </c:pt>
                <c:pt idx="1811">
                  <c:v>39162</c:v>
                </c:pt>
                <c:pt idx="1812">
                  <c:v>39163</c:v>
                </c:pt>
                <c:pt idx="1813">
                  <c:v>39164</c:v>
                </c:pt>
                <c:pt idx="1814">
                  <c:v>39167</c:v>
                </c:pt>
                <c:pt idx="1815">
                  <c:v>39168</c:v>
                </c:pt>
                <c:pt idx="1816">
                  <c:v>39169</c:v>
                </c:pt>
                <c:pt idx="1817">
                  <c:v>39170</c:v>
                </c:pt>
                <c:pt idx="1818">
                  <c:v>39171</c:v>
                </c:pt>
                <c:pt idx="1819">
                  <c:v>39174</c:v>
                </c:pt>
                <c:pt idx="1820">
                  <c:v>39175</c:v>
                </c:pt>
                <c:pt idx="1821">
                  <c:v>39176</c:v>
                </c:pt>
                <c:pt idx="1822">
                  <c:v>39177</c:v>
                </c:pt>
                <c:pt idx="1823">
                  <c:v>39181</c:v>
                </c:pt>
                <c:pt idx="1824">
                  <c:v>39182</c:v>
                </c:pt>
                <c:pt idx="1825">
                  <c:v>39183</c:v>
                </c:pt>
                <c:pt idx="1826">
                  <c:v>39184</c:v>
                </c:pt>
                <c:pt idx="1827">
                  <c:v>39185</c:v>
                </c:pt>
                <c:pt idx="1828">
                  <c:v>39188</c:v>
                </c:pt>
                <c:pt idx="1829">
                  <c:v>39189</c:v>
                </c:pt>
                <c:pt idx="1830">
                  <c:v>39190</c:v>
                </c:pt>
                <c:pt idx="1831">
                  <c:v>39191</c:v>
                </c:pt>
                <c:pt idx="1832">
                  <c:v>39192</c:v>
                </c:pt>
                <c:pt idx="1833">
                  <c:v>39195</c:v>
                </c:pt>
                <c:pt idx="1834">
                  <c:v>39196</c:v>
                </c:pt>
                <c:pt idx="1835">
                  <c:v>39197</c:v>
                </c:pt>
                <c:pt idx="1836">
                  <c:v>39198</c:v>
                </c:pt>
                <c:pt idx="1837">
                  <c:v>39199</c:v>
                </c:pt>
                <c:pt idx="1838">
                  <c:v>39202</c:v>
                </c:pt>
                <c:pt idx="1839">
                  <c:v>39203</c:v>
                </c:pt>
                <c:pt idx="1840">
                  <c:v>39204</c:v>
                </c:pt>
                <c:pt idx="1841">
                  <c:v>39205</c:v>
                </c:pt>
                <c:pt idx="1842">
                  <c:v>39206</c:v>
                </c:pt>
                <c:pt idx="1843">
                  <c:v>39209</c:v>
                </c:pt>
                <c:pt idx="1844">
                  <c:v>39210</c:v>
                </c:pt>
                <c:pt idx="1845">
                  <c:v>39211</c:v>
                </c:pt>
                <c:pt idx="1846">
                  <c:v>39212</c:v>
                </c:pt>
                <c:pt idx="1847">
                  <c:v>39213</c:v>
                </c:pt>
                <c:pt idx="1848">
                  <c:v>39216</c:v>
                </c:pt>
                <c:pt idx="1849">
                  <c:v>39217</c:v>
                </c:pt>
                <c:pt idx="1850">
                  <c:v>39218</c:v>
                </c:pt>
                <c:pt idx="1851">
                  <c:v>39219</c:v>
                </c:pt>
                <c:pt idx="1852">
                  <c:v>39220</c:v>
                </c:pt>
                <c:pt idx="1853">
                  <c:v>39223</c:v>
                </c:pt>
                <c:pt idx="1854">
                  <c:v>39224</c:v>
                </c:pt>
                <c:pt idx="1855">
                  <c:v>39225</c:v>
                </c:pt>
                <c:pt idx="1856">
                  <c:v>39226</c:v>
                </c:pt>
                <c:pt idx="1857">
                  <c:v>39227</c:v>
                </c:pt>
                <c:pt idx="1858">
                  <c:v>39231</c:v>
                </c:pt>
                <c:pt idx="1859">
                  <c:v>39232</c:v>
                </c:pt>
                <c:pt idx="1860">
                  <c:v>39233</c:v>
                </c:pt>
                <c:pt idx="1861">
                  <c:v>39234</c:v>
                </c:pt>
                <c:pt idx="1862">
                  <c:v>39237</c:v>
                </c:pt>
                <c:pt idx="1863">
                  <c:v>39238</c:v>
                </c:pt>
                <c:pt idx="1864">
                  <c:v>39239</c:v>
                </c:pt>
                <c:pt idx="1865">
                  <c:v>39240</c:v>
                </c:pt>
                <c:pt idx="1866">
                  <c:v>39241</c:v>
                </c:pt>
                <c:pt idx="1867">
                  <c:v>39244</c:v>
                </c:pt>
                <c:pt idx="1868">
                  <c:v>39245</c:v>
                </c:pt>
                <c:pt idx="1869">
                  <c:v>39246</c:v>
                </c:pt>
                <c:pt idx="1870">
                  <c:v>39247</c:v>
                </c:pt>
                <c:pt idx="1871">
                  <c:v>39248</c:v>
                </c:pt>
                <c:pt idx="1872">
                  <c:v>39251</c:v>
                </c:pt>
                <c:pt idx="1873">
                  <c:v>39252</c:v>
                </c:pt>
                <c:pt idx="1874">
                  <c:v>39253</c:v>
                </c:pt>
                <c:pt idx="1875">
                  <c:v>39254</c:v>
                </c:pt>
                <c:pt idx="1876">
                  <c:v>39255</c:v>
                </c:pt>
                <c:pt idx="1877">
                  <c:v>39258</c:v>
                </c:pt>
                <c:pt idx="1878">
                  <c:v>39259</c:v>
                </c:pt>
                <c:pt idx="1879">
                  <c:v>39260</c:v>
                </c:pt>
                <c:pt idx="1880">
                  <c:v>39261</c:v>
                </c:pt>
                <c:pt idx="1881">
                  <c:v>39262</c:v>
                </c:pt>
                <c:pt idx="1882">
                  <c:v>39265</c:v>
                </c:pt>
                <c:pt idx="1883">
                  <c:v>39266</c:v>
                </c:pt>
                <c:pt idx="1884">
                  <c:v>39268</c:v>
                </c:pt>
                <c:pt idx="1885">
                  <c:v>39269</c:v>
                </c:pt>
                <c:pt idx="1886">
                  <c:v>39272</c:v>
                </c:pt>
                <c:pt idx="1887">
                  <c:v>39273</c:v>
                </c:pt>
                <c:pt idx="1888">
                  <c:v>39274</c:v>
                </c:pt>
                <c:pt idx="1889">
                  <c:v>39275</c:v>
                </c:pt>
                <c:pt idx="1890">
                  <c:v>39276</c:v>
                </c:pt>
                <c:pt idx="1891">
                  <c:v>39279</c:v>
                </c:pt>
                <c:pt idx="1892">
                  <c:v>39280</c:v>
                </c:pt>
                <c:pt idx="1893">
                  <c:v>39281</c:v>
                </c:pt>
                <c:pt idx="1894">
                  <c:v>39282</c:v>
                </c:pt>
                <c:pt idx="1895">
                  <c:v>39283</c:v>
                </c:pt>
                <c:pt idx="1896">
                  <c:v>39286</c:v>
                </c:pt>
                <c:pt idx="1897">
                  <c:v>39287</c:v>
                </c:pt>
                <c:pt idx="1898">
                  <c:v>39288</c:v>
                </c:pt>
                <c:pt idx="1899">
                  <c:v>39289</c:v>
                </c:pt>
                <c:pt idx="1900">
                  <c:v>39290</c:v>
                </c:pt>
                <c:pt idx="1901">
                  <c:v>39293</c:v>
                </c:pt>
                <c:pt idx="1902">
                  <c:v>39294</c:v>
                </c:pt>
                <c:pt idx="1903">
                  <c:v>39295</c:v>
                </c:pt>
                <c:pt idx="1904">
                  <c:v>39296</c:v>
                </c:pt>
                <c:pt idx="1905">
                  <c:v>39297</c:v>
                </c:pt>
                <c:pt idx="1906">
                  <c:v>39300</c:v>
                </c:pt>
                <c:pt idx="1907">
                  <c:v>39301</c:v>
                </c:pt>
                <c:pt idx="1908">
                  <c:v>39302</c:v>
                </c:pt>
                <c:pt idx="1909">
                  <c:v>39303</c:v>
                </c:pt>
                <c:pt idx="1910">
                  <c:v>39304</c:v>
                </c:pt>
                <c:pt idx="1911">
                  <c:v>39307</c:v>
                </c:pt>
                <c:pt idx="1912">
                  <c:v>39308</c:v>
                </c:pt>
                <c:pt idx="1913">
                  <c:v>39309</c:v>
                </c:pt>
                <c:pt idx="1914">
                  <c:v>39310</c:v>
                </c:pt>
                <c:pt idx="1915">
                  <c:v>39311</c:v>
                </c:pt>
                <c:pt idx="1916">
                  <c:v>39314</c:v>
                </c:pt>
                <c:pt idx="1917">
                  <c:v>39315</c:v>
                </c:pt>
                <c:pt idx="1918">
                  <c:v>39316</c:v>
                </c:pt>
                <c:pt idx="1919">
                  <c:v>39317</c:v>
                </c:pt>
                <c:pt idx="1920">
                  <c:v>39318</c:v>
                </c:pt>
                <c:pt idx="1921">
                  <c:v>39321</c:v>
                </c:pt>
                <c:pt idx="1922">
                  <c:v>39322</c:v>
                </c:pt>
                <c:pt idx="1923">
                  <c:v>39323</c:v>
                </c:pt>
                <c:pt idx="1924">
                  <c:v>39324</c:v>
                </c:pt>
                <c:pt idx="1925">
                  <c:v>39325</c:v>
                </c:pt>
                <c:pt idx="1926">
                  <c:v>39329</c:v>
                </c:pt>
                <c:pt idx="1927">
                  <c:v>39330</c:v>
                </c:pt>
                <c:pt idx="1928">
                  <c:v>39331</c:v>
                </c:pt>
                <c:pt idx="1929">
                  <c:v>39332</c:v>
                </c:pt>
                <c:pt idx="1930">
                  <c:v>39335</c:v>
                </c:pt>
                <c:pt idx="1931">
                  <c:v>39336</c:v>
                </c:pt>
                <c:pt idx="1932">
                  <c:v>39337</c:v>
                </c:pt>
                <c:pt idx="1933">
                  <c:v>39338</c:v>
                </c:pt>
                <c:pt idx="1934">
                  <c:v>39339</c:v>
                </c:pt>
                <c:pt idx="1935">
                  <c:v>39342</c:v>
                </c:pt>
                <c:pt idx="1936">
                  <c:v>39343</c:v>
                </c:pt>
                <c:pt idx="1937">
                  <c:v>39344</c:v>
                </c:pt>
                <c:pt idx="1938">
                  <c:v>39345</c:v>
                </c:pt>
                <c:pt idx="1939">
                  <c:v>39346</c:v>
                </c:pt>
                <c:pt idx="1940">
                  <c:v>39349</c:v>
                </c:pt>
                <c:pt idx="1941">
                  <c:v>39350</c:v>
                </c:pt>
                <c:pt idx="1942">
                  <c:v>39351</c:v>
                </c:pt>
                <c:pt idx="1943">
                  <c:v>39352</c:v>
                </c:pt>
                <c:pt idx="1944">
                  <c:v>39353</c:v>
                </c:pt>
                <c:pt idx="1945">
                  <c:v>39356</c:v>
                </c:pt>
                <c:pt idx="1946">
                  <c:v>39357</c:v>
                </c:pt>
                <c:pt idx="1947">
                  <c:v>39358</c:v>
                </c:pt>
                <c:pt idx="1948">
                  <c:v>39359</c:v>
                </c:pt>
                <c:pt idx="1949">
                  <c:v>39360</c:v>
                </c:pt>
                <c:pt idx="1950">
                  <c:v>39363</c:v>
                </c:pt>
                <c:pt idx="1951">
                  <c:v>39364</c:v>
                </c:pt>
                <c:pt idx="1952">
                  <c:v>39365</c:v>
                </c:pt>
                <c:pt idx="1953">
                  <c:v>39366</c:v>
                </c:pt>
                <c:pt idx="1954">
                  <c:v>39367</c:v>
                </c:pt>
                <c:pt idx="1955">
                  <c:v>39370</c:v>
                </c:pt>
                <c:pt idx="1956">
                  <c:v>39371</c:v>
                </c:pt>
                <c:pt idx="1957">
                  <c:v>39372</c:v>
                </c:pt>
                <c:pt idx="1958">
                  <c:v>39373</c:v>
                </c:pt>
                <c:pt idx="1959">
                  <c:v>39374</c:v>
                </c:pt>
                <c:pt idx="1960">
                  <c:v>39377</c:v>
                </c:pt>
                <c:pt idx="1961">
                  <c:v>39378</c:v>
                </c:pt>
                <c:pt idx="1962">
                  <c:v>39379</c:v>
                </c:pt>
                <c:pt idx="1963">
                  <c:v>39380</c:v>
                </c:pt>
                <c:pt idx="1964">
                  <c:v>39381</c:v>
                </c:pt>
                <c:pt idx="1965">
                  <c:v>39384</c:v>
                </c:pt>
                <c:pt idx="1966">
                  <c:v>39385</c:v>
                </c:pt>
                <c:pt idx="1967">
                  <c:v>39386</c:v>
                </c:pt>
                <c:pt idx="1968">
                  <c:v>39387</c:v>
                </c:pt>
                <c:pt idx="1969">
                  <c:v>39388</c:v>
                </c:pt>
                <c:pt idx="1970">
                  <c:v>39391</c:v>
                </c:pt>
                <c:pt idx="1971">
                  <c:v>39392</c:v>
                </c:pt>
                <c:pt idx="1972">
                  <c:v>39393</c:v>
                </c:pt>
                <c:pt idx="1973">
                  <c:v>39394</c:v>
                </c:pt>
                <c:pt idx="1974">
                  <c:v>39395</c:v>
                </c:pt>
                <c:pt idx="1975">
                  <c:v>39398</c:v>
                </c:pt>
                <c:pt idx="1976">
                  <c:v>39399</c:v>
                </c:pt>
                <c:pt idx="1977">
                  <c:v>39400</c:v>
                </c:pt>
                <c:pt idx="1978">
                  <c:v>39401</c:v>
                </c:pt>
                <c:pt idx="1979">
                  <c:v>39402</c:v>
                </c:pt>
                <c:pt idx="1980">
                  <c:v>39405</c:v>
                </c:pt>
                <c:pt idx="1981">
                  <c:v>39406</c:v>
                </c:pt>
                <c:pt idx="1982">
                  <c:v>39407</c:v>
                </c:pt>
                <c:pt idx="1983">
                  <c:v>39409</c:v>
                </c:pt>
                <c:pt idx="1984">
                  <c:v>39412</c:v>
                </c:pt>
                <c:pt idx="1985">
                  <c:v>39413</c:v>
                </c:pt>
                <c:pt idx="1986">
                  <c:v>39414</c:v>
                </c:pt>
                <c:pt idx="1987">
                  <c:v>39415</c:v>
                </c:pt>
                <c:pt idx="1988">
                  <c:v>39416</c:v>
                </c:pt>
                <c:pt idx="1989">
                  <c:v>39419</c:v>
                </c:pt>
                <c:pt idx="1990">
                  <c:v>39420</c:v>
                </c:pt>
                <c:pt idx="1991">
                  <c:v>39421</c:v>
                </c:pt>
                <c:pt idx="1992">
                  <c:v>39422</c:v>
                </c:pt>
                <c:pt idx="1993">
                  <c:v>39423</c:v>
                </c:pt>
                <c:pt idx="1994">
                  <c:v>39426</c:v>
                </c:pt>
                <c:pt idx="1995">
                  <c:v>39427</c:v>
                </c:pt>
                <c:pt idx="1996">
                  <c:v>39428</c:v>
                </c:pt>
                <c:pt idx="1997">
                  <c:v>39429</c:v>
                </c:pt>
                <c:pt idx="1998">
                  <c:v>39430</c:v>
                </c:pt>
                <c:pt idx="1999">
                  <c:v>39433</c:v>
                </c:pt>
                <c:pt idx="2000">
                  <c:v>39434</c:v>
                </c:pt>
                <c:pt idx="2001">
                  <c:v>39435</c:v>
                </c:pt>
                <c:pt idx="2002">
                  <c:v>39436</c:v>
                </c:pt>
                <c:pt idx="2003">
                  <c:v>39437</c:v>
                </c:pt>
                <c:pt idx="2004">
                  <c:v>39440</c:v>
                </c:pt>
                <c:pt idx="2005">
                  <c:v>39442</c:v>
                </c:pt>
                <c:pt idx="2006">
                  <c:v>39443</c:v>
                </c:pt>
                <c:pt idx="2007">
                  <c:v>39444</c:v>
                </c:pt>
                <c:pt idx="2008">
                  <c:v>39447</c:v>
                </c:pt>
                <c:pt idx="2009">
                  <c:v>39449</c:v>
                </c:pt>
                <c:pt idx="2010">
                  <c:v>39450</c:v>
                </c:pt>
                <c:pt idx="2011">
                  <c:v>39451</c:v>
                </c:pt>
                <c:pt idx="2012">
                  <c:v>39454</c:v>
                </c:pt>
                <c:pt idx="2013">
                  <c:v>39455</c:v>
                </c:pt>
                <c:pt idx="2014">
                  <c:v>39456</c:v>
                </c:pt>
                <c:pt idx="2015">
                  <c:v>39457</c:v>
                </c:pt>
                <c:pt idx="2016">
                  <c:v>39458</c:v>
                </c:pt>
                <c:pt idx="2017">
                  <c:v>39461</c:v>
                </c:pt>
                <c:pt idx="2018">
                  <c:v>39462</c:v>
                </c:pt>
                <c:pt idx="2019">
                  <c:v>39463</c:v>
                </c:pt>
                <c:pt idx="2020">
                  <c:v>39464</c:v>
                </c:pt>
                <c:pt idx="2021">
                  <c:v>39465</c:v>
                </c:pt>
                <c:pt idx="2022">
                  <c:v>39469</c:v>
                </c:pt>
                <c:pt idx="2023">
                  <c:v>39470</c:v>
                </c:pt>
                <c:pt idx="2024">
                  <c:v>39471</c:v>
                </c:pt>
                <c:pt idx="2025">
                  <c:v>39472</c:v>
                </c:pt>
                <c:pt idx="2026">
                  <c:v>39475</c:v>
                </c:pt>
                <c:pt idx="2027">
                  <c:v>39476</c:v>
                </c:pt>
                <c:pt idx="2028">
                  <c:v>39477</c:v>
                </c:pt>
                <c:pt idx="2029">
                  <c:v>39478</c:v>
                </c:pt>
                <c:pt idx="2030">
                  <c:v>39479</c:v>
                </c:pt>
                <c:pt idx="2031">
                  <c:v>39482</c:v>
                </c:pt>
                <c:pt idx="2032">
                  <c:v>39483</c:v>
                </c:pt>
                <c:pt idx="2033">
                  <c:v>39484</c:v>
                </c:pt>
                <c:pt idx="2034">
                  <c:v>39485</c:v>
                </c:pt>
                <c:pt idx="2035">
                  <c:v>39486</c:v>
                </c:pt>
                <c:pt idx="2036">
                  <c:v>39489</c:v>
                </c:pt>
                <c:pt idx="2037">
                  <c:v>39490</c:v>
                </c:pt>
                <c:pt idx="2038">
                  <c:v>39491</c:v>
                </c:pt>
                <c:pt idx="2039">
                  <c:v>39492</c:v>
                </c:pt>
                <c:pt idx="2040">
                  <c:v>39493</c:v>
                </c:pt>
                <c:pt idx="2041">
                  <c:v>39497</c:v>
                </c:pt>
                <c:pt idx="2042">
                  <c:v>39498</c:v>
                </c:pt>
                <c:pt idx="2043">
                  <c:v>39499</c:v>
                </c:pt>
                <c:pt idx="2044">
                  <c:v>39500</c:v>
                </c:pt>
                <c:pt idx="2045">
                  <c:v>39503</c:v>
                </c:pt>
                <c:pt idx="2046">
                  <c:v>39504</c:v>
                </c:pt>
                <c:pt idx="2047">
                  <c:v>39505</c:v>
                </c:pt>
                <c:pt idx="2048">
                  <c:v>39506</c:v>
                </c:pt>
                <c:pt idx="2049">
                  <c:v>39507</c:v>
                </c:pt>
                <c:pt idx="2050">
                  <c:v>39510</c:v>
                </c:pt>
                <c:pt idx="2051">
                  <c:v>39511</c:v>
                </c:pt>
                <c:pt idx="2052">
                  <c:v>39512</c:v>
                </c:pt>
                <c:pt idx="2053">
                  <c:v>39513</c:v>
                </c:pt>
                <c:pt idx="2054">
                  <c:v>39514</c:v>
                </c:pt>
                <c:pt idx="2055">
                  <c:v>39517</c:v>
                </c:pt>
                <c:pt idx="2056">
                  <c:v>39518</c:v>
                </c:pt>
                <c:pt idx="2057">
                  <c:v>39519</c:v>
                </c:pt>
                <c:pt idx="2058">
                  <c:v>39520</c:v>
                </c:pt>
                <c:pt idx="2059">
                  <c:v>39521</c:v>
                </c:pt>
                <c:pt idx="2060">
                  <c:v>39524</c:v>
                </c:pt>
                <c:pt idx="2061">
                  <c:v>39525</c:v>
                </c:pt>
                <c:pt idx="2062">
                  <c:v>39526</c:v>
                </c:pt>
                <c:pt idx="2063">
                  <c:v>39527</c:v>
                </c:pt>
                <c:pt idx="2064">
                  <c:v>39531</c:v>
                </c:pt>
                <c:pt idx="2065">
                  <c:v>39532</c:v>
                </c:pt>
                <c:pt idx="2066">
                  <c:v>39533</c:v>
                </c:pt>
                <c:pt idx="2067">
                  <c:v>39534</c:v>
                </c:pt>
                <c:pt idx="2068">
                  <c:v>39535</c:v>
                </c:pt>
                <c:pt idx="2069">
                  <c:v>39538</c:v>
                </c:pt>
                <c:pt idx="2070">
                  <c:v>39539</c:v>
                </c:pt>
                <c:pt idx="2071">
                  <c:v>39540</c:v>
                </c:pt>
                <c:pt idx="2072">
                  <c:v>39541</c:v>
                </c:pt>
                <c:pt idx="2073">
                  <c:v>39542</c:v>
                </c:pt>
                <c:pt idx="2074">
                  <c:v>39545</c:v>
                </c:pt>
                <c:pt idx="2075">
                  <c:v>39546</c:v>
                </c:pt>
                <c:pt idx="2076">
                  <c:v>39547</c:v>
                </c:pt>
                <c:pt idx="2077">
                  <c:v>39548</c:v>
                </c:pt>
                <c:pt idx="2078">
                  <c:v>39549</c:v>
                </c:pt>
                <c:pt idx="2079">
                  <c:v>39552</c:v>
                </c:pt>
                <c:pt idx="2080">
                  <c:v>39553</c:v>
                </c:pt>
                <c:pt idx="2081">
                  <c:v>39554</c:v>
                </c:pt>
                <c:pt idx="2082">
                  <c:v>39555</c:v>
                </c:pt>
                <c:pt idx="2083">
                  <c:v>39556</c:v>
                </c:pt>
                <c:pt idx="2084">
                  <c:v>39559</c:v>
                </c:pt>
                <c:pt idx="2085">
                  <c:v>39560</c:v>
                </c:pt>
                <c:pt idx="2086">
                  <c:v>39561</c:v>
                </c:pt>
                <c:pt idx="2087">
                  <c:v>39562</c:v>
                </c:pt>
                <c:pt idx="2088">
                  <c:v>39563</c:v>
                </c:pt>
                <c:pt idx="2089">
                  <c:v>39566</c:v>
                </c:pt>
                <c:pt idx="2090">
                  <c:v>39567</c:v>
                </c:pt>
                <c:pt idx="2091">
                  <c:v>39568</c:v>
                </c:pt>
                <c:pt idx="2092">
                  <c:v>39569</c:v>
                </c:pt>
                <c:pt idx="2093">
                  <c:v>39570</c:v>
                </c:pt>
                <c:pt idx="2094">
                  <c:v>39573</c:v>
                </c:pt>
                <c:pt idx="2095">
                  <c:v>39574</c:v>
                </c:pt>
                <c:pt idx="2096">
                  <c:v>39575</c:v>
                </c:pt>
                <c:pt idx="2097">
                  <c:v>39576</c:v>
                </c:pt>
                <c:pt idx="2098">
                  <c:v>39577</c:v>
                </c:pt>
                <c:pt idx="2099">
                  <c:v>39580</c:v>
                </c:pt>
                <c:pt idx="2100">
                  <c:v>39581</c:v>
                </c:pt>
                <c:pt idx="2101">
                  <c:v>39582</c:v>
                </c:pt>
                <c:pt idx="2102">
                  <c:v>39583</c:v>
                </c:pt>
                <c:pt idx="2103">
                  <c:v>39584</c:v>
                </c:pt>
                <c:pt idx="2104">
                  <c:v>39587</c:v>
                </c:pt>
                <c:pt idx="2105">
                  <c:v>39588</c:v>
                </c:pt>
                <c:pt idx="2106">
                  <c:v>39589</c:v>
                </c:pt>
                <c:pt idx="2107">
                  <c:v>39590</c:v>
                </c:pt>
                <c:pt idx="2108">
                  <c:v>39591</c:v>
                </c:pt>
                <c:pt idx="2109">
                  <c:v>39595</c:v>
                </c:pt>
                <c:pt idx="2110">
                  <c:v>39596</c:v>
                </c:pt>
                <c:pt idx="2111">
                  <c:v>39597</c:v>
                </c:pt>
                <c:pt idx="2112">
                  <c:v>39598</c:v>
                </c:pt>
                <c:pt idx="2113">
                  <c:v>39601</c:v>
                </c:pt>
                <c:pt idx="2114">
                  <c:v>39602</c:v>
                </c:pt>
                <c:pt idx="2115">
                  <c:v>39603</c:v>
                </c:pt>
                <c:pt idx="2116">
                  <c:v>39604</c:v>
                </c:pt>
                <c:pt idx="2117">
                  <c:v>39605</c:v>
                </c:pt>
                <c:pt idx="2118">
                  <c:v>39608</c:v>
                </c:pt>
                <c:pt idx="2119">
                  <c:v>39609</c:v>
                </c:pt>
                <c:pt idx="2120">
                  <c:v>39610</c:v>
                </c:pt>
                <c:pt idx="2121">
                  <c:v>39611</c:v>
                </c:pt>
                <c:pt idx="2122">
                  <c:v>39612</c:v>
                </c:pt>
                <c:pt idx="2123">
                  <c:v>39615</c:v>
                </c:pt>
                <c:pt idx="2124">
                  <c:v>39616</c:v>
                </c:pt>
                <c:pt idx="2125">
                  <c:v>39617</c:v>
                </c:pt>
                <c:pt idx="2126">
                  <c:v>39618</c:v>
                </c:pt>
                <c:pt idx="2127">
                  <c:v>39619</c:v>
                </c:pt>
                <c:pt idx="2128">
                  <c:v>39622</c:v>
                </c:pt>
                <c:pt idx="2129">
                  <c:v>39623</c:v>
                </c:pt>
                <c:pt idx="2130">
                  <c:v>39624</c:v>
                </c:pt>
                <c:pt idx="2131">
                  <c:v>39625</c:v>
                </c:pt>
                <c:pt idx="2132">
                  <c:v>39626</c:v>
                </c:pt>
                <c:pt idx="2133">
                  <c:v>39629</c:v>
                </c:pt>
                <c:pt idx="2134">
                  <c:v>39630</c:v>
                </c:pt>
                <c:pt idx="2135">
                  <c:v>39631</c:v>
                </c:pt>
                <c:pt idx="2136">
                  <c:v>39632</c:v>
                </c:pt>
                <c:pt idx="2137">
                  <c:v>39636</c:v>
                </c:pt>
                <c:pt idx="2138">
                  <c:v>39637</c:v>
                </c:pt>
                <c:pt idx="2139">
                  <c:v>39638</c:v>
                </c:pt>
                <c:pt idx="2140">
                  <c:v>39639</c:v>
                </c:pt>
                <c:pt idx="2141">
                  <c:v>39640</c:v>
                </c:pt>
                <c:pt idx="2142">
                  <c:v>39643</c:v>
                </c:pt>
                <c:pt idx="2143">
                  <c:v>39644</c:v>
                </c:pt>
                <c:pt idx="2144">
                  <c:v>39645</c:v>
                </c:pt>
                <c:pt idx="2145">
                  <c:v>39646</c:v>
                </c:pt>
                <c:pt idx="2146">
                  <c:v>39647</c:v>
                </c:pt>
                <c:pt idx="2147">
                  <c:v>39650</c:v>
                </c:pt>
                <c:pt idx="2148">
                  <c:v>39651</c:v>
                </c:pt>
                <c:pt idx="2149">
                  <c:v>39652</c:v>
                </c:pt>
                <c:pt idx="2150">
                  <c:v>39653</c:v>
                </c:pt>
                <c:pt idx="2151">
                  <c:v>39654</c:v>
                </c:pt>
                <c:pt idx="2152">
                  <c:v>39657</c:v>
                </c:pt>
                <c:pt idx="2153">
                  <c:v>39658</c:v>
                </c:pt>
                <c:pt idx="2154">
                  <c:v>39659</c:v>
                </c:pt>
                <c:pt idx="2155">
                  <c:v>39660</c:v>
                </c:pt>
                <c:pt idx="2156">
                  <c:v>39661</c:v>
                </c:pt>
                <c:pt idx="2157">
                  <c:v>39664</c:v>
                </c:pt>
                <c:pt idx="2158">
                  <c:v>39665</c:v>
                </c:pt>
                <c:pt idx="2159">
                  <c:v>39666</c:v>
                </c:pt>
                <c:pt idx="2160">
                  <c:v>39667</c:v>
                </c:pt>
                <c:pt idx="2161">
                  <c:v>39668</c:v>
                </c:pt>
                <c:pt idx="2162">
                  <c:v>39671</c:v>
                </c:pt>
                <c:pt idx="2163">
                  <c:v>39672</c:v>
                </c:pt>
                <c:pt idx="2164">
                  <c:v>39673</c:v>
                </c:pt>
                <c:pt idx="2165">
                  <c:v>39674</c:v>
                </c:pt>
                <c:pt idx="2166">
                  <c:v>39675</c:v>
                </c:pt>
                <c:pt idx="2167">
                  <c:v>39678</c:v>
                </c:pt>
                <c:pt idx="2168">
                  <c:v>39679</c:v>
                </c:pt>
                <c:pt idx="2169">
                  <c:v>39680</c:v>
                </c:pt>
                <c:pt idx="2170">
                  <c:v>39681</c:v>
                </c:pt>
                <c:pt idx="2171">
                  <c:v>39682</c:v>
                </c:pt>
                <c:pt idx="2172">
                  <c:v>39685</c:v>
                </c:pt>
                <c:pt idx="2173">
                  <c:v>39686</c:v>
                </c:pt>
                <c:pt idx="2174">
                  <c:v>39687</c:v>
                </c:pt>
                <c:pt idx="2175">
                  <c:v>39688</c:v>
                </c:pt>
                <c:pt idx="2176">
                  <c:v>39689</c:v>
                </c:pt>
                <c:pt idx="2177">
                  <c:v>39693</c:v>
                </c:pt>
                <c:pt idx="2178">
                  <c:v>39694</c:v>
                </c:pt>
                <c:pt idx="2179">
                  <c:v>39695</c:v>
                </c:pt>
                <c:pt idx="2180">
                  <c:v>39696</c:v>
                </c:pt>
                <c:pt idx="2181">
                  <c:v>39699</c:v>
                </c:pt>
                <c:pt idx="2182">
                  <c:v>39700</c:v>
                </c:pt>
                <c:pt idx="2183">
                  <c:v>39701</c:v>
                </c:pt>
                <c:pt idx="2184">
                  <c:v>39702</c:v>
                </c:pt>
                <c:pt idx="2185">
                  <c:v>39703</c:v>
                </c:pt>
                <c:pt idx="2186">
                  <c:v>39706</c:v>
                </c:pt>
                <c:pt idx="2187">
                  <c:v>39707</c:v>
                </c:pt>
                <c:pt idx="2188">
                  <c:v>39708</c:v>
                </c:pt>
                <c:pt idx="2189">
                  <c:v>39709</c:v>
                </c:pt>
                <c:pt idx="2190">
                  <c:v>39710</c:v>
                </c:pt>
                <c:pt idx="2191">
                  <c:v>39713</c:v>
                </c:pt>
                <c:pt idx="2192">
                  <c:v>39714</c:v>
                </c:pt>
                <c:pt idx="2193">
                  <c:v>39715</c:v>
                </c:pt>
                <c:pt idx="2194">
                  <c:v>39716</c:v>
                </c:pt>
                <c:pt idx="2195">
                  <c:v>39717</c:v>
                </c:pt>
                <c:pt idx="2196">
                  <c:v>39720</c:v>
                </c:pt>
                <c:pt idx="2197">
                  <c:v>39721</c:v>
                </c:pt>
                <c:pt idx="2198">
                  <c:v>39722</c:v>
                </c:pt>
                <c:pt idx="2199">
                  <c:v>39723</c:v>
                </c:pt>
                <c:pt idx="2200">
                  <c:v>39724</c:v>
                </c:pt>
                <c:pt idx="2201">
                  <c:v>39727</c:v>
                </c:pt>
                <c:pt idx="2202">
                  <c:v>39728</c:v>
                </c:pt>
                <c:pt idx="2203">
                  <c:v>39729</c:v>
                </c:pt>
                <c:pt idx="2204">
                  <c:v>39730</c:v>
                </c:pt>
                <c:pt idx="2205">
                  <c:v>39731</c:v>
                </c:pt>
                <c:pt idx="2206">
                  <c:v>39734</c:v>
                </c:pt>
                <c:pt idx="2207">
                  <c:v>39735</c:v>
                </c:pt>
                <c:pt idx="2208">
                  <c:v>39736</c:v>
                </c:pt>
                <c:pt idx="2209">
                  <c:v>39737</c:v>
                </c:pt>
                <c:pt idx="2210">
                  <c:v>39738</c:v>
                </c:pt>
                <c:pt idx="2211">
                  <c:v>39741</c:v>
                </c:pt>
                <c:pt idx="2212">
                  <c:v>39742</c:v>
                </c:pt>
                <c:pt idx="2213">
                  <c:v>39743</c:v>
                </c:pt>
                <c:pt idx="2214">
                  <c:v>39744</c:v>
                </c:pt>
                <c:pt idx="2215">
                  <c:v>39745</c:v>
                </c:pt>
                <c:pt idx="2216">
                  <c:v>39748</c:v>
                </c:pt>
                <c:pt idx="2217">
                  <c:v>39749</c:v>
                </c:pt>
                <c:pt idx="2218">
                  <c:v>39750</c:v>
                </c:pt>
                <c:pt idx="2219">
                  <c:v>39751</c:v>
                </c:pt>
                <c:pt idx="2220">
                  <c:v>39752</c:v>
                </c:pt>
                <c:pt idx="2221">
                  <c:v>39755</c:v>
                </c:pt>
                <c:pt idx="2222">
                  <c:v>39756</c:v>
                </c:pt>
                <c:pt idx="2223">
                  <c:v>39757</c:v>
                </c:pt>
                <c:pt idx="2224">
                  <c:v>39758</c:v>
                </c:pt>
                <c:pt idx="2225">
                  <c:v>39759</c:v>
                </c:pt>
                <c:pt idx="2226">
                  <c:v>39762</c:v>
                </c:pt>
                <c:pt idx="2227">
                  <c:v>39763</c:v>
                </c:pt>
                <c:pt idx="2228">
                  <c:v>39764</c:v>
                </c:pt>
                <c:pt idx="2229">
                  <c:v>39765</c:v>
                </c:pt>
                <c:pt idx="2230">
                  <c:v>39766</c:v>
                </c:pt>
                <c:pt idx="2231">
                  <c:v>39769</c:v>
                </c:pt>
                <c:pt idx="2232">
                  <c:v>39770</c:v>
                </c:pt>
                <c:pt idx="2233">
                  <c:v>39771</c:v>
                </c:pt>
                <c:pt idx="2234">
                  <c:v>39772</c:v>
                </c:pt>
                <c:pt idx="2235">
                  <c:v>39773</c:v>
                </c:pt>
                <c:pt idx="2236">
                  <c:v>39776</c:v>
                </c:pt>
                <c:pt idx="2237">
                  <c:v>39777</c:v>
                </c:pt>
                <c:pt idx="2238">
                  <c:v>39778</c:v>
                </c:pt>
                <c:pt idx="2239">
                  <c:v>39780</c:v>
                </c:pt>
                <c:pt idx="2240">
                  <c:v>39783</c:v>
                </c:pt>
                <c:pt idx="2241">
                  <c:v>39784</c:v>
                </c:pt>
                <c:pt idx="2242">
                  <c:v>39785</c:v>
                </c:pt>
                <c:pt idx="2243">
                  <c:v>39786</c:v>
                </c:pt>
                <c:pt idx="2244">
                  <c:v>39787</c:v>
                </c:pt>
                <c:pt idx="2245">
                  <c:v>39790</c:v>
                </c:pt>
                <c:pt idx="2246">
                  <c:v>39791</c:v>
                </c:pt>
                <c:pt idx="2247">
                  <c:v>39792</c:v>
                </c:pt>
                <c:pt idx="2248">
                  <c:v>39793</c:v>
                </c:pt>
                <c:pt idx="2249">
                  <c:v>39794</c:v>
                </c:pt>
                <c:pt idx="2250">
                  <c:v>39797</c:v>
                </c:pt>
                <c:pt idx="2251">
                  <c:v>39798</c:v>
                </c:pt>
                <c:pt idx="2252">
                  <c:v>39799</c:v>
                </c:pt>
                <c:pt idx="2253">
                  <c:v>39800</c:v>
                </c:pt>
                <c:pt idx="2254">
                  <c:v>39801</c:v>
                </c:pt>
                <c:pt idx="2255">
                  <c:v>39804</c:v>
                </c:pt>
                <c:pt idx="2256">
                  <c:v>39805</c:v>
                </c:pt>
                <c:pt idx="2257">
                  <c:v>39806</c:v>
                </c:pt>
                <c:pt idx="2258">
                  <c:v>39808</c:v>
                </c:pt>
                <c:pt idx="2259">
                  <c:v>39811</c:v>
                </c:pt>
                <c:pt idx="2260">
                  <c:v>39812</c:v>
                </c:pt>
                <c:pt idx="2261">
                  <c:v>39813</c:v>
                </c:pt>
                <c:pt idx="2262">
                  <c:v>39815</c:v>
                </c:pt>
                <c:pt idx="2263">
                  <c:v>39818</c:v>
                </c:pt>
                <c:pt idx="2264">
                  <c:v>39819</c:v>
                </c:pt>
                <c:pt idx="2265">
                  <c:v>39820</c:v>
                </c:pt>
                <c:pt idx="2266">
                  <c:v>39821</c:v>
                </c:pt>
                <c:pt idx="2267">
                  <c:v>39822</c:v>
                </c:pt>
                <c:pt idx="2268">
                  <c:v>39825</c:v>
                </c:pt>
                <c:pt idx="2269">
                  <c:v>39826</c:v>
                </c:pt>
                <c:pt idx="2270">
                  <c:v>39827</c:v>
                </c:pt>
                <c:pt idx="2271">
                  <c:v>39828</c:v>
                </c:pt>
                <c:pt idx="2272">
                  <c:v>39829</c:v>
                </c:pt>
                <c:pt idx="2273">
                  <c:v>39833</c:v>
                </c:pt>
                <c:pt idx="2274">
                  <c:v>39834</c:v>
                </c:pt>
                <c:pt idx="2275">
                  <c:v>39835</c:v>
                </c:pt>
                <c:pt idx="2276">
                  <c:v>39836</c:v>
                </c:pt>
                <c:pt idx="2277">
                  <c:v>39839</c:v>
                </c:pt>
                <c:pt idx="2278">
                  <c:v>39840</c:v>
                </c:pt>
                <c:pt idx="2279">
                  <c:v>39841</c:v>
                </c:pt>
                <c:pt idx="2280">
                  <c:v>39842</c:v>
                </c:pt>
                <c:pt idx="2281">
                  <c:v>39843</c:v>
                </c:pt>
                <c:pt idx="2282">
                  <c:v>39846</c:v>
                </c:pt>
                <c:pt idx="2283">
                  <c:v>39847</c:v>
                </c:pt>
                <c:pt idx="2284">
                  <c:v>39848</c:v>
                </c:pt>
                <c:pt idx="2285">
                  <c:v>39849</c:v>
                </c:pt>
                <c:pt idx="2286">
                  <c:v>39850</c:v>
                </c:pt>
                <c:pt idx="2287">
                  <c:v>39853</c:v>
                </c:pt>
                <c:pt idx="2288">
                  <c:v>39854</c:v>
                </c:pt>
                <c:pt idx="2289">
                  <c:v>39855</c:v>
                </c:pt>
                <c:pt idx="2290">
                  <c:v>39856</c:v>
                </c:pt>
                <c:pt idx="2291">
                  <c:v>39857</c:v>
                </c:pt>
                <c:pt idx="2292">
                  <c:v>39861</c:v>
                </c:pt>
                <c:pt idx="2293">
                  <c:v>39862</c:v>
                </c:pt>
                <c:pt idx="2294">
                  <c:v>39863</c:v>
                </c:pt>
                <c:pt idx="2295">
                  <c:v>39864</c:v>
                </c:pt>
                <c:pt idx="2296">
                  <c:v>39867</c:v>
                </c:pt>
                <c:pt idx="2297">
                  <c:v>39868</c:v>
                </c:pt>
                <c:pt idx="2298">
                  <c:v>39869</c:v>
                </c:pt>
                <c:pt idx="2299">
                  <c:v>39870</c:v>
                </c:pt>
                <c:pt idx="2300">
                  <c:v>39871</c:v>
                </c:pt>
                <c:pt idx="2301">
                  <c:v>39874</c:v>
                </c:pt>
                <c:pt idx="2302">
                  <c:v>39875</c:v>
                </c:pt>
                <c:pt idx="2303">
                  <c:v>39876</c:v>
                </c:pt>
                <c:pt idx="2304">
                  <c:v>39877</c:v>
                </c:pt>
                <c:pt idx="2305">
                  <c:v>39878</c:v>
                </c:pt>
                <c:pt idx="2306">
                  <c:v>39881</c:v>
                </c:pt>
                <c:pt idx="2307">
                  <c:v>39882</c:v>
                </c:pt>
                <c:pt idx="2308">
                  <c:v>39883</c:v>
                </c:pt>
                <c:pt idx="2309">
                  <c:v>39884</c:v>
                </c:pt>
                <c:pt idx="2310">
                  <c:v>39885</c:v>
                </c:pt>
                <c:pt idx="2311">
                  <c:v>39888</c:v>
                </c:pt>
                <c:pt idx="2312">
                  <c:v>39889</c:v>
                </c:pt>
                <c:pt idx="2313">
                  <c:v>39890</c:v>
                </c:pt>
                <c:pt idx="2314">
                  <c:v>39891</c:v>
                </c:pt>
                <c:pt idx="2315">
                  <c:v>39892</c:v>
                </c:pt>
                <c:pt idx="2316">
                  <c:v>39895</c:v>
                </c:pt>
                <c:pt idx="2317">
                  <c:v>39896</c:v>
                </c:pt>
                <c:pt idx="2318">
                  <c:v>39897</c:v>
                </c:pt>
                <c:pt idx="2319">
                  <c:v>39898</c:v>
                </c:pt>
                <c:pt idx="2320">
                  <c:v>39899</c:v>
                </c:pt>
                <c:pt idx="2321">
                  <c:v>39902</c:v>
                </c:pt>
                <c:pt idx="2322">
                  <c:v>39903</c:v>
                </c:pt>
                <c:pt idx="2323">
                  <c:v>39904</c:v>
                </c:pt>
                <c:pt idx="2324">
                  <c:v>39905</c:v>
                </c:pt>
                <c:pt idx="2325">
                  <c:v>39906</c:v>
                </c:pt>
                <c:pt idx="2326">
                  <c:v>39909</c:v>
                </c:pt>
                <c:pt idx="2327">
                  <c:v>39910</c:v>
                </c:pt>
                <c:pt idx="2328">
                  <c:v>39911</c:v>
                </c:pt>
                <c:pt idx="2329">
                  <c:v>39912</c:v>
                </c:pt>
                <c:pt idx="2330">
                  <c:v>39916</c:v>
                </c:pt>
                <c:pt idx="2331">
                  <c:v>39917</c:v>
                </c:pt>
                <c:pt idx="2332">
                  <c:v>39918</c:v>
                </c:pt>
                <c:pt idx="2333">
                  <c:v>39919</c:v>
                </c:pt>
                <c:pt idx="2334">
                  <c:v>39920</c:v>
                </c:pt>
                <c:pt idx="2335">
                  <c:v>39923</c:v>
                </c:pt>
                <c:pt idx="2336">
                  <c:v>39924</c:v>
                </c:pt>
                <c:pt idx="2337">
                  <c:v>39925</c:v>
                </c:pt>
                <c:pt idx="2338">
                  <c:v>39926</c:v>
                </c:pt>
                <c:pt idx="2339">
                  <c:v>39927</c:v>
                </c:pt>
                <c:pt idx="2340">
                  <c:v>39930</c:v>
                </c:pt>
                <c:pt idx="2341">
                  <c:v>39931</c:v>
                </c:pt>
                <c:pt idx="2342">
                  <c:v>39932</c:v>
                </c:pt>
                <c:pt idx="2343">
                  <c:v>39933</c:v>
                </c:pt>
                <c:pt idx="2344">
                  <c:v>39934</c:v>
                </c:pt>
                <c:pt idx="2345">
                  <c:v>39937</c:v>
                </c:pt>
                <c:pt idx="2346">
                  <c:v>39938</c:v>
                </c:pt>
                <c:pt idx="2347">
                  <c:v>39939</c:v>
                </c:pt>
                <c:pt idx="2348">
                  <c:v>39940</c:v>
                </c:pt>
                <c:pt idx="2349">
                  <c:v>39941</c:v>
                </c:pt>
                <c:pt idx="2350">
                  <c:v>39944</c:v>
                </c:pt>
                <c:pt idx="2351">
                  <c:v>39945</c:v>
                </c:pt>
                <c:pt idx="2352">
                  <c:v>39946</c:v>
                </c:pt>
                <c:pt idx="2353">
                  <c:v>39947</c:v>
                </c:pt>
                <c:pt idx="2354">
                  <c:v>39948</c:v>
                </c:pt>
                <c:pt idx="2355">
                  <c:v>39951</c:v>
                </c:pt>
                <c:pt idx="2356">
                  <c:v>39952</c:v>
                </c:pt>
                <c:pt idx="2357">
                  <c:v>39953</c:v>
                </c:pt>
                <c:pt idx="2358">
                  <c:v>39954</c:v>
                </c:pt>
                <c:pt idx="2359">
                  <c:v>39955</c:v>
                </c:pt>
                <c:pt idx="2360">
                  <c:v>39959</c:v>
                </c:pt>
                <c:pt idx="2361">
                  <c:v>39960</c:v>
                </c:pt>
                <c:pt idx="2362">
                  <c:v>39961</c:v>
                </c:pt>
                <c:pt idx="2363">
                  <c:v>39962</c:v>
                </c:pt>
                <c:pt idx="2364">
                  <c:v>39965</c:v>
                </c:pt>
                <c:pt idx="2365">
                  <c:v>39966</c:v>
                </c:pt>
                <c:pt idx="2366">
                  <c:v>39967</c:v>
                </c:pt>
                <c:pt idx="2367">
                  <c:v>39968</c:v>
                </c:pt>
                <c:pt idx="2368">
                  <c:v>39969</c:v>
                </c:pt>
                <c:pt idx="2369">
                  <c:v>39972</c:v>
                </c:pt>
                <c:pt idx="2370">
                  <c:v>39973</c:v>
                </c:pt>
                <c:pt idx="2371">
                  <c:v>39974</c:v>
                </c:pt>
                <c:pt idx="2372">
                  <c:v>39975</c:v>
                </c:pt>
                <c:pt idx="2373">
                  <c:v>39976</c:v>
                </c:pt>
                <c:pt idx="2374">
                  <c:v>39979</c:v>
                </c:pt>
                <c:pt idx="2375">
                  <c:v>39980</c:v>
                </c:pt>
                <c:pt idx="2376">
                  <c:v>39981</c:v>
                </c:pt>
                <c:pt idx="2377">
                  <c:v>39982</c:v>
                </c:pt>
                <c:pt idx="2378">
                  <c:v>39983</c:v>
                </c:pt>
                <c:pt idx="2379">
                  <c:v>39986</c:v>
                </c:pt>
                <c:pt idx="2380">
                  <c:v>39987</c:v>
                </c:pt>
                <c:pt idx="2381">
                  <c:v>39988</c:v>
                </c:pt>
                <c:pt idx="2382">
                  <c:v>39989</c:v>
                </c:pt>
                <c:pt idx="2383">
                  <c:v>39990</c:v>
                </c:pt>
                <c:pt idx="2384">
                  <c:v>39993</c:v>
                </c:pt>
                <c:pt idx="2385">
                  <c:v>39994</c:v>
                </c:pt>
                <c:pt idx="2386">
                  <c:v>39995</c:v>
                </c:pt>
                <c:pt idx="2387">
                  <c:v>39996</c:v>
                </c:pt>
                <c:pt idx="2388">
                  <c:v>40000</c:v>
                </c:pt>
                <c:pt idx="2389">
                  <c:v>40001</c:v>
                </c:pt>
                <c:pt idx="2390">
                  <c:v>40002</c:v>
                </c:pt>
                <c:pt idx="2391">
                  <c:v>40003</c:v>
                </c:pt>
                <c:pt idx="2392">
                  <c:v>40004</c:v>
                </c:pt>
                <c:pt idx="2393">
                  <c:v>40007</c:v>
                </c:pt>
                <c:pt idx="2394">
                  <c:v>40008</c:v>
                </c:pt>
                <c:pt idx="2395">
                  <c:v>40009</c:v>
                </c:pt>
                <c:pt idx="2396">
                  <c:v>40010</c:v>
                </c:pt>
                <c:pt idx="2397">
                  <c:v>40011</c:v>
                </c:pt>
                <c:pt idx="2398">
                  <c:v>40014</c:v>
                </c:pt>
                <c:pt idx="2399">
                  <c:v>40015</c:v>
                </c:pt>
                <c:pt idx="2400">
                  <c:v>40016</c:v>
                </c:pt>
                <c:pt idx="2401">
                  <c:v>40017</c:v>
                </c:pt>
                <c:pt idx="2402">
                  <c:v>40018</c:v>
                </c:pt>
                <c:pt idx="2403">
                  <c:v>40021</c:v>
                </c:pt>
                <c:pt idx="2404">
                  <c:v>40022</c:v>
                </c:pt>
                <c:pt idx="2405">
                  <c:v>40023</c:v>
                </c:pt>
                <c:pt idx="2406">
                  <c:v>40024</c:v>
                </c:pt>
                <c:pt idx="2407">
                  <c:v>40025</c:v>
                </c:pt>
                <c:pt idx="2408">
                  <c:v>40028</c:v>
                </c:pt>
                <c:pt idx="2409">
                  <c:v>40029</c:v>
                </c:pt>
                <c:pt idx="2410">
                  <c:v>40030</c:v>
                </c:pt>
                <c:pt idx="2411">
                  <c:v>40031</c:v>
                </c:pt>
                <c:pt idx="2412">
                  <c:v>40032</c:v>
                </c:pt>
                <c:pt idx="2413">
                  <c:v>40035</c:v>
                </c:pt>
                <c:pt idx="2414">
                  <c:v>40036</c:v>
                </c:pt>
                <c:pt idx="2415">
                  <c:v>40037</c:v>
                </c:pt>
                <c:pt idx="2416">
                  <c:v>40038</c:v>
                </c:pt>
                <c:pt idx="2417">
                  <c:v>40039</c:v>
                </c:pt>
                <c:pt idx="2418">
                  <c:v>40042</c:v>
                </c:pt>
                <c:pt idx="2419">
                  <c:v>40043</c:v>
                </c:pt>
                <c:pt idx="2420">
                  <c:v>40044</c:v>
                </c:pt>
                <c:pt idx="2421">
                  <c:v>40045</c:v>
                </c:pt>
                <c:pt idx="2422">
                  <c:v>40046</c:v>
                </c:pt>
                <c:pt idx="2423">
                  <c:v>40049</c:v>
                </c:pt>
                <c:pt idx="2424">
                  <c:v>40050</c:v>
                </c:pt>
                <c:pt idx="2425">
                  <c:v>40051</c:v>
                </c:pt>
                <c:pt idx="2426">
                  <c:v>40052</c:v>
                </c:pt>
                <c:pt idx="2427">
                  <c:v>40053</c:v>
                </c:pt>
                <c:pt idx="2428">
                  <c:v>40056</c:v>
                </c:pt>
                <c:pt idx="2429">
                  <c:v>40057</c:v>
                </c:pt>
                <c:pt idx="2430">
                  <c:v>40058</c:v>
                </c:pt>
                <c:pt idx="2431">
                  <c:v>40059</c:v>
                </c:pt>
                <c:pt idx="2432">
                  <c:v>40060</c:v>
                </c:pt>
                <c:pt idx="2433">
                  <c:v>40064</c:v>
                </c:pt>
                <c:pt idx="2434">
                  <c:v>40065</c:v>
                </c:pt>
                <c:pt idx="2435">
                  <c:v>40066</c:v>
                </c:pt>
                <c:pt idx="2436">
                  <c:v>40067</c:v>
                </c:pt>
                <c:pt idx="2437">
                  <c:v>40070</c:v>
                </c:pt>
                <c:pt idx="2438">
                  <c:v>40071</c:v>
                </c:pt>
                <c:pt idx="2439">
                  <c:v>40072</c:v>
                </c:pt>
                <c:pt idx="2440">
                  <c:v>40073</c:v>
                </c:pt>
                <c:pt idx="2441">
                  <c:v>40074</c:v>
                </c:pt>
                <c:pt idx="2442">
                  <c:v>40077</c:v>
                </c:pt>
                <c:pt idx="2443">
                  <c:v>40078</c:v>
                </c:pt>
                <c:pt idx="2444">
                  <c:v>40079</c:v>
                </c:pt>
                <c:pt idx="2445">
                  <c:v>40080</c:v>
                </c:pt>
                <c:pt idx="2446">
                  <c:v>40081</c:v>
                </c:pt>
                <c:pt idx="2447">
                  <c:v>40084</c:v>
                </c:pt>
                <c:pt idx="2448">
                  <c:v>40085</c:v>
                </c:pt>
                <c:pt idx="2449">
                  <c:v>40086</c:v>
                </c:pt>
                <c:pt idx="2450">
                  <c:v>40087</c:v>
                </c:pt>
                <c:pt idx="2451">
                  <c:v>40088</c:v>
                </c:pt>
                <c:pt idx="2452">
                  <c:v>40091</c:v>
                </c:pt>
                <c:pt idx="2453">
                  <c:v>40092</c:v>
                </c:pt>
                <c:pt idx="2454">
                  <c:v>40093</c:v>
                </c:pt>
                <c:pt idx="2455">
                  <c:v>40094</c:v>
                </c:pt>
                <c:pt idx="2456">
                  <c:v>40095</c:v>
                </c:pt>
                <c:pt idx="2457">
                  <c:v>40098</c:v>
                </c:pt>
                <c:pt idx="2458">
                  <c:v>40099</c:v>
                </c:pt>
                <c:pt idx="2459">
                  <c:v>40100</c:v>
                </c:pt>
                <c:pt idx="2460">
                  <c:v>40101</c:v>
                </c:pt>
                <c:pt idx="2461">
                  <c:v>40102</c:v>
                </c:pt>
                <c:pt idx="2462">
                  <c:v>40105</c:v>
                </c:pt>
                <c:pt idx="2463">
                  <c:v>40106</c:v>
                </c:pt>
                <c:pt idx="2464">
                  <c:v>40107</c:v>
                </c:pt>
                <c:pt idx="2465">
                  <c:v>40108</c:v>
                </c:pt>
                <c:pt idx="2466">
                  <c:v>40109</c:v>
                </c:pt>
                <c:pt idx="2467">
                  <c:v>40112</c:v>
                </c:pt>
                <c:pt idx="2468">
                  <c:v>40113</c:v>
                </c:pt>
                <c:pt idx="2469">
                  <c:v>40114</c:v>
                </c:pt>
                <c:pt idx="2470">
                  <c:v>40115</c:v>
                </c:pt>
                <c:pt idx="2471">
                  <c:v>40116</c:v>
                </c:pt>
                <c:pt idx="2472">
                  <c:v>40119</c:v>
                </c:pt>
                <c:pt idx="2473">
                  <c:v>40120</c:v>
                </c:pt>
                <c:pt idx="2474">
                  <c:v>40121</c:v>
                </c:pt>
                <c:pt idx="2475">
                  <c:v>40122</c:v>
                </c:pt>
                <c:pt idx="2476">
                  <c:v>40123</c:v>
                </c:pt>
                <c:pt idx="2477">
                  <c:v>40126</c:v>
                </c:pt>
                <c:pt idx="2478">
                  <c:v>40127</c:v>
                </c:pt>
                <c:pt idx="2479">
                  <c:v>40128</c:v>
                </c:pt>
                <c:pt idx="2480">
                  <c:v>40129</c:v>
                </c:pt>
                <c:pt idx="2481">
                  <c:v>40130</c:v>
                </c:pt>
                <c:pt idx="2482">
                  <c:v>40133</c:v>
                </c:pt>
                <c:pt idx="2483">
                  <c:v>40134</c:v>
                </c:pt>
                <c:pt idx="2484">
                  <c:v>40135</c:v>
                </c:pt>
                <c:pt idx="2485">
                  <c:v>40136</c:v>
                </c:pt>
                <c:pt idx="2486">
                  <c:v>40137</c:v>
                </c:pt>
                <c:pt idx="2487">
                  <c:v>40140</c:v>
                </c:pt>
                <c:pt idx="2488">
                  <c:v>40141</c:v>
                </c:pt>
                <c:pt idx="2489">
                  <c:v>40142</c:v>
                </c:pt>
                <c:pt idx="2490">
                  <c:v>40144</c:v>
                </c:pt>
                <c:pt idx="2491">
                  <c:v>40147</c:v>
                </c:pt>
                <c:pt idx="2492">
                  <c:v>40148</c:v>
                </c:pt>
                <c:pt idx="2493">
                  <c:v>40149</c:v>
                </c:pt>
                <c:pt idx="2494">
                  <c:v>40150</c:v>
                </c:pt>
                <c:pt idx="2495">
                  <c:v>40151</c:v>
                </c:pt>
                <c:pt idx="2496">
                  <c:v>40154</c:v>
                </c:pt>
                <c:pt idx="2497">
                  <c:v>40155</c:v>
                </c:pt>
                <c:pt idx="2498">
                  <c:v>40156</c:v>
                </c:pt>
                <c:pt idx="2499">
                  <c:v>40157</c:v>
                </c:pt>
                <c:pt idx="2500">
                  <c:v>40158</c:v>
                </c:pt>
                <c:pt idx="2501">
                  <c:v>40161</c:v>
                </c:pt>
                <c:pt idx="2502">
                  <c:v>40162</c:v>
                </c:pt>
                <c:pt idx="2503">
                  <c:v>40163</c:v>
                </c:pt>
                <c:pt idx="2504">
                  <c:v>40164</c:v>
                </c:pt>
                <c:pt idx="2505">
                  <c:v>40165</c:v>
                </c:pt>
                <c:pt idx="2506">
                  <c:v>40168</c:v>
                </c:pt>
                <c:pt idx="2507">
                  <c:v>40169</c:v>
                </c:pt>
                <c:pt idx="2508">
                  <c:v>40170</c:v>
                </c:pt>
                <c:pt idx="2509">
                  <c:v>40171</c:v>
                </c:pt>
                <c:pt idx="2510">
                  <c:v>40175</c:v>
                </c:pt>
                <c:pt idx="2511">
                  <c:v>40176</c:v>
                </c:pt>
                <c:pt idx="2512">
                  <c:v>40177</c:v>
                </c:pt>
                <c:pt idx="2513">
                  <c:v>40178</c:v>
                </c:pt>
                <c:pt idx="2514">
                  <c:v>40182</c:v>
                </c:pt>
                <c:pt idx="2515">
                  <c:v>40183</c:v>
                </c:pt>
                <c:pt idx="2516">
                  <c:v>40184</c:v>
                </c:pt>
                <c:pt idx="2517">
                  <c:v>40185</c:v>
                </c:pt>
                <c:pt idx="2518">
                  <c:v>40186</c:v>
                </c:pt>
                <c:pt idx="2519">
                  <c:v>40189</c:v>
                </c:pt>
                <c:pt idx="2520">
                  <c:v>40190</c:v>
                </c:pt>
                <c:pt idx="2521">
                  <c:v>40191</c:v>
                </c:pt>
                <c:pt idx="2522">
                  <c:v>40192</c:v>
                </c:pt>
                <c:pt idx="2523">
                  <c:v>40193</c:v>
                </c:pt>
                <c:pt idx="2524">
                  <c:v>40197</c:v>
                </c:pt>
                <c:pt idx="2525">
                  <c:v>40198</c:v>
                </c:pt>
                <c:pt idx="2526">
                  <c:v>40199</c:v>
                </c:pt>
                <c:pt idx="2527">
                  <c:v>40200</c:v>
                </c:pt>
                <c:pt idx="2528">
                  <c:v>40203</c:v>
                </c:pt>
                <c:pt idx="2529">
                  <c:v>40204</c:v>
                </c:pt>
                <c:pt idx="2530">
                  <c:v>40205</c:v>
                </c:pt>
                <c:pt idx="2531">
                  <c:v>40206</c:v>
                </c:pt>
                <c:pt idx="2532">
                  <c:v>40207</c:v>
                </c:pt>
                <c:pt idx="2533">
                  <c:v>40210</c:v>
                </c:pt>
                <c:pt idx="2534">
                  <c:v>40211</c:v>
                </c:pt>
                <c:pt idx="2535">
                  <c:v>40212</c:v>
                </c:pt>
                <c:pt idx="2536">
                  <c:v>40213</c:v>
                </c:pt>
                <c:pt idx="2537">
                  <c:v>40214</c:v>
                </c:pt>
                <c:pt idx="2538">
                  <c:v>40217</c:v>
                </c:pt>
                <c:pt idx="2539">
                  <c:v>40218</c:v>
                </c:pt>
                <c:pt idx="2540">
                  <c:v>40219</c:v>
                </c:pt>
                <c:pt idx="2541">
                  <c:v>40220</c:v>
                </c:pt>
                <c:pt idx="2542">
                  <c:v>40221</c:v>
                </c:pt>
                <c:pt idx="2543">
                  <c:v>40225</c:v>
                </c:pt>
                <c:pt idx="2544">
                  <c:v>40226</c:v>
                </c:pt>
                <c:pt idx="2545">
                  <c:v>40227</c:v>
                </c:pt>
                <c:pt idx="2546">
                  <c:v>40228</c:v>
                </c:pt>
                <c:pt idx="2547">
                  <c:v>40231</c:v>
                </c:pt>
                <c:pt idx="2548">
                  <c:v>40232</c:v>
                </c:pt>
                <c:pt idx="2549">
                  <c:v>40233</c:v>
                </c:pt>
                <c:pt idx="2550">
                  <c:v>40234</c:v>
                </c:pt>
                <c:pt idx="2551">
                  <c:v>40235</c:v>
                </c:pt>
                <c:pt idx="2552">
                  <c:v>40238</c:v>
                </c:pt>
                <c:pt idx="2553">
                  <c:v>40239</c:v>
                </c:pt>
                <c:pt idx="2554">
                  <c:v>40240</c:v>
                </c:pt>
                <c:pt idx="2555">
                  <c:v>40241</c:v>
                </c:pt>
                <c:pt idx="2556">
                  <c:v>40242</c:v>
                </c:pt>
                <c:pt idx="2557">
                  <c:v>40245</c:v>
                </c:pt>
                <c:pt idx="2558">
                  <c:v>40246</c:v>
                </c:pt>
                <c:pt idx="2559">
                  <c:v>40247</c:v>
                </c:pt>
                <c:pt idx="2560">
                  <c:v>40248</c:v>
                </c:pt>
                <c:pt idx="2561">
                  <c:v>40249</c:v>
                </c:pt>
                <c:pt idx="2562">
                  <c:v>40252</c:v>
                </c:pt>
                <c:pt idx="2563">
                  <c:v>40253</c:v>
                </c:pt>
                <c:pt idx="2564">
                  <c:v>40254</c:v>
                </c:pt>
                <c:pt idx="2565">
                  <c:v>40255</c:v>
                </c:pt>
                <c:pt idx="2566">
                  <c:v>40256</c:v>
                </c:pt>
                <c:pt idx="2567">
                  <c:v>40259</c:v>
                </c:pt>
                <c:pt idx="2568">
                  <c:v>40260</c:v>
                </c:pt>
                <c:pt idx="2569">
                  <c:v>40261</c:v>
                </c:pt>
                <c:pt idx="2570">
                  <c:v>40262</c:v>
                </c:pt>
                <c:pt idx="2571">
                  <c:v>40263</c:v>
                </c:pt>
                <c:pt idx="2572">
                  <c:v>40266</c:v>
                </c:pt>
                <c:pt idx="2573">
                  <c:v>40267</c:v>
                </c:pt>
                <c:pt idx="2574">
                  <c:v>40268</c:v>
                </c:pt>
                <c:pt idx="2575">
                  <c:v>40269</c:v>
                </c:pt>
                <c:pt idx="2576">
                  <c:v>40273</c:v>
                </c:pt>
                <c:pt idx="2577">
                  <c:v>40274</c:v>
                </c:pt>
                <c:pt idx="2578">
                  <c:v>40275</c:v>
                </c:pt>
                <c:pt idx="2579">
                  <c:v>40276</c:v>
                </c:pt>
                <c:pt idx="2580">
                  <c:v>40277</c:v>
                </c:pt>
                <c:pt idx="2581">
                  <c:v>40280</c:v>
                </c:pt>
                <c:pt idx="2582">
                  <c:v>40281</c:v>
                </c:pt>
                <c:pt idx="2583">
                  <c:v>40282</c:v>
                </c:pt>
                <c:pt idx="2584">
                  <c:v>40283</c:v>
                </c:pt>
                <c:pt idx="2585">
                  <c:v>40284</c:v>
                </c:pt>
                <c:pt idx="2586">
                  <c:v>40287</c:v>
                </c:pt>
                <c:pt idx="2587">
                  <c:v>40288</c:v>
                </c:pt>
                <c:pt idx="2588">
                  <c:v>40289</c:v>
                </c:pt>
                <c:pt idx="2589">
                  <c:v>40290</c:v>
                </c:pt>
                <c:pt idx="2590">
                  <c:v>40291</c:v>
                </c:pt>
                <c:pt idx="2591">
                  <c:v>40294</c:v>
                </c:pt>
                <c:pt idx="2592">
                  <c:v>40295</c:v>
                </c:pt>
                <c:pt idx="2593">
                  <c:v>40296</c:v>
                </c:pt>
                <c:pt idx="2594">
                  <c:v>40297</c:v>
                </c:pt>
                <c:pt idx="2595">
                  <c:v>40298</c:v>
                </c:pt>
                <c:pt idx="2596">
                  <c:v>40301</c:v>
                </c:pt>
                <c:pt idx="2597">
                  <c:v>40302</c:v>
                </c:pt>
                <c:pt idx="2598">
                  <c:v>40303</c:v>
                </c:pt>
                <c:pt idx="2599">
                  <c:v>40304</c:v>
                </c:pt>
                <c:pt idx="2600">
                  <c:v>40305</c:v>
                </c:pt>
                <c:pt idx="2601">
                  <c:v>40308</c:v>
                </c:pt>
                <c:pt idx="2602">
                  <c:v>40309</c:v>
                </c:pt>
                <c:pt idx="2603">
                  <c:v>40310</c:v>
                </c:pt>
                <c:pt idx="2604">
                  <c:v>40311</c:v>
                </c:pt>
                <c:pt idx="2605">
                  <c:v>40312</c:v>
                </c:pt>
                <c:pt idx="2606">
                  <c:v>40315</c:v>
                </c:pt>
                <c:pt idx="2607">
                  <c:v>40316</c:v>
                </c:pt>
                <c:pt idx="2608">
                  <c:v>40317</c:v>
                </c:pt>
                <c:pt idx="2609">
                  <c:v>40318</c:v>
                </c:pt>
                <c:pt idx="2610">
                  <c:v>40319</c:v>
                </c:pt>
                <c:pt idx="2611">
                  <c:v>40322</c:v>
                </c:pt>
                <c:pt idx="2612">
                  <c:v>40323</c:v>
                </c:pt>
                <c:pt idx="2613">
                  <c:v>40324</c:v>
                </c:pt>
                <c:pt idx="2614">
                  <c:v>40325</c:v>
                </c:pt>
                <c:pt idx="2615">
                  <c:v>40326</c:v>
                </c:pt>
                <c:pt idx="2616">
                  <c:v>40330</c:v>
                </c:pt>
                <c:pt idx="2617">
                  <c:v>40331</c:v>
                </c:pt>
                <c:pt idx="2618">
                  <c:v>40332</c:v>
                </c:pt>
                <c:pt idx="2619">
                  <c:v>40333</c:v>
                </c:pt>
                <c:pt idx="2620">
                  <c:v>40336</c:v>
                </c:pt>
                <c:pt idx="2621">
                  <c:v>40337</c:v>
                </c:pt>
                <c:pt idx="2622">
                  <c:v>40338</c:v>
                </c:pt>
                <c:pt idx="2623">
                  <c:v>40339</c:v>
                </c:pt>
                <c:pt idx="2624">
                  <c:v>40340</c:v>
                </c:pt>
                <c:pt idx="2625">
                  <c:v>40343</c:v>
                </c:pt>
                <c:pt idx="2626">
                  <c:v>40344</c:v>
                </c:pt>
                <c:pt idx="2627">
                  <c:v>40345</c:v>
                </c:pt>
                <c:pt idx="2628">
                  <c:v>40346</c:v>
                </c:pt>
                <c:pt idx="2629">
                  <c:v>40347</c:v>
                </c:pt>
                <c:pt idx="2630">
                  <c:v>40350</c:v>
                </c:pt>
                <c:pt idx="2631">
                  <c:v>40351</c:v>
                </c:pt>
                <c:pt idx="2632">
                  <c:v>40352</c:v>
                </c:pt>
                <c:pt idx="2633">
                  <c:v>40353</c:v>
                </c:pt>
                <c:pt idx="2634">
                  <c:v>40354</c:v>
                </c:pt>
                <c:pt idx="2635">
                  <c:v>40357</c:v>
                </c:pt>
                <c:pt idx="2636">
                  <c:v>40358</c:v>
                </c:pt>
                <c:pt idx="2637">
                  <c:v>40359</c:v>
                </c:pt>
                <c:pt idx="2638">
                  <c:v>40360</c:v>
                </c:pt>
                <c:pt idx="2639">
                  <c:v>40361</c:v>
                </c:pt>
                <c:pt idx="2640">
                  <c:v>40365</c:v>
                </c:pt>
                <c:pt idx="2641">
                  <c:v>40366</c:v>
                </c:pt>
                <c:pt idx="2642">
                  <c:v>40367</c:v>
                </c:pt>
                <c:pt idx="2643">
                  <c:v>40368</c:v>
                </c:pt>
                <c:pt idx="2644">
                  <c:v>40371</c:v>
                </c:pt>
                <c:pt idx="2645">
                  <c:v>40372</c:v>
                </c:pt>
                <c:pt idx="2646">
                  <c:v>40373</c:v>
                </c:pt>
                <c:pt idx="2647">
                  <c:v>40374</c:v>
                </c:pt>
                <c:pt idx="2648">
                  <c:v>40375</c:v>
                </c:pt>
                <c:pt idx="2649">
                  <c:v>40378</c:v>
                </c:pt>
                <c:pt idx="2650">
                  <c:v>40379</c:v>
                </c:pt>
                <c:pt idx="2651">
                  <c:v>40380</c:v>
                </c:pt>
                <c:pt idx="2652">
                  <c:v>40381</c:v>
                </c:pt>
                <c:pt idx="2653">
                  <c:v>40382</c:v>
                </c:pt>
                <c:pt idx="2654">
                  <c:v>40385</c:v>
                </c:pt>
                <c:pt idx="2655">
                  <c:v>40386</c:v>
                </c:pt>
                <c:pt idx="2656">
                  <c:v>40387</c:v>
                </c:pt>
                <c:pt idx="2657">
                  <c:v>40388</c:v>
                </c:pt>
                <c:pt idx="2658">
                  <c:v>40389</c:v>
                </c:pt>
                <c:pt idx="2659">
                  <c:v>40392</c:v>
                </c:pt>
                <c:pt idx="2660">
                  <c:v>40393</c:v>
                </c:pt>
                <c:pt idx="2661">
                  <c:v>40394</c:v>
                </c:pt>
                <c:pt idx="2662">
                  <c:v>40395</c:v>
                </c:pt>
                <c:pt idx="2663">
                  <c:v>40396</c:v>
                </c:pt>
                <c:pt idx="2664">
                  <c:v>40399</c:v>
                </c:pt>
                <c:pt idx="2665">
                  <c:v>40400</c:v>
                </c:pt>
                <c:pt idx="2666">
                  <c:v>40401</c:v>
                </c:pt>
                <c:pt idx="2667">
                  <c:v>40402</c:v>
                </c:pt>
                <c:pt idx="2668">
                  <c:v>40403</c:v>
                </c:pt>
                <c:pt idx="2669">
                  <c:v>40406</c:v>
                </c:pt>
                <c:pt idx="2670">
                  <c:v>40407</c:v>
                </c:pt>
                <c:pt idx="2671">
                  <c:v>40408</c:v>
                </c:pt>
                <c:pt idx="2672">
                  <c:v>40409</c:v>
                </c:pt>
                <c:pt idx="2673">
                  <c:v>40410</c:v>
                </c:pt>
                <c:pt idx="2674">
                  <c:v>40413</c:v>
                </c:pt>
                <c:pt idx="2675">
                  <c:v>40414</c:v>
                </c:pt>
                <c:pt idx="2676">
                  <c:v>40415</c:v>
                </c:pt>
                <c:pt idx="2677">
                  <c:v>40416</c:v>
                </c:pt>
                <c:pt idx="2678">
                  <c:v>40417</c:v>
                </c:pt>
                <c:pt idx="2679">
                  <c:v>40420</c:v>
                </c:pt>
                <c:pt idx="2680">
                  <c:v>40421</c:v>
                </c:pt>
                <c:pt idx="2681">
                  <c:v>40422</c:v>
                </c:pt>
                <c:pt idx="2682">
                  <c:v>40423</c:v>
                </c:pt>
                <c:pt idx="2683">
                  <c:v>40424</c:v>
                </c:pt>
                <c:pt idx="2684">
                  <c:v>40428</c:v>
                </c:pt>
                <c:pt idx="2685">
                  <c:v>40429</c:v>
                </c:pt>
                <c:pt idx="2686">
                  <c:v>40430</c:v>
                </c:pt>
                <c:pt idx="2687">
                  <c:v>40431</c:v>
                </c:pt>
                <c:pt idx="2688">
                  <c:v>40434</c:v>
                </c:pt>
                <c:pt idx="2689">
                  <c:v>40435</c:v>
                </c:pt>
                <c:pt idx="2690">
                  <c:v>40436</c:v>
                </c:pt>
                <c:pt idx="2691">
                  <c:v>40437</c:v>
                </c:pt>
                <c:pt idx="2692">
                  <c:v>40438</c:v>
                </c:pt>
                <c:pt idx="2693">
                  <c:v>40441</c:v>
                </c:pt>
                <c:pt idx="2694">
                  <c:v>40442</c:v>
                </c:pt>
                <c:pt idx="2695">
                  <c:v>40443</c:v>
                </c:pt>
                <c:pt idx="2696">
                  <c:v>40444</c:v>
                </c:pt>
                <c:pt idx="2697">
                  <c:v>40445</c:v>
                </c:pt>
                <c:pt idx="2698">
                  <c:v>40448</c:v>
                </c:pt>
                <c:pt idx="2699">
                  <c:v>40449</c:v>
                </c:pt>
                <c:pt idx="2700">
                  <c:v>40450</c:v>
                </c:pt>
                <c:pt idx="2701">
                  <c:v>40451</c:v>
                </c:pt>
                <c:pt idx="2702">
                  <c:v>40452</c:v>
                </c:pt>
                <c:pt idx="2703">
                  <c:v>40455</c:v>
                </c:pt>
                <c:pt idx="2704">
                  <c:v>40456</c:v>
                </c:pt>
                <c:pt idx="2705">
                  <c:v>40457</c:v>
                </c:pt>
                <c:pt idx="2706">
                  <c:v>40458</c:v>
                </c:pt>
                <c:pt idx="2707">
                  <c:v>40459</c:v>
                </c:pt>
                <c:pt idx="2708">
                  <c:v>40462</c:v>
                </c:pt>
                <c:pt idx="2709">
                  <c:v>40463</c:v>
                </c:pt>
                <c:pt idx="2710">
                  <c:v>40464</c:v>
                </c:pt>
                <c:pt idx="2711">
                  <c:v>40465</c:v>
                </c:pt>
                <c:pt idx="2712">
                  <c:v>40466</c:v>
                </c:pt>
                <c:pt idx="2713">
                  <c:v>40469</c:v>
                </c:pt>
                <c:pt idx="2714">
                  <c:v>40470</c:v>
                </c:pt>
                <c:pt idx="2715">
                  <c:v>40471</c:v>
                </c:pt>
                <c:pt idx="2716">
                  <c:v>40472</c:v>
                </c:pt>
                <c:pt idx="2717">
                  <c:v>40473</c:v>
                </c:pt>
                <c:pt idx="2718">
                  <c:v>40476</c:v>
                </c:pt>
                <c:pt idx="2719">
                  <c:v>40477</c:v>
                </c:pt>
                <c:pt idx="2720">
                  <c:v>40478</c:v>
                </c:pt>
                <c:pt idx="2721">
                  <c:v>40479</c:v>
                </c:pt>
                <c:pt idx="2722">
                  <c:v>40480</c:v>
                </c:pt>
                <c:pt idx="2723">
                  <c:v>40483</c:v>
                </c:pt>
                <c:pt idx="2724">
                  <c:v>40484</c:v>
                </c:pt>
                <c:pt idx="2725">
                  <c:v>40485</c:v>
                </c:pt>
                <c:pt idx="2726">
                  <c:v>40486</c:v>
                </c:pt>
                <c:pt idx="2727">
                  <c:v>40487</c:v>
                </c:pt>
                <c:pt idx="2728">
                  <c:v>40490</c:v>
                </c:pt>
                <c:pt idx="2729">
                  <c:v>40491</c:v>
                </c:pt>
                <c:pt idx="2730">
                  <c:v>40492</c:v>
                </c:pt>
                <c:pt idx="2731">
                  <c:v>40493</c:v>
                </c:pt>
                <c:pt idx="2732">
                  <c:v>40494</c:v>
                </c:pt>
                <c:pt idx="2733">
                  <c:v>40497</c:v>
                </c:pt>
                <c:pt idx="2734">
                  <c:v>40498</c:v>
                </c:pt>
                <c:pt idx="2735">
                  <c:v>40499</c:v>
                </c:pt>
                <c:pt idx="2736">
                  <c:v>40500</c:v>
                </c:pt>
                <c:pt idx="2737">
                  <c:v>40501</c:v>
                </c:pt>
                <c:pt idx="2738">
                  <c:v>40504</c:v>
                </c:pt>
                <c:pt idx="2739">
                  <c:v>40505</c:v>
                </c:pt>
                <c:pt idx="2740">
                  <c:v>40506</c:v>
                </c:pt>
                <c:pt idx="2741">
                  <c:v>40508</c:v>
                </c:pt>
                <c:pt idx="2742">
                  <c:v>40511</c:v>
                </c:pt>
                <c:pt idx="2743">
                  <c:v>40512</c:v>
                </c:pt>
                <c:pt idx="2744">
                  <c:v>40513</c:v>
                </c:pt>
                <c:pt idx="2745">
                  <c:v>40514</c:v>
                </c:pt>
                <c:pt idx="2746">
                  <c:v>40515</c:v>
                </c:pt>
                <c:pt idx="2747">
                  <c:v>40518</c:v>
                </c:pt>
                <c:pt idx="2748">
                  <c:v>40519</c:v>
                </c:pt>
                <c:pt idx="2749">
                  <c:v>40520</c:v>
                </c:pt>
                <c:pt idx="2750">
                  <c:v>40521</c:v>
                </c:pt>
                <c:pt idx="2751">
                  <c:v>40522</c:v>
                </c:pt>
                <c:pt idx="2752">
                  <c:v>40525</c:v>
                </c:pt>
                <c:pt idx="2753">
                  <c:v>40526</c:v>
                </c:pt>
                <c:pt idx="2754">
                  <c:v>40527</c:v>
                </c:pt>
                <c:pt idx="2755">
                  <c:v>40528</c:v>
                </c:pt>
                <c:pt idx="2756">
                  <c:v>40529</c:v>
                </c:pt>
                <c:pt idx="2757">
                  <c:v>40532</c:v>
                </c:pt>
                <c:pt idx="2758">
                  <c:v>40533</c:v>
                </c:pt>
                <c:pt idx="2759">
                  <c:v>40534</c:v>
                </c:pt>
                <c:pt idx="2760">
                  <c:v>40535</c:v>
                </c:pt>
                <c:pt idx="2761">
                  <c:v>40539</c:v>
                </c:pt>
                <c:pt idx="2762">
                  <c:v>40540</c:v>
                </c:pt>
                <c:pt idx="2763">
                  <c:v>40541</c:v>
                </c:pt>
                <c:pt idx="2764">
                  <c:v>40542</c:v>
                </c:pt>
                <c:pt idx="2765">
                  <c:v>40543</c:v>
                </c:pt>
                <c:pt idx="2766">
                  <c:v>40546</c:v>
                </c:pt>
                <c:pt idx="2767">
                  <c:v>40547</c:v>
                </c:pt>
                <c:pt idx="2768">
                  <c:v>40548</c:v>
                </c:pt>
                <c:pt idx="2769">
                  <c:v>40549</c:v>
                </c:pt>
                <c:pt idx="2770">
                  <c:v>40550</c:v>
                </c:pt>
                <c:pt idx="2771">
                  <c:v>40553</c:v>
                </c:pt>
                <c:pt idx="2772">
                  <c:v>40554</c:v>
                </c:pt>
                <c:pt idx="2773">
                  <c:v>40555</c:v>
                </c:pt>
                <c:pt idx="2774">
                  <c:v>40556</c:v>
                </c:pt>
                <c:pt idx="2775">
                  <c:v>40557</c:v>
                </c:pt>
                <c:pt idx="2776">
                  <c:v>40561</c:v>
                </c:pt>
                <c:pt idx="2777">
                  <c:v>40562</c:v>
                </c:pt>
                <c:pt idx="2778">
                  <c:v>40563</c:v>
                </c:pt>
                <c:pt idx="2779">
                  <c:v>40564</c:v>
                </c:pt>
                <c:pt idx="2780">
                  <c:v>40567</c:v>
                </c:pt>
                <c:pt idx="2781">
                  <c:v>40568</c:v>
                </c:pt>
                <c:pt idx="2782">
                  <c:v>40569</c:v>
                </c:pt>
                <c:pt idx="2783">
                  <c:v>40570</c:v>
                </c:pt>
                <c:pt idx="2784">
                  <c:v>40571</c:v>
                </c:pt>
                <c:pt idx="2785">
                  <c:v>40574</c:v>
                </c:pt>
                <c:pt idx="2786">
                  <c:v>40575</c:v>
                </c:pt>
                <c:pt idx="2787">
                  <c:v>40576</c:v>
                </c:pt>
                <c:pt idx="2788">
                  <c:v>40577</c:v>
                </c:pt>
                <c:pt idx="2789">
                  <c:v>40578</c:v>
                </c:pt>
                <c:pt idx="2790">
                  <c:v>40581</c:v>
                </c:pt>
                <c:pt idx="2791">
                  <c:v>40582</c:v>
                </c:pt>
                <c:pt idx="2792">
                  <c:v>40583</c:v>
                </c:pt>
                <c:pt idx="2793">
                  <c:v>40584</c:v>
                </c:pt>
                <c:pt idx="2794">
                  <c:v>40585</c:v>
                </c:pt>
                <c:pt idx="2795">
                  <c:v>40588</c:v>
                </c:pt>
                <c:pt idx="2796">
                  <c:v>40589</c:v>
                </c:pt>
                <c:pt idx="2797">
                  <c:v>40590</c:v>
                </c:pt>
                <c:pt idx="2798">
                  <c:v>40591</c:v>
                </c:pt>
                <c:pt idx="2799">
                  <c:v>40592</c:v>
                </c:pt>
                <c:pt idx="2800">
                  <c:v>40596</c:v>
                </c:pt>
                <c:pt idx="2801">
                  <c:v>40597</c:v>
                </c:pt>
                <c:pt idx="2802">
                  <c:v>40598</c:v>
                </c:pt>
                <c:pt idx="2803">
                  <c:v>40599</c:v>
                </c:pt>
                <c:pt idx="2804">
                  <c:v>40602</c:v>
                </c:pt>
                <c:pt idx="2805">
                  <c:v>40603</c:v>
                </c:pt>
                <c:pt idx="2806">
                  <c:v>40604</c:v>
                </c:pt>
                <c:pt idx="2807">
                  <c:v>40605</c:v>
                </c:pt>
                <c:pt idx="2808">
                  <c:v>40606</c:v>
                </c:pt>
                <c:pt idx="2809">
                  <c:v>40609</c:v>
                </c:pt>
                <c:pt idx="2810">
                  <c:v>40610</c:v>
                </c:pt>
                <c:pt idx="2811">
                  <c:v>40611</c:v>
                </c:pt>
                <c:pt idx="2812">
                  <c:v>40612</c:v>
                </c:pt>
                <c:pt idx="2813">
                  <c:v>40613</c:v>
                </c:pt>
                <c:pt idx="2814">
                  <c:v>40616</c:v>
                </c:pt>
                <c:pt idx="2815">
                  <c:v>40617</c:v>
                </c:pt>
                <c:pt idx="2816">
                  <c:v>40618</c:v>
                </c:pt>
                <c:pt idx="2817">
                  <c:v>40619</c:v>
                </c:pt>
                <c:pt idx="2818">
                  <c:v>40620</c:v>
                </c:pt>
                <c:pt idx="2819">
                  <c:v>40623</c:v>
                </c:pt>
                <c:pt idx="2820">
                  <c:v>40624</c:v>
                </c:pt>
                <c:pt idx="2821">
                  <c:v>40625</c:v>
                </c:pt>
                <c:pt idx="2822">
                  <c:v>40626</c:v>
                </c:pt>
                <c:pt idx="2823">
                  <c:v>40627</c:v>
                </c:pt>
                <c:pt idx="2824">
                  <c:v>40630</c:v>
                </c:pt>
                <c:pt idx="2825">
                  <c:v>40631</c:v>
                </c:pt>
                <c:pt idx="2826">
                  <c:v>40632</c:v>
                </c:pt>
                <c:pt idx="2827">
                  <c:v>40633</c:v>
                </c:pt>
                <c:pt idx="2828">
                  <c:v>40634</c:v>
                </c:pt>
                <c:pt idx="2829">
                  <c:v>40637</c:v>
                </c:pt>
                <c:pt idx="2830">
                  <c:v>40638</c:v>
                </c:pt>
                <c:pt idx="2831">
                  <c:v>40639</c:v>
                </c:pt>
                <c:pt idx="2832">
                  <c:v>40640</c:v>
                </c:pt>
                <c:pt idx="2833">
                  <c:v>40641</c:v>
                </c:pt>
                <c:pt idx="2834">
                  <c:v>40644</c:v>
                </c:pt>
                <c:pt idx="2835">
                  <c:v>40645</c:v>
                </c:pt>
                <c:pt idx="2836">
                  <c:v>40646</c:v>
                </c:pt>
                <c:pt idx="2837">
                  <c:v>40647</c:v>
                </c:pt>
                <c:pt idx="2838">
                  <c:v>40648</c:v>
                </c:pt>
                <c:pt idx="2839">
                  <c:v>40651</c:v>
                </c:pt>
                <c:pt idx="2840">
                  <c:v>40652</c:v>
                </c:pt>
                <c:pt idx="2841">
                  <c:v>40653</c:v>
                </c:pt>
                <c:pt idx="2842">
                  <c:v>40654</c:v>
                </c:pt>
                <c:pt idx="2843">
                  <c:v>40658</c:v>
                </c:pt>
                <c:pt idx="2844">
                  <c:v>40659</c:v>
                </c:pt>
                <c:pt idx="2845">
                  <c:v>40660</c:v>
                </c:pt>
                <c:pt idx="2846">
                  <c:v>40661</c:v>
                </c:pt>
                <c:pt idx="2847">
                  <c:v>40662</c:v>
                </c:pt>
                <c:pt idx="2848">
                  <c:v>40665</c:v>
                </c:pt>
                <c:pt idx="2849">
                  <c:v>40666</c:v>
                </c:pt>
                <c:pt idx="2850">
                  <c:v>40667</c:v>
                </c:pt>
                <c:pt idx="2851">
                  <c:v>40668</c:v>
                </c:pt>
                <c:pt idx="2852">
                  <c:v>40669</c:v>
                </c:pt>
                <c:pt idx="2853">
                  <c:v>40672</c:v>
                </c:pt>
                <c:pt idx="2854">
                  <c:v>40673</c:v>
                </c:pt>
                <c:pt idx="2855">
                  <c:v>40674</c:v>
                </c:pt>
                <c:pt idx="2856">
                  <c:v>40675</c:v>
                </c:pt>
                <c:pt idx="2857">
                  <c:v>40676</c:v>
                </c:pt>
                <c:pt idx="2858">
                  <c:v>40679</c:v>
                </c:pt>
                <c:pt idx="2859">
                  <c:v>40680</c:v>
                </c:pt>
                <c:pt idx="2860">
                  <c:v>40681</c:v>
                </c:pt>
                <c:pt idx="2861">
                  <c:v>40682</c:v>
                </c:pt>
                <c:pt idx="2862">
                  <c:v>40683</c:v>
                </c:pt>
                <c:pt idx="2863">
                  <c:v>40686</c:v>
                </c:pt>
                <c:pt idx="2864">
                  <c:v>40687</c:v>
                </c:pt>
                <c:pt idx="2865">
                  <c:v>40688</c:v>
                </c:pt>
                <c:pt idx="2866">
                  <c:v>40689</c:v>
                </c:pt>
                <c:pt idx="2867">
                  <c:v>40690</c:v>
                </c:pt>
                <c:pt idx="2868">
                  <c:v>40694</c:v>
                </c:pt>
                <c:pt idx="2869">
                  <c:v>40695</c:v>
                </c:pt>
                <c:pt idx="2870">
                  <c:v>40696</c:v>
                </c:pt>
                <c:pt idx="2871">
                  <c:v>40697</c:v>
                </c:pt>
                <c:pt idx="2872">
                  <c:v>40700</c:v>
                </c:pt>
                <c:pt idx="2873">
                  <c:v>40701</c:v>
                </c:pt>
                <c:pt idx="2874">
                  <c:v>40702</c:v>
                </c:pt>
                <c:pt idx="2875">
                  <c:v>40703</c:v>
                </c:pt>
                <c:pt idx="2876">
                  <c:v>40704</c:v>
                </c:pt>
                <c:pt idx="2877">
                  <c:v>40707</c:v>
                </c:pt>
                <c:pt idx="2878">
                  <c:v>40708</c:v>
                </c:pt>
                <c:pt idx="2879">
                  <c:v>40709</c:v>
                </c:pt>
                <c:pt idx="2880">
                  <c:v>40710</c:v>
                </c:pt>
                <c:pt idx="2881">
                  <c:v>40711</c:v>
                </c:pt>
                <c:pt idx="2882">
                  <c:v>40714</c:v>
                </c:pt>
                <c:pt idx="2883">
                  <c:v>40715</c:v>
                </c:pt>
                <c:pt idx="2884">
                  <c:v>40716</c:v>
                </c:pt>
                <c:pt idx="2885">
                  <c:v>40717</c:v>
                </c:pt>
                <c:pt idx="2886">
                  <c:v>40718</c:v>
                </c:pt>
                <c:pt idx="2887">
                  <c:v>40721</c:v>
                </c:pt>
                <c:pt idx="2888">
                  <c:v>40722</c:v>
                </c:pt>
                <c:pt idx="2889">
                  <c:v>40723</c:v>
                </c:pt>
                <c:pt idx="2890">
                  <c:v>40724</c:v>
                </c:pt>
                <c:pt idx="2891">
                  <c:v>40725</c:v>
                </c:pt>
                <c:pt idx="2892">
                  <c:v>40729</c:v>
                </c:pt>
                <c:pt idx="2893">
                  <c:v>40730</c:v>
                </c:pt>
                <c:pt idx="2894">
                  <c:v>40731</c:v>
                </c:pt>
                <c:pt idx="2895">
                  <c:v>40732</c:v>
                </c:pt>
                <c:pt idx="2896">
                  <c:v>40735</c:v>
                </c:pt>
                <c:pt idx="2897">
                  <c:v>40736</c:v>
                </c:pt>
                <c:pt idx="2898">
                  <c:v>40737</c:v>
                </c:pt>
                <c:pt idx="2899">
                  <c:v>40738</c:v>
                </c:pt>
                <c:pt idx="2900">
                  <c:v>40739</c:v>
                </c:pt>
                <c:pt idx="2901">
                  <c:v>40742</c:v>
                </c:pt>
                <c:pt idx="2902">
                  <c:v>40743</c:v>
                </c:pt>
                <c:pt idx="2903">
                  <c:v>40744</c:v>
                </c:pt>
                <c:pt idx="2904">
                  <c:v>40745</c:v>
                </c:pt>
                <c:pt idx="2905">
                  <c:v>40746</c:v>
                </c:pt>
                <c:pt idx="2906">
                  <c:v>40749</c:v>
                </c:pt>
                <c:pt idx="2907">
                  <c:v>40750</c:v>
                </c:pt>
                <c:pt idx="2908">
                  <c:v>40751</c:v>
                </c:pt>
                <c:pt idx="2909">
                  <c:v>40752</c:v>
                </c:pt>
                <c:pt idx="2910">
                  <c:v>40753</c:v>
                </c:pt>
                <c:pt idx="2911">
                  <c:v>40756</c:v>
                </c:pt>
                <c:pt idx="2912">
                  <c:v>40757</c:v>
                </c:pt>
                <c:pt idx="2913">
                  <c:v>40758</c:v>
                </c:pt>
                <c:pt idx="2914">
                  <c:v>40759</c:v>
                </c:pt>
                <c:pt idx="2915">
                  <c:v>40760</c:v>
                </c:pt>
                <c:pt idx="2916">
                  <c:v>40763</c:v>
                </c:pt>
                <c:pt idx="2917">
                  <c:v>40764</c:v>
                </c:pt>
                <c:pt idx="2918">
                  <c:v>40765</c:v>
                </c:pt>
                <c:pt idx="2919">
                  <c:v>40766</c:v>
                </c:pt>
                <c:pt idx="2920">
                  <c:v>40767</c:v>
                </c:pt>
                <c:pt idx="2921">
                  <c:v>40770</c:v>
                </c:pt>
                <c:pt idx="2922">
                  <c:v>40771</c:v>
                </c:pt>
                <c:pt idx="2923">
                  <c:v>40772</c:v>
                </c:pt>
                <c:pt idx="2924">
                  <c:v>40773</c:v>
                </c:pt>
                <c:pt idx="2925">
                  <c:v>40774</c:v>
                </c:pt>
                <c:pt idx="2926">
                  <c:v>40777</c:v>
                </c:pt>
                <c:pt idx="2927">
                  <c:v>40778</c:v>
                </c:pt>
                <c:pt idx="2928">
                  <c:v>40779</c:v>
                </c:pt>
                <c:pt idx="2929">
                  <c:v>40780</c:v>
                </c:pt>
                <c:pt idx="2930">
                  <c:v>40781</c:v>
                </c:pt>
                <c:pt idx="2931">
                  <c:v>40784</c:v>
                </c:pt>
                <c:pt idx="2932">
                  <c:v>40785</c:v>
                </c:pt>
                <c:pt idx="2933">
                  <c:v>40786</c:v>
                </c:pt>
                <c:pt idx="2934">
                  <c:v>40787</c:v>
                </c:pt>
                <c:pt idx="2935">
                  <c:v>40788</c:v>
                </c:pt>
                <c:pt idx="2936">
                  <c:v>40792</c:v>
                </c:pt>
                <c:pt idx="2937">
                  <c:v>40793</c:v>
                </c:pt>
                <c:pt idx="2938">
                  <c:v>40794</c:v>
                </c:pt>
                <c:pt idx="2939">
                  <c:v>40795</c:v>
                </c:pt>
                <c:pt idx="2940">
                  <c:v>40798</c:v>
                </c:pt>
                <c:pt idx="2941">
                  <c:v>40799</c:v>
                </c:pt>
                <c:pt idx="2942">
                  <c:v>40800</c:v>
                </c:pt>
                <c:pt idx="2943">
                  <c:v>40801</c:v>
                </c:pt>
                <c:pt idx="2944">
                  <c:v>40802</c:v>
                </c:pt>
                <c:pt idx="2945">
                  <c:v>40805</c:v>
                </c:pt>
                <c:pt idx="2946">
                  <c:v>40806</c:v>
                </c:pt>
                <c:pt idx="2947">
                  <c:v>40807</c:v>
                </c:pt>
                <c:pt idx="2948">
                  <c:v>40808</c:v>
                </c:pt>
                <c:pt idx="2949">
                  <c:v>40809</c:v>
                </c:pt>
                <c:pt idx="2950">
                  <c:v>40812</c:v>
                </c:pt>
                <c:pt idx="2951">
                  <c:v>40813</c:v>
                </c:pt>
                <c:pt idx="2952">
                  <c:v>40814</c:v>
                </c:pt>
                <c:pt idx="2953">
                  <c:v>40815</c:v>
                </c:pt>
                <c:pt idx="2954">
                  <c:v>40816</c:v>
                </c:pt>
                <c:pt idx="2955">
                  <c:v>40819</c:v>
                </c:pt>
                <c:pt idx="2956">
                  <c:v>40820</c:v>
                </c:pt>
                <c:pt idx="2957">
                  <c:v>40821</c:v>
                </c:pt>
                <c:pt idx="2958">
                  <c:v>40822</c:v>
                </c:pt>
                <c:pt idx="2959">
                  <c:v>40823</c:v>
                </c:pt>
                <c:pt idx="2960">
                  <c:v>40826</c:v>
                </c:pt>
                <c:pt idx="2961">
                  <c:v>40827</c:v>
                </c:pt>
                <c:pt idx="2962">
                  <c:v>40828</c:v>
                </c:pt>
                <c:pt idx="2963">
                  <c:v>40829</c:v>
                </c:pt>
                <c:pt idx="2964">
                  <c:v>40830</c:v>
                </c:pt>
                <c:pt idx="2965">
                  <c:v>40833</c:v>
                </c:pt>
                <c:pt idx="2966">
                  <c:v>40834</c:v>
                </c:pt>
                <c:pt idx="2967">
                  <c:v>40835</c:v>
                </c:pt>
                <c:pt idx="2968">
                  <c:v>40836</c:v>
                </c:pt>
                <c:pt idx="2969">
                  <c:v>40837</c:v>
                </c:pt>
                <c:pt idx="2970">
                  <c:v>40840</c:v>
                </c:pt>
                <c:pt idx="2971">
                  <c:v>40841</c:v>
                </c:pt>
                <c:pt idx="2972">
                  <c:v>40842</c:v>
                </c:pt>
                <c:pt idx="2973">
                  <c:v>40843</c:v>
                </c:pt>
                <c:pt idx="2974">
                  <c:v>40844</c:v>
                </c:pt>
                <c:pt idx="2975">
                  <c:v>40847</c:v>
                </c:pt>
                <c:pt idx="2976">
                  <c:v>40848</c:v>
                </c:pt>
                <c:pt idx="2977">
                  <c:v>40849</c:v>
                </c:pt>
                <c:pt idx="2978">
                  <c:v>40850</c:v>
                </c:pt>
                <c:pt idx="2979">
                  <c:v>40851</c:v>
                </c:pt>
                <c:pt idx="2980">
                  <c:v>40854</c:v>
                </c:pt>
                <c:pt idx="2981">
                  <c:v>40855</c:v>
                </c:pt>
                <c:pt idx="2982">
                  <c:v>40856</c:v>
                </c:pt>
                <c:pt idx="2983">
                  <c:v>40857</c:v>
                </c:pt>
                <c:pt idx="2984">
                  <c:v>40858</c:v>
                </c:pt>
                <c:pt idx="2985">
                  <c:v>40861</c:v>
                </c:pt>
                <c:pt idx="2986">
                  <c:v>40862</c:v>
                </c:pt>
                <c:pt idx="2987">
                  <c:v>40863</c:v>
                </c:pt>
                <c:pt idx="2988">
                  <c:v>40864</c:v>
                </c:pt>
                <c:pt idx="2989">
                  <c:v>40865</c:v>
                </c:pt>
                <c:pt idx="2990">
                  <c:v>40868</c:v>
                </c:pt>
                <c:pt idx="2991">
                  <c:v>40869</c:v>
                </c:pt>
                <c:pt idx="2992">
                  <c:v>40870</c:v>
                </c:pt>
                <c:pt idx="2993">
                  <c:v>40872</c:v>
                </c:pt>
                <c:pt idx="2994">
                  <c:v>40875</c:v>
                </c:pt>
                <c:pt idx="2995">
                  <c:v>40876</c:v>
                </c:pt>
                <c:pt idx="2996">
                  <c:v>40877</c:v>
                </c:pt>
                <c:pt idx="2997">
                  <c:v>40878</c:v>
                </c:pt>
                <c:pt idx="2998">
                  <c:v>40879</c:v>
                </c:pt>
                <c:pt idx="2999">
                  <c:v>40882</c:v>
                </c:pt>
                <c:pt idx="3000">
                  <c:v>40883</c:v>
                </c:pt>
                <c:pt idx="3001">
                  <c:v>40884</c:v>
                </c:pt>
                <c:pt idx="3002">
                  <c:v>40885</c:v>
                </c:pt>
                <c:pt idx="3003">
                  <c:v>40886</c:v>
                </c:pt>
                <c:pt idx="3004">
                  <c:v>40889</c:v>
                </c:pt>
                <c:pt idx="3005">
                  <c:v>40890</c:v>
                </c:pt>
                <c:pt idx="3006">
                  <c:v>40891</c:v>
                </c:pt>
                <c:pt idx="3007">
                  <c:v>40892</c:v>
                </c:pt>
                <c:pt idx="3008">
                  <c:v>40893</c:v>
                </c:pt>
                <c:pt idx="3009">
                  <c:v>40896</c:v>
                </c:pt>
                <c:pt idx="3010">
                  <c:v>40897</c:v>
                </c:pt>
                <c:pt idx="3011">
                  <c:v>40898</c:v>
                </c:pt>
                <c:pt idx="3012">
                  <c:v>40899</c:v>
                </c:pt>
                <c:pt idx="3013">
                  <c:v>40900</c:v>
                </c:pt>
                <c:pt idx="3014">
                  <c:v>40904</c:v>
                </c:pt>
                <c:pt idx="3015">
                  <c:v>40905</c:v>
                </c:pt>
                <c:pt idx="3016">
                  <c:v>40906</c:v>
                </c:pt>
                <c:pt idx="3017">
                  <c:v>40907</c:v>
                </c:pt>
                <c:pt idx="3018">
                  <c:v>40911</c:v>
                </c:pt>
                <c:pt idx="3019">
                  <c:v>40912</c:v>
                </c:pt>
                <c:pt idx="3020">
                  <c:v>40913</c:v>
                </c:pt>
                <c:pt idx="3021">
                  <c:v>40914</c:v>
                </c:pt>
                <c:pt idx="3022">
                  <c:v>40917</c:v>
                </c:pt>
                <c:pt idx="3023">
                  <c:v>40918</c:v>
                </c:pt>
                <c:pt idx="3024">
                  <c:v>40919</c:v>
                </c:pt>
                <c:pt idx="3025">
                  <c:v>40920</c:v>
                </c:pt>
                <c:pt idx="3026">
                  <c:v>40921</c:v>
                </c:pt>
                <c:pt idx="3027">
                  <c:v>40925</c:v>
                </c:pt>
                <c:pt idx="3028">
                  <c:v>40926</c:v>
                </c:pt>
                <c:pt idx="3029">
                  <c:v>40927</c:v>
                </c:pt>
                <c:pt idx="3030">
                  <c:v>40928</c:v>
                </c:pt>
                <c:pt idx="3031">
                  <c:v>40931</c:v>
                </c:pt>
                <c:pt idx="3032">
                  <c:v>40932</c:v>
                </c:pt>
                <c:pt idx="3033">
                  <c:v>40933</c:v>
                </c:pt>
                <c:pt idx="3034">
                  <c:v>40934</c:v>
                </c:pt>
                <c:pt idx="3035">
                  <c:v>40935</c:v>
                </c:pt>
                <c:pt idx="3036">
                  <c:v>40938</c:v>
                </c:pt>
                <c:pt idx="3037">
                  <c:v>40939</c:v>
                </c:pt>
                <c:pt idx="3038">
                  <c:v>40940</c:v>
                </c:pt>
                <c:pt idx="3039">
                  <c:v>40941</c:v>
                </c:pt>
                <c:pt idx="3040">
                  <c:v>40942</c:v>
                </c:pt>
                <c:pt idx="3041">
                  <c:v>40945</c:v>
                </c:pt>
                <c:pt idx="3042">
                  <c:v>40946</c:v>
                </c:pt>
                <c:pt idx="3043">
                  <c:v>40947</c:v>
                </c:pt>
                <c:pt idx="3044">
                  <c:v>40948</c:v>
                </c:pt>
                <c:pt idx="3045">
                  <c:v>40949</c:v>
                </c:pt>
                <c:pt idx="3046">
                  <c:v>40952</c:v>
                </c:pt>
                <c:pt idx="3047">
                  <c:v>40953</c:v>
                </c:pt>
                <c:pt idx="3048">
                  <c:v>40954</c:v>
                </c:pt>
                <c:pt idx="3049">
                  <c:v>40955</c:v>
                </c:pt>
                <c:pt idx="3050">
                  <c:v>40956</c:v>
                </c:pt>
                <c:pt idx="3051">
                  <c:v>40960</c:v>
                </c:pt>
                <c:pt idx="3052">
                  <c:v>40961</c:v>
                </c:pt>
                <c:pt idx="3053">
                  <c:v>40962</c:v>
                </c:pt>
                <c:pt idx="3054">
                  <c:v>40963</c:v>
                </c:pt>
                <c:pt idx="3055">
                  <c:v>40966</c:v>
                </c:pt>
                <c:pt idx="3056">
                  <c:v>40967</c:v>
                </c:pt>
                <c:pt idx="3057">
                  <c:v>40968</c:v>
                </c:pt>
                <c:pt idx="3058">
                  <c:v>40969</c:v>
                </c:pt>
                <c:pt idx="3059">
                  <c:v>40970</c:v>
                </c:pt>
                <c:pt idx="3060">
                  <c:v>40973</c:v>
                </c:pt>
                <c:pt idx="3061">
                  <c:v>40974</c:v>
                </c:pt>
                <c:pt idx="3062">
                  <c:v>40975</c:v>
                </c:pt>
                <c:pt idx="3063">
                  <c:v>40976</c:v>
                </c:pt>
                <c:pt idx="3064">
                  <c:v>40977</c:v>
                </c:pt>
                <c:pt idx="3065">
                  <c:v>40980</c:v>
                </c:pt>
                <c:pt idx="3066">
                  <c:v>40981</c:v>
                </c:pt>
                <c:pt idx="3067">
                  <c:v>40982</c:v>
                </c:pt>
                <c:pt idx="3068">
                  <c:v>40983</c:v>
                </c:pt>
                <c:pt idx="3069">
                  <c:v>40984</c:v>
                </c:pt>
                <c:pt idx="3070">
                  <c:v>40987</c:v>
                </c:pt>
                <c:pt idx="3071">
                  <c:v>40988</c:v>
                </c:pt>
                <c:pt idx="3072">
                  <c:v>40989</c:v>
                </c:pt>
                <c:pt idx="3073">
                  <c:v>40990</c:v>
                </c:pt>
                <c:pt idx="3074">
                  <c:v>40991</c:v>
                </c:pt>
                <c:pt idx="3075">
                  <c:v>40994</c:v>
                </c:pt>
                <c:pt idx="3076">
                  <c:v>40995</c:v>
                </c:pt>
                <c:pt idx="3077">
                  <c:v>40996</c:v>
                </c:pt>
                <c:pt idx="3078">
                  <c:v>40997</c:v>
                </c:pt>
                <c:pt idx="3079">
                  <c:v>40998</c:v>
                </c:pt>
                <c:pt idx="3080">
                  <c:v>41001</c:v>
                </c:pt>
                <c:pt idx="3081">
                  <c:v>41002</c:v>
                </c:pt>
                <c:pt idx="3082">
                  <c:v>41003</c:v>
                </c:pt>
                <c:pt idx="3083">
                  <c:v>41004</c:v>
                </c:pt>
                <c:pt idx="3084">
                  <c:v>41008</c:v>
                </c:pt>
                <c:pt idx="3085">
                  <c:v>41009</c:v>
                </c:pt>
                <c:pt idx="3086">
                  <c:v>41010</c:v>
                </c:pt>
                <c:pt idx="3087">
                  <c:v>41011</c:v>
                </c:pt>
                <c:pt idx="3088">
                  <c:v>41012</c:v>
                </c:pt>
                <c:pt idx="3089">
                  <c:v>41015</c:v>
                </c:pt>
                <c:pt idx="3090">
                  <c:v>41016</c:v>
                </c:pt>
                <c:pt idx="3091">
                  <c:v>41017</c:v>
                </c:pt>
                <c:pt idx="3092">
                  <c:v>41018</c:v>
                </c:pt>
                <c:pt idx="3093">
                  <c:v>41019</c:v>
                </c:pt>
                <c:pt idx="3094">
                  <c:v>41022</c:v>
                </c:pt>
                <c:pt idx="3095">
                  <c:v>41023</c:v>
                </c:pt>
                <c:pt idx="3096">
                  <c:v>41024</c:v>
                </c:pt>
                <c:pt idx="3097">
                  <c:v>41025</c:v>
                </c:pt>
                <c:pt idx="3098">
                  <c:v>41026</c:v>
                </c:pt>
                <c:pt idx="3099">
                  <c:v>41029</c:v>
                </c:pt>
                <c:pt idx="3100">
                  <c:v>41030</c:v>
                </c:pt>
                <c:pt idx="3101">
                  <c:v>41031</c:v>
                </c:pt>
                <c:pt idx="3102">
                  <c:v>41032</c:v>
                </c:pt>
                <c:pt idx="3103">
                  <c:v>41033</c:v>
                </c:pt>
                <c:pt idx="3104">
                  <c:v>41036</c:v>
                </c:pt>
                <c:pt idx="3105">
                  <c:v>41037</c:v>
                </c:pt>
                <c:pt idx="3106">
                  <c:v>41038</c:v>
                </c:pt>
                <c:pt idx="3107">
                  <c:v>41039</c:v>
                </c:pt>
                <c:pt idx="3108">
                  <c:v>41040</c:v>
                </c:pt>
                <c:pt idx="3109">
                  <c:v>41043</c:v>
                </c:pt>
                <c:pt idx="3110">
                  <c:v>41044</c:v>
                </c:pt>
                <c:pt idx="3111">
                  <c:v>41045</c:v>
                </c:pt>
                <c:pt idx="3112">
                  <c:v>41046</c:v>
                </c:pt>
                <c:pt idx="3113">
                  <c:v>41047</c:v>
                </c:pt>
                <c:pt idx="3114">
                  <c:v>41050</c:v>
                </c:pt>
                <c:pt idx="3115">
                  <c:v>41051</c:v>
                </c:pt>
                <c:pt idx="3116">
                  <c:v>41052</c:v>
                </c:pt>
                <c:pt idx="3117">
                  <c:v>41053</c:v>
                </c:pt>
                <c:pt idx="3118">
                  <c:v>41054</c:v>
                </c:pt>
                <c:pt idx="3119">
                  <c:v>41058</c:v>
                </c:pt>
                <c:pt idx="3120">
                  <c:v>41059</c:v>
                </c:pt>
                <c:pt idx="3121">
                  <c:v>41060</c:v>
                </c:pt>
                <c:pt idx="3122">
                  <c:v>41061</c:v>
                </c:pt>
                <c:pt idx="3123">
                  <c:v>41064</c:v>
                </c:pt>
                <c:pt idx="3124">
                  <c:v>41065</c:v>
                </c:pt>
                <c:pt idx="3125">
                  <c:v>41066</c:v>
                </c:pt>
                <c:pt idx="3126">
                  <c:v>41067</c:v>
                </c:pt>
                <c:pt idx="3127">
                  <c:v>41068</c:v>
                </c:pt>
                <c:pt idx="3128">
                  <c:v>41071</c:v>
                </c:pt>
                <c:pt idx="3129">
                  <c:v>41072</c:v>
                </c:pt>
                <c:pt idx="3130">
                  <c:v>41073</c:v>
                </c:pt>
                <c:pt idx="3131">
                  <c:v>41074</c:v>
                </c:pt>
                <c:pt idx="3132">
                  <c:v>41075</c:v>
                </c:pt>
                <c:pt idx="3133">
                  <c:v>41078</c:v>
                </c:pt>
                <c:pt idx="3134">
                  <c:v>41079</c:v>
                </c:pt>
                <c:pt idx="3135">
                  <c:v>41080</c:v>
                </c:pt>
                <c:pt idx="3136">
                  <c:v>41081</c:v>
                </c:pt>
                <c:pt idx="3137">
                  <c:v>41082</c:v>
                </c:pt>
                <c:pt idx="3138">
                  <c:v>41085</c:v>
                </c:pt>
                <c:pt idx="3139">
                  <c:v>41086</c:v>
                </c:pt>
                <c:pt idx="3140">
                  <c:v>41087</c:v>
                </c:pt>
                <c:pt idx="3141">
                  <c:v>41088</c:v>
                </c:pt>
                <c:pt idx="3142">
                  <c:v>41089</c:v>
                </c:pt>
                <c:pt idx="3143">
                  <c:v>41092</c:v>
                </c:pt>
                <c:pt idx="3144">
                  <c:v>41093</c:v>
                </c:pt>
                <c:pt idx="3145">
                  <c:v>41095</c:v>
                </c:pt>
                <c:pt idx="3146">
                  <c:v>41096</c:v>
                </c:pt>
                <c:pt idx="3147">
                  <c:v>41099</c:v>
                </c:pt>
                <c:pt idx="3148">
                  <c:v>41100</c:v>
                </c:pt>
                <c:pt idx="3149">
                  <c:v>41101</c:v>
                </c:pt>
                <c:pt idx="3150">
                  <c:v>41102</c:v>
                </c:pt>
                <c:pt idx="3151">
                  <c:v>41103</c:v>
                </c:pt>
                <c:pt idx="3152">
                  <c:v>41106</c:v>
                </c:pt>
                <c:pt idx="3153">
                  <c:v>41107</c:v>
                </c:pt>
                <c:pt idx="3154">
                  <c:v>41108</c:v>
                </c:pt>
                <c:pt idx="3155">
                  <c:v>41109</c:v>
                </c:pt>
                <c:pt idx="3156">
                  <c:v>41110</c:v>
                </c:pt>
                <c:pt idx="3157">
                  <c:v>41113</c:v>
                </c:pt>
                <c:pt idx="3158">
                  <c:v>41114</c:v>
                </c:pt>
                <c:pt idx="3159">
                  <c:v>41115</c:v>
                </c:pt>
                <c:pt idx="3160">
                  <c:v>41116</c:v>
                </c:pt>
                <c:pt idx="3161">
                  <c:v>41117</c:v>
                </c:pt>
                <c:pt idx="3162">
                  <c:v>41120</c:v>
                </c:pt>
                <c:pt idx="3163">
                  <c:v>41121</c:v>
                </c:pt>
                <c:pt idx="3164">
                  <c:v>41122</c:v>
                </c:pt>
                <c:pt idx="3165">
                  <c:v>41123</c:v>
                </c:pt>
                <c:pt idx="3166">
                  <c:v>41124</c:v>
                </c:pt>
                <c:pt idx="3167">
                  <c:v>41127</c:v>
                </c:pt>
                <c:pt idx="3168">
                  <c:v>41128</c:v>
                </c:pt>
                <c:pt idx="3169">
                  <c:v>41129</c:v>
                </c:pt>
                <c:pt idx="3170">
                  <c:v>41130</c:v>
                </c:pt>
                <c:pt idx="3171">
                  <c:v>41131</c:v>
                </c:pt>
                <c:pt idx="3172">
                  <c:v>41134</c:v>
                </c:pt>
                <c:pt idx="3173">
                  <c:v>41135</c:v>
                </c:pt>
                <c:pt idx="3174">
                  <c:v>41136</c:v>
                </c:pt>
                <c:pt idx="3175">
                  <c:v>41137</c:v>
                </c:pt>
                <c:pt idx="3176">
                  <c:v>41138</c:v>
                </c:pt>
                <c:pt idx="3177">
                  <c:v>41141</c:v>
                </c:pt>
                <c:pt idx="3178">
                  <c:v>41142</c:v>
                </c:pt>
                <c:pt idx="3179">
                  <c:v>41143</c:v>
                </c:pt>
                <c:pt idx="3180">
                  <c:v>41144</c:v>
                </c:pt>
                <c:pt idx="3181">
                  <c:v>41145</c:v>
                </c:pt>
                <c:pt idx="3182">
                  <c:v>41148</c:v>
                </c:pt>
                <c:pt idx="3183">
                  <c:v>41149</c:v>
                </c:pt>
                <c:pt idx="3184">
                  <c:v>41150</c:v>
                </c:pt>
                <c:pt idx="3185">
                  <c:v>41151</c:v>
                </c:pt>
                <c:pt idx="3186">
                  <c:v>41152</c:v>
                </c:pt>
                <c:pt idx="3187">
                  <c:v>41156</c:v>
                </c:pt>
                <c:pt idx="3188">
                  <c:v>41157</c:v>
                </c:pt>
                <c:pt idx="3189">
                  <c:v>41158</c:v>
                </c:pt>
                <c:pt idx="3190">
                  <c:v>41159</c:v>
                </c:pt>
                <c:pt idx="3191">
                  <c:v>41162</c:v>
                </c:pt>
                <c:pt idx="3192">
                  <c:v>41163</c:v>
                </c:pt>
                <c:pt idx="3193">
                  <c:v>41164</c:v>
                </c:pt>
                <c:pt idx="3194">
                  <c:v>41165</c:v>
                </c:pt>
                <c:pt idx="3195">
                  <c:v>41166</c:v>
                </c:pt>
                <c:pt idx="3196">
                  <c:v>41169</c:v>
                </c:pt>
                <c:pt idx="3197">
                  <c:v>41170</c:v>
                </c:pt>
                <c:pt idx="3198">
                  <c:v>41171</c:v>
                </c:pt>
                <c:pt idx="3199">
                  <c:v>41172</c:v>
                </c:pt>
                <c:pt idx="3200">
                  <c:v>41173</c:v>
                </c:pt>
                <c:pt idx="3201">
                  <c:v>41176</c:v>
                </c:pt>
                <c:pt idx="3202">
                  <c:v>41177</c:v>
                </c:pt>
                <c:pt idx="3203">
                  <c:v>41178</c:v>
                </c:pt>
                <c:pt idx="3204">
                  <c:v>41179</c:v>
                </c:pt>
                <c:pt idx="3205">
                  <c:v>41180</c:v>
                </c:pt>
                <c:pt idx="3206">
                  <c:v>41183</c:v>
                </c:pt>
                <c:pt idx="3207">
                  <c:v>41184</c:v>
                </c:pt>
                <c:pt idx="3208">
                  <c:v>41185</c:v>
                </c:pt>
                <c:pt idx="3209">
                  <c:v>41186</c:v>
                </c:pt>
                <c:pt idx="3210">
                  <c:v>41187</c:v>
                </c:pt>
                <c:pt idx="3211">
                  <c:v>41190</c:v>
                </c:pt>
                <c:pt idx="3212">
                  <c:v>41191</c:v>
                </c:pt>
                <c:pt idx="3213">
                  <c:v>41192</c:v>
                </c:pt>
                <c:pt idx="3214">
                  <c:v>41193</c:v>
                </c:pt>
                <c:pt idx="3215">
                  <c:v>41194</c:v>
                </c:pt>
                <c:pt idx="3216">
                  <c:v>41197</c:v>
                </c:pt>
                <c:pt idx="3217">
                  <c:v>41198</c:v>
                </c:pt>
                <c:pt idx="3218">
                  <c:v>41199</c:v>
                </c:pt>
                <c:pt idx="3219">
                  <c:v>41200</c:v>
                </c:pt>
                <c:pt idx="3220">
                  <c:v>41201</c:v>
                </c:pt>
                <c:pt idx="3221">
                  <c:v>41204</c:v>
                </c:pt>
                <c:pt idx="3222">
                  <c:v>41205</c:v>
                </c:pt>
                <c:pt idx="3223">
                  <c:v>41206</c:v>
                </c:pt>
                <c:pt idx="3224">
                  <c:v>41207</c:v>
                </c:pt>
                <c:pt idx="3225">
                  <c:v>41208</c:v>
                </c:pt>
                <c:pt idx="3226">
                  <c:v>41213</c:v>
                </c:pt>
                <c:pt idx="3227">
                  <c:v>41214</c:v>
                </c:pt>
                <c:pt idx="3228">
                  <c:v>41215</c:v>
                </c:pt>
                <c:pt idx="3229">
                  <c:v>41218</c:v>
                </c:pt>
                <c:pt idx="3230">
                  <c:v>41219</c:v>
                </c:pt>
                <c:pt idx="3231">
                  <c:v>41220</c:v>
                </c:pt>
                <c:pt idx="3232">
                  <c:v>41221</c:v>
                </c:pt>
                <c:pt idx="3233">
                  <c:v>41222</c:v>
                </c:pt>
                <c:pt idx="3234">
                  <c:v>41225</c:v>
                </c:pt>
                <c:pt idx="3235">
                  <c:v>41226</c:v>
                </c:pt>
                <c:pt idx="3236">
                  <c:v>41227</c:v>
                </c:pt>
                <c:pt idx="3237">
                  <c:v>41228</c:v>
                </c:pt>
                <c:pt idx="3238">
                  <c:v>41229</c:v>
                </c:pt>
                <c:pt idx="3239">
                  <c:v>41232</c:v>
                </c:pt>
                <c:pt idx="3240">
                  <c:v>41233</c:v>
                </c:pt>
                <c:pt idx="3241">
                  <c:v>41234</c:v>
                </c:pt>
                <c:pt idx="3242">
                  <c:v>41236</c:v>
                </c:pt>
                <c:pt idx="3243">
                  <c:v>41239</c:v>
                </c:pt>
                <c:pt idx="3244">
                  <c:v>41240</c:v>
                </c:pt>
                <c:pt idx="3245">
                  <c:v>41241</c:v>
                </c:pt>
                <c:pt idx="3246">
                  <c:v>41242</c:v>
                </c:pt>
                <c:pt idx="3247">
                  <c:v>41243</c:v>
                </c:pt>
                <c:pt idx="3248">
                  <c:v>41246</c:v>
                </c:pt>
                <c:pt idx="3249">
                  <c:v>41247</c:v>
                </c:pt>
                <c:pt idx="3250">
                  <c:v>41248</c:v>
                </c:pt>
                <c:pt idx="3251">
                  <c:v>41249</c:v>
                </c:pt>
                <c:pt idx="3252">
                  <c:v>41250</c:v>
                </c:pt>
                <c:pt idx="3253">
                  <c:v>41253</c:v>
                </c:pt>
                <c:pt idx="3254">
                  <c:v>41254</c:v>
                </c:pt>
                <c:pt idx="3255">
                  <c:v>41255</c:v>
                </c:pt>
                <c:pt idx="3256">
                  <c:v>41256</c:v>
                </c:pt>
                <c:pt idx="3257">
                  <c:v>41257</c:v>
                </c:pt>
                <c:pt idx="3258">
                  <c:v>41260</c:v>
                </c:pt>
                <c:pt idx="3259">
                  <c:v>41261</c:v>
                </c:pt>
                <c:pt idx="3260">
                  <c:v>41262</c:v>
                </c:pt>
                <c:pt idx="3261">
                  <c:v>41263</c:v>
                </c:pt>
                <c:pt idx="3262">
                  <c:v>41264</c:v>
                </c:pt>
                <c:pt idx="3263">
                  <c:v>41267</c:v>
                </c:pt>
                <c:pt idx="3264">
                  <c:v>41269</c:v>
                </c:pt>
                <c:pt idx="3265">
                  <c:v>41270</c:v>
                </c:pt>
                <c:pt idx="3266">
                  <c:v>41271</c:v>
                </c:pt>
                <c:pt idx="3267">
                  <c:v>41274</c:v>
                </c:pt>
                <c:pt idx="3268">
                  <c:v>41276</c:v>
                </c:pt>
                <c:pt idx="3269">
                  <c:v>41277</c:v>
                </c:pt>
                <c:pt idx="3270">
                  <c:v>41278</c:v>
                </c:pt>
                <c:pt idx="3271">
                  <c:v>41281</c:v>
                </c:pt>
                <c:pt idx="3272">
                  <c:v>41282</c:v>
                </c:pt>
                <c:pt idx="3273">
                  <c:v>41283</c:v>
                </c:pt>
                <c:pt idx="3274">
                  <c:v>41284</c:v>
                </c:pt>
                <c:pt idx="3275">
                  <c:v>41285</c:v>
                </c:pt>
                <c:pt idx="3276">
                  <c:v>41288</c:v>
                </c:pt>
                <c:pt idx="3277">
                  <c:v>41289</c:v>
                </c:pt>
                <c:pt idx="3278">
                  <c:v>41290</c:v>
                </c:pt>
                <c:pt idx="3279">
                  <c:v>41291</c:v>
                </c:pt>
                <c:pt idx="3280">
                  <c:v>41292</c:v>
                </c:pt>
                <c:pt idx="3281">
                  <c:v>41296</c:v>
                </c:pt>
                <c:pt idx="3282">
                  <c:v>41297</c:v>
                </c:pt>
                <c:pt idx="3283">
                  <c:v>41298</c:v>
                </c:pt>
                <c:pt idx="3284">
                  <c:v>41299</c:v>
                </c:pt>
                <c:pt idx="3285">
                  <c:v>41302</c:v>
                </c:pt>
                <c:pt idx="3286">
                  <c:v>41303</c:v>
                </c:pt>
                <c:pt idx="3287">
                  <c:v>41304</c:v>
                </c:pt>
                <c:pt idx="3288">
                  <c:v>41305</c:v>
                </c:pt>
                <c:pt idx="3289">
                  <c:v>41306</c:v>
                </c:pt>
                <c:pt idx="3290">
                  <c:v>41309</c:v>
                </c:pt>
                <c:pt idx="3291">
                  <c:v>41310</c:v>
                </c:pt>
                <c:pt idx="3292">
                  <c:v>41311</c:v>
                </c:pt>
                <c:pt idx="3293">
                  <c:v>41312</c:v>
                </c:pt>
                <c:pt idx="3294">
                  <c:v>41313</c:v>
                </c:pt>
                <c:pt idx="3295">
                  <c:v>41316</c:v>
                </c:pt>
                <c:pt idx="3296">
                  <c:v>41317</c:v>
                </c:pt>
                <c:pt idx="3297">
                  <c:v>41318</c:v>
                </c:pt>
                <c:pt idx="3298">
                  <c:v>41319</c:v>
                </c:pt>
                <c:pt idx="3299">
                  <c:v>41320</c:v>
                </c:pt>
                <c:pt idx="3300">
                  <c:v>41324</c:v>
                </c:pt>
                <c:pt idx="3301">
                  <c:v>41325</c:v>
                </c:pt>
                <c:pt idx="3302">
                  <c:v>41326</c:v>
                </c:pt>
                <c:pt idx="3303">
                  <c:v>41327</c:v>
                </c:pt>
                <c:pt idx="3304">
                  <c:v>41330</c:v>
                </c:pt>
                <c:pt idx="3305">
                  <c:v>41331</c:v>
                </c:pt>
                <c:pt idx="3306">
                  <c:v>41332</c:v>
                </c:pt>
                <c:pt idx="3307">
                  <c:v>41333</c:v>
                </c:pt>
                <c:pt idx="3308">
                  <c:v>41334</c:v>
                </c:pt>
                <c:pt idx="3309">
                  <c:v>41337</c:v>
                </c:pt>
                <c:pt idx="3310">
                  <c:v>41338</c:v>
                </c:pt>
                <c:pt idx="3311">
                  <c:v>41339</c:v>
                </c:pt>
                <c:pt idx="3312">
                  <c:v>41340</c:v>
                </c:pt>
                <c:pt idx="3313">
                  <c:v>41341</c:v>
                </c:pt>
                <c:pt idx="3314">
                  <c:v>41344</c:v>
                </c:pt>
                <c:pt idx="3315">
                  <c:v>41345</c:v>
                </c:pt>
                <c:pt idx="3316">
                  <c:v>41346</c:v>
                </c:pt>
                <c:pt idx="3317">
                  <c:v>41347</c:v>
                </c:pt>
                <c:pt idx="3318">
                  <c:v>41348</c:v>
                </c:pt>
                <c:pt idx="3319">
                  <c:v>41351</c:v>
                </c:pt>
                <c:pt idx="3320">
                  <c:v>41352</c:v>
                </c:pt>
                <c:pt idx="3321">
                  <c:v>41353</c:v>
                </c:pt>
                <c:pt idx="3322">
                  <c:v>41354</c:v>
                </c:pt>
                <c:pt idx="3323">
                  <c:v>41355</c:v>
                </c:pt>
                <c:pt idx="3324">
                  <c:v>41358</c:v>
                </c:pt>
                <c:pt idx="3325">
                  <c:v>41359</c:v>
                </c:pt>
                <c:pt idx="3326">
                  <c:v>41360</c:v>
                </c:pt>
                <c:pt idx="3327">
                  <c:v>41361</c:v>
                </c:pt>
                <c:pt idx="3328">
                  <c:v>41365</c:v>
                </c:pt>
                <c:pt idx="3329">
                  <c:v>41366</c:v>
                </c:pt>
                <c:pt idx="3330">
                  <c:v>41367</c:v>
                </c:pt>
                <c:pt idx="3331">
                  <c:v>41368</c:v>
                </c:pt>
                <c:pt idx="3332">
                  <c:v>41369</c:v>
                </c:pt>
                <c:pt idx="3333">
                  <c:v>41372</c:v>
                </c:pt>
                <c:pt idx="3334">
                  <c:v>41373</c:v>
                </c:pt>
                <c:pt idx="3335">
                  <c:v>41374</c:v>
                </c:pt>
                <c:pt idx="3336">
                  <c:v>41375</c:v>
                </c:pt>
                <c:pt idx="3337">
                  <c:v>41376</c:v>
                </c:pt>
                <c:pt idx="3338">
                  <c:v>41379</c:v>
                </c:pt>
                <c:pt idx="3339">
                  <c:v>41380</c:v>
                </c:pt>
                <c:pt idx="3340">
                  <c:v>41381</c:v>
                </c:pt>
                <c:pt idx="3341">
                  <c:v>41382</c:v>
                </c:pt>
                <c:pt idx="3342">
                  <c:v>41383</c:v>
                </c:pt>
                <c:pt idx="3343">
                  <c:v>41386</c:v>
                </c:pt>
                <c:pt idx="3344">
                  <c:v>41387</c:v>
                </c:pt>
                <c:pt idx="3345">
                  <c:v>41388</c:v>
                </c:pt>
                <c:pt idx="3346">
                  <c:v>41389</c:v>
                </c:pt>
                <c:pt idx="3347">
                  <c:v>41390</c:v>
                </c:pt>
                <c:pt idx="3348">
                  <c:v>41393</c:v>
                </c:pt>
                <c:pt idx="3349">
                  <c:v>41394</c:v>
                </c:pt>
                <c:pt idx="3350">
                  <c:v>41395</c:v>
                </c:pt>
                <c:pt idx="3351">
                  <c:v>41396</c:v>
                </c:pt>
                <c:pt idx="3352">
                  <c:v>41397</c:v>
                </c:pt>
                <c:pt idx="3353">
                  <c:v>41400</c:v>
                </c:pt>
                <c:pt idx="3354">
                  <c:v>41401</c:v>
                </c:pt>
                <c:pt idx="3355">
                  <c:v>41402</c:v>
                </c:pt>
                <c:pt idx="3356">
                  <c:v>41403</c:v>
                </c:pt>
                <c:pt idx="3357">
                  <c:v>41404</c:v>
                </c:pt>
                <c:pt idx="3358">
                  <c:v>41407</c:v>
                </c:pt>
                <c:pt idx="3359">
                  <c:v>41408</c:v>
                </c:pt>
                <c:pt idx="3360">
                  <c:v>41409</c:v>
                </c:pt>
                <c:pt idx="3361">
                  <c:v>41410</c:v>
                </c:pt>
                <c:pt idx="3362">
                  <c:v>41411</c:v>
                </c:pt>
                <c:pt idx="3363">
                  <c:v>41414</c:v>
                </c:pt>
                <c:pt idx="3364">
                  <c:v>41415</c:v>
                </c:pt>
                <c:pt idx="3365">
                  <c:v>41416</c:v>
                </c:pt>
                <c:pt idx="3366">
                  <c:v>41417</c:v>
                </c:pt>
                <c:pt idx="3367">
                  <c:v>41418</c:v>
                </c:pt>
                <c:pt idx="3368">
                  <c:v>41422</c:v>
                </c:pt>
                <c:pt idx="3369">
                  <c:v>41423</c:v>
                </c:pt>
                <c:pt idx="3370">
                  <c:v>41424</c:v>
                </c:pt>
                <c:pt idx="3371">
                  <c:v>41425</c:v>
                </c:pt>
                <c:pt idx="3372">
                  <c:v>41428</c:v>
                </c:pt>
                <c:pt idx="3373">
                  <c:v>41429</c:v>
                </c:pt>
                <c:pt idx="3374">
                  <c:v>41430</c:v>
                </c:pt>
                <c:pt idx="3375">
                  <c:v>41431</c:v>
                </c:pt>
                <c:pt idx="3376">
                  <c:v>41432</c:v>
                </c:pt>
                <c:pt idx="3377">
                  <c:v>41435</c:v>
                </c:pt>
                <c:pt idx="3378">
                  <c:v>41436</c:v>
                </c:pt>
                <c:pt idx="3379">
                  <c:v>41437</c:v>
                </c:pt>
                <c:pt idx="3380">
                  <c:v>41438</c:v>
                </c:pt>
                <c:pt idx="3381">
                  <c:v>41439</c:v>
                </c:pt>
                <c:pt idx="3382">
                  <c:v>41442</c:v>
                </c:pt>
                <c:pt idx="3383">
                  <c:v>41443</c:v>
                </c:pt>
                <c:pt idx="3384">
                  <c:v>41444</c:v>
                </c:pt>
                <c:pt idx="3385">
                  <c:v>41445</c:v>
                </c:pt>
                <c:pt idx="3386">
                  <c:v>41446</c:v>
                </c:pt>
                <c:pt idx="3387">
                  <c:v>41449</c:v>
                </c:pt>
                <c:pt idx="3388">
                  <c:v>41450</c:v>
                </c:pt>
                <c:pt idx="3389">
                  <c:v>41451</c:v>
                </c:pt>
                <c:pt idx="3390">
                  <c:v>41452</c:v>
                </c:pt>
                <c:pt idx="3391">
                  <c:v>41453</c:v>
                </c:pt>
                <c:pt idx="3392">
                  <c:v>41456</c:v>
                </c:pt>
                <c:pt idx="3393">
                  <c:v>41457</c:v>
                </c:pt>
                <c:pt idx="3394">
                  <c:v>41458</c:v>
                </c:pt>
                <c:pt idx="3395">
                  <c:v>41460</c:v>
                </c:pt>
                <c:pt idx="3396">
                  <c:v>41463</c:v>
                </c:pt>
                <c:pt idx="3397">
                  <c:v>41464</c:v>
                </c:pt>
                <c:pt idx="3398">
                  <c:v>41465</c:v>
                </c:pt>
                <c:pt idx="3399">
                  <c:v>41466</c:v>
                </c:pt>
                <c:pt idx="3400">
                  <c:v>41467</c:v>
                </c:pt>
                <c:pt idx="3401">
                  <c:v>41470</c:v>
                </c:pt>
                <c:pt idx="3402">
                  <c:v>41471</c:v>
                </c:pt>
                <c:pt idx="3403">
                  <c:v>41472</c:v>
                </c:pt>
                <c:pt idx="3404">
                  <c:v>41473</c:v>
                </c:pt>
                <c:pt idx="3405">
                  <c:v>41474</c:v>
                </c:pt>
                <c:pt idx="3406">
                  <c:v>41477</c:v>
                </c:pt>
                <c:pt idx="3407">
                  <c:v>41478</c:v>
                </c:pt>
                <c:pt idx="3408">
                  <c:v>41479</c:v>
                </c:pt>
                <c:pt idx="3409">
                  <c:v>41480</c:v>
                </c:pt>
                <c:pt idx="3410">
                  <c:v>41481</c:v>
                </c:pt>
                <c:pt idx="3411">
                  <c:v>41484</c:v>
                </c:pt>
                <c:pt idx="3412">
                  <c:v>41485</c:v>
                </c:pt>
                <c:pt idx="3413">
                  <c:v>41486</c:v>
                </c:pt>
                <c:pt idx="3414">
                  <c:v>41487</c:v>
                </c:pt>
                <c:pt idx="3415">
                  <c:v>41488</c:v>
                </c:pt>
                <c:pt idx="3416">
                  <c:v>41491</c:v>
                </c:pt>
                <c:pt idx="3417">
                  <c:v>41492</c:v>
                </c:pt>
                <c:pt idx="3418">
                  <c:v>41493</c:v>
                </c:pt>
                <c:pt idx="3419">
                  <c:v>41494</c:v>
                </c:pt>
                <c:pt idx="3420">
                  <c:v>41495</c:v>
                </c:pt>
                <c:pt idx="3421">
                  <c:v>41498</c:v>
                </c:pt>
                <c:pt idx="3422">
                  <c:v>41499</c:v>
                </c:pt>
                <c:pt idx="3423">
                  <c:v>41500</c:v>
                </c:pt>
                <c:pt idx="3424">
                  <c:v>41501</c:v>
                </c:pt>
                <c:pt idx="3425">
                  <c:v>41502</c:v>
                </c:pt>
                <c:pt idx="3426">
                  <c:v>41505</c:v>
                </c:pt>
                <c:pt idx="3427">
                  <c:v>41506</c:v>
                </c:pt>
                <c:pt idx="3428">
                  <c:v>41507</c:v>
                </c:pt>
                <c:pt idx="3429">
                  <c:v>41508</c:v>
                </c:pt>
                <c:pt idx="3430">
                  <c:v>41509</c:v>
                </c:pt>
                <c:pt idx="3431">
                  <c:v>41512</c:v>
                </c:pt>
                <c:pt idx="3432">
                  <c:v>41513</c:v>
                </c:pt>
                <c:pt idx="3433">
                  <c:v>41514</c:v>
                </c:pt>
                <c:pt idx="3434">
                  <c:v>41515</c:v>
                </c:pt>
                <c:pt idx="3435">
                  <c:v>41516</c:v>
                </c:pt>
                <c:pt idx="3436">
                  <c:v>41520</c:v>
                </c:pt>
                <c:pt idx="3437">
                  <c:v>41521</c:v>
                </c:pt>
                <c:pt idx="3438">
                  <c:v>41522</c:v>
                </c:pt>
                <c:pt idx="3439">
                  <c:v>41523</c:v>
                </c:pt>
                <c:pt idx="3440">
                  <c:v>41526</c:v>
                </c:pt>
                <c:pt idx="3441">
                  <c:v>41527</c:v>
                </c:pt>
                <c:pt idx="3442">
                  <c:v>41528</c:v>
                </c:pt>
                <c:pt idx="3443">
                  <c:v>41529</c:v>
                </c:pt>
                <c:pt idx="3444">
                  <c:v>41530</c:v>
                </c:pt>
                <c:pt idx="3445">
                  <c:v>41533</c:v>
                </c:pt>
                <c:pt idx="3446">
                  <c:v>41534</c:v>
                </c:pt>
                <c:pt idx="3447">
                  <c:v>41535</c:v>
                </c:pt>
                <c:pt idx="3448">
                  <c:v>41536</c:v>
                </c:pt>
                <c:pt idx="3449">
                  <c:v>41537</c:v>
                </c:pt>
                <c:pt idx="3450">
                  <c:v>41540</c:v>
                </c:pt>
                <c:pt idx="3451">
                  <c:v>41541</c:v>
                </c:pt>
                <c:pt idx="3452">
                  <c:v>41542</c:v>
                </c:pt>
                <c:pt idx="3453">
                  <c:v>41543</c:v>
                </c:pt>
                <c:pt idx="3454">
                  <c:v>41544</c:v>
                </c:pt>
                <c:pt idx="3455">
                  <c:v>41547</c:v>
                </c:pt>
                <c:pt idx="3456">
                  <c:v>41548</c:v>
                </c:pt>
                <c:pt idx="3457">
                  <c:v>41549</c:v>
                </c:pt>
                <c:pt idx="3458">
                  <c:v>41550</c:v>
                </c:pt>
                <c:pt idx="3459">
                  <c:v>41551</c:v>
                </c:pt>
                <c:pt idx="3460">
                  <c:v>41554</c:v>
                </c:pt>
                <c:pt idx="3461">
                  <c:v>41555</c:v>
                </c:pt>
                <c:pt idx="3462">
                  <c:v>41556</c:v>
                </c:pt>
                <c:pt idx="3463">
                  <c:v>41557</c:v>
                </c:pt>
                <c:pt idx="3464">
                  <c:v>41558</c:v>
                </c:pt>
                <c:pt idx="3465">
                  <c:v>41561</c:v>
                </c:pt>
                <c:pt idx="3466">
                  <c:v>41562</c:v>
                </c:pt>
                <c:pt idx="3467">
                  <c:v>41563</c:v>
                </c:pt>
                <c:pt idx="3468">
                  <c:v>41564</c:v>
                </c:pt>
                <c:pt idx="3469">
                  <c:v>41565</c:v>
                </c:pt>
                <c:pt idx="3470">
                  <c:v>41568</c:v>
                </c:pt>
                <c:pt idx="3471">
                  <c:v>41569</c:v>
                </c:pt>
                <c:pt idx="3472">
                  <c:v>41570</c:v>
                </c:pt>
                <c:pt idx="3473">
                  <c:v>41571</c:v>
                </c:pt>
                <c:pt idx="3474">
                  <c:v>41572</c:v>
                </c:pt>
                <c:pt idx="3475">
                  <c:v>41575</c:v>
                </c:pt>
                <c:pt idx="3476">
                  <c:v>41576</c:v>
                </c:pt>
                <c:pt idx="3477">
                  <c:v>41577</c:v>
                </c:pt>
                <c:pt idx="3478">
                  <c:v>41578</c:v>
                </c:pt>
                <c:pt idx="3479">
                  <c:v>41579</c:v>
                </c:pt>
                <c:pt idx="3480">
                  <c:v>41582</c:v>
                </c:pt>
                <c:pt idx="3481">
                  <c:v>41583</c:v>
                </c:pt>
                <c:pt idx="3482">
                  <c:v>41584</c:v>
                </c:pt>
                <c:pt idx="3483">
                  <c:v>41585</c:v>
                </c:pt>
                <c:pt idx="3484">
                  <c:v>41586</c:v>
                </c:pt>
                <c:pt idx="3485">
                  <c:v>41589</c:v>
                </c:pt>
                <c:pt idx="3486">
                  <c:v>41590</c:v>
                </c:pt>
                <c:pt idx="3487">
                  <c:v>41591</c:v>
                </c:pt>
                <c:pt idx="3488">
                  <c:v>41592</c:v>
                </c:pt>
                <c:pt idx="3489">
                  <c:v>41593</c:v>
                </c:pt>
                <c:pt idx="3490">
                  <c:v>41596</c:v>
                </c:pt>
                <c:pt idx="3491">
                  <c:v>41597</c:v>
                </c:pt>
                <c:pt idx="3492">
                  <c:v>41598</c:v>
                </c:pt>
                <c:pt idx="3493">
                  <c:v>41599</c:v>
                </c:pt>
                <c:pt idx="3494">
                  <c:v>41600</c:v>
                </c:pt>
                <c:pt idx="3495">
                  <c:v>41603</c:v>
                </c:pt>
                <c:pt idx="3496">
                  <c:v>41604</c:v>
                </c:pt>
                <c:pt idx="3497">
                  <c:v>41605</c:v>
                </c:pt>
                <c:pt idx="3498">
                  <c:v>41607</c:v>
                </c:pt>
                <c:pt idx="3499">
                  <c:v>41610</c:v>
                </c:pt>
                <c:pt idx="3500">
                  <c:v>41611</c:v>
                </c:pt>
                <c:pt idx="3501">
                  <c:v>41612</c:v>
                </c:pt>
                <c:pt idx="3502">
                  <c:v>41613</c:v>
                </c:pt>
                <c:pt idx="3503">
                  <c:v>41614</c:v>
                </c:pt>
                <c:pt idx="3504">
                  <c:v>41617</c:v>
                </c:pt>
                <c:pt idx="3505">
                  <c:v>41618</c:v>
                </c:pt>
                <c:pt idx="3506">
                  <c:v>41619</c:v>
                </c:pt>
                <c:pt idx="3507">
                  <c:v>41620</c:v>
                </c:pt>
                <c:pt idx="3508">
                  <c:v>41621</c:v>
                </c:pt>
                <c:pt idx="3509">
                  <c:v>41624</c:v>
                </c:pt>
                <c:pt idx="3510">
                  <c:v>41625</c:v>
                </c:pt>
                <c:pt idx="3511">
                  <c:v>41626</c:v>
                </c:pt>
                <c:pt idx="3512">
                  <c:v>41627</c:v>
                </c:pt>
                <c:pt idx="3513">
                  <c:v>41628</c:v>
                </c:pt>
                <c:pt idx="3514">
                  <c:v>41631</c:v>
                </c:pt>
                <c:pt idx="3515">
                  <c:v>41632</c:v>
                </c:pt>
                <c:pt idx="3516">
                  <c:v>41634</c:v>
                </c:pt>
                <c:pt idx="3517">
                  <c:v>41635</c:v>
                </c:pt>
                <c:pt idx="3518">
                  <c:v>41638</c:v>
                </c:pt>
                <c:pt idx="3519">
                  <c:v>41639</c:v>
                </c:pt>
                <c:pt idx="3520">
                  <c:v>41641</c:v>
                </c:pt>
                <c:pt idx="3521">
                  <c:v>41642</c:v>
                </c:pt>
                <c:pt idx="3522">
                  <c:v>41645</c:v>
                </c:pt>
                <c:pt idx="3523">
                  <c:v>41646</c:v>
                </c:pt>
                <c:pt idx="3524">
                  <c:v>41647</c:v>
                </c:pt>
                <c:pt idx="3525">
                  <c:v>41648</c:v>
                </c:pt>
                <c:pt idx="3526">
                  <c:v>41649</c:v>
                </c:pt>
                <c:pt idx="3527">
                  <c:v>41652</c:v>
                </c:pt>
                <c:pt idx="3528">
                  <c:v>41653</c:v>
                </c:pt>
                <c:pt idx="3529">
                  <c:v>41654</c:v>
                </c:pt>
                <c:pt idx="3530">
                  <c:v>41655</c:v>
                </c:pt>
                <c:pt idx="3531">
                  <c:v>41656</c:v>
                </c:pt>
                <c:pt idx="3532">
                  <c:v>41660</c:v>
                </c:pt>
                <c:pt idx="3533">
                  <c:v>41661</c:v>
                </c:pt>
                <c:pt idx="3534">
                  <c:v>41662</c:v>
                </c:pt>
                <c:pt idx="3535">
                  <c:v>41663</c:v>
                </c:pt>
                <c:pt idx="3536">
                  <c:v>41666</c:v>
                </c:pt>
                <c:pt idx="3537">
                  <c:v>41667</c:v>
                </c:pt>
                <c:pt idx="3538">
                  <c:v>41668</c:v>
                </c:pt>
                <c:pt idx="3539">
                  <c:v>41669</c:v>
                </c:pt>
                <c:pt idx="3540">
                  <c:v>41670</c:v>
                </c:pt>
                <c:pt idx="3541">
                  <c:v>41673</c:v>
                </c:pt>
                <c:pt idx="3542">
                  <c:v>41674</c:v>
                </c:pt>
                <c:pt idx="3543">
                  <c:v>41675</c:v>
                </c:pt>
                <c:pt idx="3544">
                  <c:v>41676</c:v>
                </c:pt>
                <c:pt idx="3545">
                  <c:v>41677</c:v>
                </c:pt>
                <c:pt idx="3546">
                  <c:v>41680</c:v>
                </c:pt>
                <c:pt idx="3547">
                  <c:v>41681</c:v>
                </c:pt>
                <c:pt idx="3548">
                  <c:v>41682</c:v>
                </c:pt>
                <c:pt idx="3549">
                  <c:v>41683</c:v>
                </c:pt>
                <c:pt idx="3550">
                  <c:v>41684</c:v>
                </c:pt>
                <c:pt idx="3551">
                  <c:v>41688</c:v>
                </c:pt>
                <c:pt idx="3552">
                  <c:v>41689</c:v>
                </c:pt>
                <c:pt idx="3553">
                  <c:v>41690</c:v>
                </c:pt>
                <c:pt idx="3554">
                  <c:v>41691</c:v>
                </c:pt>
                <c:pt idx="3555">
                  <c:v>41694</c:v>
                </c:pt>
                <c:pt idx="3556">
                  <c:v>41695</c:v>
                </c:pt>
                <c:pt idx="3557">
                  <c:v>41696</c:v>
                </c:pt>
                <c:pt idx="3558">
                  <c:v>41697</c:v>
                </c:pt>
                <c:pt idx="3559">
                  <c:v>41698</c:v>
                </c:pt>
                <c:pt idx="3560">
                  <c:v>41701</c:v>
                </c:pt>
                <c:pt idx="3561">
                  <c:v>41702</c:v>
                </c:pt>
                <c:pt idx="3562">
                  <c:v>41703</c:v>
                </c:pt>
                <c:pt idx="3563">
                  <c:v>41704</c:v>
                </c:pt>
                <c:pt idx="3564">
                  <c:v>41705</c:v>
                </c:pt>
                <c:pt idx="3565">
                  <c:v>41708</c:v>
                </c:pt>
                <c:pt idx="3566">
                  <c:v>41709</c:v>
                </c:pt>
                <c:pt idx="3567">
                  <c:v>41710</c:v>
                </c:pt>
                <c:pt idx="3568">
                  <c:v>41711</c:v>
                </c:pt>
                <c:pt idx="3569">
                  <c:v>41712</c:v>
                </c:pt>
                <c:pt idx="3570">
                  <c:v>41715</c:v>
                </c:pt>
                <c:pt idx="3571">
                  <c:v>41716</c:v>
                </c:pt>
                <c:pt idx="3572">
                  <c:v>41717</c:v>
                </c:pt>
                <c:pt idx="3573">
                  <c:v>41718</c:v>
                </c:pt>
                <c:pt idx="3574">
                  <c:v>41719</c:v>
                </c:pt>
                <c:pt idx="3575">
                  <c:v>41722</c:v>
                </c:pt>
                <c:pt idx="3576">
                  <c:v>41723</c:v>
                </c:pt>
                <c:pt idx="3577">
                  <c:v>41724</c:v>
                </c:pt>
                <c:pt idx="3578">
                  <c:v>41725</c:v>
                </c:pt>
                <c:pt idx="3579">
                  <c:v>41726</c:v>
                </c:pt>
                <c:pt idx="3580">
                  <c:v>41729</c:v>
                </c:pt>
                <c:pt idx="3581">
                  <c:v>41730</c:v>
                </c:pt>
                <c:pt idx="3582">
                  <c:v>41731</c:v>
                </c:pt>
                <c:pt idx="3583">
                  <c:v>41732</c:v>
                </c:pt>
                <c:pt idx="3584">
                  <c:v>41733</c:v>
                </c:pt>
                <c:pt idx="3585">
                  <c:v>41736</c:v>
                </c:pt>
                <c:pt idx="3586">
                  <c:v>41737</c:v>
                </c:pt>
                <c:pt idx="3587">
                  <c:v>41738</c:v>
                </c:pt>
                <c:pt idx="3588">
                  <c:v>41739</c:v>
                </c:pt>
                <c:pt idx="3589">
                  <c:v>41740</c:v>
                </c:pt>
              </c:numCache>
            </c:numRef>
          </c:cat>
          <c:val>
            <c:numRef>
              <c:f>List1!$B$4:$B$3593</c:f>
              <c:numCache>
                <c:formatCode>General</c:formatCode>
                <c:ptCount val="3590"/>
                <c:pt idx="0">
                  <c:v>139.75</c:v>
                </c:pt>
                <c:pt idx="1">
                  <c:v>140</c:v>
                </c:pt>
                <c:pt idx="2">
                  <c:v>137.75</c:v>
                </c:pt>
                <c:pt idx="3">
                  <c:v>145.75</c:v>
                </c:pt>
                <c:pt idx="4">
                  <c:v>146.25</c:v>
                </c:pt>
                <c:pt idx="5">
                  <c:v>144.5</c:v>
                </c:pt>
                <c:pt idx="6">
                  <c:v>143.0625</c:v>
                </c:pt>
                <c:pt idx="7">
                  <c:v>145</c:v>
                </c:pt>
                <c:pt idx="8">
                  <c:v>146.96880000000004</c:v>
                </c:pt>
                <c:pt idx="9">
                  <c:v>145.8125</c:v>
                </c:pt>
                <c:pt idx="10">
                  <c:v>147</c:v>
                </c:pt>
                <c:pt idx="11">
                  <c:v>144.75</c:v>
                </c:pt>
                <c:pt idx="12">
                  <c:v>144.4375</c:v>
                </c:pt>
                <c:pt idx="13">
                  <c:v>140.34379999999999</c:v>
                </c:pt>
                <c:pt idx="14">
                  <c:v>141.9375</c:v>
                </c:pt>
                <c:pt idx="15">
                  <c:v>140.8125</c:v>
                </c:pt>
                <c:pt idx="16">
                  <c:v>140.25</c:v>
                </c:pt>
                <c:pt idx="17">
                  <c:v>135.875</c:v>
                </c:pt>
                <c:pt idx="18">
                  <c:v>139.5625</c:v>
                </c:pt>
                <c:pt idx="19">
                  <c:v>140.9375</c:v>
                </c:pt>
                <c:pt idx="20">
                  <c:v>141.0625</c:v>
                </c:pt>
                <c:pt idx="21">
                  <c:v>143.1875</c:v>
                </c:pt>
                <c:pt idx="22">
                  <c:v>142.59379999999999</c:v>
                </c:pt>
                <c:pt idx="23">
                  <c:v>142.375</c:v>
                </c:pt>
                <c:pt idx="24">
                  <c:v>144.3125</c:v>
                </c:pt>
                <c:pt idx="25">
                  <c:v>141.28130000000004</c:v>
                </c:pt>
                <c:pt idx="26">
                  <c:v>141.5625</c:v>
                </c:pt>
                <c:pt idx="27">
                  <c:v>138.6875</c:v>
                </c:pt>
                <c:pt idx="28">
                  <c:v>139.5</c:v>
                </c:pt>
                <c:pt idx="29">
                  <c:v>141.09379999999999</c:v>
                </c:pt>
                <c:pt idx="30">
                  <c:v>139</c:v>
                </c:pt>
                <c:pt idx="31">
                  <c:v>138.28130000000004</c:v>
                </c:pt>
                <c:pt idx="32">
                  <c:v>135.3125</c:v>
                </c:pt>
                <c:pt idx="33">
                  <c:v>134.96880000000004</c:v>
                </c:pt>
                <c:pt idx="34">
                  <c:v>136.5625</c:v>
                </c:pt>
                <c:pt idx="35">
                  <c:v>133.8125</c:v>
                </c:pt>
                <c:pt idx="36">
                  <c:v>133.32810000000083</c:v>
                </c:pt>
                <c:pt idx="37">
                  <c:v>136.125</c:v>
                </c:pt>
                <c:pt idx="38">
                  <c:v>137.4375</c:v>
                </c:pt>
                <c:pt idx="39">
                  <c:v>138.4375</c:v>
                </c:pt>
                <c:pt idx="40">
                  <c:v>138.53130000000004</c:v>
                </c:pt>
                <c:pt idx="41">
                  <c:v>141.125</c:v>
                </c:pt>
                <c:pt idx="42">
                  <c:v>139.75</c:v>
                </c:pt>
                <c:pt idx="43">
                  <c:v>137.04689999999999</c:v>
                </c:pt>
                <c:pt idx="44">
                  <c:v>136.875</c:v>
                </c:pt>
                <c:pt idx="45">
                  <c:v>140.875</c:v>
                </c:pt>
                <c:pt idx="46">
                  <c:v>140.125</c:v>
                </c:pt>
                <c:pt idx="47">
                  <c:v>138.59379999999999</c:v>
                </c:pt>
                <c:pt idx="48">
                  <c:v>136.625</c:v>
                </c:pt>
                <c:pt idx="49">
                  <c:v>139.8125</c:v>
                </c:pt>
                <c:pt idx="50">
                  <c:v>146.34379999999999</c:v>
                </c:pt>
                <c:pt idx="51">
                  <c:v>146.9375</c:v>
                </c:pt>
                <c:pt idx="52">
                  <c:v>146.1875</c:v>
                </c:pt>
                <c:pt idx="53">
                  <c:v>149.1875</c:v>
                </c:pt>
                <c:pt idx="54">
                  <c:v>150.09379999999999</c:v>
                </c:pt>
                <c:pt idx="55">
                  <c:v>152.65630000000004</c:v>
                </c:pt>
                <c:pt idx="56">
                  <c:v>153.5625</c:v>
                </c:pt>
                <c:pt idx="57">
                  <c:v>151.9375</c:v>
                </c:pt>
                <c:pt idx="58">
                  <c:v>151.0625</c:v>
                </c:pt>
                <c:pt idx="59">
                  <c:v>151.21879999999999</c:v>
                </c:pt>
                <c:pt idx="60">
                  <c:v>148.6875</c:v>
                </c:pt>
                <c:pt idx="61">
                  <c:v>150.375</c:v>
                </c:pt>
                <c:pt idx="62">
                  <c:v>151.25</c:v>
                </c:pt>
                <c:pt idx="63">
                  <c:v>145.75</c:v>
                </c:pt>
                <c:pt idx="64">
                  <c:v>149.1875</c:v>
                </c:pt>
                <c:pt idx="65">
                  <c:v>150.48440000000065</c:v>
                </c:pt>
                <c:pt idx="66">
                  <c:v>151.4375</c:v>
                </c:pt>
                <c:pt idx="67">
                  <c:v>150.84379999999999</c:v>
                </c:pt>
                <c:pt idx="68">
                  <c:v>150.40630000000004</c:v>
                </c:pt>
                <c:pt idx="69">
                  <c:v>146.28130000000004</c:v>
                </c:pt>
                <c:pt idx="70">
                  <c:v>144.25</c:v>
                </c:pt>
                <c:pt idx="71">
                  <c:v>136</c:v>
                </c:pt>
                <c:pt idx="72">
                  <c:v>140.75</c:v>
                </c:pt>
                <c:pt idx="73">
                  <c:v>144.46880000000004</c:v>
                </c:pt>
                <c:pt idx="74">
                  <c:v>143.125</c:v>
                </c:pt>
                <c:pt idx="75">
                  <c:v>143.8125</c:v>
                </c:pt>
                <c:pt idx="76">
                  <c:v>142.25</c:v>
                </c:pt>
                <c:pt idx="77">
                  <c:v>148.15630000000004</c:v>
                </c:pt>
                <c:pt idx="78">
                  <c:v>146.48440000000065</c:v>
                </c:pt>
                <c:pt idx="79">
                  <c:v>146</c:v>
                </c:pt>
                <c:pt idx="80">
                  <c:v>145.09379999999999</c:v>
                </c:pt>
                <c:pt idx="81">
                  <c:v>147.0625</c:v>
                </c:pt>
                <c:pt idx="82">
                  <c:v>144.125</c:v>
                </c:pt>
                <c:pt idx="83">
                  <c:v>140.75</c:v>
                </c:pt>
                <c:pt idx="84">
                  <c:v>141.8125</c:v>
                </c:pt>
                <c:pt idx="85">
                  <c:v>143.53130000000004</c:v>
                </c:pt>
                <c:pt idx="86">
                  <c:v>142.45310000000001</c:v>
                </c:pt>
                <c:pt idx="87">
                  <c:v>141.3125</c:v>
                </c:pt>
                <c:pt idx="88">
                  <c:v>138.125</c:v>
                </c:pt>
                <c:pt idx="89">
                  <c:v>141.28130000000004</c:v>
                </c:pt>
                <c:pt idx="90">
                  <c:v>142.8125</c:v>
                </c:pt>
                <c:pt idx="91">
                  <c:v>145.28130000000004</c:v>
                </c:pt>
                <c:pt idx="92">
                  <c:v>146.6875</c:v>
                </c:pt>
                <c:pt idx="93">
                  <c:v>145.15630000000004</c:v>
                </c:pt>
                <c:pt idx="94">
                  <c:v>143.375</c:v>
                </c:pt>
                <c:pt idx="95">
                  <c:v>141.125</c:v>
                </c:pt>
                <c:pt idx="96">
                  <c:v>140.0625</c:v>
                </c:pt>
                <c:pt idx="97">
                  <c:v>138</c:v>
                </c:pt>
                <c:pt idx="98">
                  <c:v>140.25</c:v>
                </c:pt>
                <c:pt idx="99">
                  <c:v>137.84379999999999</c:v>
                </c:pt>
                <c:pt idx="100">
                  <c:v>138</c:v>
                </c:pt>
                <c:pt idx="101">
                  <c:v>142.5</c:v>
                </c:pt>
                <c:pt idx="102">
                  <c:v>142.8125</c:v>
                </c:pt>
                <c:pt idx="103">
                  <c:v>145.3125</c:v>
                </c:pt>
                <c:pt idx="104">
                  <c:v>147.84379999999999</c:v>
                </c:pt>
                <c:pt idx="105">
                  <c:v>147.125</c:v>
                </c:pt>
                <c:pt idx="106">
                  <c:v>146.46880000000004</c:v>
                </c:pt>
                <c:pt idx="107">
                  <c:v>147.48440000000065</c:v>
                </c:pt>
                <c:pt idx="108">
                  <c:v>146.90630000000004</c:v>
                </c:pt>
                <c:pt idx="109">
                  <c:v>146.59379999999999</c:v>
                </c:pt>
                <c:pt idx="110">
                  <c:v>144.875</c:v>
                </c:pt>
                <c:pt idx="111">
                  <c:v>147.59379999999999</c:v>
                </c:pt>
                <c:pt idx="112">
                  <c:v>147.84379999999999</c:v>
                </c:pt>
                <c:pt idx="113">
                  <c:v>148.15630000000004</c:v>
                </c:pt>
                <c:pt idx="114">
                  <c:v>146.59379999999999</c:v>
                </c:pt>
                <c:pt idx="115">
                  <c:v>148.46880000000004</c:v>
                </c:pt>
                <c:pt idx="116">
                  <c:v>147.9375</c:v>
                </c:pt>
                <c:pt idx="117">
                  <c:v>147.875</c:v>
                </c:pt>
                <c:pt idx="118">
                  <c:v>145.625</c:v>
                </c:pt>
                <c:pt idx="119">
                  <c:v>144.375</c:v>
                </c:pt>
                <c:pt idx="120">
                  <c:v>146.23439999999999</c:v>
                </c:pt>
                <c:pt idx="121">
                  <c:v>145.15630000000004</c:v>
                </c:pt>
                <c:pt idx="122">
                  <c:v>145.5625</c:v>
                </c:pt>
                <c:pt idx="123">
                  <c:v>144.1875</c:v>
                </c:pt>
                <c:pt idx="124">
                  <c:v>145.28130000000004</c:v>
                </c:pt>
                <c:pt idx="125">
                  <c:v>147.28130000000004</c:v>
                </c:pt>
                <c:pt idx="126">
                  <c:v>144.625</c:v>
                </c:pt>
                <c:pt idx="127">
                  <c:v>145.75</c:v>
                </c:pt>
                <c:pt idx="128">
                  <c:v>148.09379999999999</c:v>
                </c:pt>
                <c:pt idx="129">
                  <c:v>147.84379999999999</c:v>
                </c:pt>
                <c:pt idx="130">
                  <c:v>148.15630000000004</c:v>
                </c:pt>
                <c:pt idx="131">
                  <c:v>149.125</c:v>
                </c:pt>
                <c:pt idx="132">
                  <c:v>149.78130000000004</c:v>
                </c:pt>
                <c:pt idx="133">
                  <c:v>151.25</c:v>
                </c:pt>
                <c:pt idx="134">
                  <c:v>151</c:v>
                </c:pt>
                <c:pt idx="135">
                  <c:v>149.76559999999998</c:v>
                </c:pt>
                <c:pt idx="136">
                  <c:v>148.5625</c:v>
                </c:pt>
                <c:pt idx="137">
                  <c:v>150.625</c:v>
                </c:pt>
                <c:pt idx="138">
                  <c:v>147.6875</c:v>
                </c:pt>
                <c:pt idx="139">
                  <c:v>146.84379999999999</c:v>
                </c:pt>
                <c:pt idx="140">
                  <c:v>147.3125</c:v>
                </c:pt>
                <c:pt idx="141">
                  <c:v>145.875</c:v>
                </c:pt>
                <c:pt idx="142">
                  <c:v>145.375</c:v>
                </c:pt>
                <c:pt idx="143">
                  <c:v>142.09379999999999</c:v>
                </c:pt>
                <c:pt idx="144">
                  <c:v>143</c:v>
                </c:pt>
                <c:pt idx="145">
                  <c:v>143.875</c:v>
                </c:pt>
                <c:pt idx="146">
                  <c:v>144.59379999999999</c:v>
                </c:pt>
                <c:pt idx="147">
                  <c:v>145.59379999999999</c:v>
                </c:pt>
                <c:pt idx="148">
                  <c:v>146.375</c:v>
                </c:pt>
                <c:pt idx="149">
                  <c:v>148.125</c:v>
                </c:pt>
                <c:pt idx="150">
                  <c:v>148.6875</c:v>
                </c:pt>
                <c:pt idx="151">
                  <c:v>147.4375</c:v>
                </c:pt>
                <c:pt idx="152">
                  <c:v>146.71879999999999</c:v>
                </c:pt>
                <c:pt idx="153">
                  <c:v>147.40630000000004</c:v>
                </c:pt>
                <c:pt idx="154">
                  <c:v>149.28130000000004</c:v>
                </c:pt>
                <c:pt idx="155">
                  <c:v>149.15630000000004</c:v>
                </c:pt>
                <c:pt idx="156">
                  <c:v>148.625</c:v>
                </c:pt>
                <c:pt idx="157">
                  <c:v>150.1875</c:v>
                </c:pt>
                <c:pt idx="158">
                  <c:v>149.6875</c:v>
                </c:pt>
                <c:pt idx="159">
                  <c:v>150.5</c:v>
                </c:pt>
                <c:pt idx="160">
                  <c:v>150.25</c:v>
                </c:pt>
                <c:pt idx="161">
                  <c:v>150.84379999999999</c:v>
                </c:pt>
                <c:pt idx="162">
                  <c:v>151.3125</c:v>
                </c:pt>
                <c:pt idx="163">
                  <c:v>151.25</c:v>
                </c:pt>
                <c:pt idx="164">
                  <c:v>151.76559999999998</c:v>
                </c:pt>
                <c:pt idx="165">
                  <c:v>151.79689999999999</c:v>
                </c:pt>
                <c:pt idx="166">
                  <c:v>150.34379999999999</c:v>
                </c:pt>
                <c:pt idx="167">
                  <c:v>152.34379999999999</c:v>
                </c:pt>
                <c:pt idx="168">
                  <c:v>152.5</c:v>
                </c:pt>
                <c:pt idx="169">
                  <c:v>151.28130000000004</c:v>
                </c:pt>
                <c:pt idx="170">
                  <c:v>149.5625</c:v>
                </c:pt>
                <c:pt idx="171">
                  <c:v>150.84379999999999</c:v>
                </c:pt>
                <c:pt idx="172">
                  <c:v>149.8125</c:v>
                </c:pt>
                <c:pt idx="173">
                  <c:v>149.59379999999999</c:v>
                </c:pt>
                <c:pt idx="174">
                  <c:v>148.5</c:v>
                </c:pt>
                <c:pt idx="175">
                  <c:v>148.89060000000001</c:v>
                </c:pt>
                <c:pt idx="176">
                  <c:v>149.64059999999998</c:v>
                </c:pt>
                <c:pt idx="177">
                  <c:v>146</c:v>
                </c:pt>
                <c:pt idx="178">
                  <c:v>144.65630000000004</c:v>
                </c:pt>
                <c:pt idx="179">
                  <c:v>145.96880000000004</c:v>
                </c:pt>
                <c:pt idx="180">
                  <c:v>144.89060000000001</c:v>
                </c:pt>
                <c:pt idx="181">
                  <c:v>142.6875</c:v>
                </c:pt>
                <c:pt idx="182">
                  <c:v>145.28130000000004</c:v>
                </c:pt>
                <c:pt idx="183">
                  <c:v>144.25</c:v>
                </c:pt>
                <c:pt idx="184">
                  <c:v>142.40630000000004</c:v>
                </c:pt>
                <c:pt idx="185">
                  <c:v>143.15630000000004</c:v>
                </c:pt>
                <c:pt idx="186">
                  <c:v>145</c:v>
                </c:pt>
                <c:pt idx="187">
                  <c:v>143.625</c:v>
                </c:pt>
                <c:pt idx="188">
                  <c:v>143.84379999999999</c:v>
                </c:pt>
                <c:pt idx="189">
                  <c:v>142.5</c:v>
                </c:pt>
                <c:pt idx="190">
                  <c:v>143.6875</c:v>
                </c:pt>
                <c:pt idx="191">
                  <c:v>144.1875</c:v>
                </c:pt>
                <c:pt idx="192">
                  <c:v>141.0625</c:v>
                </c:pt>
                <c:pt idx="193">
                  <c:v>140</c:v>
                </c:pt>
                <c:pt idx="194">
                  <c:v>137.6875</c:v>
                </c:pt>
                <c:pt idx="195">
                  <c:v>136.53130000000004</c:v>
                </c:pt>
                <c:pt idx="196">
                  <c:v>133.125</c:v>
                </c:pt>
                <c:pt idx="197">
                  <c:v>137.5625</c:v>
                </c:pt>
                <c:pt idx="198">
                  <c:v>138.1875</c:v>
                </c:pt>
                <c:pt idx="199">
                  <c:v>134.75</c:v>
                </c:pt>
                <c:pt idx="200">
                  <c:v>134.25</c:v>
                </c:pt>
                <c:pt idx="201">
                  <c:v>139.28130000000004</c:v>
                </c:pt>
                <c:pt idx="202">
                  <c:v>139.90630000000004</c:v>
                </c:pt>
                <c:pt idx="203">
                  <c:v>140.53130000000004</c:v>
                </c:pt>
                <c:pt idx="204">
                  <c:v>139.59379999999999</c:v>
                </c:pt>
                <c:pt idx="205">
                  <c:v>136.3125</c:v>
                </c:pt>
                <c:pt idx="206">
                  <c:v>136.6875</c:v>
                </c:pt>
                <c:pt idx="207">
                  <c:v>139.28130000000004</c:v>
                </c:pt>
                <c:pt idx="208">
                  <c:v>140.53130000000004</c:v>
                </c:pt>
                <c:pt idx="209">
                  <c:v>142.95310000000001</c:v>
                </c:pt>
                <c:pt idx="210">
                  <c:v>142.46880000000004</c:v>
                </c:pt>
                <c:pt idx="211">
                  <c:v>142.70309999999998</c:v>
                </c:pt>
                <c:pt idx="212">
                  <c:v>142.78130000000004</c:v>
                </c:pt>
                <c:pt idx="213">
                  <c:v>143.78130000000004</c:v>
                </c:pt>
                <c:pt idx="214">
                  <c:v>143.75</c:v>
                </c:pt>
                <c:pt idx="215">
                  <c:v>140.5625</c:v>
                </c:pt>
                <c:pt idx="216">
                  <c:v>140.03130000000004</c:v>
                </c:pt>
                <c:pt idx="217">
                  <c:v>136.625</c:v>
                </c:pt>
                <c:pt idx="218">
                  <c:v>135.5625</c:v>
                </c:pt>
                <c:pt idx="219">
                  <c:v>139.125</c:v>
                </c:pt>
                <c:pt idx="220">
                  <c:v>139.5625</c:v>
                </c:pt>
                <c:pt idx="221">
                  <c:v>137.375</c:v>
                </c:pt>
                <c:pt idx="222">
                  <c:v>136.64059999999998</c:v>
                </c:pt>
                <c:pt idx="223">
                  <c:v>134.6875</c:v>
                </c:pt>
                <c:pt idx="224">
                  <c:v>135.375</c:v>
                </c:pt>
                <c:pt idx="225">
                  <c:v>132.14059999999998</c:v>
                </c:pt>
                <c:pt idx="226">
                  <c:v>134.84379999999999</c:v>
                </c:pt>
                <c:pt idx="227">
                  <c:v>136.03130000000004</c:v>
                </c:pt>
                <c:pt idx="228">
                  <c:v>133.6875</c:v>
                </c:pt>
                <c:pt idx="229">
                  <c:v>133.4375</c:v>
                </c:pt>
                <c:pt idx="230">
                  <c:v>132.28130000000004</c:v>
                </c:pt>
                <c:pt idx="231">
                  <c:v>132.21879999999999</c:v>
                </c:pt>
                <c:pt idx="232">
                  <c:v>133.34379999999999</c:v>
                </c:pt>
                <c:pt idx="233">
                  <c:v>137.71879999999999</c:v>
                </c:pt>
                <c:pt idx="234">
                  <c:v>135.51559999999998</c:v>
                </c:pt>
                <c:pt idx="235">
                  <c:v>133.65630000000004</c:v>
                </c:pt>
                <c:pt idx="236">
                  <c:v>133.96880000000004</c:v>
                </c:pt>
                <c:pt idx="237">
                  <c:v>138.625</c:v>
                </c:pt>
                <c:pt idx="238">
                  <c:v>138.03130000000004</c:v>
                </c:pt>
                <c:pt idx="239">
                  <c:v>136.14059999999998</c:v>
                </c:pt>
                <c:pt idx="240">
                  <c:v>134.40630000000004</c:v>
                </c:pt>
                <c:pt idx="241">
                  <c:v>130.96880000000004</c:v>
                </c:pt>
                <c:pt idx="242">
                  <c:v>132.71879999999999</c:v>
                </c:pt>
                <c:pt idx="243">
                  <c:v>130.01559999999998</c:v>
                </c:pt>
                <c:pt idx="244">
                  <c:v>126.25</c:v>
                </c:pt>
                <c:pt idx="245">
                  <c:v>127.12499999999999</c:v>
                </c:pt>
                <c:pt idx="246">
                  <c:v>130.9375</c:v>
                </c:pt>
                <c:pt idx="247">
                  <c:v>132.34379999999999</c:v>
                </c:pt>
                <c:pt idx="248">
                  <c:v>133.3125</c:v>
                </c:pt>
                <c:pt idx="249">
                  <c:v>133.71879999999999</c:v>
                </c:pt>
                <c:pt idx="250">
                  <c:v>131.1875</c:v>
                </c:pt>
                <c:pt idx="251">
                  <c:v>128.8125</c:v>
                </c:pt>
                <c:pt idx="252">
                  <c:v>135</c:v>
                </c:pt>
                <c:pt idx="253">
                  <c:v>133.54689999999999</c:v>
                </c:pt>
                <c:pt idx="254">
                  <c:v>129.1875</c:v>
                </c:pt>
                <c:pt idx="255">
                  <c:v>130.1875</c:v>
                </c:pt>
                <c:pt idx="256">
                  <c:v>129.84379999999999</c:v>
                </c:pt>
                <c:pt idx="257">
                  <c:v>132.125</c:v>
                </c:pt>
                <c:pt idx="258">
                  <c:v>132.25</c:v>
                </c:pt>
                <c:pt idx="259">
                  <c:v>132</c:v>
                </c:pt>
                <c:pt idx="260">
                  <c:v>132.84379999999999</c:v>
                </c:pt>
                <c:pt idx="261">
                  <c:v>133.45310000000001</c:v>
                </c:pt>
                <c:pt idx="262">
                  <c:v>134.78130000000004</c:v>
                </c:pt>
                <c:pt idx="263">
                  <c:v>134.01559999999998</c:v>
                </c:pt>
                <c:pt idx="264">
                  <c:v>134.90630000000004</c:v>
                </c:pt>
                <c:pt idx="265">
                  <c:v>135.96880000000004</c:v>
                </c:pt>
                <c:pt idx="266">
                  <c:v>136.375</c:v>
                </c:pt>
                <c:pt idx="267">
                  <c:v>136.03130000000004</c:v>
                </c:pt>
                <c:pt idx="268">
                  <c:v>135.875</c:v>
                </c:pt>
                <c:pt idx="269">
                  <c:v>136.6</c:v>
                </c:pt>
                <c:pt idx="270">
                  <c:v>137.80000000000001</c:v>
                </c:pt>
                <c:pt idx="271">
                  <c:v>137.02000000000001</c:v>
                </c:pt>
                <c:pt idx="272">
                  <c:v>137.93</c:v>
                </c:pt>
                <c:pt idx="273">
                  <c:v>134.80000000000001</c:v>
                </c:pt>
                <c:pt idx="274">
                  <c:v>135.79</c:v>
                </c:pt>
                <c:pt idx="275">
                  <c:v>135.39000000000001</c:v>
                </c:pt>
                <c:pt idx="276">
                  <c:v>134.69</c:v>
                </c:pt>
                <c:pt idx="277">
                  <c:v>133.12</c:v>
                </c:pt>
                <c:pt idx="278">
                  <c:v>131.84</c:v>
                </c:pt>
                <c:pt idx="279">
                  <c:v>133.35000000000065</c:v>
                </c:pt>
                <c:pt idx="280">
                  <c:v>132.26</c:v>
                </c:pt>
                <c:pt idx="281">
                  <c:v>132.06</c:v>
                </c:pt>
                <c:pt idx="282">
                  <c:v>133.34</c:v>
                </c:pt>
                <c:pt idx="283">
                  <c:v>130.4</c:v>
                </c:pt>
                <c:pt idx="284">
                  <c:v>128.39000000000001</c:v>
                </c:pt>
                <c:pt idx="285">
                  <c:v>125.61999999999999</c:v>
                </c:pt>
                <c:pt idx="286">
                  <c:v>125.81</c:v>
                </c:pt>
                <c:pt idx="287">
                  <c:v>124.96000000000002</c:v>
                </c:pt>
                <c:pt idx="288">
                  <c:v>127.61999999999999</c:v>
                </c:pt>
                <c:pt idx="289">
                  <c:v>126.44000000000032</c:v>
                </c:pt>
                <c:pt idx="290">
                  <c:v>123.95</c:v>
                </c:pt>
                <c:pt idx="291">
                  <c:v>124.6</c:v>
                </c:pt>
                <c:pt idx="292">
                  <c:v>123.61</c:v>
                </c:pt>
                <c:pt idx="293">
                  <c:v>124.74000000000002</c:v>
                </c:pt>
                <c:pt idx="294">
                  <c:v>126.08</c:v>
                </c:pt>
                <c:pt idx="295">
                  <c:v>126.98</c:v>
                </c:pt>
                <c:pt idx="296">
                  <c:v>127.11999999999999</c:v>
                </c:pt>
                <c:pt idx="297">
                  <c:v>123.36</c:v>
                </c:pt>
                <c:pt idx="298">
                  <c:v>118.08</c:v>
                </c:pt>
                <c:pt idx="299">
                  <c:v>120.02</c:v>
                </c:pt>
                <c:pt idx="300">
                  <c:v>117.64999999999999</c:v>
                </c:pt>
                <c:pt idx="301">
                  <c:v>117.67999999999998</c:v>
                </c:pt>
                <c:pt idx="302">
                  <c:v>115.01</c:v>
                </c:pt>
                <c:pt idx="303">
                  <c:v>117.35</c:v>
                </c:pt>
                <c:pt idx="304">
                  <c:v>114.2</c:v>
                </c:pt>
                <c:pt idx="305">
                  <c:v>112.26</c:v>
                </c:pt>
                <c:pt idx="306">
                  <c:v>111.11999999999999</c:v>
                </c:pt>
                <c:pt idx="307">
                  <c:v>114.48</c:v>
                </c:pt>
                <c:pt idx="308">
                  <c:v>115.94000000000032</c:v>
                </c:pt>
                <c:pt idx="309">
                  <c:v>118.31</c:v>
                </c:pt>
                <c:pt idx="310">
                  <c:v>115.04</c:v>
                </c:pt>
                <c:pt idx="311">
                  <c:v>115.48</c:v>
                </c:pt>
                <c:pt idx="312">
                  <c:v>116.69</c:v>
                </c:pt>
                <c:pt idx="313">
                  <c:v>114.2</c:v>
                </c:pt>
                <c:pt idx="314">
                  <c:v>110.39</c:v>
                </c:pt>
                <c:pt idx="315">
                  <c:v>110.85</c:v>
                </c:pt>
                <c:pt idx="316">
                  <c:v>115.05</c:v>
                </c:pt>
                <c:pt idx="317">
                  <c:v>113.3</c:v>
                </c:pt>
                <c:pt idx="318">
                  <c:v>114.56</c:v>
                </c:pt>
                <c:pt idx="319">
                  <c:v>116.64999999999999</c:v>
                </c:pt>
                <c:pt idx="320">
                  <c:v>116.73</c:v>
                </c:pt>
                <c:pt idx="321">
                  <c:v>118.85</c:v>
                </c:pt>
                <c:pt idx="322">
                  <c:v>117.6</c:v>
                </c:pt>
                <c:pt idx="323">
                  <c:v>119.26</c:v>
                </c:pt>
                <c:pt idx="324">
                  <c:v>124</c:v>
                </c:pt>
                <c:pt idx="325">
                  <c:v>125.64999999999999</c:v>
                </c:pt>
                <c:pt idx="326">
                  <c:v>124.5</c:v>
                </c:pt>
                <c:pt idx="327">
                  <c:v>122.24000000000002</c:v>
                </c:pt>
                <c:pt idx="328">
                  <c:v>121.58</c:v>
                </c:pt>
                <c:pt idx="329">
                  <c:v>123.16999999999999</c:v>
                </c:pt>
                <c:pt idx="330">
                  <c:v>123.72</c:v>
                </c:pt>
                <c:pt idx="331">
                  <c:v>125.78</c:v>
                </c:pt>
                <c:pt idx="332">
                  <c:v>124.91000000000012</c:v>
                </c:pt>
                <c:pt idx="333">
                  <c:v>127.05</c:v>
                </c:pt>
                <c:pt idx="334">
                  <c:v>126.82</c:v>
                </c:pt>
                <c:pt idx="335">
                  <c:v>125.21000000000002</c:v>
                </c:pt>
                <c:pt idx="336">
                  <c:v>127.34</c:v>
                </c:pt>
                <c:pt idx="337">
                  <c:v>126.24000000000002</c:v>
                </c:pt>
                <c:pt idx="338">
                  <c:v>126.17999999999998</c:v>
                </c:pt>
                <c:pt idx="339">
                  <c:v>125.64999999999999</c:v>
                </c:pt>
                <c:pt idx="340">
                  <c:v>126.02</c:v>
                </c:pt>
                <c:pt idx="341">
                  <c:v>125.14999999999999</c:v>
                </c:pt>
                <c:pt idx="342">
                  <c:v>125.4</c:v>
                </c:pt>
                <c:pt idx="343">
                  <c:v>125.98</c:v>
                </c:pt>
                <c:pt idx="344">
                  <c:v>128.94999999999999</c:v>
                </c:pt>
                <c:pt idx="345">
                  <c:v>129.15</c:v>
                </c:pt>
                <c:pt idx="346">
                  <c:v>129.73999999999998</c:v>
                </c:pt>
                <c:pt idx="347">
                  <c:v>131.65</c:v>
                </c:pt>
                <c:pt idx="348">
                  <c:v>131.47999999999999</c:v>
                </c:pt>
                <c:pt idx="349">
                  <c:v>129.25</c:v>
                </c:pt>
                <c:pt idx="350">
                  <c:v>129.63</c:v>
                </c:pt>
                <c:pt idx="351">
                  <c:v>128.1</c:v>
                </c:pt>
                <c:pt idx="352">
                  <c:v>127.08</c:v>
                </c:pt>
                <c:pt idx="353">
                  <c:v>125.3</c:v>
                </c:pt>
                <c:pt idx="354">
                  <c:v>125.95</c:v>
                </c:pt>
                <c:pt idx="355">
                  <c:v>126.73</c:v>
                </c:pt>
                <c:pt idx="356">
                  <c:v>127.34</c:v>
                </c:pt>
                <c:pt idx="357">
                  <c:v>128.80000000000001</c:v>
                </c:pt>
                <c:pt idx="358">
                  <c:v>127.73</c:v>
                </c:pt>
                <c:pt idx="359">
                  <c:v>128.19</c:v>
                </c:pt>
                <c:pt idx="360">
                  <c:v>127</c:v>
                </c:pt>
                <c:pt idx="361">
                  <c:v>126.1</c:v>
                </c:pt>
                <c:pt idx="362">
                  <c:v>125.88</c:v>
                </c:pt>
                <c:pt idx="363">
                  <c:v>124.8</c:v>
                </c:pt>
                <c:pt idx="364">
                  <c:v>122</c:v>
                </c:pt>
                <c:pt idx="365">
                  <c:v>121.85</c:v>
                </c:pt>
                <c:pt idx="366">
                  <c:v>121.26</c:v>
                </c:pt>
                <c:pt idx="367">
                  <c:v>121.79</c:v>
                </c:pt>
                <c:pt idx="368">
                  <c:v>122.43</c:v>
                </c:pt>
                <c:pt idx="369">
                  <c:v>123.82</c:v>
                </c:pt>
                <c:pt idx="370">
                  <c:v>122.85</c:v>
                </c:pt>
                <c:pt idx="371">
                  <c:v>121.72</c:v>
                </c:pt>
                <c:pt idx="372">
                  <c:v>121.55</c:v>
                </c:pt>
                <c:pt idx="373">
                  <c:v>121.48</c:v>
                </c:pt>
                <c:pt idx="374">
                  <c:v>122.14999999999999</c:v>
                </c:pt>
                <c:pt idx="375">
                  <c:v>122.6</c:v>
                </c:pt>
                <c:pt idx="376">
                  <c:v>124.13</c:v>
                </c:pt>
                <c:pt idx="377">
                  <c:v>124.1</c:v>
                </c:pt>
                <c:pt idx="378">
                  <c:v>121.67999999999998</c:v>
                </c:pt>
                <c:pt idx="379">
                  <c:v>119.05</c:v>
                </c:pt>
                <c:pt idx="380">
                  <c:v>119.7</c:v>
                </c:pt>
                <c:pt idx="381">
                  <c:v>118.26</c:v>
                </c:pt>
                <c:pt idx="382">
                  <c:v>118.38</c:v>
                </c:pt>
                <c:pt idx="383">
                  <c:v>121.19</c:v>
                </c:pt>
                <c:pt idx="384">
                  <c:v>122.24000000000002</c:v>
                </c:pt>
                <c:pt idx="385">
                  <c:v>120.71000000000002</c:v>
                </c:pt>
                <c:pt idx="386">
                  <c:v>121.84</c:v>
                </c:pt>
                <c:pt idx="387">
                  <c:v>121.01</c:v>
                </c:pt>
                <c:pt idx="388">
                  <c:v>122.07</c:v>
                </c:pt>
                <c:pt idx="389">
                  <c:v>121.34</c:v>
                </c:pt>
                <c:pt idx="390">
                  <c:v>118.95</c:v>
                </c:pt>
                <c:pt idx="391">
                  <c:v>117.8</c:v>
                </c:pt>
                <c:pt idx="392">
                  <c:v>119.1</c:v>
                </c:pt>
                <c:pt idx="393">
                  <c:v>120.35</c:v>
                </c:pt>
                <c:pt idx="394">
                  <c:v>120.81</c:v>
                </c:pt>
                <c:pt idx="395">
                  <c:v>120.85</c:v>
                </c:pt>
                <c:pt idx="396">
                  <c:v>121.35</c:v>
                </c:pt>
                <c:pt idx="397">
                  <c:v>122.11</c:v>
                </c:pt>
                <c:pt idx="398">
                  <c:v>122.61</c:v>
                </c:pt>
                <c:pt idx="399">
                  <c:v>121.94000000000032</c:v>
                </c:pt>
                <c:pt idx="400">
                  <c:v>120.3</c:v>
                </c:pt>
                <c:pt idx="401">
                  <c:v>120.77</c:v>
                </c:pt>
                <c:pt idx="402">
                  <c:v>118.53</c:v>
                </c:pt>
                <c:pt idx="403">
                  <c:v>118.88</c:v>
                </c:pt>
                <c:pt idx="404">
                  <c:v>119.29</c:v>
                </c:pt>
                <c:pt idx="405">
                  <c:v>119.32</c:v>
                </c:pt>
                <c:pt idx="406">
                  <c:v>119.27</c:v>
                </c:pt>
                <c:pt idx="407">
                  <c:v>118.24000000000002</c:v>
                </c:pt>
                <c:pt idx="408">
                  <c:v>118.64999999999999</c:v>
                </c:pt>
                <c:pt idx="409">
                  <c:v>116.75</c:v>
                </c:pt>
                <c:pt idx="410">
                  <c:v>117.83</c:v>
                </c:pt>
                <c:pt idx="411">
                  <c:v>115.82</c:v>
                </c:pt>
                <c:pt idx="412">
                  <c:v>117.02</c:v>
                </c:pt>
                <c:pt idx="413">
                  <c:v>116.6</c:v>
                </c:pt>
                <c:pt idx="414">
                  <c:v>119.02</c:v>
                </c:pt>
                <c:pt idx="415">
                  <c:v>118.31</c:v>
                </c:pt>
                <c:pt idx="416">
                  <c:v>116.58</c:v>
                </c:pt>
                <c:pt idx="417">
                  <c:v>115.54</c:v>
                </c:pt>
                <c:pt idx="418">
                  <c:v>113.32</c:v>
                </c:pt>
                <c:pt idx="419">
                  <c:v>114.14999999999999</c:v>
                </c:pt>
                <c:pt idx="420">
                  <c:v>113.42</c:v>
                </c:pt>
                <c:pt idx="421">
                  <c:v>113.7</c:v>
                </c:pt>
                <c:pt idx="422">
                  <c:v>110.77</c:v>
                </c:pt>
                <c:pt idx="423">
                  <c:v>108.72</c:v>
                </c:pt>
                <c:pt idx="424">
                  <c:v>110.05</c:v>
                </c:pt>
                <c:pt idx="425">
                  <c:v>104.3</c:v>
                </c:pt>
                <c:pt idx="426">
                  <c:v>104.05</c:v>
                </c:pt>
                <c:pt idx="427">
                  <c:v>101.95</c:v>
                </c:pt>
                <c:pt idx="428">
                  <c:v>98.710000000000022</c:v>
                </c:pt>
                <c:pt idx="429">
                  <c:v>97.28</c:v>
                </c:pt>
                <c:pt idx="430">
                  <c:v>100.7</c:v>
                </c:pt>
                <c:pt idx="431">
                  <c:v>101.75</c:v>
                </c:pt>
                <c:pt idx="432">
                  <c:v>101.39</c:v>
                </c:pt>
                <c:pt idx="433">
                  <c:v>102.27</c:v>
                </c:pt>
                <c:pt idx="434">
                  <c:v>104.44000000000032</c:v>
                </c:pt>
                <c:pt idx="435">
                  <c:v>104.27</c:v>
                </c:pt>
                <c:pt idx="436">
                  <c:v>105.58</c:v>
                </c:pt>
                <c:pt idx="437">
                  <c:v>107.35</c:v>
                </c:pt>
                <c:pt idx="438">
                  <c:v>107.44000000000032</c:v>
                </c:pt>
                <c:pt idx="439">
                  <c:v>107.23</c:v>
                </c:pt>
                <c:pt idx="440">
                  <c:v>106.53</c:v>
                </c:pt>
                <c:pt idx="441">
                  <c:v>105.96000000000002</c:v>
                </c:pt>
                <c:pt idx="442">
                  <c:v>108.32</c:v>
                </c:pt>
                <c:pt idx="443">
                  <c:v>110</c:v>
                </c:pt>
                <c:pt idx="444">
                  <c:v>109.5</c:v>
                </c:pt>
                <c:pt idx="445">
                  <c:v>109.3</c:v>
                </c:pt>
                <c:pt idx="446">
                  <c:v>109.99000000000002</c:v>
                </c:pt>
                <c:pt idx="447">
                  <c:v>107.64999999999999</c:v>
                </c:pt>
                <c:pt idx="448">
                  <c:v>107.42</c:v>
                </c:pt>
                <c:pt idx="449">
                  <c:v>107.35</c:v>
                </c:pt>
                <c:pt idx="450">
                  <c:v>109.47</c:v>
                </c:pt>
                <c:pt idx="451">
                  <c:v>108.91000000000012</c:v>
                </c:pt>
                <c:pt idx="452">
                  <c:v>108.61999999999999</c:v>
                </c:pt>
                <c:pt idx="453">
                  <c:v>110.57</c:v>
                </c:pt>
                <c:pt idx="454">
                  <c:v>110.32</c:v>
                </c:pt>
                <c:pt idx="455">
                  <c:v>107.45</c:v>
                </c:pt>
                <c:pt idx="456">
                  <c:v>106.16</c:v>
                </c:pt>
                <c:pt idx="457">
                  <c:v>105.8</c:v>
                </c:pt>
                <c:pt idx="458">
                  <c:v>108.51</c:v>
                </c:pt>
                <c:pt idx="459">
                  <c:v>109.25</c:v>
                </c:pt>
                <c:pt idx="460">
                  <c:v>110.67999999999998</c:v>
                </c:pt>
                <c:pt idx="461">
                  <c:v>112.4</c:v>
                </c:pt>
                <c:pt idx="462">
                  <c:v>112.25</c:v>
                </c:pt>
                <c:pt idx="463">
                  <c:v>112.6</c:v>
                </c:pt>
                <c:pt idx="464">
                  <c:v>112.72</c:v>
                </c:pt>
                <c:pt idx="465">
                  <c:v>112.03</c:v>
                </c:pt>
                <c:pt idx="466">
                  <c:v>114.55</c:v>
                </c:pt>
                <c:pt idx="467">
                  <c:v>114.66</c:v>
                </c:pt>
                <c:pt idx="468">
                  <c:v>114.86999999999999</c:v>
                </c:pt>
                <c:pt idx="469">
                  <c:v>114.36</c:v>
                </c:pt>
                <c:pt idx="470">
                  <c:v>115.77</c:v>
                </c:pt>
                <c:pt idx="471">
                  <c:v>114.8</c:v>
                </c:pt>
                <c:pt idx="472">
                  <c:v>114.04</c:v>
                </c:pt>
                <c:pt idx="473">
                  <c:v>115.67999999999998</c:v>
                </c:pt>
                <c:pt idx="474">
                  <c:v>115.93</c:v>
                </c:pt>
                <c:pt idx="475">
                  <c:v>115.43</c:v>
                </c:pt>
                <c:pt idx="476">
                  <c:v>113.34</c:v>
                </c:pt>
                <c:pt idx="477">
                  <c:v>114.86999999999999</c:v>
                </c:pt>
                <c:pt idx="478">
                  <c:v>114.05</c:v>
                </c:pt>
                <c:pt idx="479">
                  <c:v>113.36999999999999</c:v>
                </c:pt>
                <c:pt idx="480">
                  <c:v>115.29</c:v>
                </c:pt>
                <c:pt idx="481">
                  <c:v>117.4</c:v>
                </c:pt>
                <c:pt idx="482">
                  <c:v>117.34</c:v>
                </c:pt>
                <c:pt idx="483">
                  <c:v>116.56</c:v>
                </c:pt>
                <c:pt idx="484">
                  <c:v>114.38</c:v>
                </c:pt>
                <c:pt idx="485">
                  <c:v>114.14999999999999</c:v>
                </c:pt>
                <c:pt idx="486">
                  <c:v>114.28</c:v>
                </c:pt>
                <c:pt idx="487">
                  <c:v>112.06</c:v>
                </c:pt>
                <c:pt idx="488">
                  <c:v>113.13</c:v>
                </c:pt>
                <c:pt idx="489">
                  <c:v>114.3</c:v>
                </c:pt>
                <c:pt idx="490">
                  <c:v>114.98</c:v>
                </c:pt>
                <c:pt idx="491">
                  <c:v>115.79</c:v>
                </c:pt>
                <c:pt idx="492">
                  <c:v>114.64999999999999</c:v>
                </c:pt>
                <c:pt idx="493">
                  <c:v>114.95</c:v>
                </c:pt>
                <c:pt idx="494">
                  <c:v>114.73</c:v>
                </c:pt>
                <c:pt idx="495">
                  <c:v>115.36</c:v>
                </c:pt>
                <c:pt idx="496">
                  <c:v>116.06</c:v>
                </c:pt>
                <c:pt idx="497">
                  <c:v>116</c:v>
                </c:pt>
                <c:pt idx="498">
                  <c:v>114.3</c:v>
                </c:pt>
                <c:pt idx="499">
                  <c:v>115.53</c:v>
                </c:pt>
                <c:pt idx="500">
                  <c:v>116.84</c:v>
                </c:pt>
                <c:pt idx="501">
                  <c:v>117.61999999999999</c:v>
                </c:pt>
                <c:pt idx="502">
                  <c:v>116.79</c:v>
                </c:pt>
                <c:pt idx="503">
                  <c:v>116.52</c:v>
                </c:pt>
                <c:pt idx="504">
                  <c:v>115.57</c:v>
                </c:pt>
                <c:pt idx="505">
                  <c:v>116.08</c:v>
                </c:pt>
                <c:pt idx="506">
                  <c:v>114.94000000000032</c:v>
                </c:pt>
                <c:pt idx="507">
                  <c:v>114.22</c:v>
                </c:pt>
                <c:pt idx="508">
                  <c:v>115.14999999999999</c:v>
                </c:pt>
                <c:pt idx="509">
                  <c:v>112.82</c:v>
                </c:pt>
                <c:pt idx="510">
                  <c:v>113.66999999999999</c:v>
                </c:pt>
                <c:pt idx="511">
                  <c:v>113.14999999999999</c:v>
                </c:pt>
                <c:pt idx="512">
                  <c:v>112.29</c:v>
                </c:pt>
                <c:pt idx="513">
                  <c:v>113.23</c:v>
                </c:pt>
                <c:pt idx="514">
                  <c:v>113.58</c:v>
                </c:pt>
                <c:pt idx="515">
                  <c:v>113.55</c:v>
                </c:pt>
                <c:pt idx="516">
                  <c:v>113.86</c:v>
                </c:pt>
                <c:pt idx="517">
                  <c:v>110.28</c:v>
                </c:pt>
                <c:pt idx="518">
                  <c:v>111.86999999999999</c:v>
                </c:pt>
                <c:pt idx="519">
                  <c:v>113.17999999999998</c:v>
                </c:pt>
                <c:pt idx="520">
                  <c:v>112.64999999999999</c:v>
                </c:pt>
                <c:pt idx="521">
                  <c:v>109.85</c:v>
                </c:pt>
                <c:pt idx="522">
                  <c:v>109.16999999999999</c:v>
                </c:pt>
                <c:pt idx="523">
                  <c:v>108.7</c:v>
                </c:pt>
                <c:pt idx="524">
                  <c:v>108.02</c:v>
                </c:pt>
                <c:pt idx="525">
                  <c:v>110.09</c:v>
                </c:pt>
                <c:pt idx="526">
                  <c:v>111.44000000000032</c:v>
                </c:pt>
                <c:pt idx="527">
                  <c:v>111.09</c:v>
                </c:pt>
                <c:pt idx="528">
                  <c:v>112.27</c:v>
                </c:pt>
                <c:pt idx="529">
                  <c:v>112.06</c:v>
                </c:pt>
                <c:pt idx="530">
                  <c:v>110.89</c:v>
                </c:pt>
                <c:pt idx="531">
                  <c:v>108.76</c:v>
                </c:pt>
                <c:pt idx="532">
                  <c:v>110.59</c:v>
                </c:pt>
                <c:pt idx="533">
                  <c:v>108.3</c:v>
                </c:pt>
                <c:pt idx="534">
                  <c:v>109.64</c:v>
                </c:pt>
                <c:pt idx="535">
                  <c:v>111.45</c:v>
                </c:pt>
                <c:pt idx="536">
                  <c:v>111.22</c:v>
                </c:pt>
                <c:pt idx="537">
                  <c:v>111.64999999999999</c:v>
                </c:pt>
                <c:pt idx="538">
                  <c:v>111.14999999999999</c:v>
                </c:pt>
                <c:pt idx="539">
                  <c:v>113.74000000000002</c:v>
                </c:pt>
                <c:pt idx="540">
                  <c:v>115.75</c:v>
                </c:pt>
                <c:pt idx="541">
                  <c:v>115.38</c:v>
                </c:pt>
                <c:pt idx="542">
                  <c:v>116.75</c:v>
                </c:pt>
                <c:pt idx="543">
                  <c:v>116.5</c:v>
                </c:pt>
                <c:pt idx="544">
                  <c:v>116.99000000000002</c:v>
                </c:pt>
                <c:pt idx="545">
                  <c:v>117.24000000000002</c:v>
                </c:pt>
                <c:pt idx="546">
                  <c:v>117.16999999999999</c:v>
                </c:pt>
                <c:pt idx="547">
                  <c:v>116.04</c:v>
                </c:pt>
                <c:pt idx="548">
                  <c:v>115.88</c:v>
                </c:pt>
                <c:pt idx="549">
                  <c:v>116.64999999999999</c:v>
                </c:pt>
                <c:pt idx="550">
                  <c:v>116.66999999999999</c:v>
                </c:pt>
                <c:pt idx="551">
                  <c:v>117.45</c:v>
                </c:pt>
                <c:pt idx="552">
                  <c:v>115.24000000000002</c:v>
                </c:pt>
                <c:pt idx="553">
                  <c:v>115.29</c:v>
                </c:pt>
                <c:pt idx="554">
                  <c:v>115.04</c:v>
                </c:pt>
                <c:pt idx="555">
                  <c:v>113.61</c:v>
                </c:pt>
                <c:pt idx="556">
                  <c:v>114.27</c:v>
                </c:pt>
                <c:pt idx="557">
                  <c:v>114.57</c:v>
                </c:pt>
                <c:pt idx="558">
                  <c:v>114.52</c:v>
                </c:pt>
                <c:pt idx="559">
                  <c:v>114.57</c:v>
                </c:pt>
                <c:pt idx="560">
                  <c:v>113.94000000000032</c:v>
                </c:pt>
                <c:pt idx="561">
                  <c:v>113.14</c:v>
                </c:pt>
                <c:pt idx="562">
                  <c:v>112.66999999999999</c:v>
                </c:pt>
                <c:pt idx="563">
                  <c:v>112.69</c:v>
                </c:pt>
                <c:pt idx="564">
                  <c:v>112.93</c:v>
                </c:pt>
                <c:pt idx="565">
                  <c:v>112.14</c:v>
                </c:pt>
                <c:pt idx="566">
                  <c:v>113.41000000000012</c:v>
                </c:pt>
                <c:pt idx="567">
                  <c:v>110.59</c:v>
                </c:pt>
                <c:pt idx="568">
                  <c:v>111.42</c:v>
                </c:pt>
                <c:pt idx="569">
                  <c:v>110.57</c:v>
                </c:pt>
                <c:pt idx="570">
                  <c:v>113.2</c:v>
                </c:pt>
                <c:pt idx="571">
                  <c:v>112.96000000000002</c:v>
                </c:pt>
                <c:pt idx="572">
                  <c:v>112.47</c:v>
                </c:pt>
                <c:pt idx="573">
                  <c:v>112.88</c:v>
                </c:pt>
                <c:pt idx="574">
                  <c:v>111</c:v>
                </c:pt>
                <c:pt idx="575">
                  <c:v>110.52</c:v>
                </c:pt>
                <c:pt idx="576">
                  <c:v>109.41000000000012</c:v>
                </c:pt>
                <c:pt idx="577">
                  <c:v>109.47</c:v>
                </c:pt>
                <c:pt idx="578">
                  <c:v>107.39</c:v>
                </c:pt>
                <c:pt idx="579">
                  <c:v>106.86</c:v>
                </c:pt>
                <c:pt idx="580">
                  <c:v>107.86</c:v>
                </c:pt>
                <c:pt idx="581">
                  <c:v>109.17999999999998</c:v>
                </c:pt>
                <c:pt idx="582">
                  <c:v>108.76</c:v>
                </c:pt>
                <c:pt idx="583">
                  <c:v>107.58</c:v>
                </c:pt>
                <c:pt idx="584">
                  <c:v>105.47</c:v>
                </c:pt>
                <c:pt idx="585">
                  <c:v>105.1</c:v>
                </c:pt>
                <c:pt idx="586">
                  <c:v>109.01</c:v>
                </c:pt>
                <c:pt idx="587">
                  <c:v>107.75</c:v>
                </c:pt>
                <c:pt idx="588">
                  <c:v>105.72</c:v>
                </c:pt>
                <c:pt idx="589">
                  <c:v>107.86999999999999</c:v>
                </c:pt>
                <c:pt idx="590">
                  <c:v>110.22</c:v>
                </c:pt>
                <c:pt idx="591">
                  <c:v>109.79</c:v>
                </c:pt>
                <c:pt idx="592">
                  <c:v>110.36</c:v>
                </c:pt>
                <c:pt idx="593">
                  <c:v>110.9</c:v>
                </c:pt>
                <c:pt idx="594">
                  <c:v>109.7</c:v>
                </c:pt>
                <c:pt idx="595">
                  <c:v>108.7</c:v>
                </c:pt>
                <c:pt idx="596">
                  <c:v>108.94000000000032</c:v>
                </c:pt>
                <c:pt idx="597">
                  <c:v>110.1</c:v>
                </c:pt>
                <c:pt idx="598">
                  <c:v>108.69</c:v>
                </c:pt>
                <c:pt idx="599">
                  <c:v>108.1</c:v>
                </c:pt>
                <c:pt idx="600">
                  <c:v>107.3</c:v>
                </c:pt>
                <c:pt idx="601">
                  <c:v>107</c:v>
                </c:pt>
                <c:pt idx="602">
                  <c:v>107.22</c:v>
                </c:pt>
                <c:pt idx="603">
                  <c:v>104.36999999999999</c:v>
                </c:pt>
                <c:pt idx="604">
                  <c:v>104.63</c:v>
                </c:pt>
                <c:pt idx="605">
                  <c:v>105.61</c:v>
                </c:pt>
                <c:pt idx="606">
                  <c:v>103.46000000000002</c:v>
                </c:pt>
                <c:pt idx="607">
                  <c:v>103.34</c:v>
                </c:pt>
                <c:pt idx="608">
                  <c:v>103.74000000000002</c:v>
                </c:pt>
                <c:pt idx="609">
                  <c:v>101.96000000000002</c:v>
                </c:pt>
                <c:pt idx="610">
                  <c:v>102.58</c:v>
                </c:pt>
                <c:pt idx="611">
                  <c:v>101.55</c:v>
                </c:pt>
                <c:pt idx="612">
                  <c:v>101.4</c:v>
                </c:pt>
                <c:pt idx="613">
                  <c:v>104.11999999999999</c:v>
                </c:pt>
                <c:pt idx="614">
                  <c:v>104.97</c:v>
                </c:pt>
                <c:pt idx="615">
                  <c:v>102.52</c:v>
                </c:pt>
                <c:pt idx="616">
                  <c:v>101.21000000000002</c:v>
                </c:pt>
                <c:pt idx="617">
                  <c:v>99.28</c:v>
                </c:pt>
                <c:pt idx="618">
                  <c:v>99.8</c:v>
                </c:pt>
                <c:pt idx="619">
                  <c:v>97.56</c:v>
                </c:pt>
                <c:pt idx="620">
                  <c:v>97.72</c:v>
                </c:pt>
                <c:pt idx="621">
                  <c:v>99.43</c:v>
                </c:pt>
                <c:pt idx="622">
                  <c:v>98.960000000000022</c:v>
                </c:pt>
                <c:pt idx="623">
                  <c:v>97.03</c:v>
                </c:pt>
                <c:pt idx="624">
                  <c:v>94.97</c:v>
                </c:pt>
                <c:pt idx="625">
                  <c:v>95.51</c:v>
                </c:pt>
                <c:pt idx="626">
                  <c:v>99.31</c:v>
                </c:pt>
                <c:pt idx="627">
                  <c:v>98.07</c:v>
                </c:pt>
                <c:pt idx="628">
                  <c:v>95.6</c:v>
                </c:pt>
                <c:pt idx="629">
                  <c:v>92.11999999999999</c:v>
                </c:pt>
                <c:pt idx="630">
                  <c:v>92.86999999999999</c:v>
                </c:pt>
                <c:pt idx="631">
                  <c:v>91.85</c:v>
                </c:pt>
                <c:pt idx="632">
                  <c:v>92.34</c:v>
                </c:pt>
                <c:pt idx="633">
                  <c:v>90.56</c:v>
                </c:pt>
                <c:pt idx="634">
                  <c:v>90.740000000000023</c:v>
                </c:pt>
                <c:pt idx="635">
                  <c:v>87.8</c:v>
                </c:pt>
                <c:pt idx="636">
                  <c:v>84.710000000000022</c:v>
                </c:pt>
                <c:pt idx="637">
                  <c:v>82.2</c:v>
                </c:pt>
                <c:pt idx="638">
                  <c:v>79.95</c:v>
                </c:pt>
                <c:pt idx="639">
                  <c:v>84.72</c:v>
                </c:pt>
                <c:pt idx="640">
                  <c:v>84</c:v>
                </c:pt>
                <c:pt idx="641">
                  <c:v>85.6</c:v>
                </c:pt>
                <c:pt idx="642">
                  <c:v>89.77</c:v>
                </c:pt>
                <c:pt idx="643">
                  <c:v>90.940000000000026</c:v>
                </c:pt>
                <c:pt idx="644">
                  <c:v>91.16</c:v>
                </c:pt>
                <c:pt idx="645">
                  <c:v>88.78</c:v>
                </c:pt>
                <c:pt idx="646">
                  <c:v>86.79</c:v>
                </c:pt>
                <c:pt idx="647">
                  <c:v>83.77</c:v>
                </c:pt>
                <c:pt idx="648">
                  <c:v>86.59</c:v>
                </c:pt>
                <c:pt idx="649">
                  <c:v>88.1</c:v>
                </c:pt>
                <c:pt idx="650">
                  <c:v>90.95</c:v>
                </c:pt>
                <c:pt idx="651">
                  <c:v>91.29</c:v>
                </c:pt>
                <c:pt idx="652">
                  <c:v>90.61999999999999</c:v>
                </c:pt>
                <c:pt idx="653">
                  <c:v>88.97</c:v>
                </c:pt>
                <c:pt idx="654">
                  <c:v>92.22</c:v>
                </c:pt>
                <c:pt idx="655">
                  <c:v>93.5</c:v>
                </c:pt>
                <c:pt idx="656">
                  <c:v>93.22</c:v>
                </c:pt>
                <c:pt idx="657">
                  <c:v>95.4</c:v>
                </c:pt>
                <c:pt idx="658">
                  <c:v>94.39</c:v>
                </c:pt>
                <c:pt idx="659">
                  <c:v>95.75</c:v>
                </c:pt>
                <c:pt idx="660">
                  <c:v>96.679999999999978</c:v>
                </c:pt>
                <c:pt idx="661">
                  <c:v>94.6</c:v>
                </c:pt>
                <c:pt idx="662">
                  <c:v>95.26</c:v>
                </c:pt>
                <c:pt idx="663">
                  <c:v>94.16</c:v>
                </c:pt>
                <c:pt idx="664">
                  <c:v>92.1</c:v>
                </c:pt>
                <c:pt idx="665">
                  <c:v>92.14</c:v>
                </c:pt>
                <c:pt idx="666">
                  <c:v>91.78</c:v>
                </c:pt>
                <c:pt idx="667">
                  <c:v>88.28</c:v>
                </c:pt>
                <c:pt idx="668">
                  <c:v>89.54</c:v>
                </c:pt>
                <c:pt idx="669">
                  <c:v>88.78</c:v>
                </c:pt>
                <c:pt idx="670">
                  <c:v>90</c:v>
                </c:pt>
                <c:pt idx="671">
                  <c:v>90.66</c:v>
                </c:pt>
                <c:pt idx="672">
                  <c:v>91.7</c:v>
                </c:pt>
                <c:pt idx="673">
                  <c:v>91.13</c:v>
                </c:pt>
                <c:pt idx="674">
                  <c:v>89.45</c:v>
                </c:pt>
                <c:pt idx="675">
                  <c:v>89.669999999999987</c:v>
                </c:pt>
                <c:pt idx="676">
                  <c:v>89.89</c:v>
                </c:pt>
                <c:pt idx="677">
                  <c:v>87.83</c:v>
                </c:pt>
                <c:pt idx="678">
                  <c:v>86.95</c:v>
                </c:pt>
                <c:pt idx="679">
                  <c:v>84.7</c:v>
                </c:pt>
                <c:pt idx="680">
                  <c:v>84.35</c:v>
                </c:pt>
                <c:pt idx="681">
                  <c:v>83.66</c:v>
                </c:pt>
                <c:pt idx="682">
                  <c:v>82.31</c:v>
                </c:pt>
                <c:pt idx="683">
                  <c:v>84.35</c:v>
                </c:pt>
                <c:pt idx="684">
                  <c:v>85.73</c:v>
                </c:pt>
                <c:pt idx="685">
                  <c:v>82.75</c:v>
                </c:pt>
                <c:pt idx="686">
                  <c:v>81.790000000000006</c:v>
                </c:pt>
                <c:pt idx="687">
                  <c:v>85.72</c:v>
                </c:pt>
                <c:pt idx="688">
                  <c:v>83.149999999999991</c:v>
                </c:pt>
                <c:pt idx="689">
                  <c:v>82.31</c:v>
                </c:pt>
                <c:pt idx="690">
                  <c:v>80.8</c:v>
                </c:pt>
                <c:pt idx="691">
                  <c:v>79.13</c:v>
                </c:pt>
                <c:pt idx="692">
                  <c:v>80.36999999999999</c:v>
                </c:pt>
                <c:pt idx="693">
                  <c:v>78.099999999999994</c:v>
                </c:pt>
                <c:pt idx="694">
                  <c:v>80.63</c:v>
                </c:pt>
                <c:pt idx="695">
                  <c:v>84.16</c:v>
                </c:pt>
                <c:pt idx="696">
                  <c:v>84.63</c:v>
                </c:pt>
                <c:pt idx="697">
                  <c:v>88.7</c:v>
                </c:pt>
                <c:pt idx="698">
                  <c:v>86.55</c:v>
                </c:pt>
                <c:pt idx="699">
                  <c:v>88.27</c:v>
                </c:pt>
                <c:pt idx="700">
                  <c:v>88.64</c:v>
                </c:pt>
                <c:pt idx="701">
                  <c:v>90.169999999999987</c:v>
                </c:pt>
                <c:pt idx="702">
                  <c:v>89.52</c:v>
                </c:pt>
                <c:pt idx="703">
                  <c:v>90.2</c:v>
                </c:pt>
                <c:pt idx="704">
                  <c:v>88.36</c:v>
                </c:pt>
                <c:pt idx="705">
                  <c:v>90.2</c:v>
                </c:pt>
                <c:pt idx="706">
                  <c:v>89.61</c:v>
                </c:pt>
                <c:pt idx="707">
                  <c:v>88.57</c:v>
                </c:pt>
                <c:pt idx="708">
                  <c:v>89.43</c:v>
                </c:pt>
                <c:pt idx="709">
                  <c:v>88.52</c:v>
                </c:pt>
                <c:pt idx="710">
                  <c:v>90.27</c:v>
                </c:pt>
                <c:pt idx="711">
                  <c:v>91.13</c:v>
                </c:pt>
                <c:pt idx="712">
                  <c:v>91.85</c:v>
                </c:pt>
                <c:pt idx="713">
                  <c:v>93.04</c:v>
                </c:pt>
                <c:pt idx="714">
                  <c:v>90.76</c:v>
                </c:pt>
                <c:pt idx="715">
                  <c:v>89.649999999999991</c:v>
                </c:pt>
                <c:pt idx="716">
                  <c:v>88.26</c:v>
                </c:pt>
                <c:pt idx="717">
                  <c:v>88.960000000000022</c:v>
                </c:pt>
                <c:pt idx="718">
                  <c:v>89.05</c:v>
                </c:pt>
                <c:pt idx="719">
                  <c:v>90.73</c:v>
                </c:pt>
                <c:pt idx="720">
                  <c:v>91.4</c:v>
                </c:pt>
                <c:pt idx="721">
                  <c:v>90.48</c:v>
                </c:pt>
                <c:pt idx="722">
                  <c:v>90.36</c:v>
                </c:pt>
                <c:pt idx="723">
                  <c:v>92.36999999999999</c:v>
                </c:pt>
                <c:pt idx="724">
                  <c:v>94.09</c:v>
                </c:pt>
                <c:pt idx="725">
                  <c:v>93.42</c:v>
                </c:pt>
                <c:pt idx="726">
                  <c:v>93.48</c:v>
                </c:pt>
                <c:pt idx="727">
                  <c:v>91.7</c:v>
                </c:pt>
                <c:pt idx="728">
                  <c:v>94.28</c:v>
                </c:pt>
                <c:pt idx="729">
                  <c:v>93.98</c:v>
                </c:pt>
                <c:pt idx="730">
                  <c:v>94.13</c:v>
                </c:pt>
                <c:pt idx="731">
                  <c:v>92.86999999999999</c:v>
                </c:pt>
                <c:pt idx="732">
                  <c:v>92.45</c:v>
                </c:pt>
                <c:pt idx="733">
                  <c:v>91.43</c:v>
                </c:pt>
                <c:pt idx="734">
                  <c:v>92.03</c:v>
                </c:pt>
                <c:pt idx="735">
                  <c:v>89.5</c:v>
                </c:pt>
                <c:pt idx="736">
                  <c:v>90.7</c:v>
                </c:pt>
                <c:pt idx="737">
                  <c:v>90.78</c:v>
                </c:pt>
                <c:pt idx="738">
                  <c:v>90.77</c:v>
                </c:pt>
                <c:pt idx="739">
                  <c:v>89.34</c:v>
                </c:pt>
                <c:pt idx="740">
                  <c:v>91.649999999999991</c:v>
                </c:pt>
                <c:pt idx="741">
                  <c:v>90.85</c:v>
                </c:pt>
                <c:pt idx="742">
                  <c:v>89.8</c:v>
                </c:pt>
                <c:pt idx="743">
                  <c:v>89.16</c:v>
                </c:pt>
                <c:pt idx="744">
                  <c:v>89.990000000000023</c:v>
                </c:pt>
                <c:pt idx="745">
                  <c:v>90.02</c:v>
                </c:pt>
                <c:pt idx="746">
                  <c:v>89.35499999999999</c:v>
                </c:pt>
                <c:pt idx="747">
                  <c:v>89.39</c:v>
                </c:pt>
                <c:pt idx="748">
                  <c:v>87.38</c:v>
                </c:pt>
                <c:pt idx="749">
                  <c:v>88.11</c:v>
                </c:pt>
                <c:pt idx="750">
                  <c:v>88.23</c:v>
                </c:pt>
                <c:pt idx="751">
                  <c:v>91.07</c:v>
                </c:pt>
                <c:pt idx="752">
                  <c:v>91.35</c:v>
                </c:pt>
                <c:pt idx="753">
                  <c:v>92.960000000000022</c:v>
                </c:pt>
                <c:pt idx="754">
                  <c:v>92.73</c:v>
                </c:pt>
                <c:pt idx="755">
                  <c:v>91.39</c:v>
                </c:pt>
                <c:pt idx="756">
                  <c:v>92.81</c:v>
                </c:pt>
                <c:pt idx="757">
                  <c:v>93.06</c:v>
                </c:pt>
                <c:pt idx="758">
                  <c:v>93.03</c:v>
                </c:pt>
                <c:pt idx="759">
                  <c:v>93.33</c:v>
                </c:pt>
                <c:pt idx="760">
                  <c:v>92.4</c:v>
                </c:pt>
                <c:pt idx="761">
                  <c:v>92.02</c:v>
                </c:pt>
                <c:pt idx="762">
                  <c:v>90.66</c:v>
                </c:pt>
                <c:pt idx="763">
                  <c:v>89.25</c:v>
                </c:pt>
                <c:pt idx="764">
                  <c:v>88.169999999999987</c:v>
                </c:pt>
                <c:pt idx="765">
                  <c:v>88.710000000000022</c:v>
                </c:pt>
                <c:pt idx="766">
                  <c:v>86.38</c:v>
                </c:pt>
                <c:pt idx="767">
                  <c:v>85.2</c:v>
                </c:pt>
                <c:pt idx="768">
                  <c:v>85.83</c:v>
                </c:pt>
                <c:pt idx="769">
                  <c:v>86.48</c:v>
                </c:pt>
                <c:pt idx="770">
                  <c:v>84.43</c:v>
                </c:pt>
                <c:pt idx="771">
                  <c:v>86.06</c:v>
                </c:pt>
                <c:pt idx="772">
                  <c:v>86.23</c:v>
                </c:pt>
                <c:pt idx="773">
                  <c:v>85.38</c:v>
                </c:pt>
                <c:pt idx="774">
                  <c:v>84.85</c:v>
                </c:pt>
                <c:pt idx="775">
                  <c:v>84.45</c:v>
                </c:pt>
                <c:pt idx="776">
                  <c:v>83.42</c:v>
                </c:pt>
                <c:pt idx="777">
                  <c:v>84.01</c:v>
                </c:pt>
                <c:pt idx="778">
                  <c:v>83.43</c:v>
                </c:pt>
                <c:pt idx="779">
                  <c:v>82.1</c:v>
                </c:pt>
                <c:pt idx="780">
                  <c:v>82.35</c:v>
                </c:pt>
                <c:pt idx="781">
                  <c:v>84.149999999999991</c:v>
                </c:pt>
                <c:pt idx="782">
                  <c:v>85.63</c:v>
                </c:pt>
                <c:pt idx="783">
                  <c:v>85.179999999999978</c:v>
                </c:pt>
                <c:pt idx="784">
                  <c:v>84.33</c:v>
                </c:pt>
                <c:pt idx="785">
                  <c:v>85.179999999999978</c:v>
                </c:pt>
                <c:pt idx="786">
                  <c:v>83.8</c:v>
                </c:pt>
                <c:pt idx="787">
                  <c:v>84.47</c:v>
                </c:pt>
                <c:pt idx="788">
                  <c:v>83.240000000000023</c:v>
                </c:pt>
                <c:pt idx="789">
                  <c:v>84.34</c:v>
                </c:pt>
                <c:pt idx="790">
                  <c:v>84.9</c:v>
                </c:pt>
                <c:pt idx="791">
                  <c:v>84.09</c:v>
                </c:pt>
                <c:pt idx="792">
                  <c:v>82.75</c:v>
                </c:pt>
                <c:pt idx="793">
                  <c:v>83.45</c:v>
                </c:pt>
                <c:pt idx="794">
                  <c:v>82.75</c:v>
                </c:pt>
                <c:pt idx="795">
                  <c:v>83.32</c:v>
                </c:pt>
                <c:pt idx="796">
                  <c:v>81.319999999999993</c:v>
                </c:pt>
                <c:pt idx="797">
                  <c:v>80.52</c:v>
                </c:pt>
                <c:pt idx="798">
                  <c:v>81.06</c:v>
                </c:pt>
                <c:pt idx="799">
                  <c:v>83.86</c:v>
                </c:pt>
                <c:pt idx="800">
                  <c:v>84.13</c:v>
                </c:pt>
                <c:pt idx="801">
                  <c:v>86.78</c:v>
                </c:pt>
                <c:pt idx="802">
                  <c:v>87.29</c:v>
                </c:pt>
                <c:pt idx="803">
                  <c:v>87.960000000000022</c:v>
                </c:pt>
                <c:pt idx="804">
                  <c:v>88.149999999999991</c:v>
                </c:pt>
                <c:pt idx="805">
                  <c:v>89.669999999999987</c:v>
                </c:pt>
                <c:pt idx="806">
                  <c:v>86.69</c:v>
                </c:pt>
                <c:pt idx="807">
                  <c:v>87.52</c:v>
                </c:pt>
                <c:pt idx="808">
                  <c:v>87.08</c:v>
                </c:pt>
                <c:pt idx="809">
                  <c:v>87.149999999999991</c:v>
                </c:pt>
                <c:pt idx="810">
                  <c:v>86.710000000000022</c:v>
                </c:pt>
                <c:pt idx="811">
                  <c:v>84.740000000000023</c:v>
                </c:pt>
                <c:pt idx="812">
                  <c:v>86.04</c:v>
                </c:pt>
                <c:pt idx="813">
                  <c:v>88.11999999999999</c:v>
                </c:pt>
                <c:pt idx="814">
                  <c:v>87.7</c:v>
                </c:pt>
                <c:pt idx="815">
                  <c:v>88.22</c:v>
                </c:pt>
                <c:pt idx="816">
                  <c:v>88.05</c:v>
                </c:pt>
                <c:pt idx="817">
                  <c:v>88.19</c:v>
                </c:pt>
                <c:pt idx="818">
                  <c:v>87.03</c:v>
                </c:pt>
                <c:pt idx="819">
                  <c:v>87.51</c:v>
                </c:pt>
                <c:pt idx="820">
                  <c:v>87.149999999999991</c:v>
                </c:pt>
                <c:pt idx="821">
                  <c:v>88.95</c:v>
                </c:pt>
                <c:pt idx="822">
                  <c:v>89.78</c:v>
                </c:pt>
                <c:pt idx="823">
                  <c:v>88.25</c:v>
                </c:pt>
                <c:pt idx="824">
                  <c:v>89.56</c:v>
                </c:pt>
                <c:pt idx="825">
                  <c:v>89.649999999999991</c:v>
                </c:pt>
                <c:pt idx="826">
                  <c:v>91.34</c:v>
                </c:pt>
                <c:pt idx="827">
                  <c:v>92.179999999999978</c:v>
                </c:pt>
                <c:pt idx="828">
                  <c:v>91.36</c:v>
                </c:pt>
                <c:pt idx="829">
                  <c:v>90.23</c:v>
                </c:pt>
                <c:pt idx="830">
                  <c:v>91.79</c:v>
                </c:pt>
                <c:pt idx="831">
                  <c:v>91.79</c:v>
                </c:pt>
                <c:pt idx="832">
                  <c:v>91.910000000000025</c:v>
                </c:pt>
                <c:pt idx="833">
                  <c:v>91.9</c:v>
                </c:pt>
                <c:pt idx="834">
                  <c:v>93.210000000000022</c:v>
                </c:pt>
                <c:pt idx="835">
                  <c:v>93.03</c:v>
                </c:pt>
                <c:pt idx="836">
                  <c:v>93.910000000000025</c:v>
                </c:pt>
                <c:pt idx="837">
                  <c:v>93.39</c:v>
                </c:pt>
                <c:pt idx="838">
                  <c:v>92.45</c:v>
                </c:pt>
                <c:pt idx="839">
                  <c:v>93.73</c:v>
                </c:pt>
                <c:pt idx="840">
                  <c:v>94.88</c:v>
                </c:pt>
                <c:pt idx="841">
                  <c:v>94.710000000000022</c:v>
                </c:pt>
                <c:pt idx="842">
                  <c:v>94.51</c:v>
                </c:pt>
                <c:pt idx="843">
                  <c:v>95.11</c:v>
                </c:pt>
                <c:pt idx="844">
                  <c:v>94.86999999999999</c:v>
                </c:pt>
                <c:pt idx="845">
                  <c:v>92.649999999999991</c:v>
                </c:pt>
                <c:pt idx="846">
                  <c:v>92.460000000000022</c:v>
                </c:pt>
                <c:pt idx="847">
                  <c:v>92.649999999999991</c:v>
                </c:pt>
                <c:pt idx="848">
                  <c:v>93.57</c:v>
                </c:pt>
                <c:pt idx="849">
                  <c:v>93.76</c:v>
                </c:pt>
                <c:pt idx="850">
                  <c:v>95.4</c:v>
                </c:pt>
                <c:pt idx="851">
                  <c:v>95.669999999999987</c:v>
                </c:pt>
                <c:pt idx="852">
                  <c:v>95.42</c:v>
                </c:pt>
                <c:pt idx="853">
                  <c:v>96.95</c:v>
                </c:pt>
                <c:pt idx="854">
                  <c:v>97.35</c:v>
                </c:pt>
                <c:pt idx="855">
                  <c:v>97.75</c:v>
                </c:pt>
                <c:pt idx="856">
                  <c:v>99.16</c:v>
                </c:pt>
                <c:pt idx="857">
                  <c:v>99.649999999999991</c:v>
                </c:pt>
                <c:pt idx="858">
                  <c:v>99.26</c:v>
                </c:pt>
                <c:pt idx="859">
                  <c:v>98.25</c:v>
                </c:pt>
                <c:pt idx="860">
                  <c:v>99.25</c:v>
                </c:pt>
                <c:pt idx="861">
                  <c:v>100.3</c:v>
                </c:pt>
                <c:pt idx="862">
                  <c:v>100.61</c:v>
                </c:pt>
                <c:pt idx="863">
                  <c:v>99.56</c:v>
                </c:pt>
                <c:pt idx="864">
                  <c:v>101.66</c:v>
                </c:pt>
                <c:pt idx="865">
                  <c:v>101.66</c:v>
                </c:pt>
                <c:pt idx="866">
                  <c:v>101.57</c:v>
                </c:pt>
                <c:pt idx="867">
                  <c:v>100.02</c:v>
                </c:pt>
                <c:pt idx="868">
                  <c:v>99.440000000000026</c:v>
                </c:pt>
                <c:pt idx="869">
                  <c:v>98.42</c:v>
                </c:pt>
                <c:pt idx="870">
                  <c:v>98.52</c:v>
                </c:pt>
                <c:pt idx="871">
                  <c:v>97.53</c:v>
                </c:pt>
                <c:pt idx="872">
                  <c:v>98.8</c:v>
                </c:pt>
                <c:pt idx="873">
                  <c:v>97.66</c:v>
                </c:pt>
                <c:pt idx="874">
                  <c:v>97.63</c:v>
                </c:pt>
                <c:pt idx="875">
                  <c:v>98.53</c:v>
                </c:pt>
                <c:pt idx="876">
                  <c:v>99.77</c:v>
                </c:pt>
                <c:pt idx="877">
                  <c:v>98.740000000000023</c:v>
                </c:pt>
                <c:pt idx="878">
                  <c:v>100.7</c:v>
                </c:pt>
                <c:pt idx="879">
                  <c:v>101.14999999999999</c:v>
                </c:pt>
                <c:pt idx="880">
                  <c:v>100.58</c:v>
                </c:pt>
                <c:pt idx="881">
                  <c:v>99.3</c:v>
                </c:pt>
                <c:pt idx="882">
                  <c:v>100.24000000000002</c:v>
                </c:pt>
                <c:pt idx="883">
                  <c:v>100.73</c:v>
                </c:pt>
                <c:pt idx="884">
                  <c:v>100.51</c:v>
                </c:pt>
                <c:pt idx="885">
                  <c:v>99.92</c:v>
                </c:pt>
                <c:pt idx="886">
                  <c:v>98.5</c:v>
                </c:pt>
                <c:pt idx="887">
                  <c:v>99.51</c:v>
                </c:pt>
                <c:pt idx="888">
                  <c:v>98.28</c:v>
                </c:pt>
                <c:pt idx="889">
                  <c:v>99.169999999999987</c:v>
                </c:pt>
                <c:pt idx="890">
                  <c:v>99.240000000000023</c:v>
                </c:pt>
                <c:pt idx="891">
                  <c:v>98.490000000000023</c:v>
                </c:pt>
                <c:pt idx="892">
                  <c:v>100.23</c:v>
                </c:pt>
                <c:pt idx="893">
                  <c:v>99.86</c:v>
                </c:pt>
                <c:pt idx="894">
                  <c:v>99.4</c:v>
                </c:pt>
                <c:pt idx="895">
                  <c:v>99.16</c:v>
                </c:pt>
                <c:pt idx="896">
                  <c:v>99.39</c:v>
                </c:pt>
                <c:pt idx="897">
                  <c:v>98.51</c:v>
                </c:pt>
                <c:pt idx="898">
                  <c:v>98.51</c:v>
                </c:pt>
                <c:pt idx="899">
                  <c:v>96.42</c:v>
                </c:pt>
                <c:pt idx="900">
                  <c:v>96.98</c:v>
                </c:pt>
                <c:pt idx="901">
                  <c:v>98</c:v>
                </c:pt>
                <c:pt idx="902">
                  <c:v>98.28</c:v>
                </c:pt>
                <c:pt idx="903">
                  <c:v>98.649999999999991</c:v>
                </c:pt>
                <c:pt idx="904">
                  <c:v>99.55</c:v>
                </c:pt>
                <c:pt idx="905">
                  <c:v>99.04</c:v>
                </c:pt>
                <c:pt idx="906">
                  <c:v>99.31</c:v>
                </c:pt>
                <c:pt idx="907">
                  <c:v>99.61999999999999</c:v>
                </c:pt>
                <c:pt idx="908">
                  <c:v>100.48</c:v>
                </c:pt>
                <c:pt idx="909">
                  <c:v>100.86</c:v>
                </c:pt>
                <c:pt idx="910">
                  <c:v>100.45</c:v>
                </c:pt>
                <c:pt idx="911">
                  <c:v>100.77</c:v>
                </c:pt>
                <c:pt idx="912">
                  <c:v>99.77</c:v>
                </c:pt>
                <c:pt idx="913">
                  <c:v>99.93</c:v>
                </c:pt>
                <c:pt idx="914">
                  <c:v>100.11</c:v>
                </c:pt>
                <c:pt idx="915">
                  <c:v>100.14</c:v>
                </c:pt>
                <c:pt idx="916">
                  <c:v>100.76</c:v>
                </c:pt>
                <c:pt idx="917">
                  <c:v>101.44000000000032</c:v>
                </c:pt>
                <c:pt idx="918">
                  <c:v>102.8</c:v>
                </c:pt>
                <c:pt idx="919">
                  <c:v>103.36</c:v>
                </c:pt>
                <c:pt idx="920">
                  <c:v>103.41000000000012</c:v>
                </c:pt>
                <c:pt idx="921">
                  <c:v>102.83</c:v>
                </c:pt>
                <c:pt idx="922">
                  <c:v>103.67999999999998</c:v>
                </c:pt>
                <c:pt idx="923">
                  <c:v>103</c:v>
                </c:pt>
                <c:pt idx="924">
                  <c:v>101.96000000000002</c:v>
                </c:pt>
                <c:pt idx="925">
                  <c:v>102.26</c:v>
                </c:pt>
                <c:pt idx="926">
                  <c:v>102.45</c:v>
                </c:pt>
                <c:pt idx="927">
                  <c:v>102.09</c:v>
                </c:pt>
                <c:pt idx="928">
                  <c:v>103.58</c:v>
                </c:pt>
                <c:pt idx="929">
                  <c:v>103.38</c:v>
                </c:pt>
                <c:pt idx="930">
                  <c:v>104.6</c:v>
                </c:pt>
                <c:pt idx="931">
                  <c:v>103.66999999999999</c:v>
                </c:pt>
                <c:pt idx="932">
                  <c:v>102.55</c:v>
                </c:pt>
                <c:pt idx="933">
                  <c:v>102.94000000000032</c:v>
                </c:pt>
                <c:pt idx="934">
                  <c:v>101.11</c:v>
                </c:pt>
                <c:pt idx="935">
                  <c:v>100.28</c:v>
                </c:pt>
                <c:pt idx="936">
                  <c:v>99.95</c:v>
                </c:pt>
                <c:pt idx="937">
                  <c:v>100.93</c:v>
                </c:pt>
                <c:pt idx="938">
                  <c:v>99.95</c:v>
                </c:pt>
                <c:pt idx="939">
                  <c:v>102.08</c:v>
                </c:pt>
                <c:pt idx="940">
                  <c:v>102.45</c:v>
                </c:pt>
                <c:pt idx="941">
                  <c:v>103.39</c:v>
                </c:pt>
                <c:pt idx="942">
                  <c:v>103.86</c:v>
                </c:pt>
                <c:pt idx="943">
                  <c:v>104.26</c:v>
                </c:pt>
                <c:pt idx="944">
                  <c:v>104</c:v>
                </c:pt>
                <c:pt idx="945">
                  <c:v>104.28</c:v>
                </c:pt>
                <c:pt idx="946">
                  <c:v>104.57</c:v>
                </c:pt>
                <c:pt idx="947">
                  <c:v>104.9</c:v>
                </c:pt>
                <c:pt idx="948">
                  <c:v>105.27</c:v>
                </c:pt>
                <c:pt idx="949">
                  <c:v>104.99000000000002</c:v>
                </c:pt>
                <c:pt idx="950">
                  <c:v>105.41000000000012</c:v>
                </c:pt>
                <c:pt idx="951">
                  <c:v>104.26</c:v>
                </c:pt>
                <c:pt idx="952">
                  <c:v>105.04</c:v>
                </c:pt>
                <c:pt idx="953">
                  <c:v>104.86</c:v>
                </c:pt>
                <c:pt idx="954">
                  <c:v>103.54</c:v>
                </c:pt>
                <c:pt idx="955">
                  <c:v>103.35</c:v>
                </c:pt>
                <c:pt idx="956">
                  <c:v>103.58</c:v>
                </c:pt>
                <c:pt idx="957">
                  <c:v>103.63</c:v>
                </c:pt>
                <c:pt idx="958">
                  <c:v>105.04</c:v>
                </c:pt>
                <c:pt idx="959">
                  <c:v>105.17999999999998</c:v>
                </c:pt>
                <c:pt idx="960">
                  <c:v>105.4</c:v>
                </c:pt>
                <c:pt idx="961">
                  <c:v>105.3</c:v>
                </c:pt>
                <c:pt idx="962">
                  <c:v>105.99000000000002</c:v>
                </c:pt>
                <c:pt idx="963">
                  <c:v>105.76</c:v>
                </c:pt>
                <c:pt idx="964">
                  <c:v>105.84</c:v>
                </c:pt>
                <c:pt idx="965">
                  <c:v>106.4</c:v>
                </c:pt>
                <c:pt idx="966">
                  <c:v>105.61</c:v>
                </c:pt>
                <c:pt idx="967">
                  <c:v>105.17999999999998</c:v>
                </c:pt>
                <c:pt idx="968">
                  <c:v>105.14999999999999</c:v>
                </c:pt>
                <c:pt idx="969">
                  <c:v>106.33</c:v>
                </c:pt>
                <c:pt idx="970">
                  <c:v>106.36</c:v>
                </c:pt>
                <c:pt idx="971">
                  <c:v>105.46000000000002</c:v>
                </c:pt>
                <c:pt idx="972">
                  <c:v>104.93</c:v>
                </c:pt>
                <c:pt idx="973">
                  <c:v>103.84</c:v>
                </c:pt>
                <c:pt idx="974">
                  <c:v>104.72</c:v>
                </c:pt>
                <c:pt idx="975">
                  <c:v>103.78</c:v>
                </c:pt>
                <c:pt idx="976">
                  <c:v>104.21000000000002</c:v>
                </c:pt>
                <c:pt idx="977">
                  <c:v>105.59</c:v>
                </c:pt>
                <c:pt idx="978">
                  <c:v>105.99000000000002</c:v>
                </c:pt>
                <c:pt idx="979">
                  <c:v>106.36999999999999</c:v>
                </c:pt>
                <c:pt idx="980">
                  <c:v>106.45</c:v>
                </c:pt>
                <c:pt idx="981">
                  <c:v>107.6</c:v>
                </c:pt>
                <c:pt idx="982">
                  <c:v>107.33</c:v>
                </c:pt>
                <c:pt idx="983">
                  <c:v>107.16</c:v>
                </c:pt>
                <c:pt idx="984">
                  <c:v>107.6</c:v>
                </c:pt>
                <c:pt idx="985">
                  <c:v>106.85</c:v>
                </c:pt>
                <c:pt idx="986">
                  <c:v>107.57</c:v>
                </c:pt>
                <c:pt idx="987">
                  <c:v>106.74000000000002</c:v>
                </c:pt>
                <c:pt idx="988">
                  <c:v>106.73</c:v>
                </c:pt>
                <c:pt idx="989">
                  <c:v>107.93</c:v>
                </c:pt>
                <c:pt idx="990">
                  <c:v>108.14</c:v>
                </c:pt>
                <c:pt idx="991">
                  <c:v>107.6</c:v>
                </c:pt>
                <c:pt idx="992">
                  <c:v>108.16</c:v>
                </c:pt>
                <c:pt idx="993">
                  <c:v>108.5</c:v>
                </c:pt>
                <c:pt idx="994">
                  <c:v>109.72</c:v>
                </c:pt>
                <c:pt idx="995">
                  <c:v>108.9</c:v>
                </c:pt>
                <c:pt idx="996">
                  <c:v>109.66</c:v>
                </c:pt>
                <c:pt idx="997">
                  <c:v>109.73</c:v>
                </c:pt>
                <c:pt idx="998">
                  <c:v>109.61999999999999</c:v>
                </c:pt>
                <c:pt idx="999">
                  <c:v>109.7</c:v>
                </c:pt>
                <c:pt idx="1000">
                  <c:v>111.16</c:v>
                </c:pt>
                <c:pt idx="1001">
                  <c:v>111.17999999999998</c:v>
                </c:pt>
                <c:pt idx="1002">
                  <c:v>111.28</c:v>
                </c:pt>
                <c:pt idx="1003">
                  <c:v>111.23</c:v>
                </c:pt>
                <c:pt idx="1004">
                  <c:v>112.44000000000032</c:v>
                </c:pt>
                <c:pt idx="1005">
                  <c:v>112.55</c:v>
                </c:pt>
                <c:pt idx="1006">
                  <c:v>112.93</c:v>
                </c:pt>
                <c:pt idx="1007">
                  <c:v>113.38</c:v>
                </c:pt>
                <c:pt idx="1008">
                  <c:v>112.39</c:v>
                </c:pt>
                <c:pt idx="1009">
                  <c:v>113.22</c:v>
                </c:pt>
                <c:pt idx="1010">
                  <c:v>112.56</c:v>
                </c:pt>
                <c:pt idx="1011">
                  <c:v>113.5</c:v>
                </c:pt>
                <c:pt idx="1012">
                  <c:v>113.78</c:v>
                </c:pt>
                <c:pt idx="1013">
                  <c:v>114.23</c:v>
                </c:pt>
                <c:pt idx="1014">
                  <c:v>114.2</c:v>
                </c:pt>
                <c:pt idx="1015">
                  <c:v>115.1</c:v>
                </c:pt>
                <c:pt idx="1016">
                  <c:v>114.8</c:v>
                </c:pt>
                <c:pt idx="1017">
                  <c:v>114.43</c:v>
                </c:pt>
                <c:pt idx="1018">
                  <c:v>115.86999999999999</c:v>
                </c:pt>
                <c:pt idx="1019">
                  <c:v>114.67999999999998</c:v>
                </c:pt>
                <c:pt idx="1020">
                  <c:v>113.36999999999999</c:v>
                </c:pt>
                <c:pt idx="1021">
                  <c:v>113.48</c:v>
                </c:pt>
                <c:pt idx="1022">
                  <c:v>113.48</c:v>
                </c:pt>
                <c:pt idx="1023">
                  <c:v>113.97</c:v>
                </c:pt>
                <c:pt idx="1024">
                  <c:v>113.78</c:v>
                </c:pt>
                <c:pt idx="1025">
                  <c:v>112.85</c:v>
                </c:pt>
                <c:pt idx="1026">
                  <c:v>113.17999999999998</c:v>
                </c:pt>
                <c:pt idx="1027">
                  <c:v>114.45</c:v>
                </c:pt>
                <c:pt idx="1028">
                  <c:v>114.48</c:v>
                </c:pt>
                <c:pt idx="1029">
                  <c:v>114.85</c:v>
                </c:pt>
                <c:pt idx="1030">
                  <c:v>116.07</c:v>
                </c:pt>
                <c:pt idx="1031">
                  <c:v>115.64999999999999</c:v>
                </c:pt>
                <c:pt idx="1032">
                  <c:v>115.13</c:v>
                </c:pt>
                <c:pt idx="1033">
                  <c:v>116.16999999999999</c:v>
                </c:pt>
                <c:pt idx="1034">
                  <c:v>115.66</c:v>
                </c:pt>
                <c:pt idx="1035">
                  <c:v>115.23</c:v>
                </c:pt>
                <c:pt idx="1036">
                  <c:v>114.88</c:v>
                </c:pt>
                <c:pt idx="1037">
                  <c:v>114.59</c:v>
                </c:pt>
                <c:pt idx="1038">
                  <c:v>114.39</c:v>
                </c:pt>
                <c:pt idx="1039">
                  <c:v>114.86999999999999</c:v>
                </c:pt>
                <c:pt idx="1040">
                  <c:v>114.94000000000032</c:v>
                </c:pt>
                <c:pt idx="1041">
                  <c:v>115.02</c:v>
                </c:pt>
                <c:pt idx="1042">
                  <c:v>116.16</c:v>
                </c:pt>
                <c:pt idx="1043">
                  <c:v>115.48</c:v>
                </c:pt>
                <c:pt idx="1044">
                  <c:v>115.69</c:v>
                </c:pt>
                <c:pt idx="1045">
                  <c:v>115.99000000000002</c:v>
                </c:pt>
                <c:pt idx="1046">
                  <c:v>116.38</c:v>
                </c:pt>
                <c:pt idx="1047">
                  <c:v>114.96000000000002</c:v>
                </c:pt>
                <c:pt idx="1048">
                  <c:v>114.5</c:v>
                </c:pt>
                <c:pt idx="1049">
                  <c:v>112.58</c:v>
                </c:pt>
                <c:pt idx="1050">
                  <c:v>111.11999999999999</c:v>
                </c:pt>
                <c:pt idx="1051">
                  <c:v>112.58</c:v>
                </c:pt>
                <c:pt idx="1052">
                  <c:v>111.2</c:v>
                </c:pt>
                <c:pt idx="1053">
                  <c:v>111.79</c:v>
                </c:pt>
                <c:pt idx="1054">
                  <c:v>113.04</c:v>
                </c:pt>
                <c:pt idx="1055">
                  <c:v>113.07</c:v>
                </c:pt>
                <c:pt idx="1056">
                  <c:v>111.06</c:v>
                </c:pt>
                <c:pt idx="1057">
                  <c:v>109.64999999999999</c:v>
                </c:pt>
                <c:pt idx="1058">
                  <c:v>109.46000000000002</c:v>
                </c:pt>
                <c:pt idx="1059">
                  <c:v>109.55</c:v>
                </c:pt>
                <c:pt idx="1060">
                  <c:v>111</c:v>
                </c:pt>
                <c:pt idx="1061">
                  <c:v>111.03</c:v>
                </c:pt>
                <c:pt idx="1062">
                  <c:v>112.59</c:v>
                </c:pt>
                <c:pt idx="1063">
                  <c:v>112.97</c:v>
                </c:pt>
                <c:pt idx="1064">
                  <c:v>113.1</c:v>
                </c:pt>
                <c:pt idx="1065">
                  <c:v>113.78</c:v>
                </c:pt>
                <c:pt idx="1066">
                  <c:v>114.64</c:v>
                </c:pt>
                <c:pt idx="1067">
                  <c:v>115.27</c:v>
                </c:pt>
                <c:pt idx="1068">
                  <c:v>114.9</c:v>
                </c:pt>
                <c:pt idx="1069">
                  <c:v>114.63</c:v>
                </c:pt>
                <c:pt idx="1070">
                  <c:v>114.36999999999999</c:v>
                </c:pt>
                <c:pt idx="1071">
                  <c:v>114.82</c:v>
                </c:pt>
                <c:pt idx="1072">
                  <c:v>113.21000000000002</c:v>
                </c:pt>
                <c:pt idx="1073">
                  <c:v>113.39</c:v>
                </c:pt>
                <c:pt idx="1074">
                  <c:v>112.96000000000002</c:v>
                </c:pt>
                <c:pt idx="1075">
                  <c:v>113.83</c:v>
                </c:pt>
                <c:pt idx="1076">
                  <c:v>113.83</c:v>
                </c:pt>
                <c:pt idx="1077">
                  <c:v>111.92</c:v>
                </c:pt>
                <c:pt idx="1078">
                  <c:v>112.66999999999999</c:v>
                </c:pt>
                <c:pt idx="1079">
                  <c:v>114.25</c:v>
                </c:pt>
                <c:pt idx="1080">
                  <c:v>114.36</c:v>
                </c:pt>
                <c:pt idx="1081">
                  <c:v>114.2</c:v>
                </c:pt>
                <c:pt idx="1082">
                  <c:v>114.3</c:v>
                </c:pt>
                <c:pt idx="1083">
                  <c:v>112.82</c:v>
                </c:pt>
                <c:pt idx="1084">
                  <c:v>111.83</c:v>
                </c:pt>
                <c:pt idx="1085">
                  <c:v>110.96000000000002</c:v>
                </c:pt>
                <c:pt idx="1086">
                  <c:v>112.14999999999999</c:v>
                </c:pt>
                <c:pt idx="1087">
                  <c:v>112.06</c:v>
                </c:pt>
                <c:pt idx="1088">
                  <c:v>112.78</c:v>
                </c:pt>
                <c:pt idx="1089">
                  <c:v>111.81</c:v>
                </c:pt>
                <c:pt idx="1090">
                  <c:v>109.96000000000002</c:v>
                </c:pt>
                <c:pt idx="1091">
                  <c:v>108.83</c:v>
                </c:pt>
                <c:pt idx="1092">
                  <c:v>109.75</c:v>
                </c:pt>
                <c:pt idx="1093">
                  <c:v>110.45</c:v>
                </c:pt>
                <c:pt idx="1094">
                  <c:v>109.99000000000002</c:v>
                </c:pt>
                <c:pt idx="1095">
                  <c:v>110.04</c:v>
                </c:pt>
                <c:pt idx="1096">
                  <c:v>109.1</c:v>
                </c:pt>
                <c:pt idx="1097">
                  <c:v>109.64999999999999</c:v>
                </c:pt>
                <c:pt idx="1098">
                  <c:v>109.27</c:v>
                </c:pt>
                <c:pt idx="1099">
                  <c:v>109.61999999999999</c:v>
                </c:pt>
                <c:pt idx="1100">
                  <c:v>109.81</c:v>
                </c:pt>
                <c:pt idx="1101">
                  <c:v>110.27</c:v>
                </c:pt>
                <c:pt idx="1102">
                  <c:v>111.85</c:v>
                </c:pt>
                <c:pt idx="1103">
                  <c:v>112.24000000000002</c:v>
                </c:pt>
                <c:pt idx="1104">
                  <c:v>112.86999999999999</c:v>
                </c:pt>
                <c:pt idx="1105">
                  <c:v>112.86</c:v>
                </c:pt>
                <c:pt idx="1106">
                  <c:v>112.71000000000002</c:v>
                </c:pt>
                <c:pt idx="1107">
                  <c:v>113.13</c:v>
                </c:pt>
                <c:pt idx="1108">
                  <c:v>112.09</c:v>
                </c:pt>
                <c:pt idx="1109">
                  <c:v>112.98</c:v>
                </c:pt>
                <c:pt idx="1110">
                  <c:v>114.7</c:v>
                </c:pt>
                <c:pt idx="1111">
                  <c:v>114.86</c:v>
                </c:pt>
                <c:pt idx="1112">
                  <c:v>113.79</c:v>
                </c:pt>
                <c:pt idx="1113">
                  <c:v>114.35</c:v>
                </c:pt>
                <c:pt idx="1114">
                  <c:v>113.22</c:v>
                </c:pt>
                <c:pt idx="1115">
                  <c:v>114.02</c:v>
                </c:pt>
                <c:pt idx="1116">
                  <c:v>114</c:v>
                </c:pt>
                <c:pt idx="1117">
                  <c:v>113.83</c:v>
                </c:pt>
                <c:pt idx="1118">
                  <c:v>113.63</c:v>
                </c:pt>
                <c:pt idx="1119">
                  <c:v>113.2</c:v>
                </c:pt>
                <c:pt idx="1120">
                  <c:v>113.77</c:v>
                </c:pt>
                <c:pt idx="1121">
                  <c:v>114.75</c:v>
                </c:pt>
                <c:pt idx="1122">
                  <c:v>114.39</c:v>
                </c:pt>
                <c:pt idx="1123">
                  <c:v>113.84</c:v>
                </c:pt>
                <c:pt idx="1124">
                  <c:v>113.45</c:v>
                </c:pt>
                <c:pt idx="1125">
                  <c:v>113.92</c:v>
                </c:pt>
                <c:pt idx="1126">
                  <c:v>114.53</c:v>
                </c:pt>
                <c:pt idx="1127">
                  <c:v>112.94000000000032</c:v>
                </c:pt>
                <c:pt idx="1128">
                  <c:v>112.88</c:v>
                </c:pt>
                <c:pt idx="1129">
                  <c:v>111.89</c:v>
                </c:pt>
                <c:pt idx="1130">
                  <c:v>112.22</c:v>
                </c:pt>
                <c:pt idx="1131">
                  <c:v>111.42</c:v>
                </c:pt>
                <c:pt idx="1132">
                  <c:v>111.73</c:v>
                </c:pt>
                <c:pt idx="1133">
                  <c:v>111.78</c:v>
                </c:pt>
                <c:pt idx="1134">
                  <c:v>111.86</c:v>
                </c:pt>
                <c:pt idx="1135">
                  <c:v>111.52</c:v>
                </c:pt>
                <c:pt idx="1136">
                  <c:v>110.8</c:v>
                </c:pt>
                <c:pt idx="1137">
                  <c:v>110.71000000000002</c:v>
                </c:pt>
                <c:pt idx="1138">
                  <c:v>110.24000000000002</c:v>
                </c:pt>
                <c:pt idx="1139">
                  <c:v>111.64</c:v>
                </c:pt>
                <c:pt idx="1140">
                  <c:v>109.58</c:v>
                </c:pt>
                <c:pt idx="1141">
                  <c:v>109.88</c:v>
                </c:pt>
                <c:pt idx="1142">
                  <c:v>108.96000000000002</c:v>
                </c:pt>
                <c:pt idx="1143">
                  <c:v>108.75</c:v>
                </c:pt>
                <c:pt idx="1144">
                  <c:v>109.77</c:v>
                </c:pt>
                <c:pt idx="1145">
                  <c:v>110.1</c:v>
                </c:pt>
                <c:pt idx="1146">
                  <c:v>110.57</c:v>
                </c:pt>
                <c:pt idx="1147">
                  <c:v>110.84</c:v>
                </c:pt>
                <c:pt idx="1148">
                  <c:v>111.07</c:v>
                </c:pt>
                <c:pt idx="1149">
                  <c:v>110.21000000000002</c:v>
                </c:pt>
                <c:pt idx="1150">
                  <c:v>110.2</c:v>
                </c:pt>
                <c:pt idx="1151">
                  <c:v>108.4</c:v>
                </c:pt>
                <c:pt idx="1152">
                  <c:v>106.85</c:v>
                </c:pt>
                <c:pt idx="1153">
                  <c:v>107</c:v>
                </c:pt>
                <c:pt idx="1154">
                  <c:v>108.38</c:v>
                </c:pt>
                <c:pt idx="1155">
                  <c:v>108.16</c:v>
                </c:pt>
                <c:pt idx="1156">
                  <c:v>106.98</c:v>
                </c:pt>
                <c:pt idx="1157">
                  <c:v>107.19</c:v>
                </c:pt>
                <c:pt idx="1158">
                  <c:v>108.3</c:v>
                </c:pt>
                <c:pt idx="1159">
                  <c:v>108.91000000000012</c:v>
                </c:pt>
                <c:pt idx="1160">
                  <c:v>110.03</c:v>
                </c:pt>
                <c:pt idx="1161">
                  <c:v>109.71000000000002</c:v>
                </c:pt>
                <c:pt idx="1162">
                  <c:v>110.48</c:v>
                </c:pt>
                <c:pt idx="1163">
                  <c:v>110.2</c:v>
                </c:pt>
                <c:pt idx="1164">
                  <c:v>110.35</c:v>
                </c:pt>
                <c:pt idx="1165">
                  <c:v>111.1</c:v>
                </c:pt>
                <c:pt idx="1166">
                  <c:v>111.1</c:v>
                </c:pt>
                <c:pt idx="1167">
                  <c:v>111.45</c:v>
                </c:pt>
                <c:pt idx="1168">
                  <c:v>110.53</c:v>
                </c:pt>
                <c:pt idx="1169">
                  <c:v>111.11</c:v>
                </c:pt>
                <c:pt idx="1170">
                  <c:v>111.32</c:v>
                </c:pt>
                <c:pt idx="1171">
                  <c:v>112.58</c:v>
                </c:pt>
                <c:pt idx="1172">
                  <c:v>112.11999999999999</c:v>
                </c:pt>
                <c:pt idx="1173">
                  <c:v>112.86</c:v>
                </c:pt>
                <c:pt idx="1174">
                  <c:v>112.58</c:v>
                </c:pt>
                <c:pt idx="1175">
                  <c:v>112.48</c:v>
                </c:pt>
                <c:pt idx="1176">
                  <c:v>113.06</c:v>
                </c:pt>
                <c:pt idx="1177">
                  <c:v>113.43</c:v>
                </c:pt>
                <c:pt idx="1178">
                  <c:v>113.66</c:v>
                </c:pt>
                <c:pt idx="1179">
                  <c:v>112.8</c:v>
                </c:pt>
                <c:pt idx="1180">
                  <c:v>113.14</c:v>
                </c:pt>
                <c:pt idx="1181">
                  <c:v>113.14999999999999</c:v>
                </c:pt>
                <c:pt idx="1182">
                  <c:v>112.47</c:v>
                </c:pt>
                <c:pt idx="1183">
                  <c:v>112.96000000000002</c:v>
                </c:pt>
                <c:pt idx="1184">
                  <c:v>111.55</c:v>
                </c:pt>
                <c:pt idx="1185">
                  <c:v>110.95</c:v>
                </c:pt>
                <c:pt idx="1186">
                  <c:v>111.46000000000002</c:v>
                </c:pt>
                <c:pt idx="1187">
                  <c:v>110.75</c:v>
                </c:pt>
                <c:pt idx="1188">
                  <c:v>111.28</c:v>
                </c:pt>
                <c:pt idx="1189">
                  <c:v>111.84</c:v>
                </c:pt>
                <c:pt idx="1190">
                  <c:v>111.76</c:v>
                </c:pt>
                <c:pt idx="1191">
                  <c:v>113.64999999999999</c:v>
                </c:pt>
                <c:pt idx="1192">
                  <c:v>113.84</c:v>
                </c:pt>
                <c:pt idx="1193">
                  <c:v>113.9</c:v>
                </c:pt>
                <c:pt idx="1194">
                  <c:v>114.61999999999999</c:v>
                </c:pt>
                <c:pt idx="1195">
                  <c:v>113.45</c:v>
                </c:pt>
                <c:pt idx="1196">
                  <c:v>112.51</c:v>
                </c:pt>
                <c:pt idx="1197">
                  <c:v>112.97</c:v>
                </c:pt>
                <c:pt idx="1198">
                  <c:v>112.53</c:v>
                </c:pt>
                <c:pt idx="1199">
                  <c:v>111.54</c:v>
                </c:pt>
                <c:pt idx="1200">
                  <c:v>110.64</c:v>
                </c:pt>
                <c:pt idx="1201">
                  <c:v>111.26</c:v>
                </c:pt>
                <c:pt idx="1202">
                  <c:v>111.67999999999998</c:v>
                </c:pt>
                <c:pt idx="1203">
                  <c:v>110.74000000000002</c:v>
                </c:pt>
                <c:pt idx="1204">
                  <c:v>110.52</c:v>
                </c:pt>
                <c:pt idx="1205">
                  <c:v>111.24000000000002</c:v>
                </c:pt>
                <c:pt idx="1206">
                  <c:v>109.99000000000002</c:v>
                </c:pt>
                <c:pt idx="1207">
                  <c:v>109.86</c:v>
                </c:pt>
                <c:pt idx="1208">
                  <c:v>111.54</c:v>
                </c:pt>
                <c:pt idx="1209">
                  <c:v>112.88</c:v>
                </c:pt>
                <c:pt idx="1210">
                  <c:v>113.22</c:v>
                </c:pt>
                <c:pt idx="1211">
                  <c:v>113.2</c:v>
                </c:pt>
                <c:pt idx="1212">
                  <c:v>113.51</c:v>
                </c:pt>
                <c:pt idx="1213">
                  <c:v>113.55</c:v>
                </c:pt>
                <c:pt idx="1214">
                  <c:v>114.98</c:v>
                </c:pt>
                <c:pt idx="1215">
                  <c:v>116.55</c:v>
                </c:pt>
                <c:pt idx="1216">
                  <c:v>117.28</c:v>
                </c:pt>
                <c:pt idx="1217">
                  <c:v>117.11</c:v>
                </c:pt>
                <c:pt idx="1218">
                  <c:v>116.88</c:v>
                </c:pt>
                <c:pt idx="1219">
                  <c:v>116.97</c:v>
                </c:pt>
                <c:pt idx="1220">
                  <c:v>117.86</c:v>
                </c:pt>
                <c:pt idx="1221">
                  <c:v>118.79</c:v>
                </c:pt>
                <c:pt idx="1222">
                  <c:v>118.73</c:v>
                </c:pt>
                <c:pt idx="1223">
                  <c:v>117.88</c:v>
                </c:pt>
                <c:pt idx="1224">
                  <c:v>118.58</c:v>
                </c:pt>
                <c:pt idx="1225">
                  <c:v>118.74000000000002</c:v>
                </c:pt>
                <c:pt idx="1226">
                  <c:v>117.42</c:v>
                </c:pt>
                <c:pt idx="1227">
                  <c:v>117.98</c:v>
                </c:pt>
                <c:pt idx="1228">
                  <c:v>118.16</c:v>
                </c:pt>
                <c:pt idx="1229">
                  <c:v>118.44000000000032</c:v>
                </c:pt>
                <c:pt idx="1230">
                  <c:v>118.35</c:v>
                </c:pt>
                <c:pt idx="1231">
                  <c:v>117.81</c:v>
                </c:pt>
                <c:pt idx="1232">
                  <c:v>117.89</c:v>
                </c:pt>
                <c:pt idx="1233">
                  <c:v>119.23</c:v>
                </c:pt>
                <c:pt idx="1234">
                  <c:v>119.33</c:v>
                </c:pt>
                <c:pt idx="1235">
                  <c:v>119.25</c:v>
                </c:pt>
                <c:pt idx="1236">
                  <c:v>119.21000000000002</c:v>
                </c:pt>
                <c:pt idx="1237">
                  <c:v>118.1</c:v>
                </c:pt>
                <c:pt idx="1238">
                  <c:v>118.79</c:v>
                </c:pt>
                <c:pt idx="1239">
                  <c:v>119.21000000000002</c:v>
                </c:pt>
                <c:pt idx="1240">
                  <c:v>119.33</c:v>
                </c:pt>
                <c:pt idx="1241">
                  <c:v>120.36999999999999</c:v>
                </c:pt>
                <c:pt idx="1242">
                  <c:v>120.79</c:v>
                </c:pt>
                <c:pt idx="1243">
                  <c:v>120.88</c:v>
                </c:pt>
                <c:pt idx="1244">
                  <c:v>120.24000000000002</c:v>
                </c:pt>
                <c:pt idx="1245">
                  <c:v>119.44000000000032</c:v>
                </c:pt>
                <c:pt idx="1246">
                  <c:v>119.47</c:v>
                </c:pt>
                <c:pt idx="1247">
                  <c:v>120.39</c:v>
                </c:pt>
                <c:pt idx="1248">
                  <c:v>120.67999999999998</c:v>
                </c:pt>
                <c:pt idx="1249">
                  <c:v>120.77</c:v>
                </c:pt>
                <c:pt idx="1250">
                  <c:v>120.52</c:v>
                </c:pt>
                <c:pt idx="1251">
                  <c:v>121.17999999999998</c:v>
                </c:pt>
                <c:pt idx="1252">
                  <c:v>121.36</c:v>
                </c:pt>
                <c:pt idx="1253">
                  <c:v>121.13</c:v>
                </c:pt>
                <c:pt idx="1254">
                  <c:v>120.86999999999999</c:v>
                </c:pt>
                <c:pt idx="1255">
                  <c:v>120.3</c:v>
                </c:pt>
                <c:pt idx="1256">
                  <c:v>118.83</c:v>
                </c:pt>
                <c:pt idx="1257">
                  <c:v>118.01</c:v>
                </c:pt>
                <c:pt idx="1258">
                  <c:v>118.61</c:v>
                </c:pt>
                <c:pt idx="1259">
                  <c:v>118.44000000000032</c:v>
                </c:pt>
                <c:pt idx="1260">
                  <c:v>119</c:v>
                </c:pt>
                <c:pt idx="1261">
                  <c:v>118.17999999999998</c:v>
                </c:pt>
                <c:pt idx="1262">
                  <c:v>118.57</c:v>
                </c:pt>
                <c:pt idx="1263">
                  <c:v>117.61999999999999</c:v>
                </c:pt>
                <c:pt idx="1264">
                  <c:v>118.24000000000002</c:v>
                </c:pt>
                <c:pt idx="1265">
                  <c:v>119.47</c:v>
                </c:pt>
                <c:pt idx="1266">
                  <c:v>118.22</c:v>
                </c:pt>
                <c:pt idx="1267">
                  <c:v>117.5</c:v>
                </c:pt>
                <c:pt idx="1268">
                  <c:v>116.78</c:v>
                </c:pt>
                <c:pt idx="1269">
                  <c:v>116.55</c:v>
                </c:pt>
                <c:pt idx="1270">
                  <c:v>116.88</c:v>
                </c:pt>
                <c:pt idx="1271">
                  <c:v>117.23</c:v>
                </c:pt>
                <c:pt idx="1272">
                  <c:v>117.43</c:v>
                </c:pt>
                <c:pt idx="1273">
                  <c:v>117.43</c:v>
                </c:pt>
                <c:pt idx="1274">
                  <c:v>118.16</c:v>
                </c:pt>
                <c:pt idx="1275">
                  <c:v>118.91000000000012</c:v>
                </c:pt>
                <c:pt idx="1276">
                  <c:v>119.27</c:v>
                </c:pt>
                <c:pt idx="1277">
                  <c:v>119.11</c:v>
                </c:pt>
                <c:pt idx="1278">
                  <c:v>120.23</c:v>
                </c:pt>
                <c:pt idx="1279">
                  <c:v>120.07</c:v>
                </c:pt>
                <c:pt idx="1280">
                  <c:v>120.21000000000002</c:v>
                </c:pt>
                <c:pt idx="1281">
                  <c:v>119.31</c:v>
                </c:pt>
                <c:pt idx="1282">
                  <c:v>119.74000000000002</c:v>
                </c:pt>
                <c:pt idx="1283">
                  <c:v>120.77</c:v>
                </c:pt>
                <c:pt idx="1284">
                  <c:v>120.67999999999998</c:v>
                </c:pt>
                <c:pt idx="1285">
                  <c:v>121.13</c:v>
                </c:pt>
                <c:pt idx="1286">
                  <c:v>121.21000000000002</c:v>
                </c:pt>
                <c:pt idx="1287">
                  <c:v>120.23</c:v>
                </c:pt>
                <c:pt idx="1288">
                  <c:v>120.39</c:v>
                </c:pt>
                <c:pt idx="1289">
                  <c:v>118.6</c:v>
                </c:pt>
                <c:pt idx="1290">
                  <c:v>119.45</c:v>
                </c:pt>
                <c:pt idx="1291">
                  <c:v>120.24000000000002</c:v>
                </c:pt>
                <c:pt idx="1292">
                  <c:v>121.43</c:v>
                </c:pt>
                <c:pt idx="1293">
                  <c:v>120.63</c:v>
                </c:pt>
                <c:pt idx="1294">
                  <c:v>121.23</c:v>
                </c:pt>
                <c:pt idx="1295">
                  <c:v>121.16999999999999</c:v>
                </c:pt>
                <c:pt idx="1296">
                  <c:v>121.22</c:v>
                </c:pt>
                <c:pt idx="1297">
                  <c:v>122.73</c:v>
                </c:pt>
                <c:pt idx="1298">
                  <c:v>122.79</c:v>
                </c:pt>
                <c:pt idx="1299">
                  <c:v>122.33</c:v>
                </c:pt>
                <c:pt idx="1300">
                  <c:v>120.97</c:v>
                </c:pt>
                <c:pt idx="1301">
                  <c:v>121.24000000000002</c:v>
                </c:pt>
                <c:pt idx="1302">
                  <c:v>120.39</c:v>
                </c:pt>
                <c:pt idx="1303">
                  <c:v>121.14</c:v>
                </c:pt>
                <c:pt idx="1304">
                  <c:v>120.14</c:v>
                </c:pt>
                <c:pt idx="1305">
                  <c:v>119.11999999999999</c:v>
                </c:pt>
                <c:pt idx="1306">
                  <c:v>119.36</c:v>
                </c:pt>
                <c:pt idx="1307">
                  <c:v>118.54</c:v>
                </c:pt>
                <c:pt idx="1308">
                  <c:v>118.1</c:v>
                </c:pt>
                <c:pt idx="1309">
                  <c:v>116.9</c:v>
                </c:pt>
                <c:pt idx="1310">
                  <c:v>117</c:v>
                </c:pt>
                <c:pt idx="1311">
                  <c:v>117.14</c:v>
                </c:pt>
                <c:pt idx="1312">
                  <c:v>117.31</c:v>
                </c:pt>
                <c:pt idx="1313">
                  <c:v>116.53</c:v>
                </c:pt>
                <c:pt idx="1314">
                  <c:v>118.17999999999998</c:v>
                </c:pt>
                <c:pt idx="1315">
                  <c:v>117.96000000000002</c:v>
                </c:pt>
                <c:pt idx="1316">
                  <c:v>117.43</c:v>
                </c:pt>
                <c:pt idx="1317">
                  <c:v>117.63</c:v>
                </c:pt>
                <c:pt idx="1318">
                  <c:v>118.19</c:v>
                </c:pt>
                <c:pt idx="1319">
                  <c:v>118.6</c:v>
                </c:pt>
                <c:pt idx="1320">
                  <c:v>119.24000000000002</c:v>
                </c:pt>
                <c:pt idx="1321">
                  <c:v>118</c:v>
                </c:pt>
                <c:pt idx="1322">
                  <c:v>118.09</c:v>
                </c:pt>
                <c:pt idx="1323">
                  <c:v>118.7</c:v>
                </c:pt>
                <c:pt idx="1324">
                  <c:v>117.3</c:v>
                </c:pt>
                <c:pt idx="1325">
                  <c:v>115.77</c:v>
                </c:pt>
                <c:pt idx="1326">
                  <c:v>114.14999999999999</c:v>
                </c:pt>
                <c:pt idx="1327">
                  <c:v>114.5</c:v>
                </c:pt>
                <c:pt idx="1328">
                  <c:v>115.41000000000012</c:v>
                </c:pt>
                <c:pt idx="1329">
                  <c:v>113.8</c:v>
                </c:pt>
                <c:pt idx="1330">
                  <c:v>116.01</c:v>
                </c:pt>
                <c:pt idx="1331">
                  <c:v>115.57</c:v>
                </c:pt>
                <c:pt idx="1332">
                  <c:v>116.33</c:v>
                </c:pt>
                <c:pt idx="1333">
                  <c:v>115.2</c:v>
                </c:pt>
                <c:pt idx="1334">
                  <c:v>115.64999999999999</c:v>
                </c:pt>
                <c:pt idx="1335">
                  <c:v>114.2</c:v>
                </c:pt>
                <c:pt idx="1336">
                  <c:v>115.75</c:v>
                </c:pt>
                <c:pt idx="1337">
                  <c:v>116.4</c:v>
                </c:pt>
                <c:pt idx="1338">
                  <c:v>116.6</c:v>
                </c:pt>
                <c:pt idx="1339">
                  <c:v>117.5</c:v>
                </c:pt>
                <c:pt idx="1340">
                  <c:v>117.46000000000002</c:v>
                </c:pt>
                <c:pt idx="1341">
                  <c:v>117.09</c:v>
                </c:pt>
                <c:pt idx="1342">
                  <c:v>117.82</c:v>
                </c:pt>
                <c:pt idx="1343">
                  <c:v>116.6</c:v>
                </c:pt>
                <c:pt idx="1344">
                  <c:v>117.24000000000002</c:v>
                </c:pt>
                <c:pt idx="1345">
                  <c:v>115.95</c:v>
                </c:pt>
                <c:pt idx="1346">
                  <c:v>115.72</c:v>
                </c:pt>
                <c:pt idx="1347">
                  <c:v>116.8</c:v>
                </c:pt>
                <c:pt idx="1348">
                  <c:v>117.58</c:v>
                </c:pt>
                <c:pt idx="1349">
                  <c:v>118.79</c:v>
                </c:pt>
                <c:pt idx="1350">
                  <c:v>119.29</c:v>
                </c:pt>
                <c:pt idx="1351">
                  <c:v>119.11999999999999</c:v>
                </c:pt>
                <c:pt idx="1352">
                  <c:v>119.78</c:v>
                </c:pt>
                <c:pt idx="1353">
                  <c:v>119.5</c:v>
                </c:pt>
                <c:pt idx="1354">
                  <c:v>119.41000000000012</c:v>
                </c:pt>
                <c:pt idx="1355">
                  <c:v>120.05</c:v>
                </c:pt>
                <c:pt idx="1356">
                  <c:v>120.25</c:v>
                </c:pt>
                <c:pt idx="1357">
                  <c:v>119.48</c:v>
                </c:pt>
                <c:pt idx="1358">
                  <c:v>120.5</c:v>
                </c:pt>
                <c:pt idx="1359">
                  <c:v>120.76</c:v>
                </c:pt>
                <c:pt idx="1360">
                  <c:v>120.14999999999999</c:v>
                </c:pt>
                <c:pt idx="1361">
                  <c:v>120.04</c:v>
                </c:pt>
                <c:pt idx="1362">
                  <c:v>120.13</c:v>
                </c:pt>
                <c:pt idx="1363">
                  <c:v>119.91000000000012</c:v>
                </c:pt>
                <c:pt idx="1364">
                  <c:v>120.48</c:v>
                </c:pt>
                <c:pt idx="1365">
                  <c:v>120.2</c:v>
                </c:pt>
                <c:pt idx="1366">
                  <c:v>120.58</c:v>
                </c:pt>
                <c:pt idx="1367">
                  <c:v>120.86</c:v>
                </c:pt>
                <c:pt idx="1368">
                  <c:v>121.09</c:v>
                </c:pt>
                <c:pt idx="1369">
                  <c:v>121.4</c:v>
                </c:pt>
                <c:pt idx="1370">
                  <c:v>121.36</c:v>
                </c:pt>
                <c:pt idx="1371">
                  <c:v>121.4</c:v>
                </c:pt>
                <c:pt idx="1372">
                  <c:v>121.47</c:v>
                </c:pt>
                <c:pt idx="1373">
                  <c:v>121.57</c:v>
                </c:pt>
                <c:pt idx="1374">
                  <c:v>119.86</c:v>
                </c:pt>
                <c:pt idx="1375">
                  <c:v>118.98</c:v>
                </c:pt>
                <c:pt idx="1376">
                  <c:v>119.14999999999999</c:v>
                </c:pt>
                <c:pt idx="1377">
                  <c:v>120.14999999999999</c:v>
                </c:pt>
                <c:pt idx="1378">
                  <c:v>119.83</c:v>
                </c:pt>
                <c:pt idx="1379">
                  <c:v>119.17999999999998</c:v>
                </c:pt>
                <c:pt idx="1380">
                  <c:v>119.53</c:v>
                </c:pt>
                <c:pt idx="1381">
                  <c:v>120.49000000000002</c:v>
                </c:pt>
                <c:pt idx="1382">
                  <c:v>119.48</c:v>
                </c:pt>
                <c:pt idx="1383">
                  <c:v>119.95</c:v>
                </c:pt>
                <c:pt idx="1384">
                  <c:v>121.32</c:v>
                </c:pt>
                <c:pt idx="1385">
                  <c:v>121.94000000000032</c:v>
                </c:pt>
                <c:pt idx="1386">
                  <c:v>122.26</c:v>
                </c:pt>
                <c:pt idx="1387">
                  <c:v>122.43</c:v>
                </c:pt>
                <c:pt idx="1388">
                  <c:v>122.91000000000012</c:v>
                </c:pt>
                <c:pt idx="1389">
                  <c:v>122.84</c:v>
                </c:pt>
                <c:pt idx="1390">
                  <c:v>122.35</c:v>
                </c:pt>
                <c:pt idx="1391">
                  <c:v>123.02</c:v>
                </c:pt>
                <c:pt idx="1392">
                  <c:v>123.44000000000032</c:v>
                </c:pt>
                <c:pt idx="1393">
                  <c:v>122.72</c:v>
                </c:pt>
                <c:pt idx="1394">
                  <c:v>123.54</c:v>
                </c:pt>
                <c:pt idx="1395">
                  <c:v>123.19</c:v>
                </c:pt>
                <c:pt idx="1396">
                  <c:v>123.34</c:v>
                </c:pt>
                <c:pt idx="1397">
                  <c:v>123.79</c:v>
                </c:pt>
                <c:pt idx="1398">
                  <c:v>124.57</c:v>
                </c:pt>
                <c:pt idx="1399">
                  <c:v>123.74000000000002</c:v>
                </c:pt>
                <c:pt idx="1400">
                  <c:v>123.64999999999999</c:v>
                </c:pt>
                <c:pt idx="1401">
                  <c:v>124.39</c:v>
                </c:pt>
                <c:pt idx="1402">
                  <c:v>124.72</c:v>
                </c:pt>
                <c:pt idx="1403">
                  <c:v>123.72</c:v>
                </c:pt>
                <c:pt idx="1404">
                  <c:v>122.88</c:v>
                </c:pt>
                <c:pt idx="1405">
                  <c:v>122.64999999999999</c:v>
                </c:pt>
                <c:pt idx="1406">
                  <c:v>123.39</c:v>
                </c:pt>
                <c:pt idx="1407">
                  <c:v>123.33</c:v>
                </c:pt>
                <c:pt idx="1408">
                  <c:v>123.82</c:v>
                </c:pt>
                <c:pt idx="1409">
                  <c:v>123.06</c:v>
                </c:pt>
                <c:pt idx="1410">
                  <c:v>123.82</c:v>
                </c:pt>
                <c:pt idx="1411">
                  <c:v>122.21000000000002</c:v>
                </c:pt>
                <c:pt idx="1412">
                  <c:v>122.2</c:v>
                </c:pt>
                <c:pt idx="1413">
                  <c:v>122.19</c:v>
                </c:pt>
                <c:pt idx="1414">
                  <c:v>122.47</c:v>
                </c:pt>
                <c:pt idx="1415">
                  <c:v>122.47</c:v>
                </c:pt>
                <c:pt idx="1416">
                  <c:v>122.24000000000002</c:v>
                </c:pt>
                <c:pt idx="1417">
                  <c:v>121.14999999999999</c:v>
                </c:pt>
                <c:pt idx="1418">
                  <c:v>121.59</c:v>
                </c:pt>
                <c:pt idx="1419">
                  <c:v>120.76</c:v>
                </c:pt>
                <c:pt idx="1420">
                  <c:v>121.69</c:v>
                </c:pt>
                <c:pt idx="1421">
                  <c:v>121.05</c:v>
                </c:pt>
                <c:pt idx="1422">
                  <c:v>122.58</c:v>
                </c:pt>
                <c:pt idx="1423">
                  <c:v>122.49000000000002</c:v>
                </c:pt>
                <c:pt idx="1424">
                  <c:v>122.27</c:v>
                </c:pt>
                <c:pt idx="1425">
                  <c:v>123.7</c:v>
                </c:pt>
                <c:pt idx="1426">
                  <c:v>123.91000000000012</c:v>
                </c:pt>
                <c:pt idx="1427">
                  <c:v>123.5</c:v>
                </c:pt>
                <c:pt idx="1428">
                  <c:v>124.6</c:v>
                </c:pt>
                <c:pt idx="1429">
                  <c:v>124.35</c:v>
                </c:pt>
                <c:pt idx="1430">
                  <c:v>123.66</c:v>
                </c:pt>
                <c:pt idx="1431">
                  <c:v>123.21000000000002</c:v>
                </c:pt>
                <c:pt idx="1432">
                  <c:v>123.14999999999999</c:v>
                </c:pt>
                <c:pt idx="1433">
                  <c:v>123.5</c:v>
                </c:pt>
                <c:pt idx="1434">
                  <c:v>123.09</c:v>
                </c:pt>
                <c:pt idx="1435">
                  <c:v>122.05</c:v>
                </c:pt>
                <c:pt idx="1436">
                  <c:v>120.91000000000012</c:v>
                </c:pt>
                <c:pt idx="1437">
                  <c:v>121.34</c:v>
                </c:pt>
                <c:pt idx="1438">
                  <c:v>121.44000000000032</c:v>
                </c:pt>
                <c:pt idx="1439">
                  <c:v>121.58</c:v>
                </c:pt>
                <c:pt idx="1440">
                  <c:v>121.55</c:v>
                </c:pt>
                <c:pt idx="1441">
                  <c:v>121.66999999999999</c:v>
                </c:pt>
                <c:pt idx="1442">
                  <c:v>122.66</c:v>
                </c:pt>
                <c:pt idx="1443">
                  <c:v>123.04</c:v>
                </c:pt>
                <c:pt idx="1444">
                  <c:v>122.6</c:v>
                </c:pt>
                <c:pt idx="1445">
                  <c:v>121.22</c:v>
                </c:pt>
                <c:pt idx="1446">
                  <c:v>119.63</c:v>
                </c:pt>
                <c:pt idx="1447">
                  <c:v>119.2</c:v>
                </c:pt>
                <c:pt idx="1448">
                  <c:v>119.61</c:v>
                </c:pt>
                <c:pt idx="1449">
                  <c:v>118.6</c:v>
                </c:pt>
                <c:pt idx="1450">
                  <c:v>118.43</c:v>
                </c:pt>
                <c:pt idx="1451">
                  <c:v>117.5</c:v>
                </c:pt>
                <c:pt idx="1452">
                  <c:v>117.43</c:v>
                </c:pt>
                <c:pt idx="1453">
                  <c:v>118.66999999999999</c:v>
                </c:pt>
                <c:pt idx="1454">
                  <c:v>119.11</c:v>
                </c:pt>
                <c:pt idx="1455">
                  <c:v>117.82</c:v>
                </c:pt>
                <c:pt idx="1456">
                  <c:v>119.78</c:v>
                </c:pt>
                <c:pt idx="1457">
                  <c:v>117.66999999999999</c:v>
                </c:pt>
                <c:pt idx="1458">
                  <c:v>118.13</c:v>
                </c:pt>
                <c:pt idx="1459">
                  <c:v>119.96000000000002</c:v>
                </c:pt>
                <c:pt idx="1460">
                  <c:v>119.72</c:v>
                </c:pt>
                <c:pt idx="1461">
                  <c:v>119.36999999999999</c:v>
                </c:pt>
                <c:pt idx="1462">
                  <c:v>118.1</c:v>
                </c:pt>
                <c:pt idx="1463">
                  <c:v>119.8</c:v>
                </c:pt>
                <c:pt idx="1464">
                  <c:v>120.13</c:v>
                </c:pt>
                <c:pt idx="1465">
                  <c:v>120.49000000000002</c:v>
                </c:pt>
                <c:pt idx="1466">
                  <c:v>121.75</c:v>
                </c:pt>
                <c:pt idx="1467">
                  <c:v>122.27</c:v>
                </c:pt>
                <c:pt idx="1468">
                  <c:v>122.11</c:v>
                </c:pt>
                <c:pt idx="1469">
                  <c:v>122.23</c:v>
                </c:pt>
                <c:pt idx="1470">
                  <c:v>122.23</c:v>
                </c:pt>
                <c:pt idx="1471">
                  <c:v>122.39</c:v>
                </c:pt>
                <c:pt idx="1472">
                  <c:v>123.34</c:v>
                </c:pt>
                <c:pt idx="1473">
                  <c:v>123.76</c:v>
                </c:pt>
                <c:pt idx="1474">
                  <c:v>123.69</c:v>
                </c:pt>
                <c:pt idx="1475">
                  <c:v>123.24000000000002</c:v>
                </c:pt>
                <c:pt idx="1476">
                  <c:v>123.49000000000002</c:v>
                </c:pt>
                <c:pt idx="1477">
                  <c:v>124.64</c:v>
                </c:pt>
                <c:pt idx="1478">
                  <c:v>125.13</c:v>
                </c:pt>
                <c:pt idx="1479">
                  <c:v>125.76</c:v>
                </c:pt>
                <c:pt idx="1480">
                  <c:v>126.3</c:v>
                </c:pt>
                <c:pt idx="1481">
                  <c:v>127.03</c:v>
                </c:pt>
                <c:pt idx="1482">
                  <c:v>127.13</c:v>
                </c:pt>
                <c:pt idx="1483">
                  <c:v>126.23</c:v>
                </c:pt>
                <c:pt idx="1484">
                  <c:v>126.09</c:v>
                </c:pt>
                <c:pt idx="1485">
                  <c:v>125.41000000000012</c:v>
                </c:pt>
                <c:pt idx="1486">
                  <c:v>126.69</c:v>
                </c:pt>
                <c:pt idx="1487">
                  <c:v>126.85</c:v>
                </c:pt>
                <c:pt idx="1488">
                  <c:v>126.58</c:v>
                </c:pt>
                <c:pt idx="1489">
                  <c:v>126.82</c:v>
                </c:pt>
                <c:pt idx="1490">
                  <c:v>126.08</c:v>
                </c:pt>
                <c:pt idx="1491">
                  <c:v>126</c:v>
                </c:pt>
                <c:pt idx="1492">
                  <c:v>126.33</c:v>
                </c:pt>
                <c:pt idx="1493">
                  <c:v>126.45</c:v>
                </c:pt>
                <c:pt idx="1494">
                  <c:v>127.31</c:v>
                </c:pt>
                <c:pt idx="1495">
                  <c:v>127.81</c:v>
                </c:pt>
                <c:pt idx="1496">
                  <c:v>127.44000000000032</c:v>
                </c:pt>
                <c:pt idx="1497">
                  <c:v>126.36</c:v>
                </c:pt>
                <c:pt idx="1498">
                  <c:v>125.71000000000002</c:v>
                </c:pt>
                <c:pt idx="1499">
                  <c:v>125.83</c:v>
                </c:pt>
                <c:pt idx="1500">
                  <c:v>126.03</c:v>
                </c:pt>
                <c:pt idx="1501">
                  <c:v>126.69</c:v>
                </c:pt>
                <c:pt idx="1502">
                  <c:v>126.76</c:v>
                </c:pt>
                <c:pt idx="1503">
                  <c:v>125.47</c:v>
                </c:pt>
                <c:pt idx="1504">
                  <c:v>125.75</c:v>
                </c:pt>
                <c:pt idx="1505">
                  <c:v>125.19</c:v>
                </c:pt>
                <c:pt idx="1506">
                  <c:v>124.51</c:v>
                </c:pt>
                <c:pt idx="1507">
                  <c:v>126.7</c:v>
                </c:pt>
                <c:pt idx="1508">
                  <c:v>127.3</c:v>
                </c:pt>
                <c:pt idx="1509">
                  <c:v>127.38</c:v>
                </c:pt>
                <c:pt idx="1510">
                  <c:v>128.44</c:v>
                </c:pt>
                <c:pt idx="1511">
                  <c:v>128.76999999999998</c:v>
                </c:pt>
                <c:pt idx="1512">
                  <c:v>128.9</c:v>
                </c:pt>
                <c:pt idx="1513">
                  <c:v>129.31</c:v>
                </c:pt>
                <c:pt idx="1514">
                  <c:v>128.80000000000001</c:v>
                </c:pt>
                <c:pt idx="1515">
                  <c:v>128.68</c:v>
                </c:pt>
                <c:pt idx="1516">
                  <c:v>128.33000000000001</c:v>
                </c:pt>
                <c:pt idx="1517">
                  <c:v>127.82</c:v>
                </c:pt>
                <c:pt idx="1518">
                  <c:v>128.31</c:v>
                </c:pt>
                <c:pt idx="1519">
                  <c:v>125.97</c:v>
                </c:pt>
                <c:pt idx="1520">
                  <c:v>126.42</c:v>
                </c:pt>
                <c:pt idx="1521">
                  <c:v>126.55</c:v>
                </c:pt>
                <c:pt idx="1522">
                  <c:v>126.66</c:v>
                </c:pt>
                <c:pt idx="1523">
                  <c:v>127.36</c:v>
                </c:pt>
                <c:pt idx="1524">
                  <c:v>128.54</c:v>
                </c:pt>
                <c:pt idx="1525">
                  <c:v>128.44</c:v>
                </c:pt>
                <c:pt idx="1526">
                  <c:v>127.5</c:v>
                </c:pt>
                <c:pt idx="1527">
                  <c:v>128.39000000000001</c:v>
                </c:pt>
                <c:pt idx="1528">
                  <c:v>126.9</c:v>
                </c:pt>
                <c:pt idx="1529">
                  <c:v>126.27</c:v>
                </c:pt>
                <c:pt idx="1530">
                  <c:v>126.6</c:v>
                </c:pt>
                <c:pt idx="1531">
                  <c:v>125.48</c:v>
                </c:pt>
                <c:pt idx="1532">
                  <c:v>126.61999999999999</c:v>
                </c:pt>
                <c:pt idx="1533">
                  <c:v>126.41000000000012</c:v>
                </c:pt>
                <c:pt idx="1534">
                  <c:v>126.64</c:v>
                </c:pt>
                <c:pt idx="1535">
                  <c:v>126.41000000000012</c:v>
                </c:pt>
                <c:pt idx="1536">
                  <c:v>127.75</c:v>
                </c:pt>
                <c:pt idx="1537">
                  <c:v>128.19999999999999</c:v>
                </c:pt>
                <c:pt idx="1538">
                  <c:v>129.16</c:v>
                </c:pt>
                <c:pt idx="1539">
                  <c:v>128.81</c:v>
                </c:pt>
                <c:pt idx="1540">
                  <c:v>128.49</c:v>
                </c:pt>
                <c:pt idx="1541">
                  <c:v>129.26999999999998</c:v>
                </c:pt>
                <c:pt idx="1542">
                  <c:v>129.08000000000001</c:v>
                </c:pt>
                <c:pt idx="1543">
                  <c:v>129.41</c:v>
                </c:pt>
                <c:pt idx="1544">
                  <c:v>129.46</c:v>
                </c:pt>
                <c:pt idx="1545">
                  <c:v>128.22999999999999</c:v>
                </c:pt>
                <c:pt idx="1546">
                  <c:v>129.37</c:v>
                </c:pt>
                <c:pt idx="1547">
                  <c:v>129.36000000000001</c:v>
                </c:pt>
                <c:pt idx="1548">
                  <c:v>128.76</c:v>
                </c:pt>
                <c:pt idx="1549">
                  <c:v>128.16999999999999</c:v>
                </c:pt>
                <c:pt idx="1550">
                  <c:v>127.97</c:v>
                </c:pt>
                <c:pt idx="1551">
                  <c:v>128.23999999999998</c:v>
                </c:pt>
                <c:pt idx="1552">
                  <c:v>127.38</c:v>
                </c:pt>
                <c:pt idx="1553">
                  <c:v>128.59</c:v>
                </c:pt>
                <c:pt idx="1554">
                  <c:v>128.83000000000001</c:v>
                </c:pt>
                <c:pt idx="1555">
                  <c:v>130.18</c:v>
                </c:pt>
                <c:pt idx="1556">
                  <c:v>130.76</c:v>
                </c:pt>
                <c:pt idx="1557">
                  <c:v>131.03</c:v>
                </c:pt>
                <c:pt idx="1558">
                  <c:v>130.62</c:v>
                </c:pt>
                <c:pt idx="1559">
                  <c:v>130.41</c:v>
                </c:pt>
                <c:pt idx="1560">
                  <c:v>129.59</c:v>
                </c:pt>
                <c:pt idx="1561">
                  <c:v>130.38000000000065</c:v>
                </c:pt>
                <c:pt idx="1562">
                  <c:v>130.10999999999999</c:v>
                </c:pt>
                <c:pt idx="1563">
                  <c:v>130.20999999999998</c:v>
                </c:pt>
                <c:pt idx="1564">
                  <c:v>130.02000000000001</c:v>
                </c:pt>
                <c:pt idx="1565">
                  <c:v>129.22</c:v>
                </c:pt>
                <c:pt idx="1566">
                  <c:v>130.03</c:v>
                </c:pt>
                <c:pt idx="1567">
                  <c:v>129.80000000000001</c:v>
                </c:pt>
                <c:pt idx="1568">
                  <c:v>129.83000000000001</c:v>
                </c:pt>
                <c:pt idx="1569">
                  <c:v>129.72999999999999</c:v>
                </c:pt>
                <c:pt idx="1570">
                  <c:v>130.56</c:v>
                </c:pt>
                <c:pt idx="1571">
                  <c:v>131.01</c:v>
                </c:pt>
                <c:pt idx="1572">
                  <c:v>130.87</c:v>
                </c:pt>
                <c:pt idx="1573">
                  <c:v>129.54</c:v>
                </c:pt>
                <c:pt idx="1574">
                  <c:v>129.73999999999998</c:v>
                </c:pt>
                <c:pt idx="1575">
                  <c:v>128.63999999999999</c:v>
                </c:pt>
                <c:pt idx="1576">
                  <c:v>128.88000000000065</c:v>
                </c:pt>
                <c:pt idx="1577">
                  <c:v>128.70999999999998</c:v>
                </c:pt>
                <c:pt idx="1578">
                  <c:v>128.66</c:v>
                </c:pt>
                <c:pt idx="1579">
                  <c:v>130.69999999999999</c:v>
                </c:pt>
                <c:pt idx="1580">
                  <c:v>130.94999999999999</c:v>
                </c:pt>
                <c:pt idx="1581">
                  <c:v>131.13</c:v>
                </c:pt>
                <c:pt idx="1582">
                  <c:v>131.15</c:v>
                </c:pt>
                <c:pt idx="1583">
                  <c:v>130.91</c:v>
                </c:pt>
                <c:pt idx="1584">
                  <c:v>130.37</c:v>
                </c:pt>
                <c:pt idx="1585">
                  <c:v>130.4</c:v>
                </c:pt>
                <c:pt idx="1586">
                  <c:v>131.03</c:v>
                </c:pt>
                <c:pt idx="1587">
                  <c:v>131.47</c:v>
                </c:pt>
                <c:pt idx="1588">
                  <c:v>130.4</c:v>
                </c:pt>
                <c:pt idx="1589">
                  <c:v>131.38000000000065</c:v>
                </c:pt>
                <c:pt idx="1590">
                  <c:v>130.89000000000001</c:v>
                </c:pt>
                <c:pt idx="1591">
                  <c:v>131.36000000000001</c:v>
                </c:pt>
                <c:pt idx="1592">
                  <c:v>132.52000000000001</c:v>
                </c:pt>
                <c:pt idx="1593">
                  <c:v>132.36000000000001</c:v>
                </c:pt>
                <c:pt idx="1594">
                  <c:v>132.62</c:v>
                </c:pt>
                <c:pt idx="1595">
                  <c:v>132.55000000000001</c:v>
                </c:pt>
                <c:pt idx="1596">
                  <c:v>130.94999999999999</c:v>
                </c:pt>
                <c:pt idx="1597">
                  <c:v>129.23999999999998</c:v>
                </c:pt>
                <c:pt idx="1598">
                  <c:v>129.5</c:v>
                </c:pt>
                <c:pt idx="1599">
                  <c:v>129.31</c:v>
                </c:pt>
                <c:pt idx="1600">
                  <c:v>126.85</c:v>
                </c:pt>
                <c:pt idx="1601">
                  <c:v>126.21000000000002</c:v>
                </c:pt>
                <c:pt idx="1602">
                  <c:v>127.1</c:v>
                </c:pt>
                <c:pt idx="1603">
                  <c:v>126.13</c:v>
                </c:pt>
                <c:pt idx="1604">
                  <c:v>125.16999999999999</c:v>
                </c:pt>
                <c:pt idx="1605">
                  <c:v>126.16999999999999</c:v>
                </c:pt>
                <c:pt idx="1606">
                  <c:v>127.73</c:v>
                </c:pt>
                <c:pt idx="1607">
                  <c:v>128.38000000000065</c:v>
                </c:pt>
                <c:pt idx="1608">
                  <c:v>126.1</c:v>
                </c:pt>
                <c:pt idx="1609">
                  <c:v>127.51</c:v>
                </c:pt>
                <c:pt idx="1610">
                  <c:v>128.72999999999999</c:v>
                </c:pt>
                <c:pt idx="1611">
                  <c:v>129</c:v>
                </c:pt>
                <c:pt idx="1612">
                  <c:v>127.11999999999999</c:v>
                </c:pt>
                <c:pt idx="1613">
                  <c:v>126.81</c:v>
                </c:pt>
                <c:pt idx="1614">
                  <c:v>125.86</c:v>
                </c:pt>
                <c:pt idx="1615">
                  <c:v>125.75</c:v>
                </c:pt>
                <c:pt idx="1616">
                  <c:v>125.35</c:v>
                </c:pt>
                <c:pt idx="1617">
                  <c:v>123.99000000000002</c:v>
                </c:pt>
                <c:pt idx="1618">
                  <c:v>122.55</c:v>
                </c:pt>
                <c:pt idx="1619">
                  <c:v>123.5</c:v>
                </c:pt>
                <c:pt idx="1620">
                  <c:v>126.11999999999999</c:v>
                </c:pt>
                <c:pt idx="1621">
                  <c:v>124.64999999999999</c:v>
                </c:pt>
                <c:pt idx="1622">
                  <c:v>123.66999999999999</c:v>
                </c:pt>
                <c:pt idx="1623">
                  <c:v>124.09</c:v>
                </c:pt>
                <c:pt idx="1624">
                  <c:v>125.01</c:v>
                </c:pt>
                <c:pt idx="1625">
                  <c:v>124.46000000000002</c:v>
                </c:pt>
                <c:pt idx="1626">
                  <c:v>124.44000000000032</c:v>
                </c:pt>
                <c:pt idx="1627">
                  <c:v>124.99000000000002</c:v>
                </c:pt>
                <c:pt idx="1628">
                  <c:v>123.91000000000012</c:v>
                </c:pt>
                <c:pt idx="1629">
                  <c:v>124.75</c:v>
                </c:pt>
                <c:pt idx="1630">
                  <c:v>127.27</c:v>
                </c:pt>
                <c:pt idx="1631">
                  <c:v>127.23</c:v>
                </c:pt>
                <c:pt idx="1632">
                  <c:v>127.8</c:v>
                </c:pt>
                <c:pt idx="1633">
                  <c:v>127.07</c:v>
                </c:pt>
                <c:pt idx="1634">
                  <c:v>127.44000000000032</c:v>
                </c:pt>
                <c:pt idx="1635">
                  <c:v>126.61</c:v>
                </c:pt>
                <c:pt idx="1636">
                  <c:v>126.85</c:v>
                </c:pt>
                <c:pt idx="1637">
                  <c:v>127.41000000000012</c:v>
                </c:pt>
                <c:pt idx="1638">
                  <c:v>126.05</c:v>
                </c:pt>
                <c:pt idx="1639">
                  <c:v>124</c:v>
                </c:pt>
                <c:pt idx="1640">
                  <c:v>123.52</c:v>
                </c:pt>
                <c:pt idx="1641">
                  <c:v>123.34</c:v>
                </c:pt>
                <c:pt idx="1642">
                  <c:v>123.97</c:v>
                </c:pt>
                <c:pt idx="1643">
                  <c:v>125.69</c:v>
                </c:pt>
                <c:pt idx="1644">
                  <c:v>124.83</c:v>
                </c:pt>
                <c:pt idx="1645">
                  <c:v>123.95</c:v>
                </c:pt>
                <c:pt idx="1646">
                  <c:v>126.21000000000002</c:v>
                </c:pt>
                <c:pt idx="1647">
                  <c:v>126.66</c:v>
                </c:pt>
                <c:pt idx="1648">
                  <c:v>126.83</c:v>
                </c:pt>
                <c:pt idx="1649">
                  <c:v>126.71000000000002</c:v>
                </c:pt>
                <c:pt idx="1650">
                  <c:v>127.98</c:v>
                </c:pt>
                <c:pt idx="1651">
                  <c:v>127.85</c:v>
                </c:pt>
                <c:pt idx="1652">
                  <c:v>127.22</c:v>
                </c:pt>
                <c:pt idx="1653">
                  <c:v>128.08000000000001</c:v>
                </c:pt>
                <c:pt idx="1654">
                  <c:v>128.41999999999999</c:v>
                </c:pt>
                <c:pt idx="1655">
                  <c:v>128.19999999999999</c:v>
                </c:pt>
                <c:pt idx="1656">
                  <c:v>127.95</c:v>
                </c:pt>
                <c:pt idx="1657">
                  <c:v>127.41000000000012</c:v>
                </c:pt>
                <c:pt idx="1658">
                  <c:v>126.98</c:v>
                </c:pt>
                <c:pt idx="1659">
                  <c:v>127.36999999999999</c:v>
                </c:pt>
                <c:pt idx="1660">
                  <c:v>127.01</c:v>
                </c:pt>
                <c:pt idx="1661">
                  <c:v>127.11</c:v>
                </c:pt>
                <c:pt idx="1662">
                  <c:v>128.63</c:v>
                </c:pt>
                <c:pt idx="1663">
                  <c:v>129.79</c:v>
                </c:pt>
                <c:pt idx="1664">
                  <c:v>130.03</c:v>
                </c:pt>
                <c:pt idx="1665">
                  <c:v>130.69</c:v>
                </c:pt>
                <c:pt idx="1666">
                  <c:v>130.13</c:v>
                </c:pt>
                <c:pt idx="1667">
                  <c:v>130.12</c:v>
                </c:pt>
                <c:pt idx="1668">
                  <c:v>129.76</c:v>
                </c:pt>
                <c:pt idx="1669">
                  <c:v>129.65</c:v>
                </c:pt>
                <c:pt idx="1670">
                  <c:v>129.81</c:v>
                </c:pt>
                <c:pt idx="1671">
                  <c:v>130.43</c:v>
                </c:pt>
                <c:pt idx="1672">
                  <c:v>130.58000000000001</c:v>
                </c:pt>
                <c:pt idx="1673">
                  <c:v>130.66</c:v>
                </c:pt>
                <c:pt idx="1674">
                  <c:v>130.63999999999999</c:v>
                </c:pt>
                <c:pt idx="1675">
                  <c:v>131.41999999999999</c:v>
                </c:pt>
                <c:pt idx="1676">
                  <c:v>131.66999999999999</c:v>
                </c:pt>
                <c:pt idx="1677">
                  <c:v>130.51</c:v>
                </c:pt>
                <c:pt idx="1678">
                  <c:v>129.91</c:v>
                </c:pt>
                <c:pt idx="1679">
                  <c:v>130.28</c:v>
                </c:pt>
                <c:pt idx="1680">
                  <c:v>130.41</c:v>
                </c:pt>
                <c:pt idx="1681">
                  <c:v>131.69</c:v>
                </c:pt>
                <c:pt idx="1682">
                  <c:v>132.22</c:v>
                </c:pt>
                <c:pt idx="1683">
                  <c:v>132.22999999999999</c:v>
                </c:pt>
                <c:pt idx="1684">
                  <c:v>131.96</c:v>
                </c:pt>
                <c:pt idx="1685">
                  <c:v>132.13999999999999</c:v>
                </c:pt>
                <c:pt idx="1686">
                  <c:v>131.81</c:v>
                </c:pt>
                <c:pt idx="1687">
                  <c:v>132.51</c:v>
                </c:pt>
                <c:pt idx="1688">
                  <c:v>131.87</c:v>
                </c:pt>
                <c:pt idx="1689">
                  <c:v>131.47</c:v>
                </c:pt>
                <c:pt idx="1690">
                  <c:v>132.47999999999999</c:v>
                </c:pt>
                <c:pt idx="1691">
                  <c:v>133.58000000000001</c:v>
                </c:pt>
                <c:pt idx="1692">
                  <c:v>133.73999999999998</c:v>
                </c:pt>
                <c:pt idx="1693">
                  <c:v>133.69</c:v>
                </c:pt>
                <c:pt idx="1694">
                  <c:v>133.58000000000001</c:v>
                </c:pt>
                <c:pt idx="1695">
                  <c:v>133.08000000000001</c:v>
                </c:pt>
                <c:pt idx="1696">
                  <c:v>133.36000000000001</c:v>
                </c:pt>
                <c:pt idx="1697">
                  <c:v>134.91999999999999</c:v>
                </c:pt>
                <c:pt idx="1698">
                  <c:v>135.18</c:v>
                </c:pt>
                <c:pt idx="1699">
                  <c:v>135.01</c:v>
                </c:pt>
                <c:pt idx="1700">
                  <c:v>135.09</c:v>
                </c:pt>
                <c:pt idx="1701">
                  <c:v>135.26999999999998</c:v>
                </c:pt>
                <c:pt idx="1702">
                  <c:v>135.10999999999999</c:v>
                </c:pt>
                <c:pt idx="1703">
                  <c:v>136.28</c:v>
                </c:pt>
                <c:pt idx="1704">
                  <c:v>136.63</c:v>
                </c:pt>
                <c:pt idx="1705">
                  <c:v>136.84</c:v>
                </c:pt>
                <c:pt idx="1706">
                  <c:v>136.41</c:v>
                </c:pt>
                <c:pt idx="1707">
                  <c:v>136.59</c:v>
                </c:pt>
                <c:pt idx="1708">
                  <c:v>136.81</c:v>
                </c:pt>
                <c:pt idx="1709">
                  <c:v>136.84</c:v>
                </c:pt>
                <c:pt idx="1710">
                  <c:v>137.47</c:v>
                </c:pt>
                <c:pt idx="1711">
                  <c:v>137.88000000000065</c:v>
                </c:pt>
                <c:pt idx="1712">
                  <c:v>138.35000000000065</c:v>
                </c:pt>
                <c:pt idx="1713">
                  <c:v>138.78</c:v>
                </c:pt>
                <c:pt idx="1714">
                  <c:v>137.91</c:v>
                </c:pt>
                <c:pt idx="1715">
                  <c:v>137.81</c:v>
                </c:pt>
                <c:pt idx="1716">
                  <c:v>137.79</c:v>
                </c:pt>
                <c:pt idx="1717">
                  <c:v>136.86000000000001</c:v>
                </c:pt>
                <c:pt idx="1718">
                  <c:v>136.78</c:v>
                </c:pt>
                <c:pt idx="1719">
                  <c:v>136.54</c:v>
                </c:pt>
                <c:pt idx="1720">
                  <c:v>138.08000000000001</c:v>
                </c:pt>
                <c:pt idx="1721">
                  <c:v>138.60999999999999</c:v>
                </c:pt>
                <c:pt idx="1722">
                  <c:v>138.91</c:v>
                </c:pt>
                <c:pt idx="1723">
                  <c:v>138.18</c:v>
                </c:pt>
                <c:pt idx="1724">
                  <c:v>138.23999999999998</c:v>
                </c:pt>
                <c:pt idx="1725">
                  <c:v>138.58000000000001</c:v>
                </c:pt>
                <c:pt idx="1726">
                  <c:v>139.62</c:v>
                </c:pt>
                <c:pt idx="1727">
                  <c:v>140.02000000000001</c:v>
                </c:pt>
                <c:pt idx="1728">
                  <c:v>140.38000000000065</c:v>
                </c:pt>
                <c:pt idx="1729">
                  <c:v>140.41999999999999</c:v>
                </c:pt>
                <c:pt idx="1730">
                  <c:v>140.5</c:v>
                </c:pt>
                <c:pt idx="1731">
                  <c:v>140.63999999999999</c:v>
                </c:pt>
                <c:pt idx="1732">
                  <c:v>140.91999999999999</c:v>
                </c:pt>
                <c:pt idx="1733">
                  <c:v>140.35000000000065</c:v>
                </c:pt>
                <c:pt idx="1734">
                  <c:v>138.41999999999999</c:v>
                </c:pt>
                <c:pt idx="1735">
                  <c:v>139.02000000000001</c:v>
                </c:pt>
                <c:pt idx="1736">
                  <c:v>140.47</c:v>
                </c:pt>
                <c:pt idx="1737">
                  <c:v>140.53</c:v>
                </c:pt>
                <c:pt idx="1738">
                  <c:v>140.22</c:v>
                </c:pt>
                <c:pt idx="1739">
                  <c:v>141.29</c:v>
                </c:pt>
                <c:pt idx="1740">
                  <c:v>141.9</c:v>
                </c:pt>
                <c:pt idx="1741">
                  <c:v>141.78</c:v>
                </c:pt>
                <c:pt idx="1742">
                  <c:v>141.16</c:v>
                </c:pt>
                <c:pt idx="1743">
                  <c:v>141.41999999999999</c:v>
                </c:pt>
                <c:pt idx="1744">
                  <c:v>141.83000000000001</c:v>
                </c:pt>
                <c:pt idx="1745">
                  <c:v>141.72</c:v>
                </c:pt>
                <c:pt idx="1746">
                  <c:v>141.87</c:v>
                </c:pt>
                <c:pt idx="1747">
                  <c:v>143.12</c:v>
                </c:pt>
                <c:pt idx="1748">
                  <c:v>142.34</c:v>
                </c:pt>
                <c:pt idx="1749">
                  <c:v>141.94999999999999</c:v>
                </c:pt>
                <c:pt idx="1750">
                  <c:v>142.22</c:v>
                </c:pt>
                <c:pt idx="1751">
                  <c:v>142.13999999999999</c:v>
                </c:pt>
                <c:pt idx="1752">
                  <c:v>141.62</c:v>
                </c:pt>
                <c:pt idx="1753">
                  <c:v>140.75</c:v>
                </c:pt>
                <c:pt idx="1754">
                  <c:v>141.58000000000001</c:v>
                </c:pt>
                <c:pt idx="1755">
                  <c:v>142.51</c:v>
                </c:pt>
                <c:pt idx="1756">
                  <c:v>142.20999999999998</c:v>
                </c:pt>
                <c:pt idx="1757">
                  <c:v>141.62</c:v>
                </c:pt>
                <c:pt idx="1758">
                  <c:v>141.37</c:v>
                </c:pt>
                <c:pt idx="1759">
                  <c:v>141.66999999999999</c:v>
                </c:pt>
                <c:pt idx="1760">
                  <c:v>140.54</c:v>
                </c:pt>
                <c:pt idx="1761">
                  <c:v>141.19</c:v>
                </c:pt>
                <c:pt idx="1762">
                  <c:v>141.07</c:v>
                </c:pt>
                <c:pt idx="1763">
                  <c:v>141.54</c:v>
                </c:pt>
                <c:pt idx="1764">
                  <c:v>142.16</c:v>
                </c:pt>
                <c:pt idx="1765">
                  <c:v>143.23999999999998</c:v>
                </c:pt>
                <c:pt idx="1766">
                  <c:v>142.96</c:v>
                </c:pt>
                <c:pt idx="1767">
                  <c:v>143.02000000000001</c:v>
                </c:pt>
                <c:pt idx="1768">
                  <c:v>142.54</c:v>
                </c:pt>
                <c:pt idx="1769">
                  <c:v>142.82000000000065</c:v>
                </c:pt>
                <c:pt idx="1770">
                  <c:v>142.38000000000065</c:v>
                </c:pt>
                <c:pt idx="1771">
                  <c:v>142.80000000000001</c:v>
                </c:pt>
                <c:pt idx="1772">
                  <c:v>143.94999999999999</c:v>
                </c:pt>
                <c:pt idx="1773">
                  <c:v>142.26</c:v>
                </c:pt>
                <c:pt idx="1774">
                  <c:v>142.16</c:v>
                </c:pt>
                <c:pt idx="1775">
                  <c:v>142.05000000000001</c:v>
                </c:pt>
                <c:pt idx="1776">
                  <c:v>142.79</c:v>
                </c:pt>
                <c:pt idx="1777">
                  <c:v>143.75</c:v>
                </c:pt>
                <c:pt idx="1778">
                  <c:v>144.60999999999999</c:v>
                </c:pt>
                <c:pt idx="1779">
                  <c:v>144.81</c:v>
                </c:pt>
                <c:pt idx="1780">
                  <c:v>144.85000000000065</c:v>
                </c:pt>
                <c:pt idx="1781">
                  <c:v>144.89000000000001</c:v>
                </c:pt>
                <c:pt idx="1782">
                  <c:v>145.20999999999998</c:v>
                </c:pt>
                <c:pt idx="1783">
                  <c:v>145.02000000000001</c:v>
                </c:pt>
                <c:pt idx="1784">
                  <c:v>143.94</c:v>
                </c:pt>
                <c:pt idx="1785">
                  <c:v>143.44999999999999</c:v>
                </c:pt>
                <c:pt idx="1786">
                  <c:v>144.66</c:v>
                </c:pt>
                <c:pt idx="1787">
                  <c:v>145.60999999999999</c:v>
                </c:pt>
                <c:pt idx="1788">
                  <c:v>145.80000000000001</c:v>
                </c:pt>
                <c:pt idx="1789">
                  <c:v>145.72999999999999</c:v>
                </c:pt>
                <c:pt idx="1790">
                  <c:v>146.04</c:v>
                </c:pt>
                <c:pt idx="1791">
                  <c:v>145.97999999999999</c:v>
                </c:pt>
                <c:pt idx="1792">
                  <c:v>145.87</c:v>
                </c:pt>
                <c:pt idx="1793">
                  <c:v>145.30000000000001</c:v>
                </c:pt>
                <c:pt idx="1794">
                  <c:v>145.16999999999999</c:v>
                </c:pt>
                <c:pt idx="1795">
                  <c:v>139.5</c:v>
                </c:pt>
                <c:pt idx="1796">
                  <c:v>140.93</c:v>
                </c:pt>
                <c:pt idx="1797">
                  <c:v>140.51</c:v>
                </c:pt>
                <c:pt idx="1798">
                  <c:v>138.66999999999999</c:v>
                </c:pt>
                <c:pt idx="1799">
                  <c:v>137.35000000000065</c:v>
                </c:pt>
                <c:pt idx="1800">
                  <c:v>139.69999999999999</c:v>
                </c:pt>
                <c:pt idx="1801">
                  <c:v>139.56</c:v>
                </c:pt>
                <c:pt idx="1802">
                  <c:v>140.73999999999998</c:v>
                </c:pt>
                <c:pt idx="1803">
                  <c:v>140.78</c:v>
                </c:pt>
                <c:pt idx="1804">
                  <c:v>140.99</c:v>
                </c:pt>
                <c:pt idx="1805">
                  <c:v>138.25</c:v>
                </c:pt>
                <c:pt idx="1806">
                  <c:v>139.28</c:v>
                </c:pt>
                <c:pt idx="1807">
                  <c:v>139.47</c:v>
                </c:pt>
                <c:pt idx="1808">
                  <c:v>138.53</c:v>
                </c:pt>
                <c:pt idx="1809">
                  <c:v>140.19999999999999</c:v>
                </c:pt>
                <c:pt idx="1810">
                  <c:v>140.97</c:v>
                </c:pt>
                <c:pt idx="1811">
                  <c:v>143.29</c:v>
                </c:pt>
                <c:pt idx="1812">
                  <c:v>143.18</c:v>
                </c:pt>
                <c:pt idx="1813">
                  <c:v>143.39000000000001</c:v>
                </c:pt>
                <c:pt idx="1814">
                  <c:v>143.19999999999999</c:v>
                </c:pt>
                <c:pt idx="1815">
                  <c:v>142.86000000000001</c:v>
                </c:pt>
                <c:pt idx="1816">
                  <c:v>141.82000000000065</c:v>
                </c:pt>
                <c:pt idx="1817">
                  <c:v>141.97</c:v>
                </c:pt>
                <c:pt idx="1818">
                  <c:v>142</c:v>
                </c:pt>
                <c:pt idx="1819">
                  <c:v>142.16</c:v>
                </c:pt>
                <c:pt idx="1820">
                  <c:v>143.69</c:v>
                </c:pt>
                <c:pt idx="1821">
                  <c:v>143.85000000000065</c:v>
                </c:pt>
                <c:pt idx="1822">
                  <c:v>144.23999999999998</c:v>
                </c:pt>
                <c:pt idx="1823">
                  <c:v>144.44</c:v>
                </c:pt>
                <c:pt idx="1824">
                  <c:v>144.60999999999999</c:v>
                </c:pt>
                <c:pt idx="1825">
                  <c:v>144.02000000000001</c:v>
                </c:pt>
                <c:pt idx="1826">
                  <c:v>144.66</c:v>
                </c:pt>
                <c:pt idx="1827">
                  <c:v>145.32000000000065</c:v>
                </c:pt>
                <c:pt idx="1828">
                  <c:v>146.69999999999999</c:v>
                </c:pt>
                <c:pt idx="1829">
                  <c:v>147.09</c:v>
                </c:pt>
                <c:pt idx="1830">
                  <c:v>147.26999999999998</c:v>
                </c:pt>
                <c:pt idx="1831">
                  <c:v>147.22999999999999</c:v>
                </c:pt>
                <c:pt idx="1832">
                  <c:v>148.62</c:v>
                </c:pt>
                <c:pt idx="1833">
                  <c:v>148.06</c:v>
                </c:pt>
                <c:pt idx="1834">
                  <c:v>148.12</c:v>
                </c:pt>
                <c:pt idx="1835">
                  <c:v>149.47999999999999</c:v>
                </c:pt>
                <c:pt idx="1836">
                  <c:v>149.65</c:v>
                </c:pt>
                <c:pt idx="1837">
                  <c:v>149.53</c:v>
                </c:pt>
                <c:pt idx="1838">
                  <c:v>148.29</c:v>
                </c:pt>
                <c:pt idx="1839">
                  <c:v>148.66999999999999</c:v>
                </c:pt>
                <c:pt idx="1840">
                  <c:v>149.54</c:v>
                </c:pt>
                <c:pt idx="1841">
                  <c:v>150.35000000000065</c:v>
                </c:pt>
                <c:pt idx="1842">
                  <c:v>150.91999999999999</c:v>
                </c:pt>
                <c:pt idx="1843">
                  <c:v>150.94999999999999</c:v>
                </c:pt>
                <c:pt idx="1844">
                  <c:v>150.75</c:v>
                </c:pt>
                <c:pt idx="1845">
                  <c:v>151.16</c:v>
                </c:pt>
                <c:pt idx="1846">
                  <c:v>149.58000000000001</c:v>
                </c:pt>
                <c:pt idx="1847">
                  <c:v>150.86000000000001</c:v>
                </c:pt>
                <c:pt idx="1848">
                  <c:v>150.53</c:v>
                </c:pt>
                <c:pt idx="1849">
                  <c:v>150.57</c:v>
                </c:pt>
                <c:pt idx="1850">
                  <c:v>151.6</c:v>
                </c:pt>
                <c:pt idx="1851">
                  <c:v>151.30000000000001</c:v>
                </c:pt>
                <c:pt idx="1852">
                  <c:v>152.62</c:v>
                </c:pt>
                <c:pt idx="1853">
                  <c:v>152.54</c:v>
                </c:pt>
                <c:pt idx="1854">
                  <c:v>152.41999999999999</c:v>
                </c:pt>
                <c:pt idx="1855">
                  <c:v>152.44</c:v>
                </c:pt>
                <c:pt idx="1856">
                  <c:v>151.06</c:v>
                </c:pt>
                <c:pt idx="1857">
                  <c:v>151.69</c:v>
                </c:pt>
                <c:pt idx="1858">
                  <c:v>152.23999999999998</c:v>
                </c:pt>
                <c:pt idx="1859">
                  <c:v>153.47999999999999</c:v>
                </c:pt>
                <c:pt idx="1860">
                  <c:v>153.32000000000065</c:v>
                </c:pt>
                <c:pt idx="1861">
                  <c:v>154.08000000000001</c:v>
                </c:pt>
                <c:pt idx="1862">
                  <c:v>154.1</c:v>
                </c:pt>
                <c:pt idx="1863">
                  <c:v>153.49</c:v>
                </c:pt>
                <c:pt idx="1864">
                  <c:v>151.84</c:v>
                </c:pt>
                <c:pt idx="1865">
                  <c:v>149.1</c:v>
                </c:pt>
                <c:pt idx="1866">
                  <c:v>151.04</c:v>
                </c:pt>
                <c:pt idx="1867">
                  <c:v>151.30000000000001</c:v>
                </c:pt>
                <c:pt idx="1868">
                  <c:v>149.65</c:v>
                </c:pt>
                <c:pt idx="1869">
                  <c:v>151.89000000000001</c:v>
                </c:pt>
                <c:pt idx="1870">
                  <c:v>152.86000000000001</c:v>
                </c:pt>
                <c:pt idx="1871">
                  <c:v>153.07</c:v>
                </c:pt>
                <c:pt idx="1872">
                  <c:v>152.89000000000001</c:v>
                </c:pt>
                <c:pt idx="1873">
                  <c:v>153.26999999999998</c:v>
                </c:pt>
                <c:pt idx="1874">
                  <c:v>151.13999999999999</c:v>
                </c:pt>
                <c:pt idx="1875">
                  <c:v>151.97999999999999</c:v>
                </c:pt>
                <c:pt idx="1876">
                  <c:v>150.55000000000001</c:v>
                </c:pt>
                <c:pt idx="1877">
                  <c:v>149.83000000000001</c:v>
                </c:pt>
                <c:pt idx="1878">
                  <c:v>148.29</c:v>
                </c:pt>
                <c:pt idx="1879">
                  <c:v>150.4</c:v>
                </c:pt>
                <c:pt idx="1880">
                  <c:v>150.38000000000065</c:v>
                </c:pt>
                <c:pt idx="1881">
                  <c:v>150.43</c:v>
                </c:pt>
                <c:pt idx="1882">
                  <c:v>151.79</c:v>
                </c:pt>
                <c:pt idx="1883">
                  <c:v>152.34</c:v>
                </c:pt>
                <c:pt idx="1884">
                  <c:v>152.18</c:v>
                </c:pt>
                <c:pt idx="1885">
                  <c:v>152.97999999999999</c:v>
                </c:pt>
                <c:pt idx="1886">
                  <c:v>153</c:v>
                </c:pt>
                <c:pt idx="1887">
                  <c:v>150.91999999999999</c:v>
                </c:pt>
                <c:pt idx="1888">
                  <c:v>151.99</c:v>
                </c:pt>
                <c:pt idx="1889">
                  <c:v>154.39000000000001</c:v>
                </c:pt>
                <c:pt idx="1890">
                  <c:v>154.85000000000065</c:v>
                </c:pt>
                <c:pt idx="1891">
                  <c:v>154.83000000000001</c:v>
                </c:pt>
                <c:pt idx="1892">
                  <c:v>154.75</c:v>
                </c:pt>
                <c:pt idx="1893">
                  <c:v>154.47</c:v>
                </c:pt>
                <c:pt idx="1894">
                  <c:v>155.07</c:v>
                </c:pt>
                <c:pt idx="1895">
                  <c:v>153.5</c:v>
                </c:pt>
                <c:pt idx="1896">
                  <c:v>153.97</c:v>
                </c:pt>
                <c:pt idx="1897">
                  <c:v>151.30000000000001</c:v>
                </c:pt>
                <c:pt idx="1898">
                  <c:v>151.60999999999999</c:v>
                </c:pt>
                <c:pt idx="1899">
                  <c:v>148.02000000000001</c:v>
                </c:pt>
                <c:pt idx="1900">
                  <c:v>145.10999999999999</c:v>
                </c:pt>
                <c:pt idx="1901">
                  <c:v>147.38000000000065</c:v>
                </c:pt>
                <c:pt idx="1902">
                  <c:v>145.72</c:v>
                </c:pt>
                <c:pt idx="1903">
                  <c:v>146.43</c:v>
                </c:pt>
                <c:pt idx="1904">
                  <c:v>147.6</c:v>
                </c:pt>
                <c:pt idx="1905">
                  <c:v>143.80000000000001</c:v>
                </c:pt>
                <c:pt idx="1906">
                  <c:v>146.20999999999998</c:v>
                </c:pt>
                <c:pt idx="1907">
                  <c:v>147.76999999999998</c:v>
                </c:pt>
                <c:pt idx="1908">
                  <c:v>149.83000000000001</c:v>
                </c:pt>
                <c:pt idx="1909">
                  <c:v>145.39000000000001</c:v>
                </c:pt>
                <c:pt idx="1910">
                  <c:v>144.70999999999998</c:v>
                </c:pt>
                <c:pt idx="1911">
                  <c:v>145.22999999999999</c:v>
                </c:pt>
                <c:pt idx="1912">
                  <c:v>143.01</c:v>
                </c:pt>
                <c:pt idx="1913">
                  <c:v>141.04</c:v>
                </c:pt>
                <c:pt idx="1914">
                  <c:v>142.1</c:v>
                </c:pt>
                <c:pt idx="1915">
                  <c:v>144.70999999999998</c:v>
                </c:pt>
                <c:pt idx="1916">
                  <c:v>144.63999999999999</c:v>
                </c:pt>
                <c:pt idx="1917">
                  <c:v>144.93</c:v>
                </c:pt>
                <c:pt idx="1918">
                  <c:v>146.65</c:v>
                </c:pt>
                <c:pt idx="1919">
                  <c:v>146.52000000000001</c:v>
                </c:pt>
                <c:pt idx="1920">
                  <c:v>148.33000000000001</c:v>
                </c:pt>
                <c:pt idx="1921">
                  <c:v>146.94999999999999</c:v>
                </c:pt>
                <c:pt idx="1922">
                  <c:v>143.72</c:v>
                </c:pt>
                <c:pt idx="1923">
                  <c:v>146.54</c:v>
                </c:pt>
                <c:pt idx="1924">
                  <c:v>146.15</c:v>
                </c:pt>
                <c:pt idx="1925">
                  <c:v>147.59</c:v>
                </c:pt>
                <c:pt idx="1926">
                  <c:v>149.08000000000001</c:v>
                </c:pt>
                <c:pt idx="1927">
                  <c:v>147.79</c:v>
                </c:pt>
                <c:pt idx="1928">
                  <c:v>148.13</c:v>
                </c:pt>
                <c:pt idx="1929">
                  <c:v>146.07</c:v>
                </c:pt>
                <c:pt idx="1930">
                  <c:v>145.79</c:v>
                </c:pt>
                <c:pt idx="1931">
                  <c:v>147.49</c:v>
                </c:pt>
                <c:pt idx="1932">
                  <c:v>147.87</c:v>
                </c:pt>
                <c:pt idx="1933">
                  <c:v>148.91</c:v>
                </c:pt>
                <c:pt idx="1934">
                  <c:v>148.9</c:v>
                </c:pt>
                <c:pt idx="1935">
                  <c:v>148.1</c:v>
                </c:pt>
                <c:pt idx="1936">
                  <c:v>152.46</c:v>
                </c:pt>
                <c:pt idx="1937">
                  <c:v>153.36000000000001</c:v>
                </c:pt>
                <c:pt idx="1938">
                  <c:v>152.28</c:v>
                </c:pt>
                <c:pt idx="1939">
                  <c:v>151.97</c:v>
                </c:pt>
                <c:pt idx="1940">
                  <c:v>151.69</c:v>
                </c:pt>
                <c:pt idx="1941">
                  <c:v>151.39000000000001</c:v>
                </c:pt>
                <c:pt idx="1942">
                  <c:v>152.19</c:v>
                </c:pt>
                <c:pt idx="1943">
                  <c:v>153.09</c:v>
                </c:pt>
                <c:pt idx="1944">
                  <c:v>152.58000000000001</c:v>
                </c:pt>
                <c:pt idx="1945">
                  <c:v>154.30000000000001</c:v>
                </c:pt>
                <c:pt idx="1946">
                  <c:v>154.09</c:v>
                </c:pt>
                <c:pt idx="1947">
                  <c:v>153.78</c:v>
                </c:pt>
                <c:pt idx="1948">
                  <c:v>154.02000000000001</c:v>
                </c:pt>
                <c:pt idx="1949">
                  <c:v>155.85000000000065</c:v>
                </c:pt>
                <c:pt idx="1950">
                  <c:v>155.02000000000001</c:v>
                </c:pt>
                <c:pt idx="1951">
                  <c:v>156.47999999999999</c:v>
                </c:pt>
                <c:pt idx="1952">
                  <c:v>156.22</c:v>
                </c:pt>
                <c:pt idx="1953">
                  <c:v>155.47</c:v>
                </c:pt>
                <c:pt idx="1954">
                  <c:v>156.33000000000001</c:v>
                </c:pt>
                <c:pt idx="1955">
                  <c:v>155.01</c:v>
                </c:pt>
                <c:pt idx="1956">
                  <c:v>153.78</c:v>
                </c:pt>
                <c:pt idx="1957">
                  <c:v>154.25</c:v>
                </c:pt>
                <c:pt idx="1958">
                  <c:v>153.69</c:v>
                </c:pt>
                <c:pt idx="1959">
                  <c:v>149.66999999999999</c:v>
                </c:pt>
                <c:pt idx="1960">
                  <c:v>150.54</c:v>
                </c:pt>
                <c:pt idx="1961">
                  <c:v>151.76</c:v>
                </c:pt>
                <c:pt idx="1962">
                  <c:v>151.47999999999999</c:v>
                </c:pt>
                <c:pt idx="1963">
                  <c:v>151.84</c:v>
                </c:pt>
                <c:pt idx="1964">
                  <c:v>153.62</c:v>
                </c:pt>
                <c:pt idx="1965">
                  <c:v>154.13</c:v>
                </c:pt>
                <c:pt idx="1966">
                  <c:v>153.06</c:v>
                </c:pt>
                <c:pt idx="1967">
                  <c:v>154.65</c:v>
                </c:pt>
                <c:pt idx="1968">
                  <c:v>151.03</c:v>
                </c:pt>
                <c:pt idx="1969">
                  <c:v>151.19999999999999</c:v>
                </c:pt>
                <c:pt idx="1970">
                  <c:v>150.05000000000001</c:v>
                </c:pt>
                <c:pt idx="1971">
                  <c:v>152.07</c:v>
                </c:pt>
                <c:pt idx="1972">
                  <c:v>147.91</c:v>
                </c:pt>
                <c:pt idx="1973">
                  <c:v>147.16</c:v>
                </c:pt>
                <c:pt idx="1974">
                  <c:v>145.13999999999999</c:v>
                </c:pt>
                <c:pt idx="1975">
                  <c:v>143.69999999999999</c:v>
                </c:pt>
                <c:pt idx="1976">
                  <c:v>148.08000000000001</c:v>
                </c:pt>
                <c:pt idx="1977">
                  <c:v>147.66999999999999</c:v>
                </c:pt>
                <c:pt idx="1978">
                  <c:v>145.54</c:v>
                </c:pt>
                <c:pt idx="1979">
                  <c:v>145.79</c:v>
                </c:pt>
                <c:pt idx="1980">
                  <c:v>143.76</c:v>
                </c:pt>
                <c:pt idx="1981">
                  <c:v>144.63999999999999</c:v>
                </c:pt>
                <c:pt idx="1982">
                  <c:v>141.68</c:v>
                </c:pt>
                <c:pt idx="1983">
                  <c:v>144.13</c:v>
                </c:pt>
                <c:pt idx="1984">
                  <c:v>140.94999999999999</c:v>
                </c:pt>
                <c:pt idx="1985">
                  <c:v>142.57</c:v>
                </c:pt>
                <c:pt idx="1986">
                  <c:v>147.13</c:v>
                </c:pt>
                <c:pt idx="1987">
                  <c:v>147.18</c:v>
                </c:pt>
                <c:pt idx="1988">
                  <c:v>148.66</c:v>
                </c:pt>
                <c:pt idx="1989">
                  <c:v>147.68</c:v>
                </c:pt>
                <c:pt idx="1990">
                  <c:v>146.36000000000001</c:v>
                </c:pt>
                <c:pt idx="1991">
                  <c:v>148.81</c:v>
                </c:pt>
                <c:pt idx="1992">
                  <c:v>150.94</c:v>
                </c:pt>
                <c:pt idx="1993">
                  <c:v>150.91</c:v>
                </c:pt>
                <c:pt idx="1994">
                  <c:v>152.08000000000001</c:v>
                </c:pt>
                <c:pt idx="1995">
                  <c:v>147.91</c:v>
                </c:pt>
                <c:pt idx="1996">
                  <c:v>149.37</c:v>
                </c:pt>
                <c:pt idx="1997">
                  <c:v>149.06</c:v>
                </c:pt>
                <c:pt idx="1998">
                  <c:v>147.16999999999999</c:v>
                </c:pt>
                <c:pt idx="1999">
                  <c:v>145.07</c:v>
                </c:pt>
                <c:pt idx="2000">
                  <c:v>145.88000000000065</c:v>
                </c:pt>
                <c:pt idx="2001">
                  <c:v>145.88000000000065</c:v>
                </c:pt>
                <c:pt idx="2002">
                  <c:v>146.80000000000001</c:v>
                </c:pt>
                <c:pt idx="2003">
                  <c:v>148.13</c:v>
                </c:pt>
                <c:pt idx="2004">
                  <c:v>149.22999999999999</c:v>
                </c:pt>
                <c:pt idx="2005">
                  <c:v>149.55000000000001</c:v>
                </c:pt>
                <c:pt idx="2006">
                  <c:v>147.66999999999999</c:v>
                </c:pt>
                <c:pt idx="2007">
                  <c:v>147.30000000000001</c:v>
                </c:pt>
                <c:pt idx="2008">
                  <c:v>146.20999999999998</c:v>
                </c:pt>
                <c:pt idx="2009">
                  <c:v>144.93</c:v>
                </c:pt>
                <c:pt idx="2010">
                  <c:v>144.86000000000001</c:v>
                </c:pt>
                <c:pt idx="2011">
                  <c:v>141.31</c:v>
                </c:pt>
                <c:pt idx="2012">
                  <c:v>141.19</c:v>
                </c:pt>
                <c:pt idx="2013">
                  <c:v>138.91</c:v>
                </c:pt>
                <c:pt idx="2014">
                  <c:v>140.37</c:v>
                </c:pt>
                <c:pt idx="2015">
                  <c:v>141.29</c:v>
                </c:pt>
                <c:pt idx="2016">
                  <c:v>140.15</c:v>
                </c:pt>
                <c:pt idx="2017">
                  <c:v>141.28</c:v>
                </c:pt>
                <c:pt idx="2018">
                  <c:v>138.16999999999999</c:v>
                </c:pt>
                <c:pt idx="2019">
                  <c:v>136.97999999999999</c:v>
                </c:pt>
                <c:pt idx="2020">
                  <c:v>133.43</c:v>
                </c:pt>
                <c:pt idx="2021">
                  <c:v>132.06</c:v>
                </c:pt>
                <c:pt idx="2022">
                  <c:v>130.72</c:v>
                </c:pt>
                <c:pt idx="2023">
                  <c:v>133.86000000000001</c:v>
                </c:pt>
                <c:pt idx="2024">
                  <c:v>134.99</c:v>
                </c:pt>
                <c:pt idx="2025">
                  <c:v>133.04</c:v>
                </c:pt>
                <c:pt idx="2026">
                  <c:v>135.23999999999998</c:v>
                </c:pt>
                <c:pt idx="2027">
                  <c:v>135.91</c:v>
                </c:pt>
                <c:pt idx="2028">
                  <c:v>134.91</c:v>
                </c:pt>
                <c:pt idx="2029">
                  <c:v>137.37</c:v>
                </c:pt>
                <c:pt idx="2030">
                  <c:v>139.58000000000001</c:v>
                </c:pt>
                <c:pt idx="2031">
                  <c:v>137.82000000000065</c:v>
                </c:pt>
                <c:pt idx="2032">
                  <c:v>134.13</c:v>
                </c:pt>
                <c:pt idx="2033">
                  <c:v>133.05000000000001</c:v>
                </c:pt>
                <c:pt idx="2034">
                  <c:v>133.93</c:v>
                </c:pt>
                <c:pt idx="2035">
                  <c:v>133.07</c:v>
                </c:pt>
                <c:pt idx="2036">
                  <c:v>133.75</c:v>
                </c:pt>
                <c:pt idx="2037">
                  <c:v>134.99</c:v>
                </c:pt>
                <c:pt idx="2038">
                  <c:v>136.37</c:v>
                </c:pt>
                <c:pt idx="2039">
                  <c:v>135.16999999999999</c:v>
                </c:pt>
                <c:pt idx="2040">
                  <c:v>135.13999999999999</c:v>
                </c:pt>
                <c:pt idx="2041">
                  <c:v>135.52000000000001</c:v>
                </c:pt>
                <c:pt idx="2042">
                  <c:v>135.91999999999999</c:v>
                </c:pt>
                <c:pt idx="2043">
                  <c:v>134.79</c:v>
                </c:pt>
                <c:pt idx="2044">
                  <c:v>135.62</c:v>
                </c:pt>
                <c:pt idx="2045">
                  <c:v>137.33000000000001</c:v>
                </c:pt>
                <c:pt idx="2046">
                  <c:v>138.36000000000001</c:v>
                </c:pt>
                <c:pt idx="2047">
                  <c:v>138.22</c:v>
                </c:pt>
                <c:pt idx="2048">
                  <c:v>136.87</c:v>
                </c:pt>
                <c:pt idx="2049">
                  <c:v>133.82000000000065</c:v>
                </c:pt>
                <c:pt idx="2050">
                  <c:v>133.5</c:v>
                </c:pt>
                <c:pt idx="2051">
                  <c:v>132.99</c:v>
                </c:pt>
                <c:pt idx="2052">
                  <c:v>133.83000000000001</c:v>
                </c:pt>
                <c:pt idx="2053">
                  <c:v>131.06</c:v>
                </c:pt>
                <c:pt idx="2054">
                  <c:v>129.70999999999998</c:v>
                </c:pt>
                <c:pt idx="2055">
                  <c:v>128</c:v>
                </c:pt>
                <c:pt idx="2056">
                  <c:v>132.6</c:v>
                </c:pt>
                <c:pt idx="2057">
                  <c:v>131.36000000000001</c:v>
                </c:pt>
                <c:pt idx="2058">
                  <c:v>131.65</c:v>
                </c:pt>
                <c:pt idx="2059">
                  <c:v>129.60999999999999</c:v>
                </c:pt>
                <c:pt idx="2060">
                  <c:v>128.30000000000001</c:v>
                </c:pt>
                <c:pt idx="2061">
                  <c:v>133.63</c:v>
                </c:pt>
                <c:pt idx="2062">
                  <c:v>130.32000000000065</c:v>
                </c:pt>
                <c:pt idx="2063">
                  <c:v>132.08000000000001</c:v>
                </c:pt>
                <c:pt idx="2064">
                  <c:v>134.72</c:v>
                </c:pt>
                <c:pt idx="2065">
                  <c:v>134.85000000000065</c:v>
                </c:pt>
                <c:pt idx="2066">
                  <c:v>133.19999999999999</c:v>
                </c:pt>
                <c:pt idx="2067">
                  <c:v>132.78</c:v>
                </c:pt>
                <c:pt idx="2068">
                  <c:v>131.51</c:v>
                </c:pt>
                <c:pt idx="2069">
                  <c:v>131.97</c:v>
                </c:pt>
                <c:pt idx="2070">
                  <c:v>136.60999999999999</c:v>
                </c:pt>
                <c:pt idx="2071">
                  <c:v>136.69999999999999</c:v>
                </c:pt>
                <c:pt idx="2072">
                  <c:v>137.04</c:v>
                </c:pt>
                <c:pt idx="2073">
                  <c:v>136.89000000000001</c:v>
                </c:pt>
                <c:pt idx="2074">
                  <c:v>136.96</c:v>
                </c:pt>
                <c:pt idx="2075">
                  <c:v>136.82000000000065</c:v>
                </c:pt>
                <c:pt idx="2076">
                  <c:v>135.83000000000001</c:v>
                </c:pt>
                <c:pt idx="2077">
                  <c:v>136.02000000000001</c:v>
                </c:pt>
                <c:pt idx="2078">
                  <c:v>133.38000000000065</c:v>
                </c:pt>
                <c:pt idx="2079">
                  <c:v>132.93</c:v>
                </c:pt>
                <c:pt idx="2080">
                  <c:v>133.23999999999998</c:v>
                </c:pt>
                <c:pt idx="2081">
                  <c:v>136.85000000000065</c:v>
                </c:pt>
                <c:pt idx="2082">
                  <c:v>137.05000000000001</c:v>
                </c:pt>
                <c:pt idx="2083">
                  <c:v>138.47999999999999</c:v>
                </c:pt>
                <c:pt idx="2084">
                  <c:v>138.55000000000001</c:v>
                </c:pt>
                <c:pt idx="2085">
                  <c:v>137.94</c:v>
                </c:pt>
                <c:pt idx="2086">
                  <c:v>137.72</c:v>
                </c:pt>
                <c:pt idx="2087">
                  <c:v>138.32000000000065</c:v>
                </c:pt>
                <c:pt idx="2088">
                  <c:v>139.6</c:v>
                </c:pt>
                <c:pt idx="2089">
                  <c:v>139.63</c:v>
                </c:pt>
                <c:pt idx="2090">
                  <c:v>139.08000000000001</c:v>
                </c:pt>
                <c:pt idx="2091">
                  <c:v>138.26</c:v>
                </c:pt>
                <c:pt idx="2092">
                  <c:v>141.12</c:v>
                </c:pt>
                <c:pt idx="2093">
                  <c:v>141.51</c:v>
                </c:pt>
                <c:pt idx="2094">
                  <c:v>140.83000000000001</c:v>
                </c:pt>
                <c:pt idx="2095">
                  <c:v>142.05000000000001</c:v>
                </c:pt>
                <c:pt idx="2096">
                  <c:v>139.52000000000001</c:v>
                </c:pt>
                <c:pt idx="2097">
                  <c:v>139.16</c:v>
                </c:pt>
                <c:pt idx="2098">
                  <c:v>138.9</c:v>
                </c:pt>
                <c:pt idx="2099">
                  <c:v>140.46</c:v>
                </c:pt>
                <c:pt idx="2100">
                  <c:v>140.47999999999999</c:v>
                </c:pt>
                <c:pt idx="2101">
                  <c:v>140.76999999999998</c:v>
                </c:pt>
                <c:pt idx="2102">
                  <c:v>142.53</c:v>
                </c:pt>
                <c:pt idx="2103">
                  <c:v>142.66</c:v>
                </c:pt>
                <c:pt idx="2104">
                  <c:v>143.05000000000001</c:v>
                </c:pt>
                <c:pt idx="2105">
                  <c:v>141.89000000000001</c:v>
                </c:pt>
                <c:pt idx="2106">
                  <c:v>139.49</c:v>
                </c:pt>
                <c:pt idx="2107">
                  <c:v>139.51</c:v>
                </c:pt>
                <c:pt idx="2108">
                  <c:v>137.63999999999999</c:v>
                </c:pt>
                <c:pt idx="2109">
                  <c:v>138.66</c:v>
                </c:pt>
                <c:pt idx="2110">
                  <c:v>139.30000000000001</c:v>
                </c:pt>
                <c:pt idx="2111">
                  <c:v>140</c:v>
                </c:pt>
                <c:pt idx="2112">
                  <c:v>140.35000000000065</c:v>
                </c:pt>
                <c:pt idx="2113">
                  <c:v>138.9</c:v>
                </c:pt>
                <c:pt idx="2114">
                  <c:v>138.09</c:v>
                </c:pt>
                <c:pt idx="2115">
                  <c:v>138.02000000000001</c:v>
                </c:pt>
                <c:pt idx="2116">
                  <c:v>140.78</c:v>
                </c:pt>
                <c:pt idx="2117">
                  <c:v>136.29</c:v>
                </c:pt>
                <c:pt idx="2118">
                  <c:v>136.62</c:v>
                </c:pt>
                <c:pt idx="2119">
                  <c:v>135.94</c:v>
                </c:pt>
                <c:pt idx="2120">
                  <c:v>133.94</c:v>
                </c:pt>
                <c:pt idx="2121">
                  <c:v>134.44999999999999</c:v>
                </c:pt>
                <c:pt idx="2122">
                  <c:v>136.15</c:v>
                </c:pt>
                <c:pt idx="2123">
                  <c:v>136.22999999999999</c:v>
                </c:pt>
                <c:pt idx="2124">
                  <c:v>135.57</c:v>
                </c:pt>
                <c:pt idx="2125">
                  <c:v>134.25</c:v>
                </c:pt>
                <c:pt idx="2126">
                  <c:v>134.41999999999999</c:v>
                </c:pt>
                <c:pt idx="2127">
                  <c:v>131.58000000000001</c:v>
                </c:pt>
                <c:pt idx="2128">
                  <c:v>131.44999999999999</c:v>
                </c:pt>
                <c:pt idx="2129">
                  <c:v>131.19</c:v>
                </c:pt>
                <c:pt idx="2130">
                  <c:v>131.81</c:v>
                </c:pt>
                <c:pt idx="2131">
                  <c:v>128.22999999999999</c:v>
                </c:pt>
                <c:pt idx="2132">
                  <c:v>127.53</c:v>
                </c:pt>
                <c:pt idx="2133">
                  <c:v>127.98</c:v>
                </c:pt>
                <c:pt idx="2134">
                  <c:v>128.38000000000065</c:v>
                </c:pt>
                <c:pt idx="2135">
                  <c:v>126.17999999999998</c:v>
                </c:pt>
                <c:pt idx="2136">
                  <c:v>126.31</c:v>
                </c:pt>
                <c:pt idx="2137">
                  <c:v>125.02</c:v>
                </c:pt>
                <c:pt idx="2138">
                  <c:v>127.24000000000002</c:v>
                </c:pt>
                <c:pt idx="2139">
                  <c:v>124.79</c:v>
                </c:pt>
                <c:pt idx="2140">
                  <c:v>125.3</c:v>
                </c:pt>
                <c:pt idx="2141">
                  <c:v>123.84</c:v>
                </c:pt>
                <c:pt idx="2142">
                  <c:v>122.72</c:v>
                </c:pt>
                <c:pt idx="2143">
                  <c:v>120.99000000000002</c:v>
                </c:pt>
                <c:pt idx="2144">
                  <c:v>123.96000000000002</c:v>
                </c:pt>
                <c:pt idx="2145">
                  <c:v>125.2</c:v>
                </c:pt>
                <c:pt idx="2146">
                  <c:v>125.98</c:v>
                </c:pt>
                <c:pt idx="2147">
                  <c:v>126.05</c:v>
                </c:pt>
                <c:pt idx="2148">
                  <c:v>127.48</c:v>
                </c:pt>
                <c:pt idx="2149">
                  <c:v>128.16999999999999</c:v>
                </c:pt>
                <c:pt idx="2150">
                  <c:v>125.51</c:v>
                </c:pt>
                <c:pt idx="2151">
                  <c:v>125.48</c:v>
                </c:pt>
                <c:pt idx="2152">
                  <c:v>123.64</c:v>
                </c:pt>
                <c:pt idx="2153">
                  <c:v>126.28</c:v>
                </c:pt>
                <c:pt idx="2154">
                  <c:v>128.53</c:v>
                </c:pt>
                <c:pt idx="2155">
                  <c:v>126.83</c:v>
                </c:pt>
                <c:pt idx="2156">
                  <c:v>126.16</c:v>
                </c:pt>
                <c:pt idx="2157">
                  <c:v>124.99000000000002</c:v>
                </c:pt>
                <c:pt idx="2158">
                  <c:v>128.36000000000001</c:v>
                </c:pt>
                <c:pt idx="2159">
                  <c:v>128.93</c:v>
                </c:pt>
                <c:pt idx="2160">
                  <c:v>127.01</c:v>
                </c:pt>
                <c:pt idx="2161">
                  <c:v>129.37</c:v>
                </c:pt>
                <c:pt idx="2162">
                  <c:v>130.70999999999998</c:v>
                </c:pt>
                <c:pt idx="2163">
                  <c:v>129.35000000000065</c:v>
                </c:pt>
                <c:pt idx="2164">
                  <c:v>128.57</c:v>
                </c:pt>
                <c:pt idx="2165">
                  <c:v>129.54</c:v>
                </c:pt>
                <c:pt idx="2166">
                  <c:v>130.16999999999999</c:v>
                </c:pt>
                <c:pt idx="2167">
                  <c:v>128.39000000000001</c:v>
                </c:pt>
                <c:pt idx="2168">
                  <c:v>126.99000000000002</c:v>
                </c:pt>
                <c:pt idx="2169">
                  <c:v>127.58</c:v>
                </c:pt>
                <c:pt idx="2170">
                  <c:v>127.8</c:v>
                </c:pt>
                <c:pt idx="2171">
                  <c:v>129.65</c:v>
                </c:pt>
                <c:pt idx="2172">
                  <c:v>127.02</c:v>
                </c:pt>
                <c:pt idx="2173">
                  <c:v>127.39</c:v>
                </c:pt>
                <c:pt idx="2174">
                  <c:v>128.63</c:v>
                </c:pt>
                <c:pt idx="2175">
                  <c:v>130.19</c:v>
                </c:pt>
                <c:pt idx="2176">
                  <c:v>128.79</c:v>
                </c:pt>
                <c:pt idx="2177">
                  <c:v>127.99000000000002</c:v>
                </c:pt>
                <c:pt idx="2178">
                  <c:v>127.88</c:v>
                </c:pt>
                <c:pt idx="2179">
                  <c:v>124.03</c:v>
                </c:pt>
                <c:pt idx="2180">
                  <c:v>124.42</c:v>
                </c:pt>
                <c:pt idx="2181">
                  <c:v>126.99000000000002</c:v>
                </c:pt>
                <c:pt idx="2182">
                  <c:v>123.22</c:v>
                </c:pt>
                <c:pt idx="2183">
                  <c:v>123.72</c:v>
                </c:pt>
                <c:pt idx="2184">
                  <c:v>125.51</c:v>
                </c:pt>
                <c:pt idx="2185">
                  <c:v>126.09</c:v>
                </c:pt>
                <c:pt idx="2186">
                  <c:v>120.09</c:v>
                </c:pt>
                <c:pt idx="2187">
                  <c:v>122.1</c:v>
                </c:pt>
                <c:pt idx="2188">
                  <c:v>116.61</c:v>
                </c:pt>
                <c:pt idx="2189">
                  <c:v>120.07</c:v>
                </c:pt>
                <c:pt idx="2190">
                  <c:v>124.11999999999999</c:v>
                </c:pt>
                <c:pt idx="2191">
                  <c:v>121.31</c:v>
                </c:pt>
                <c:pt idx="2192">
                  <c:v>118.55</c:v>
                </c:pt>
                <c:pt idx="2193">
                  <c:v>118.93</c:v>
                </c:pt>
                <c:pt idx="2194">
                  <c:v>120.79</c:v>
                </c:pt>
                <c:pt idx="2195">
                  <c:v>120.85</c:v>
                </c:pt>
                <c:pt idx="2196">
                  <c:v>111.38</c:v>
                </c:pt>
                <c:pt idx="2197">
                  <c:v>115.99000000000002</c:v>
                </c:pt>
                <c:pt idx="2198">
                  <c:v>116.06</c:v>
                </c:pt>
                <c:pt idx="2199">
                  <c:v>111.85</c:v>
                </c:pt>
                <c:pt idx="2200">
                  <c:v>110.34</c:v>
                </c:pt>
                <c:pt idx="2201">
                  <c:v>104.72</c:v>
                </c:pt>
                <c:pt idx="2202">
                  <c:v>100.03</c:v>
                </c:pt>
                <c:pt idx="2203">
                  <c:v>97.51</c:v>
                </c:pt>
                <c:pt idx="2204">
                  <c:v>90.7</c:v>
                </c:pt>
                <c:pt idx="2205">
                  <c:v>88.5</c:v>
                </c:pt>
                <c:pt idx="2206">
                  <c:v>101.35</c:v>
                </c:pt>
                <c:pt idx="2207">
                  <c:v>99.85</c:v>
                </c:pt>
                <c:pt idx="2208">
                  <c:v>90.02</c:v>
                </c:pt>
                <c:pt idx="2209">
                  <c:v>93.77</c:v>
                </c:pt>
                <c:pt idx="2210">
                  <c:v>93.210000000000022</c:v>
                </c:pt>
                <c:pt idx="2211">
                  <c:v>98.81</c:v>
                </c:pt>
                <c:pt idx="2212">
                  <c:v>95.86</c:v>
                </c:pt>
                <c:pt idx="2213">
                  <c:v>90.64</c:v>
                </c:pt>
                <c:pt idx="2214">
                  <c:v>91.69</c:v>
                </c:pt>
                <c:pt idx="2215">
                  <c:v>87.04</c:v>
                </c:pt>
                <c:pt idx="2216">
                  <c:v>83.95</c:v>
                </c:pt>
                <c:pt idx="2217">
                  <c:v>93.76</c:v>
                </c:pt>
                <c:pt idx="2218">
                  <c:v>93.08</c:v>
                </c:pt>
                <c:pt idx="2219">
                  <c:v>96.3</c:v>
                </c:pt>
                <c:pt idx="2220">
                  <c:v>96.83</c:v>
                </c:pt>
                <c:pt idx="2221">
                  <c:v>97.11</c:v>
                </c:pt>
                <c:pt idx="2222">
                  <c:v>100.41000000000012</c:v>
                </c:pt>
                <c:pt idx="2223">
                  <c:v>96.19</c:v>
                </c:pt>
                <c:pt idx="2224">
                  <c:v>90.86</c:v>
                </c:pt>
                <c:pt idx="2225">
                  <c:v>93.86</c:v>
                </c:pt>
                <c:pt idx="2226">
                  <c:v>92.63</c:v>
                </c:pt>
                <c:pt idx="2227">
                  <c:v>89.77</c:v>
                </c:pt>
                <c:pt idx="2228">
                  <c:v>85.82</c:v>
                </c:pt>
                <c:pt idx="2229">
                  <c:v>91.169999999999987</c:v>
                </c:pt>
                <c:pt idx="2230">
                  <c:v>86.61999999999999</c:v>
                </c:pt>
                <c:pt idx="2231">
                  <c:v>85.47</c:v>
                </c:pt>
                <c:pt idx="2232">
                  <c:v>87.08</c:v>
                </c:pt>
                <c:pt idx="2233">
                  <c:v>81.5</c:v>
                </c:pt>
                <c:pt idx="2234">
                  <c:v>75.45</c:v>
                </c:pt>
                <c:pt idx="2235">
                  <c:v>79.52</c:v>
                </c:pt>
                <c:pt idx="2236">
                  <c:v>85.03</c:v>
                </c:pt>
                <c:pt idx="2237">
                  <c:v>85.66</c:v>
                </c:pt>
                <c:pt idx="2238">
                  <c:v>88.97</c:v>
                </c:pt>
                <c:pt idx="2239">
                  <c:v>90.09</c:v>
                </c:pt>
                <c:pt idx="2240">
                  <c:v>82.11</c:v>
                </c:pt>
                <c:pt idx="2241">
                  <c:v>85.27</c:v>
                </c:pt>
                <c:pt idx="2242">
                  <c:v>87.32</c:v>
                </c:pt>
                <c:pt idx="2243">
                  <c:v>85.3</c:v>
                </c:pt>
                <c:pt idx="2244">
                  <c:v>87.93</c:v>
                </c:pt>
                <c:pt idx="2245">
                  <c:v>91</c:v>
                </c:pt>
                <c:pt idx="2246">
                  <c:v>89.5</c:v>
                </c:pt>
                <c:pt idx="2247">
                  <c:v>90.11</c:v>
                </c:pt>
                <c:pt idx="2248">
                  <c:v>87.940000000000026</c:v>
                </c:pt>
                <c:pt idx="2249">
                  <c:v>88.990000000000023</c:v>
                </c:pt>
                <c:pt idx="2250">
                  <c:v>87.75</c:v>
                </c:pt>
                <c:pt idx="2251">
                  <c:v>91.88</c:v>
                </c:pt>
                <c:pt idx="2252">
                  <c:v>90.990000000000023</c:v>
                </c:pt>
                <c:pt idx="2253">
                  <c:v>89.29</c:v>
                </c:pt>
                <c:pt idx="2254">
                  <c:v>88.19</c:v>
                </c:pt>
                <c:pt idx="2255">
                  <c:v>87.06</c:v>
                </c:pt>
                <c:pt idx="2256">
                  <c:v>86.16</c:v>
                </c:pt>
                <c:pt idx="2257">
                  <c:v>86.66</c:v>
                </c:pt>
                <c:pt idx="2258">
                  <c:v>87.16</c:v>
                </c:pt>
                <c:pt idx="2259">
                  <c:v>86.910000000000025</c:v>
                </c:pt>
                <c:pt idx="2260">
                  <c:v>88.97</c:v>
                </c:pt>
                <c:pt idx="2261">
                  <c:v>90.240000000000023</c:v>
                </c:pt>
                <c:pt idx="2262">
                  <c:v>92.960000000000022</c:v>
                </c:pt>
                <c:pt idx="2263">
                  <c:v>92.85</c:v>
                </c:pt>
                <c:pt idx="2264">
                  <c:v>93.47</c:v>
                </c:pt>
                <c:pt idx="2265">
                  <c:v>90.669999999999987</c:v>
                </c:pt>
                <c:pt idx="2266">
                  <c:v>91.042000000000002</c:v>
                </c:pt>
                <c:pt idx="2267">
                  <c:v>89.09</c:v>
                </c:pt>
                <c:pt idx="2268">
                  <c:v>86.95</c:v>
                </c:pt>
                <c:pt idx="2269">
                  <c:v>87.11</c:v>
                </c:pt>
                <c:pt idx="2270">
                  <c:v>84.36999999999999</c:v>
                </c:pt>
                <c:pt idx="2271">
                  <c:v>84.4</c:v>
                </c:pt>
                <c:pt idx="2272">
                  <c:v>85.06</c:v>
                </c:pt>
                <c:pt idx="2273">
                  <c:v>80.569999999999993</c:v>
                </c:pt>
                <c:pt idx="2274">
                  <c:v>84.05</c:v>
                </c:pt>
                <c:pt idx="2275">
                  <c:v>82.75</c:v>
                </c:pt>
                <c:pt idx="2276">
                  <c:v>83.11</c:v>
                </c:pt>
                <c:pt idx="2277">
                  <c:v>83.679999999999978</c:v>
                </c:pt>
                <c:pt idx="2278">
                  <c:v>84.53</c:v>
                </c:pt>
                <c:pt idx="2279">
                  <c:v>87.39</c:v>
                </c:pt>
                <c:pt idx="2280">
                  <c:v>84.55</c:v>
                </c:pt>
                <c:pt idx="2281">
                  <c:v>82.83</c:v>
                </c:pt>
                <c:pt idx="2282">
                  <c:v>82.58</c:v>
                </c:pt>
                <c:pt idx="2283">
                  <c:v>83.740000000000023</c:v>
                </c:pt>
                <c:pt idx="2284">
                  <c:v>83.33</c:v>
                </c:pt>
                <c:pt idx="2285">
                  <c:v>84.57</c:v>
                </c:pt>
                <c:pt idx="2286">
                  <c:v>86.98</c:v>
                </c:pt>
                <c:pt idx="2287">
                  <c:v>87.1</c:v>
                </c:pt>
                <c:pt idx="2288">
                  <c:v>83.11</c:v>
                </c:pt>
                <c:pt idx="2289">
                  <c:v>83.6</c:v>
                </c:pt>
                <c:pt idx="2290">
                  <c:v>83.66</c:v>
                </c:pt>
                <c:pt idx="2291">
                  <c:v>82.76</c:v>
                </c:pt>
                <c:pt idx="2292">
                  <c:v>79.22</c:v>
                </c:pt>
                <c:pt idx="2293">
                  <c:v>79.03</c:v>
                </c:pt>
                <c:pt idx="2294">
                  <c:v>78.180999999999983</c:v>
                </c:pt>
                <c:pt idx="2295">
                  <c:v>77.42</c:v>
                </c:pt>
                <c:pt idx="2296">
                  <c:v>74.649999999999991</c:v>
                </c:pt>
                <c:pt idx="2297">
                  <c:v>77.48</c:v>
                </c:pt>
                <c:pt idx="2298">
                  <c:v>76.871999999999986</c:v>
                </c:pt>
                <c:pt idx="2299">
                  <c:v>75.61999999999999</c:v>
                </c:pt>
                <c:pt idx="2300">
                  <c:v>73.930000000000007</c:v>
                </c:pt>
                <c:pt idx="2301">
                  <c:v>70.599999999999994</c:v>
                </c:pt>
                <c:pt idx="2302">
                  <c:v>70.069999999999993</c:v>
                </c:pt>
                <c:pt idx="2303">
                  <c:v>71.73</c:v>
                </c:pt>
                <c:pt idx="2304">
                  <c:v>68.8</c:v>
                </c:pt>
                <c:pt idx="2305">
                  <c:v>68.92</c:v>
                </c:pt>
                <c:pt idx="2306">
                  <c:v>68.11</c:v>
                </c:pt>
                <c:pt idx="2307">
                  <c:v>72.169999999999987</c:v>
                </c:pt>
                <c:pt idx="2308">
                  <c:v>72.64</c:v>
                </c:pt>
                <c:pt idx="2309">
                  <c:v>75.5</c:v>
                </c:pt>
                <c:pt idx="2310">
                  <c:v>76.09</c:v>
                </c:pt>
                <c:pt idx="2311">
                  <c:v>75.86</c:v>
                </c:pt>
                <c:pt idx="2312">
                  <c:v>78.179999999999978</c:v>
                </c:pt>
                <c:pt idx="2313">
                  <c:v>79.930000000000007</c:v>
                </c:pt>
                <c:pt idx="2314">
                  <c:v>78.940000000000026</c:v>
                </c:pt>
                <c:pt idx="2315">
                  <c:v>76.709999999999994</c:v>
                </c:pt>
                <c:pt idx="2316">
                  <c:v>82.22</c:v>
                </c:pt>
                <c:pt idx="2317">
                  <c:v>80.599999999999994</c:v>
                </c:pt>
                <c:pt idx="2318">
                  <c:v>81.45</c:v>
                </c:pt>
                <c:pt idx="2319">
                  <c:v>83.11</c:v>
                </c:pt>
                <c:pt idx="2320">
                  <c:v>81.61</c:v>
                </c:pt>
                <c:pt idx="2321">
                  <c:v>78.790000000000006</c:v>
                </c:pt>
                <c:pt idx="2322">
                  <c:v>79.52</c:v>
                </c:pt>
                <c:pt idx="2323">
                  <c:v>81.06</c:v>
                </c:pt>
                <c:pt idx="2324">
                  <c:v>83.43</c:v>
                </c:pt>
                <c:pt idx="2325">
                  <c:v>84.26</c:v>
                </c:pt>
                <c:pt idx="2326">
                  <c:v>83.6</c:v>
                </c:pt>
                <c:pt idx="2327">
                  <c:v>81.649999999999991</c:v>
                </c:pt>
                <c:pt idx="2328">
                  <c:v>82.53</c:v>
                </c:pt>
                <c:pt idx="2329">
                  <c:v>85.81</c:v>
                </c:pt>
                <c:pt idx="2330">
                  <c:v>85.83</c:v>
                </c:pt>
                <c:pt idx="2331">
                  <c:v>84.35</c:v>
                </c:pt>
                <c:pt idx="2332">
                  <c:v>85.25</c:v>
                </c:pt>
                <c:pt idx="2333">
                  <c:v>86.5</c:v>
                </c:pt>
                <c:pt idx="2334">
                  <c:v>87.08</c:v>
                </c:pt>
                <c:pt idx="2335">
                  <c:v>83.43</c:v>
                </c:pt>
                <c:pt idx="2336">
                  <c:v>85.06</c:v>
                </c:pt>
                <c:pt idx="2337">
                  <c:v>84.54</c:v>
                </c:pt>
                <c:pt idx="2338">
                  <c:v>85.36999999999999</c:v>
                </c:pt>
                <c:pt idx="2339">
                  <c:v>86.66</c:v>
                </c:pt>
                <c:pt idx="2340">
                  <c:v>85.84</c:v>
                </c:pt>
                <c:pt idx="2341">
                  <c:v>85.57</c:v>
                </c:pt>
                <c:pt idx="2342">
                  <c:v>87.39</c:v>
                </c:pt>
                <c:pt idx="2343">
                  <c:v>87.42</c:v>
                </c:pt>
                <c:pt idx="2344">
                  <c:v>87.89</c:v>
                </c:pt>
                <c:pt idx="2345">
                  <c:v>90.88</c:v>
                </c:pt>
                <c:pt idx="2346">
                  <c:v>90.57</c:v>
                </c:pt>
                <c:pt idx="2347">
                  <c:v>92.141000000000005</c:v>
                </c:pt>
                <c:pt idx="2348">
                  <c:v>90.86</c:v>
                </c:pt>
                <c:pt idx="2349">
                  <c:v>92.98</c:v>
                </c:pt>
                <c:pt idx="2350">
                  <c:v>91.240000000000023</c:v>
                </c:pt>
                <c:pt idx="2351">
                  <c:v>90.97</c:v>
                </c:pt>
                <c:pt idx="2352">
                  <c:v>88.679999999999978</c:v>
                </c:pt>
                <c:pt idx="2353">
                  <c:v>89.440000000000026</c:v>
                </c:pt>
                <c:pt idx="2354">
                  <c:v>88.710000000000022</c:v>
                </c:pt>
                <c:pt idx="2355">
                  <c:v>91.23</c:v>
                </c:pt>
                <c:pt idx="2356">
                  <c:v>91.11999999999999</c:v>
                </c:pt>
                <c:pt idx="2357">
                  <c:v>90.51</c:v>
                </c:pt>
                <c:pt idx="2358">
                  <c:v>89.210000000000022</c:v>
                </c:pt>
                <c:pt idx="2359">
                  <c:v>89.02</c:v>
                </c:pt>
                <c:pt idx="2360">
                  <c:v>91.3</c:v>
                </c:pt>
                <c:pt idx="2361">
                  <c:v>89.669999999999987</c:v>
                </c:pt>
                <c:pt idx="2362">
                  <c:v>90.92</c:v>
                </c:pt>
                <c:pt idx="2363">
                  <c:v>92.53</c:v>
                </c:pt>
                <c:pt idx="2364">
                  <c:v>94.77</c:v>
                </c:pt>
                <c:pt idx="2365">
                  <c:v>94.85</c:v>
                </c:pt>
                <c:pt idx="2366">
                  <c:v>93.649999999999991</c:v>
                </c:pt>
                <c:pt idx="2367">
                  <c:v>94.53</c:v>
                </c:pt>
                <c:pt idx="2368">
                  <c:v>94.55</c:v>
                </c:pt>
                <c:pt idx="2369">
                  <c:v>94.16</c:v>
                </c:pt>
                <c:pt idx="2370">
                  <c:v>94.64</c:v>
                </c:pt>
                <c:pt idx="2371">
                  <c:v>94.4</c:v>
                </c:pt>
                <c:pt idx="2372">
                  <c:v>94.82</c:v>
                </c:pt>
                <c:pt idx="2373">
                  <c:v>95.08</c:v>
                </c:pt>
                <c:pt idx="2374">
                  <c:v>92.9</c:v>
                </c:pt>
                <c:pt idx="2375">
                  <c:v>91.64</c:v>
                </c:pt>
                <c:pt idx="2376">
                  <c:v>91.55</c:v>
                </c:pt>
                <c:pt idx="2377">
                  <c:v>92.218999999999994</c:v>
                </c:pt>
                <c:pt idx="2378">
                  <c:v>92.04</c:v>
                </c:pt>
                <c:pt idx="2379">
                  <c:v>89.28</c:v>
                </c:pt>
                <c:pt idx="2380">
                  <c:v>89.35</c:v>
                </c:pt>
                <c:pt idx="2381">
                  <c:v>90.117999999999995</c:v>
                </c:pt>
                <c:pt idx="2382">
                  <c:v>92.08</c:v>
                </c:pt>
                <c:pt idx="2383">
                  <c:v>91.84</c:v>
                </c:pt>
                <c:pt idx="2384">
                  <c:v>92.7</c:v>
                </c:pt>
                <c:pt idx="2385">
                  <c:v>91.95</c:v>
                </c:pt>
                <c:pt idx="2386">
                  <c:v>92.33</c:v>
                </c:pt>
                <c:pt idx="2387">
                  <c:v>89.81</c:v>
                </c:pt>
                <c:pt idx="2388">
                  <c:v>89.8</c:v>
                </c:pt>
                <c:pt idx="2389">
                  <c:v>88.06</c:v>
                </c:pt>
                <c:pt idx="2390">
                  <c:v>88</c:v>
                </c:pt>
                <c:pt idx="2391">
                  <c:v>88.169999999999987</c:v>
                </c:pt>
                <c:pt idx="2392">
                  <c:v>87.960000000000022</c:v>
                </c:pt>
                <c:pt idx="2393">
                  <c:v>90.10199999999999</c:v>
                </c:pt>
                <c:pt idx="2394">
                  <c:v>90.61</c:v>
                </c:pt>
                <c:pt idx="2395">
                  <c:v>93.26</c:v>
                </c:pt>
                <c:pt idx="2396">
                  <c:v>94.149999999999991</c:v>
                </c:pt>
                <c:pt idx="2397">
                  <c:v>94.13</c:v>
                </c:pt>
                <c:pt idx="2398">
                  <c:v>95.131</c:v>
                </c:pt>
                <c:pt idx="2399">
                  <c:v>95.57</c:v>
                </c:pt>
                <c:pt idx="2400">
                  <c:v>95.55</c:v>
                </c:pt>
                <c:pt idx="2401">
                  <c:v>97.661000000000001</c:v>
                </c:pt>
                <c:pt idx="2402">
                  <c:v>98.06</c:v>
                </c:pt>
                <c:pt idx="2403">
                  <c:v>98.35</c:v>
                </c:pt>
                <c:pt idx="2404">
                  <c:v>97.89</c:v>
                </c:pt>
                <c:pt idx="2405">
                  <c:v>97.651999999999987</c:v>
                </c:pt>
                <c:pt idx="2406">
                  <c:v>98.669999999999987</c:v>
                </c:pt>
                <c:pt idx="2407">
                  <c:v>98.81</c:v>
                </c:pt>
                <c:pt idx="2408">
                  <c:v>100.44000000000032</c:v>
                </c:pt>
                <c:pt idx="2409">
                  <c:v>100.7</c:v>
                </c:pt>
                <c:pt idx="2410">
                  <c:v>100.41000000000012</c:v>
                </c:pt>
                <c:pt idx="2411">
                  <c:v>99.89</c:v>
                </c:pt>
                <c:pt idx="2412">
                  <c:v>101.202</c:v>
                </c:pt>
                <c:pt idx="2413">
                  <c:v>100.99000000000002</c:v>
                </c:pt>
                <c:pt idx="2414">
                  <c:v>99.73</c:v>
                </c:pt>
                <c:pt idx="2415">
                  <c:v>100.8</c:v>
                </c:pt>
                <c:pt idx="2416">
                  <c:v>101.57</c:v>
                </c:pt>
                <c:pt idx="2417">
                  <c:v>100.79</c:v>
                </c:pt>
                <c:pt idx="2418">
                  <c:v>98.31</c:v>
                </c:pt>
                <c:pt idx="2419">
                  <c:v>99.09</c:v>
                </c:pt>
                <c:pt idx="2420">
                  <c:v>99.960000000000022</c:v>
                </c:pt>
                <c:pt idx="2421">
                  <c:v>100.99000000000002</c:v>
                </c:pt>
                <c:pt idx="2422">
                  <c:v>102.97</c:v>
                </c:pt>
                <c:pt idx="2423">
                  <c:v>102.96000000000002</c:v>
                </c:pt>
                <c:pt idx="2424">
                  <c:v>103.16</c:v>
                </c:pt>
                <c:pt idx="2425">
                  <c:v>103.16999999999999</c:v>
                </c:pt>
                <c:pt idx="2426">
                  <c:v>103.4</c:v>
                </c:pt>
                <c:pt idx="2427">
                  <c:v>103.38</c:v>
                </c:pt>
                <c:pt idx="2428">
                  <c:v>102.46000000000002</c:v>
                </c:pt>
                <c:pt idx="2429">
                  <c:v>100.2</c:v>
                </c:pt>
                <c:pt idx="2430">
                  <c:v>99.82</c:v>
                </c:pt>
                <c:pt idx="2431">
                  <c:v>100.64999999999999</c:v>
                </c:pt>
                <c:pt idx="2432">
                  <c:v>102.06</c:v>
                </c:pt>
                <c:pt idx="2433">
                  <c:v>102.94000000000032</c:v>
                </c:pt>
                <c:pt idx="2434">
                  <c:v>103.73</c:v>
                </c:pt>
                <c:pt idx="2435">
                  <c:v>104.79</c:v>
                </c:pt>
                <c:pt idx="2436">
                  <c:v>104.77</c:v>
                </c:pt>
                <c:pt idx="2437">
                  <c:v>105.28</c:v>
                </c:pt>
                <c:pt idx="2438">
                  <c:v>105.72</c:v>
                </c:pt>
                <c:pt idx="2439">
                  <c:v>107.32</c:v>
                </c:pt>
                <c:pt idx="2440">
                  <c:v>107.16</c:v>
                </c:pt>
                <c:pt idx="2441">
                  <c:v>106.72</c:v>
                </c:pt>
                <c:pt idx="2442">
                  <c:v>106.45</c:v>
                </c:pt>
                <c:pt idx="2443">
                  <c:v>107.07</c:v>
                </c:pt>
                <c:pt idx="2444">
                  <c:v>106.17999999999998</c:v>
                </c:pt>
                <c:pt idx="2445">
                  <c:v>105.01</c:v>
                </c:pt>
                <c:pt idx="2446">
                  <c:v>104.45</c:v>
                </c:pt>
                <c:pt idx="2447">
                  <c:v>106.32</c:v>
                </c:pt>
                <c:pt idx="2448">
                  <c:v>106</c:v>
                </c:pt>
                <c:pt idx="2449">
                  <c:v>105.59</c:v>
                </c:pt>
                <c:pt idx="2450">
                  <c:v>103</c:v>
                </c:pt>
                <c:pt idx="2451">
                  <c:v>102.49000000000002</c:v>
                </c:pt>
                <c:pt idx="2452">
                  <c:v>104.02</c:v>
                </c:pt>
                <c:pt idx="2453">
                  <c:v>105.51</c:v>
                </c:pt>
                <c:pt idx="2454">
                  <c:v>105.8</c:v>
                </c:pt>
                <c:pt idx="2455">
                  <c:v>106.61</c:v>
                </c:pt>
                <c:pt idx="2456">
                  <c:v>107.26</c:v>
                </c:pt>
                <c:pt idx="2457">
                  <c:v>107.67999999999998</c:v>
                </c:pt>
                <c:pt idx="2458">
                  <c:v>107.46000000000002</c:v>
                </c:pt>
                <c:pt idx="2459">
                  <c:v>109.31</c:v>
                </c:pt>
                <c:pt idx="2460">
                  <c:v>109.71000000000002</c:v>
                </c:pt>
                <c:pt idx="2461">
                  <c:v>108.89</c:v>
                </c:pt>
                <c:pt idx="2462">
                  <c:v>109.79</c:v>
                </c:pt>
                <c:pt idx="2463">
                  <c:v>109.21100000000033</c:v>
                </c:pt>
                <c:pt idx="2464">
                  <c:v>108.23</c:v>
                </c:pt>
                <c:pt idx="2465">
                  <c:v>109.33</c:v>
                </c:pt>
                <c:pt idx="2466">
                  <c:v>108.08</c:v>
                </c:pt>
                <c:pt idx="2467">
                  <c:v>106.91000000000012</c:v>
                </c:pt>
                <c:pt idx="2468">
                  <c:v>106.42</c:v>
                </c:pt>
                <c:pt idx="2469">
                  <c:v>104.41000000000012</c:v>
                </c:pt>
                <c:pt idx="2470">
                  <c:v>106.64999999999999</c:v>
                </c:pt>
                <c:pt idx="2471">
                  <c:v>103.56</c:v>
                </c:pt>
                <c:pt idx="2472">
                  <c:v>104.32</c:v>
                </c:pt>
                <c:pt idx="2473">
                  <c:v>104.64999999999999</c:v>
                </c:pt>
                <c:pt idx="2474">
                  <c:v>104.92</c:v>
                </c:pt>
                <c:pt idx="2475">
                  <c:v>106.8501</c:v>
                </c:pt>
                <c:pt idx="2476">
                  <c:v>107.13</c:v>
                </c:pt>
                <c:pt idx="2477">
                  <c:v>109.57</c:v>
                </c:pt>
                <c:pt idx="2478">
                  <c:v>109.59</c:v>
                </c:pt>
                <c:pt idx="2479">
                  <c:v>110.14999999999999</c:v>
                </c:pt>
                <c:pt idx="2480">
                  <c:v>109.03</c:v>
                </c:pt>
                <c:pt idx="2481">
                  <c:v>109.61999999999999</c:v>
                </c:pt>
                <c:pt idx="2482">
                  <c:v>111.21000000000002</c:v>
                </c:pt>
                <c:pt idx="2483">
                  <c:v>111.339</c:v>
                </c:pt>
                <c:pt idx="2484">
                  <c:v>111.27</c:v>
                </c:pt>
                <c:pt idx="2485">
                  <c:v>109.82</c:v>
                </c:pt>
                <c:pt idx="2486">
                  <c:v>109.43</c:v>
                </c:pt>
                <c:pt idx="2487">
                  <c:v>110.82</c:v>
                </c:pt>
                <c:pt idx="2488">
                  <c:v>110.99000000000002</c:v>
                </c:pt>
                <c:pt idx="2489">
                  <c:v>111.38</c:v>
                </c:pt>
                <c:pt idx="2490">
                  <c:v>109.57</c:v>
                </c:pt>
                <c:pt idx="2491">
                  <c:v>109.94000000000032</c:v>
                </c:pt>
                <c:pt idx="2492">
                  <c:v>111.3</c:v>
                </c:pt>
                <c:pt idx="2493">
                  <c:v>111.25</c:v>
                </c:pt>
                <c:pt idx="2494">
                  <c:v>110.38</c:v>
                </c:pt>
                <c:pt idx="2495">
                  <c:v>111.01</c:v>
                </c:pt>
                <c:pt idx="2496">
                  <c:v>110.84</c:v>
                </c:pt>
                <c:pt idx="2497">
                  <c:v>109.61</c:v>
                </c:pt>
                <c:pt idx="2498">
                  <c:v>110.021</c:v>
                </c:pt>
                <c:pt idx="2499">
                  <c:v>110.64</c:v>
                </c:pt>
                <c:pt idx="2500">
                  <c:v>111.11</c:v>
                </c:pt>
                <c:pt idx="2501">
                  <c:v>111.86999999999999</c:v>
                </c:pt>
                <c:pt idx="2502">
                  <c:v>111.35</c:v>
                </c:pt>
                <c:pt idx="2503">
                  <c:v>111.52</c:v>
                </c:pt>
                <c:pt idx="2504">
                  <c:v>110.17999999999998</c:v>
                </c:pt>
                <c:pt idx="2505">
                  <c:v>110.21000000000002</c:v>
                </c:pt>
                <c:pt idx="2506">
                  <c:v>111.33</c:v>
                </c:pt>
                <c:pt idx="2507">
                  <c:v>111.73</c:v>
                </c:pt>
                <c:pt idx="2508">
                  <c:v>111.95</c:v>
                </c:pt>
                <c:pt idx="2509">
                  <c:v>112.48</c:v>
                </c:pt>
                <c:pt idx="2510">
                  <c:v>112.72</c:v>
                </c:pt>
                <c:pt idx="2511">
                  <c:v>112.562</c:v>
                </c:pt>
                <c:pt idx="2512">
                  <c:v>112.52</c:v>
                </c:pt>
                <c:pt idx="2513">
                  <c:v>111.44000000000032</c:v>
                </c:pt>
                <c:pt idx="2514">
                  <c:v>113.33</c:v>
                </c:pt>
                <c:pt idx="2515">
                  <c:v>113.63</c:v>
                </c:pt>
                <c:pt idx="2516">
                  <c:v>113.71000000000002</c:v>
                </c:pt>
                <c:pt idx="2517">
                  <c:v>114.19</c:v>
                </c:pt>
                <c:pt idx="2518">
                  <c:v>114.57</c:v>
                </c:pt>
                <c:pt idx="2519">
                  <c:v>114.73</c:v>
                </c:pt>
                <c:pt idx="2520">
                  <c:v>113.66</c:v>
                </c:pt>
                <c:pt idx="2521">
                  <c:v>114.61999999999999</c:v>
                </c:pt>
                <c:pt idx="2522">
                  <c:v>114.93</c:v>
                </c:pt>
                <c:pt idx="2523">
                  <c:v>113.64</c:v>
                </c:pt>
                <c:pt idx="2524">
                  <c:v>115.06</c:v>
                </c:pt>
                <c:pt idx="2525">
                  <c:v>113.89</c:v>
                </c:pt>
                <c:pt idx="2526">
                  <c:v>111.7</c:v>
                </c:pt>
                <c:pt idx="2527">
                  <c:v>109.21000000000002</c:v>
                </c:pt>
                <c:pt idx="2528">
                  <c:v>109.77</c:v>
                </c:pt>
                <c:pt idx="2529">
                  <c:v>109.31</c:v>
                </c:pt>
                <c:pt idx="2530">
                  <c:v>109.83</c:v>
                </c:pt>
                <c:pt idx="2531">
                  <c:v>108.57</c:v>
                </c:pt>
                <c:pt idx="2532">
                  <c:v>107.39</c:v>
                </c:pt>
                <c:pt idx="2533">
                  <c:v>109.06</c:v>
                </c:pt>
                <c:pt idx="2534">
                  <c:v>110.38</c:v>
                </c:pt>
                <c:pt idx="2535">
                  <c:v>109.83</c:v>
                </c:pt>
                <c:pt idx="2536">
                  <c:v>106.44000000000032</c:v>
                </c:pt>
                <c:pt idx="2537">
                  <c:v>106.66</c:v>
                </c:pt>
                <c:pt idx="2538">
                  <c:v>105.89</c:v>
                </c:pt>
                <c:pt idx="2539">
                  <c:v>107.22</c:v>
                </c:pt>
                <c:pt idx="2540">
                  <c:v>107.01</c:v>
                </c:pt>
                <c:pt idx="2541">
                  <c:v>108.13</c:v>
                </c:pt>
                <c:pt idx="2542">
                  <c:v>108.04</c:v>
                </c:pt>
                <c:pt idx="2543">
                  <c:v>109.74000000000002</c:v>
                </c:pt>
                <c:pt idx="2544">
                  <c:v>110.26</c:v>
                </c:pt>
                <c:pt idx="2545">
                  <c:v>110.91000000000012</c:v>
                </c:pt>
                <c:pt idx="2546">
                  <c:v>111.14</c:v>
                </c:pt>
                <c:pt idx="2547">
                  <c:v>111.16</c:v>
                </c:pt>
                <c:pt idx="2548">
                  <c:v>109.81</c:v>
                </c:pt>
                <c:pt idx="2549">
                  <c:v>110.82</c:v>
                </c:pt>
                <c:pt idx="2550">
                  <c:v>110.66999999999999</c:v>
                </c:pt>
                <c:pt idx="2551">
                  <c:v>110.74000000000002</c:v>
                </c:pt>
                <c:pt idx="2552">
                  <c:v>111.89</c:v>
                </c:pt>
                <c:pt idx="2553">
                  <c:v>112.2</c:v>
                </c:pt>
                <c:pt idx="2554">
                  <c:v>112.3</c:v>
                </c:pt>
                <c:pt idx="2555">
                  <c:v>112.64100000000002</c:v>
                </c:pt>
                <c:pt idx="2556">
                  <c:v>114.25</c:v>
                </c:pt>
                <c:pt idx="2557">
                  <c:v>114.27</c:v>
                </c:pt>
                <c:pt idx="2558">
                  <c:v>114.46000000000002</c:v>
                </c:pt>
                <c:pt idx="2559">
                  <c:v>114.97</c:v>
                </c:pt>
                <c:pt idx="2560">
                  <c:v>115.45</c:v>
                </c:pt>
                <c:pt idx="2561">
                  <c:v>115.46000000000002</c:v>
                </c:pt>
                <c:pt idx="2562">
                  <c:v>115.49000000000002</c:v>
                </c:pt>
                <c:pt idx="2563">
                  <c:v>116.41000000000012</c:v>
                </c:pt>
                <c:pt idx="2564">
                  <c:v>117.1</c:v>
                </c:pt>
                <c:pt idx="2565">
                  <c:v>117.03749999999999</c:v>
                </c:pt>
                <c:pt idx="2566">
                  <c:v>115.97</c:v>
                </c:pt>
                <c:pt idx="2567">
                  <c:v>116.5925</c:v>
                </c:pt>
                <c:pt idx="2568">
                  <c:v>117.41000000000012</c:v>
                </c:pt>
                <c:pt idx="2569">
                  <c:v>116.84</c:v>
                </c:pt>
                <c:pt idx="2570">
                  <c:v>116.64999999999999</c:v>
                </c:pt>
                <c:pt idx="2571">
                  <c:v>116.58199999999999</c:v>
                </c:pt>
                <c:pt idx="2572">
                  <c:v>117.32</c:v>
                </c:pt>
                <c:pt idx="2573">
                  <c:v>117.4</c:v>
                </c:pt>
                <c:pt idx="2574">
                  <c:v>117</c:v>
                </c:pt>
                <c:pt idx="2575">
                  <c:v>117.8</c:v>
                </c:pt>
                <c:pt idx="2576">
                  <c:v>118.76</c:v>
                </c:pt>
                <c:pt idx="2577">
                  <c:v>119.04</c:v>
                </c:pt>
                <c:pt idx="2578">
                  <c:v>118.36</c:v>
                </c:pt>
                <c:pt idx="2579">
                  <c:v>118.77249999999998</c:v>
                </c:pt>
                <c:pt idx="2580">
                  <c:v>119.55</c:v>
                </c:pt>
                <c:pt idx="2581">
                  <c:v>119.74000000000002</c:v>
                </c:pt>
                <c:pt idx="2582">
                  <c:v>119.83</c:v>
                </c:pt>
                <c:pt idx="2583">
                  <c:v>121.19</c:v>
                </c:pt>
                <c:pt idx="2584">
                  <c:v>121.29</c:v>
                </c:pt>
                <c:pt idx="2585">
                  <c:v>119.36</c:v>
                </c:pt>
                <c:pt idx="2586">
                  <c:v>119.81</c:v>
                </c:pt>
                <c:pt idx="2587">
                  <c:v>120.88</c:v>
                </c:pt>
                <c:pt idx="2588">
                  <c:v>120.66</c:v>
                </c:pt>
                <c:pt idx="2589">
                  <c:v>121.02</c:v>
                </c:pt>
                <c:pt idx="2590">
                  <c:v>121.8125</c:v>
                </c:pt>
                <c:pt idx="2591">
                  <c:v>121.35</c:v>
                </c:pt>
                <c:pt idx="2592">
                  <c:v>118.48</c:v>
                </c:pt>
                <c:pt idx="2593">
                  <c:v>119.38</c:v>
                </c:pt>
                <c:pt idx="2594">
                  <c:v>120.8575</c:v>
                </c:pt>
                <c:pt idx="2595">
                  <c:v>118.8125</c:v>
                </c:pt>
                <c:pt idx="2596">
                  <c:v>120.35</c:v>
                </c:pt>
                <c:pt idx="2597">
                  <c:v>117.52</c:v>
                </c:pt>
                <c:pt idx="2598">
                  <c:v>116.82</c:v>
                </c:pt>
                <c:pt idx="2599">
                  <c:v>112.94200000000002</c:v>
                </c:pt>
                <c:pt idx="2600">
                  <c:v>111.26</c:v>
                </c:pt>
                <c:pt idx="2601">
                  <c:v>116.16</c:v>
                </c:pt>
                <c:pt idx="2602">
                  <c:v>115.83</c:v>
                </c:pt>
                <c:pt idx="2603">
                  <c:v>117.45</c:v>
                </c:pt>
                <c:pt idx="2604">
                  <c:v>115.99000000000002</c:v>
                </c:pt>
                <c:pt idx="2605">
                  <c:v>113.89</c:v>
                </c:pt>
                <c:pt idx="2606">
                  <c:v>113.95</c:v>
                </c:pt>
                <c:pt idx="2607">
                  <c:v>112.4</c:v>
                </c:pt>
                <c:pt idx="2608">
                  <c:v>111.76</c:v>
                </c:pt>
                <c:pt idx="2609">
                  <c:v>107.54</c:v>
                </c:pt>
                <c:pt idx="2610">
                  <c:v>109.11499999999999</c:v>
                </c:pt>
                <c:pt idx="2611">
                  <c:v>107.71000000000002</c:v>
                </c:pt>
                <c:pt idx="2612">
                  <c:v>107.818</c:v>
                </c:pt>
                <c:pt idx="2613">
                  <c:v>107.16999999999999</c:v>
                </c:pt>
                <c:pt idx="2614">
                  <c:v>110.76</c:v>
                </c:pt>
                <c:pt idx="2615">
                  <c:v>109.369</c:v>
                </c:pt>
                <c:pt idx="2616">
                  <c:v>107.53</c:v>
                </c:pt>
                <c:pt idx="2617">
                  <c:v>110.33</c:v>
                </c:pt>
                <c:pt idx="2618">
                  <c:v>110.71000000000002</c:v>
                </c:pt>
                <c:pt idx="2619">
                  <c:v>106.82</c:v>
                </c:pt>
                <c:pt idx="2620">
                  <c:v>105.49000000000002</c:v>
                </c:pt>
                <c:pt idx="2621">
                  <c:v>106.61999999999999</c:v>
                </c:pt>
                <c:pt idx="2622">
                  <c:v>106.05</c:v>
                </c:pt>
                <c:pt idx="2623">
                  <c:v>109.14999999999999</c:v>
                </c:pt>
                <c:pt idx="2624">
                  <c:v>109.67999999999998</c:v>
                </c:pt>
                <c:pt idx="2625">
                  <c:v>109.509</c:v>
                </c:pt>
                <c:pt idx="2626">
                  <c:v>112</c:v>
                </c:pt>
                <c:pt idx="2627">
                  <c:v>111.96000000000002</c:v>
                </c:pt>
                <c:pt idx="2628">
                  <c:v>112.14</c:v>
                </c:pt>
                <c:pt idx="2629">
                  <c:v>111.729</c:v>
                </c:pt>
                <c:pt idx="2630">
                  <c:v>111.41000000000012</c:v>
                </c:pt>
                <c:pt idx="2631">
                  <c:v>109.57</c:v>
                </c:pt>
                <c:pt idx="2632">
                  <c:v>109.23</c:v>
                </c:pt>
                <c:pt idx="2633">
                  <c:v>107.42</c:v>
                </c:pt>
                <c:pt idx="2634">
                  <c:v>107.86750000000002</c:v>
                </c:pt>
                <c:pt idx="2635">
                  <c:v>107.53</c:v>
                </c:pt>
                <c:pt idx="2636">
                  <c:v>104.21000000000002</c:v>
                </c:pt>
                <c:pt idx="2637">
                  <c:v>103.22</c:v>
                </c:pt>
                <c:pt idx="2638">
                  <c:v>102.76</c:v>
                </c:pt>
                <c:pt idx="2639">
                  <c:v>102.2</c:v>
                </c:pt>
                <c:pt idx="2640">
                  <c:v>102.86999999999999</c:v>
                </c:pt>
                <c:pt idx="2641">
                  <c:v>106.1075</c:v>
                </c:pt>
                <c:pt idx="2642">
                  <c:v>107.16</c:v>
                </c:pt>
                <c:pt idx="2643">
                  <c:v>107.96000000000002</c:v>
                </c:pt>
                <c:pt idx="2644">
                  <c:v>108.03</c:v>
                </c:pt>
                <c:pt idx="2645">
                  <c:v>109.66</c:v>
                </c:pt>
                <c:pt idx="2646">
                  <c:v>109.651</c:v>
                </c:pt>
                <c:pt idx="2647">
                  <c:v>109.67999999999998</c:v>
                </c:pt>
                <c:pt idx="2648">
                  <c:v>106.66</c:v>
                </c:pt>
                <c:pt idx="2649">
                  <c:v>107.29</c:v>
                </c:pt>
                <c:pt idx="2650">
                  <c:v>108.48</c:v>
                </c:pt>
                <c:pt idx="2651">
                  <c:v>107.07</c:v>
                </c:pt>
                <c:pt idx="2652">
                  <c:v>109.46100000000033</c:v>
                </c:pt>
                <c:pt idx="2653">
                  <c:v>110.41000000000012</c:v>
                </c:pt>
                <c:pt idx="2654">
                  <c:v>111.56</c:v>
                </c:pt>
                <c:pt idx="2655">
                  <c:v>111.55</c:v>
                </c:pt>
                <c:pt idx="2656">
                  <c:v>110.83</c:v>
                </c:pt>
                <c:pt idx="2657">
                  <c:v>110.29</c:v>
                </c:pt>
                <c:pt idx="2658">
                  <c:v>110.27</c:v>
                </c:pt>
                <c:pt idx="2659">
                  <c:v>112.76</c:v>
                </c:pt>
                <c:pt idx="2660">
                  <c:v>112.22</c:v>
                </c:pt>
                <c:pt idx="2661">
                  <c:v>112.97</c:v>
                </c:pt>
                <c:pt idx="2662">
                  <c:v>112.85</c:v>
                </c:pt>
                <c:pt idx="2663">
                  <c:v>112.392</c:v>
                </c:pt>
                <c:pt idx="2664">
                  <c:v>112.992</c:v>
                </c:pt>
                <c:pt idx="2665">
                  <c:v>112.37499999999999</c:v>
                </c:pt>
                <c:pt idx="2666">
                  <c:v>109.3</c:v>
                </c:pt>
                <c:pt idx="2667">
                  <c:v>108.63</c:v>
                </c:pt>
                <c:pt idx="2668">
                  <c:v>108.31</c:v>
                </c:pt>
                <c:pt idx="2669">
                  <c:v>108.26</c:v>
                </c:pt>
                <c:pt idx="2670">
                  <c:v>109.59</c:v>
                </c:pt>
                <c:pt idx="2671">
                  <c:v>109.79</c:v>
                </c:pt>
                <c:pt idx="2672">
                  <c:v>107.88</c:v>
                </c:pt>
                <c:pt idx="2673">
                  <c:v>107.53</c:v>
                </c:pt>
                <c:pt idx="2674">
                  <c:v>107.1236</c:v>
                </c:pt>
                <c:pt idx="2675">
                  <c:v>105.53</c:v>
                </c:pt>
                <c:pt idx="2676">
                  <c:v>105.94000000000032</c:v>
                </c:pt>
                <c:pt idx="2677">
                  <c:v>105.23</c:v>
                </c:pt>
                <c:pt idx="2678">
                  <c:v>106.86</c:v>
                </c:pt>
                <c:pt idx="2679">
                  <c:v>105.31100000000002</c:v>
                </c:pt>
                <c:pt idx="2680">
                  <c:v>105.31</c:v>
                </c:pt>
                <c:pt idx="2681">
                  <c:v>108.46000000000002</c:v>
                </c:pt>
                <c:pt idx="2682">
                  <c:v>109.47</c:v>
                </c:pt>
                <c:pt idx="2683">
                  <c:v>110.89</c:v>
                </c:pt>
                <c:pt idx="2684">
                  <c:v>109.64</c:v>
                </c:pt>
                <c:pt idx="2685">
                  <c:v>110.41000000000012</c:v>
                </c:pt>
                <c:pt idx="2686">
                  <c:v>110.92</c:v>
                </c:pt>
                <c:pt idx="2687">
                  <c:v>111.482</c:v>
                </c:pt>
                <c:pt idx="2688">
                  <c:v>112.72</c:v>
                </c:pt>
                <c:pt idx="2689">
                  <c:v>112.64999999999999</c:v>
                </c:pt>
                <c:pt idx="2690">
                  <c:v>113.08</c:v>
                </c:pt>
                <c:pt idx="2691">
                  <c:v>113.05</c:v>
                </c:pt>
                <c:pt idx="2692">
                  <c:v>112.49000000000002</c:v>
                </c:pt>
                <c:pt idx="2693">
                  <c:v>114.21000000000002</c:v>
                </c:pt>
                <c:pt idx="2694">
                  <c:v>113.98</c:v>
                </c:pt>
                <c:pt idx="2695">
                  <c:v>113.42</c:v>
                </c:pt>
                <c:pt idx="2696">
                  <c:v>112.498</c:v>
                </c:pt>
                <c:pt idx="2697">
                  <c:v>114.82</c:v>
                </c:pt>
                <c:pt idx="2698">
                  <c:v>114.27</c:v>
                </c:pt>
                <c:pt idx="2699">
                  <c:v>114.66999999999999</c:v>
                </c:pt>
                <c:pt idx="2700">
                  <c:v>114.47</c:v>
                </c:pt>
                <c:pt idx="2701">
                  <c:v>114.13</c:v>
                </c:pt>
                <c:pt idx="2702">
                  <c:v>114.61</c:v>
                </c:pt>
                <c:pt idx="2703">
                  <c:v>113.75</c:v>
                </c:pt>
                <c:pt idx="2704">
                  <c:v>116.04</c:v>
                </c:pt>
                <c:pt idx="2705">
                  <c:v>116.03</c:v>
                </c:pt>
                <c:pt idx="2706">
                  <c:v>115.89</c:v>
                </c:pt>
                <c:pt idx="2707">
                  <c:v>116.53749999999999</c:v>
                </c:pt>
                <c:pt idx="2708">
                  <c:v>116.64999999999999</c:v>
                </c:pt>
                <c:pt idx="2709">
                  <c:v>117.01</c:v>
                </c:pt>
                <c:pt idx="2710">
                  <c:v>117.92</c:v>
                </c:pt>
                <c:pt idx="2711">
                  <c:v>117.46000000000002</c:v>
                </c:pt>
                <c:pt idx="2712">
                  <c:v>117.7</c:v>
                </c:pt>
                <c:pt idx="2713">
                  <c:v>118.28</c:v>
                </c:pt>
                <c:pt idx="2714">
                  <c:v>116.73</c:v>
                </c:pt>
                <c:pt idx="2715">
                  <c:v>117.86999999999999</c:v>
                </c:pt>
                <c:pt idx="2716">
                  <c:v>118.13</c:v>
                </c:pt>
                <c:pt idx="2717">
                  <c:v>118.34699999999999</c:v>
                </c:pt>
                <c:pt idx="2718">
                  <c:v>118.7</c:v>
                </c:pt>
                <c:pt idx="2719">
                  <c:v>118.72</c:v>
                </c:pt>
                <c:pt idx="2720">
                  <c:v>118.38</c:v>
                </c:pt>
                <c:pt idx="2721">
                  <c:v>118.4</c:v>
                </c:pt>
                <c:pt idx="2722">
                  <c:v>118.49000000000002</c:v>
                </c:pt>
                <c:pt idx="2723">
                  <c:v>118.53</c:v>
                </c:pt>
                <c:pt idx="2724">
                  <c:v>119.47499999999999</c:v>
                </c:pt>
                <c:pt idx="2725">
                  <c:v>119.95</c:v>
                </c:pt>
                <c:pt idx="2726">
                  <c:v>122.26</c:v>
                </c:pt>
                <c:pt idx="2727">
                  <c:v>122.72499999999999</c:v>
                </c:pt>
                <c:pt idx="2728">
                  <c:v>122.49000000000002</c:v>
                </c:pt>
                <c:pt idx="2729">
                  <c:v>121.61</c:v>
                </c:pt>
                <c:pt idx="2730">
                  <c:v>122.1</c:v>
                </c:pt>
                <c:pt idx="2731">
                  <c:v>121.63500000000001</c:v>
                </c:pt>
                <c:pt idx="2732">
                  <c:v>120.19799999999999</c:v>
                </c:pt>
                <c:pt idx="2733">
                  <c:v>120.03</c:v>
                </c:pt>
                <c:pt idx="2734">
                  <c:v>118.16</c:v>
                </c:pt>
                <c:pt idx="2735">
                  <c:v>118.218</c:v>
                </c:pt>
                <c:pt idx="2736">
                  <c:v>119.95750000000002</c:v>
                </c:pt>
                <c:pt idx="2737">
                  <c:v>120.29</c:v>
                </c:pt>
                <c:pt idx="2738">
                  <c:v>120.19</c:v>
                </c:pt>
                <c:pt idx="2739">
                  <c:v>118.44750000000045</c:v>
                </c:pt>
                <c:pt idx="2740">
                  <c:v>120.2</c:v>
                </c:pt>
                <c:pt idx="2741">
                  <c:v>118.8</c:v>
                </c:pt>
                <c:pt idx="2742">
                  <c:v>119.16200000000001</c:v>
                </c:pt>
                <c:pt idx="2743">
                  <c:v>118.49250000000002</c:v>
                </c:pt>
                <c:pt idx="2744">
                  <c:v>121.01</c:v>
                </c:pt>
                <c:pt idx="2745">
                  <c:v>122.56</c:v>
                </c:pt>
                <c:pt idx="2746">
                  <c:v>122.89</c:v>
                </c:pt>
                <c:pt idx="2747">
                  <c:v>122.76</c:v>
                </c:pt>
                <c:pt idx="2748">
                  <c:v>122.83</c:v>
                </c:pt>
                <c:pt idx="2749">
                  <c:v>123.28</c:v>
                </c:pt>
                <c:pt idx="2750">
                  <c:v>123.76</c:v>
                </c:pt>
                <c:pt idx="2751">
                  <c:v>124.48</c:v>
                </c:pt>
                <c:pt idx="2752">
                  <c:v>124.56</c:v>
                </c:pt>
                <c:pt idx="2753">
                  <c:v>124.66999999999999</c:v>
                </c:pt>
                <c:pt idx="2754">
                  <c:v>124.098</c:v>
                </c:pt>
                <c:pt idx="2755">
                  <c:v>124.82</c:v>
                </c:pt>
                <c:pt idx="2756">
                  <c:v>124.3</c:v>
                </c:pt>
                <c:pt idx="2757">
                  <c:v>124.6</c:v>
                </c:pt>
                <c:pt idx="2758">
                  <c:v>125.39</c:v>
                </c:pt>
                <c:pt idx="2759">
                  <c:v>125.78</c:v>
                </c:pt>
                <c:pt idx="2760">
                  <c:v>125.6</c:v>
                </c:pt>
                <c:pt idx="2761">
                  <c:v>125.64999999999999</c:v>
                </c:pt>
                <c:pt idx="2762">
                  <c:v>125.83</c:v>
                </c:pt>
                <c:pt idx="2763">
                  <c:v>125.92</c:v>
                </c:pt>
                <c:pt idx="2764">
                  <c:v>125.72</c:v>
                </c:pt>
                <c:pt idx="2765">
                  <c:v>125.75</c:v>
                </c:pt>
                <c:pt idx="2766">
                  <c:v>127.05</c:v>
                </c:pt>
                <c:pt idx="2767">
                  <c:v>126.98</c:v>
                </c:pt>
                <c:pt idx="2768">
                  <c:v>127.64</c:v>
                </c:pt>
                <c:pt idx="2769">
                  <c:v>127.39</c:v>
                </c:pt>
                <c:pt idx="2770">
                  <c:v>127.14</c:v>
                </c:pt>
                <c:pt idx="2771">
                  <c:v>126.98</c:v>
                </c:pt>
                <c:pt idx="2772">
                  <c:v>127.43</c:v>
                </c:pt>
                <c:pt idx="2773">
                  <c:v>128.58000000000001</c:v>
                </c:pt>
                <c:pt idx="2774">
                  <c:v>128.36750000000001</c:v>
                </c:pt>
                <c:pt idx="2775">
                  <c:v>129.30000000000001</c:v>
                </c:pt>
                <c:pt idx="2776">
                  <c:v>129.52000000000001</c:v>
                </c:pt>
                <c:pt idx="2777">
                  <c:v>128.25</c:v>
                </c:pt>
                <c:pt idx="2778">
                  <c:v>128.08000000000001</c:v>
                </c:pt>
                <c:pt idx="2779">
                  <c:v>128.37</c:v>
                </c:pt>
                <c:pt idx="2780">
                  <c:v>129.1</c:v>
                </c:pt>
                <c:pt idx="2781">
                  <c:v>129.16999999999999</c:v>
                </c:pt>
                <c:pt idx="2782">
                  <c:v>129.66999999999999</c:v>
                </c:pt>
                <c:pt idx="2783">
                  <c:v>129.99</c:v>
                </c:pt>
                <c:pt idx="2784">
                  <c:v>127.72</c:v>
                </c:pt>
                <c:pt idx="2785">
                  <c:v>128.68</c:v>
                </c:pt>
                <c:pt idx="2786">
                  <c:v>130.73999999999998</c:v>
                </c:pt>
                <c:pt idx="2787">
                  <c:v>130.48500000000001</c:v>
                </c:pt>
                <c:pt idx="2788">
                  <c:v>130.78</c:v>
                </c:pt>
                <c:pt idx="2789">
                  <c:v>131.15</c:v>
                </c:pt>
                <c:pt idx="2790">
                  <c:v>131.97</c:v>
                </c:pt>
                <c:pt idx="2791">
                  <c:v>132.57</c:v>
                </c:pt>
                <c:pt idx="2792">
                  <c:v>132.26899999999998</c:v>
                </c:pt>
                <c:pt idx="2793">
                  <c:v>132.32100000000065</c:v>
                </c:pt>
                <c:pt idx="2794">
                  <c:v>133.10999999999999</c:v>
                </c:pt>
                <c:pt idx="2795">
                  <c:v>133.43</c:v>
                </c:pt>
                <c:pt idx="2796">
                  <c:v>133.01</c:v>
                </c:pt>
                <c:pt idx="2797">
                  <c:v>133.85000000000065</c:v>
                </c:pt>
                <c:pt idx="2798">
                  <c:v>134.25</c:v>
                </c:pt>
                <c:pt idx="2799">
                  <c:v>134.53</c:v>
                </c:pt>
                <c:pt idx="2800">
                  <c:v>131.83000000000001</c:v>
                </c:pt>
                <c:pt idx="2801">
                  <c:v>131.02000000000001</c:v>
                </c:pt>
                <c:pt idx="2802">
                  <c:v>130.93</c:v>
                </c:pt>
                <c:pt idx="2803">
                  <c:v>132.33000000000001</c:v>
                </c:pt>
                <c:pt idx="2804">
                  <c:v>133.15</c:v>
                </c:pt>
                <c:pt idx="2805">
                  <c:v>130.93</c:v>
                </c:pt>
                <c:pt idx="2806">
                  <c:v>131.20999999999998</c:v>
                </c:pt>
                <c:pt idx="2807">
                  <c:v>133.47</c:v>
                </c:pt>
                <c:pt idx="2808">
                  <c:v>132.47</c:v>
                </c:pt>
                <c:pt idx="2809">
                  <c:v>131.43</c:v>
                </c:pt>
                <c:pt idx="2810">
                  <c:v>132.58000000000001</c:v>
                </c:pt>
                <c:pt idx="2811">
                  <c:v>132.39000000000001</c:v>
                </c:pt>
                <c:pt idx="2812">
                  <c:v>129.9375</c:v>
                </c:pt>
                <c:pt idx="2813">
                  <c:v>130.84</c:v>
                </c:pt>
                <c:pt idx="2814">
                  <c:v>130.05000000000001</c:v>
                </c:pt>
                <c:pt idx="2815">
                  <c:v>128.56</c:v>
                </c:pt>
                <c:pt idx="2816">
                  <c:v>126.17499999999998</c:v>
                </c:pt>
                <c:pt idx="2817">
                  <c:v>127.85</c:v>
                </c:pt>
                <c:pt idx="2818">
                  <c:v>127.76</c:v>
                </c:pt>
                <c:pt idx="2819">
                  <c:v>129.73999999999998</c:v>
                </c:pt>
                <c:pt idx="2820">
                  <c:v>129.29</c:v>
                </c:pt>
                <c:pt idx="2821">
                  <c:v>129.66</c:v>
                </c:pt>
                <c:pt idx="2822">
                  <c:v>130.9</c:v>
                </c:pt>
                <c:pt idx="2823">
                  <c:v>131.30000000000001</c:v>
                </c:pt>
                <c:pt idx="2824">
                  <c:v>130.97999999999999</c:v>
                </c:pt>
                <c:pt idx="2825">
                  <c:v>131.86000000000001</c:v>
                </c:pt>
                <c:pt idx="2826">
                  <c:v>132.76999999999998</c:v>
                </c:pt>
                <c:pt idx="2827">
                  <c:v>132.59</c:v>
                </c:pt>
                <c:pt idx="2828">
                  <c:v>133.15</c:v>
                </c:pt>
                <c:pt idx="2829">
                  <c:v>133.26</c:v>
                </c:pt>
                <c:pt idx="2830">
                  <c:v>133.23999999999998</c:v>
                </c:pt>
                <c:pt idx="2831">
                  <c:v>133.66</c:v>
                </c:pt>
                <c:pt idx="2832">
                  <c:v>133.32000000000065</c:v>
                </c:pt>
                <c:pt idx="2833">
                  <c:v>132.86000000000001</c:v>
                </c:pt>
                <c:pt idx="2834">
                  <c:v>132.46</c:v>
                </c:pt>
                <c:pt idx="2835">
                  <c:v>131.47</c:v>
                </c:pt>
                <c:pt idx="2836">
                  <c:v>131.46</c:v>
                </c:pt>
                <c:pt idx="2837">
                  <c:v>131.56</c:v>
                </c:pt>
                <c:pt idx="2838">
                  <c:v>132.04</c:v>
                </c:pt>
                <c:pt idx="2839">
                  <c:v>130.56</c:v>
                </c:pt>
                <c:pt idx="2840">
                  <c:v>131.31</c:v>
                </c:pt>
                <c:pt idx="2841">
                  <c:v>133.1</c:v>
                </c:pt>
                <c:pt idx="2842">
                  <c:v>133.78</c:v>
                </c:pt>
                <c:pt idx="2843">
                  <c:v>133.63999999999999</c:v>
                </c:pt>
                <c:pt idx="2844">
                  <c:v>134.791</c:v>
                </c:pt>
                <c:pt idx="2845">
                  <c:v>135.66999999999999</c:v>
                </c:pt>
                <c:pt idx="2846">
                  <c:v>136.10999999999999</c:v>
                </c:pt>
                <c:pt idx="2847">
                  <c:v>136.43</c:v>
                </c:pt>
                <c:pt idx="2848">
                  <c:v>136.22</c:v>
                </c:pt>
                <c:pt idx="2849">
                  <c:v>135.72999999999999</c:v>
                </c:pt>
                <c:pt idx="2850">
                  <c:v>134.83000000000001</c:v>
                </c:pt>
                <c:pt idx="2851">
                  <c:v>133.60999999999999</c:v>
                </c:pt>
                <c:pt idx="2852">
                  <c:v>134.19999999999999</c:v>
                </c:pt>
                <c:pt idx="2853">
                  <c:v>134.72</c:v>
                </c:pt>
                <c:pt idx="2854">
                  <c:v>135.87</c:v>
                </c:pt>
                <c:pt idx="2855">
                  <c:v>134.44</c:v>
                </c:pt>
                <c:pt idx="2856">
                  <c:v>135.08000000000001</c:v>
                </c:pt>
                <c:pt idx="2857">
                  <c:v>134.04</c:v>
                </c:pt>
                <c:pt idx="2858">
                  <c:v>133.19</c:v>
                </c:pt>
                <c:pt idx="2859">
                  <c:v>133.16999999999999</c:v>
                </c:pt>
                <c:pt idx="2860">
                  <c:v>134.36000000000001</c:v>
                </c:pt>
                <c:pt idx="2861">
                  <c:v>134.68</c:v>
                </c:pt>
                <c:pt idx="2862">
                  <c:v>133.60999999999999</c:v>
                </c:pt>
                <c:pt idx="2863">
                  <c:v>132.06</c:v>
                </c:pt>
                <c:pt idx="2864">
                  <c:v>131.94999999999999</c:v>
                </c:pt>
                <c:pt idx="2865">
                  <c:v>132.39000000000001</c:v>
                </c:pt>
                <c:pt idx="2866">
                  <c:v>133</c:v>
                </c:pt>
                <c:pt idx="2867">
                  <c:v>133.51</c:v>
                </c:pt>
                <c:pt idx="2868">
                  <c:v>134.9</c:v>
                </c:pt>
                <c:pt idx="2869">
                  <c:v>131.87</c:v>
                </c:pt>
                <c:pt idx="2870">
                  <c:v>131.72999999999999</c:v>
                </c:pt>
                <c:pt idx="2871">
                  <c:v>130.41999999999999</c:v>
                </c:pt>
                <c:pt idx="2872">
                  <c:v>129.04499999999999</c:v>
                </c:pt>
                <c:pt idx="2873">
                  <c:v>128.96</c:v>
                </c:pt>
                <c:pt idx="2874">
                  <c:v>128.41999999999999</c:v>
                </c:pt>
                <c:pt idx="2875">
                  <c:v>129.4</c:v>
                </c:pt>
                <c:pt idx="2876">
                  <c:v>127.6</c:v>
                </c:pt>
                <c:pt idx="2877">
                  <c:v>127.7</c:v>
                </c:pt>
                <c:pt idx="2878">
                  <c:v>129.32000000000065</c:v>
                </c:pt>
                <c:pt idx="2879">
                  <c:v>127.02</c:v>
                </c:pt>
                <c:pt idx="2880">
                  <c:v>127.3</c:v>
                </c:pt>
                <c:pt idx="2881">
                  <c:v>127.05</c:v>
                </c:pt>
                <c:pt idx="2882">
                  <c:v>127.7</c:v>
                </c:pt>
                <c:pt idx="2883">
                  <c:v>129.44999999999999</c:v>
                </c:pt>
                <c:pt idx="2884">
                  <c:v>128.66999999999999</c:v>
                </c:pt>
                <c:pt idx="2885">
                  <c:v>128.30100000000004</c:v>
                </c:pt>
                <c:pt idx="2886">
                  <c:v>126.81</c:v>
                </c:pt>
                <c:pt idx="2887">
                  <c:v>127.94000000000032</c:v>
                </c:pt>
                <c:pt idx="2888">
                  <c:v>129.60999999999999</c:v>
                </c:pt>
                <c:pt idx="2889">
                  <c:v>130.72</c:v>
                </c:pt>
                <c:pt idx="2890">
                  <c:v>131.97</c:v>
                </c:pt>
                <c:pt idx="2891">
                  <c:v>133.91999999999999</c:v>
                </c:pt>
                <c:pt idx="2892">
                  <c:v>133.81</c:v>
                </c:pt>
                <c:pt idx="2893">
                  <c:v>133.97</c:v>
                </c:pt>
                <c:pt idx="2894">
                  <c:v>135.36000000000001</c:v>
                </c:pt>
                <c:pt idx="2895">
                  <c:v>134.4</c:v>
                </c:pt>
                <c:pt idx="2896">
                  <c:v>131.97</c:v>
                </c:pt>
                <c:pt idx="2897">
                  <c:v>131.4</c:v>
                </c:pt>
                <c:pt idx="2898">
                  <c:v>131.84</c:v>
                </c:pt>
                <c:pt idx="2899">
                  <c:v>130.93</c:v>
                </c:pt>
                <c:pt idx="2900">
                  <c:v>131.69</c:v>
                </c:pt>
                <c:pt idx="2901">
                  <c:v>130.60999999999999</c:v>
                </c:pt>
                <c:pt idx="2902">
                  <c:v>132.72999999999999</c:v>
                </c:pt>
                <c:pt idx="2903">
                  <c:v>132.65</c:v>
                </c:pt>
                <c:pt idx="2904">
                  <c:v>134.49</c:v>
                </c:pt>
                <c:pt idx="2905">
                  <c:v>134.58000000000001</c:v>
                </c:pt>
                <c:pt idx="2906">
                  <c:v>133.83000000000001</c:v>
                </c:pt>
                <c:pt idx="2907">
                  <c:v>133.33000000000001</c:v>
                </c:pt>
                <c:pt idx="2908">
                  <c:v>130.6</c:v>
                </c:pt>
                <c:pt idx="2909">
                  <c:v>130.22</c:v>
                </c:pt>
                <c:pt idx="2910">
                  <c:v>129.33000000000001</c:v>
                </c:pt>
                <c:pt idx="2911">
                  <c:v>128.78</c:v>
                </c:pt>
                <c:pt idx="2912">
                  <c:v>125.49000000000002</c:v>
                </c:pt>
                <c:pt idx="2913">
                  <c:v>126.16999999999999</c:v>
                </c:pt>
                <c:pt idx="2914">
                  <c:v>120.26</c:v>
                </c:pt>
                <c:pt idx="2915">
                  <c:v>120.08</c:v>
                </c:pt>
                <c:pt idx="2916">
                  <c:v>112.26</c:v>
                </c:pt>
                <c:pt idx="2917">
                  <c:v>117.48</c:v>
                </c:pt>
                <c:pt idx="2918">
                  <c:v>112.29</c:v>
                </c:pt>
                <c:pt idx="2919">
                  <c:v>117.33</c:v>
                </c:pt>
                <c:pt idx="2920">
                  <c:v>118.11999999999999</c:v>
                </c:pt>
                <c:pt idx="2921">
                  <c:v>120.61999999999999</c:v>
                </c:pt>
                <c:pt idx="2922">
                  <c:v>119.59</c:v>
                </c:pt>
                <c:pt idx="2923">
                  <c:v>119.66999999999999</c:v>
                </c:pt>
                <c:pt idx="2924">
                  <c:v>114.51</c:v>
                </c:pt>
                <c:pt idx="2925">
                  <c:v>112.64</c:v>
                </c:pt>
                <c:pt idx="2926">
                  <c:v>112.73</c:v>
                </c:pt>
                <c:pt idx="2927">
                  <c:v>116.44000000000032</c:v>
                </c:pt>
                <c:pt idx="2928">
                  <c:v>118.08</c:v>
                </c:pt>
                <c:pt idx="2929">
                  <c:v>116.28</c:v>
                </c:pt>
                <c:pt idx="2930">
                  <c:v>117.97</c:v>
                </c:pt>
                <c:pt idx="2931">
                  <c:v>121.36</c:v>
                </c:pt>
                <c:pt idx="2932">
                  <c:v>121.67999999999998</c:v>
                </c:pt>
                <c:pt idx="2933">
                  <c:v>122.22</c:v>
                </c:pt>
                <c:pt idx="2934">
                  <c:v>120.94000000000032</c:v>
                </c:pt>
                <c:pt idx="2935">
                  <c:v>117.85</c:v>
                </c:pt>
                <c:pt idx="2936">
                  <c:v>116.99000000000002</c:v>
                </c:pt>
                <c:pt idx="2937">
                  <c:v>120.29</c:v>
                </c:pt>
                <c:pt idx="2938">
                  <c:v>119.04</c:v>
                </c:pt>
                <c:pt idx="2939">
                  <c:v>115.92</c:v>
                </c:pt>
                <c:pt idx="2940">
                  <c:v>116.66999999999999</c:v>
                </c:pt>
                <c:pt idx="2941">
                  <c:v>117.74000000000002</c:v>
                </c:pt>
                <c:pt idx="2942">
                  <c:v>119.36999999999999</c:v>
                </c:pt>
                <c:pt idx="2943">
                  <c:v>121.43</c:v>
                </c:pt>
                <c:pt idx="2944">
                  <c:v>121.521</c:v>
                </c:pt>
                <c:pt idx="2945">
                  <c:v>120.31</c:v>
                </c:pt>
                <c:pt idx="2946">
                  <c:v>120.16999999999999</c:v>
                </c:pt>
                <c:pt idx="2947">
                  <c:v>116.63</c:v>
                </c:pt>
                <c:pt idx="2948">
                  <c:v>112.86</c:v>
                </c:pt>
                <c:pt idx="2949">
                  <c:v>113.54</c:v>
                </c:pt>
                <c:pt idx="2950">
                  <c:v>116.24000000000002</c:v>
                </c:pt>
                <c:pt idx="2951">
                  <c:v>117.54</c:v>
                </c:pt>
                <c:pt idx="2952">
                  <c:v>115.145</c:v>
                </c:pt>
                <c:pt idx="2953">
                  <c:v>116.05</c:v>
                </c:pt>
                <c:pt idx="2954">
                  <c:v>113.14999999999999</c:v>
                </c:pt>
                <c:pt idx="2955">
                  <c:v>109.93</c:v>
                </c:pt>
                <c:pt idx="2956">
                  <c:v>112.34</c:v>
                </c:pt>
                <c:pt idx="2957">
                  <c:v>114.42</c:v>
                </c:pt>
                <c:pt idx="2958">
                  <c:v>116.49000000000002</c:v>
                </c:pt>
                <c:pt idx="2959">
                  <c:v>115.71000000000002</c:v>
                </c:pt>
                <c:pt idx="2960">
                  <c:v>119.58</c:v>
                </c:pt>
                <c:pt idx="2961">
                  <c:v>119.7</c:v>
                </c:pt>
                <c:pt idx="2962">
                  <c:v>120.75</c:v>
                </c:pt>
                <c:pt idx="2963">
                  <c:v>120.51</c:v>
                </c:pt>
                <c:pt idx="2964">
                  <c:v>122.57</c:v>
                </c:pt>
                <c:pt idx="2965">
                  <c:v>120.23</c:v>
                </c:pt>
                <c:pt idx="2966">
                  <c:v>122.58</c:v>
                </c:pt>
                <c:pt idx="2967">
                  <c:v>121.13</c:v>
                </c:pt>
                <c:pt idx="2968">
                  <c:v>121.66</c:v>
                </c:pt>
                <c:pt idx="2969">
                  <c:v>123.97</c:v>
                </c:pt>
                <c:pt idx="2970">
                  <c:v>125.49000000000002</c:v>
                </c:pt>
                <c:pt idx="2971">
                  <c:v>123.04900000000002</c:v>
                </c:pt>
                <c:pt idx="2972">
                  <c:v>124.3</c:v>
                </c:pt>
                <c:pt idx="2973">
                  <c:v>128.63</c:v>
                </c:pt>
                <c:pt idx="2974">
                  <c:v>128.6</c:v>
                </c:pt>
                <c:pt idx="2975">
                  <c:v>125.5</c:v>
                </c:pt>
                <c:pt idx="2976">
                  <c:v>122.002</c:v>
                </c:pt>
                <c:pt idx="2977">
                  <c:v>123.99000000000002</c:v>
                </c:pt>
                <c:pt idx="2978">
                  <c:v>126.25</c:v>
                </c:pt>
                <c:pt idx="2979">
                  <c:v>125.48099999999999</c:v>
                </c:pt>
                <c:pt idx="2980">
                  <c:v>126.26</c:v>
                </c:pt>
                <c:pt idx="2981">
                  <c:v>127.88</c:v>
                </c:pt>
                <c:pt idx="2982">
                  <c:v>123.161</c:v>
                </c:pt>
                <c:pt idx="2983">
                  <c:v>124.32</c:v>
                </c:pt>
                <c:pt idx="2984">
                  <c:v>126.66</c:v>
                </c:pt>
                <c:pt idx="2985">
                  <c:v>125.46000000000002</c:v>
                </c:pt>
                <c:pt idx="2986">
                  <c:v>126.083</c:v>
                </c:pt>
                <c:pt idx="2987">
                  <c:v>124.08</c:v>
                </c:pt>
                <c:pt idx="2988">
                  <c:v>122.10499999999999</c:v>
                </c:pt>
                <c:pt idx="2989">
                  <c:v>121.979</c:v>
                </c:pt>
                <c:pt idx="2990">
                  <c:v>119.661</c:v>
                </c:pt>
                <c:pt idx="2991">
                  <c:v>119.19</c:v>
                </c:pt>
                <c:pt idx="2992">
                  <c:v>116.56</c:v>
                </c:pt>
                <c:pt idx="2993">
                  <c:v>116.34</c:v>
                </c:pt>
                <c:pt idx="2994">
                  <c:v>119.71000000000002</c:v>
                </c:pt>
                <c:pt idx="2995">
                  <c:v>120.05</c:v>
                </c:pt>
                <c:pt idx="2996">
                  <c:v>124.99000000000002</c:v>
                </c:pt>
                <c:pt idx="2997">
                  <c:v>124.97</c:v>
                </c:pt>
                <c:pt idx="2998">
                  <c:v>124.86</c:v>
                </c:pt>
                <c:pt idx="2999">
                  <c:v>126.22</c:v>
                </c:pt>
                <c:pt idx="3000">
                  <c:v>126.26</c:v>
                </c:pt>
                <c:pt idx="3001">
                  <c:v>126.73</c:v>
                </c:pt>
                <c:pt idx="3002">
                  <c:v>123.95</c:v>
                </c:pt>
                <c:pt idx="3003">
                  <c:v>126.05</c:v>
                </c:pt>
                <c:pt idx="3004">
                  <c:v>124.21000000000002</c:v>
                </c:pt>
                <c:pt idx="3005">
                  <c:v>123.05</c:v>
                </c:pt>
                <c:pt idx="3006">
                  <c:v>121.74000000000002</c:v>
                </c:pt>
                <c:pt idx="3007">
                  <c:v>122.18499999999999</c:v>
                </c:pt>
                <c:pt idx="3008">
                  <c:v>121.59</c:v>
                </c:pt>
                <c:pt idx="3009">
                  <c:v>120.29</c:v>
                </c:pt>
                <c:pt idx="3010">
                  <c:v>123.93</c:v>
                </c:pt>
                <c:pt idx="3011">
                  <c:v>124.16999999999999</c:v>
                </c:pt>
                <c:pt idx="3012">
                  <c:v>125.27</c:v>
                </c:pt>
                <c:pt idx="3013">
                  <c:v>126.39</c:v>
                </c:pt>
                <c:pt idx="3014">
                  <c:v>126.49000000000002</c:v>
                </c:pt>
                <c:pt idx="3015">
                  <c:v>124.83</c:v>
                </c:pt>
                <c:pt idx="3016">
                  <c:v>126.11999999999999</c:v>
                </c:pt>
                <c:pt idx="3017">
                  <c:v>125.5</c:v>
                </c:pt>
                <c:pt idx="3018">
                  <c:v>127.495</c:v>
                </c:pt>
                <c:pt idx="3019">
                  <c:v>127.7</c:v>
                </c:pt>
                <c:pt idx="3020">
                  <c:v>128.04</c:v>
                </c:pt>
                <c:pt idx="3021">
                  <c:v>127.71000000000002</c:v>
                </c:pt>
                <c:pt idx="3022">
                  <c:v>128.02000000000001</c:v>
                </c:pt>
                <c:pt idx="3023">
                  <c:v>129.13</c:v>
                </c:pt>
                <c:pt idx="3024">
                  <c:v>129.19999999999999</c:v>
                </c:pt>
                <c:pt idx="3025">
                  <c:v>129.51</c:v>
                </c:pt>
                <c:pt idx="3026">
                  <c:v>128.84</c:v>
                </c:pt>
                <c:pt idx="3027">
                  <c:v>129.34</c:v>
                </c:pt>
                <c:pt idx="3028">
                  <c:v>130.76999999999998</c:v>
                </c:pt>
                <c:pt idx="3029">
                  <c:v>131.46</c:v>
                </c:pt>
                <c:pt idx="3030">
                  <c:v>131.54</c:v>
                </c:pt>
                <c:pt idx="3031">
                  <c:v>131.60999999999999</c:v>
                </c:pt>
                <c:pt idx="3032">
                  <c:v>131.46</c:v>
                </c:pt>
                <c:pt idx="3033">
                  <c:v>132.56</c:v>
                </c:pt>
                <c:pt idx="3034">
                  <c:v>131.88000000000065</c:v>
                </c:pt>
                <c:pt idx="3035">
                  <c:v>131.82000000000065</c:v>
                </c:pt>
                <c:pt idx="3036">
                  <c:v>131.37</c:v>
                </c:pt>
                <c:pt idx="3037">
                  <c:v>131.32000000000065</c:v>
                </c:pt>
                <c:pt idx="3038">
                  <c:v>132.47</c:v>
                </c:pt>
                <c:pt idx="3039">
                  <c:v>132.68</c:v>
                </c:pt>
                <c:pt idx="3040">
                  <c:v>134.54</c:v>
                </c:pt>
                <c:pt idx="3041">
                  <c:v>134.44999999999999</c:v>
                </c:pt>
                <c:pt idx="3042">
                  <c:v>134.79</c:v>
                </c:pt>
                <c:pt idx="3043">
                  <c:v>135.19</c:v>
                </c:pt>
                <c:pt idx="3044">
                  <c:v>135.36000000000001</c:v>
                </c:pt>
                <c:pt idx="3045">
                  <c:v>134.36100000000027</c:v>
                </c:pt>
                <c:pt idx="3046">
                  <c:v>135.36000000000001</c:v>
                </c:pt>
                <c:pt idx="3047">
                  <c:v>135.19</c:v>
                </c:pt>
                <c:pt idx="3048">
                  <c:v>134.56</c:v>
                </c:pt>
                <c:pt idx="3049">
                  <c:v>136.04899999999998</c:v>
                </c:pt>
                <c:pt idx="3050">
                  <c:v>136.41</c:v>
                </c:pt>
                <c:pt idx="3051">
                  <c:v>136.47</c:v>
                </c:pt>
                <c:pt idx="3052">
                  <c:v>136.03200000000001</c:v>
                </c:pt>
                <c:pt idx="3053">
                  <c:v>136.631</c:v>
                </c:pt>
                <c:pt idx="3054">
                  <c:v>136.93</c:v>
                </c:pt>
                <c:pt idx="3055">
                  <c:v>137.16</c:v>
                </c:pt>
                <c:pt idx="3056">
                  <c:v>137.559</c:v>
                </c:pt>
                <c:pt idx="3057">
                  <c:v>137.02000000000001</c:v>
                </c:pt>
                <c:pt idx="3058">
                  <c:v>137.72999999999999</c:v>
                </c:pt>
                <c:pt idx="3059">
                  <c:v>137.31200000000001</c:v>
                </c:pt>
                <c:pt idx="3060">
                  <c:v>136.75</c:v>
                </c:pt>
                <c:pt idx="3061">
                  <c:v>134.75</c:v>
                </c:pt>
                <c:pt idx="3062">
                  <c:v>135.69</c:v>
                </c:pt>
                <c:pt idx="3063">
                  <c:v>137.04</c:v>
                </c:pt>
                <c:pt idx="3064">
                  <c:v>137.57</c:v>
                </c:pt>
                <c:pt idx="3065">
                  <c:v>137.58000000000001</c:v>
                </c:pt>
                <c:pt idx="3066">
                  <c:v>140.06200000000001</c:v>
                </c:pt>
                <c:pt idx="3067">
                  <c:v>139.91</c:v>
                </c:pt>
                <c:pt idx="3068">
                  <c:v>140.72</c:v>
                </c:pt>
                <c:pt idx="3069">
                  <c:v>140.30000000000001</c:v>
                </c:pt>
                <c:pt idx="3070">
                  <c:v>140.85000000000065</c:v>
                </c:pt>
                <c:pt idx="3071">
                  <c:v>140.44</c:v>
                </c:pt>
                <c:pt idx="3072">
                  <c:v>140.20999999999998</c:v>
                </c:pt>
                <c:pt idx="3073">
                  <c:v>139.19999999999999</c:v>
                </c:pt>
                <c:pt idx="3074">
                  <c:v>139.65</c:v>
                </c:pt>
                <c:pt idx="3075">
                  <c:v>141.60999999999999</c:v>
                </c:pt>
                <c:pt idx="3076">
                  <c:v>141.16999999999999</c:v>
                </c:pt>
                <c:pt idx="3077">
                  <c:v>140.47</c:v>
                </c:pt>
                <c:pt idx="3078">
                  <c:v>140.22999999999999</c:v>
                </c:pt>
                <c:pt idx="3079">
                  <c:v>140.81</c:v>
                </c:pt>
                <c:pt idx="3080">
                  <c:v>141.84</c:v>
                </c:pt>
                <c:pt idx="3081">
                  <c:v>141.26</c:v>
                </c:pt>
                <c:pt idx="3082">
                  <c:v>139.86000000000001</c:v>
                </c:pt>
                <c:pt idx="3083">
                  <c:v>139.79</c:v>
                </c:pt>
                <c:pt idx="3084">
                  <c:v>138.22</c:v>
                </c:pt>
                <c:pt idx="3085">
                  <c:v>135.9</c:v>
                </c:pt>
                <c:pt idx="3086">
                  <c:v>137</c:v>
                </c:pt>
                <c:pt idx="3087">
                  <c:v>138.79</c:v>
                </c:pt>
                <c:pt idx="3088">
                  <c:v>137.13999999999999</c:v>
                </c:pt>
                <c:pt idx="3089">
                  <c:v>137.05000000000001</c:v>
                </c:pt>
                <c:pt idx="3090">
                  <c:v>139.08200000000065</c:v>
                </c:pt>
                <c:pt idx="3091">
                  <c:v>138.60999999999999</c:v>
                </c:pt>
                <c:pt idx="3092">
                  <c:v>137.72</c:v>
                </c:pt>
                <c:pt idx="3093">
                  <c:v>137.94999999999999</c:v>
                </c:pt>
                <c:pt idx="3094">
                  <c:v>136.79</c:v>
                </c:pt>
                <c:pt idx="3095">
                  <c:v>137.31</c:v>
                </c:pt>
                <c:pt idx="3096">
                  <c:v>139.19</c:v>
                </c:pt>
                <c:pt idx="3097">
                  <c:v>140.16</c:v>
                </c:pt>
                <c:pt idx="3098">
                  <c:v>140.39000000000001</c:v>
                </c:pt>
                <c:pt idx="3099">
                  <c:v>139.87</c:v>
                </c:pt>
                <c:pt idx="3100">
                  <c:v>140.73999999999998</c:v>
                </c:pt>
                <c:pt idx="3101">
                  <c:v>140.32500000000007</c:v>
                </c:pt>
                <c:pt idx="3102">
                  <c:v>139.25</c:v>
                </c:pt>
                <c:pt idx="3103">
                  <c:v>137</c:v>
                </c:pt>
                <c:pt idx="3104">
                  <c:v>137.1</c:v>
                </c:pt>
                <c:pt idx="3105">
                  <c:v>136.55000000000001</c:v>
                </c:pt>
                <c:pt idx="3106">
                  <c:v>135.73999999999998</c:v>
                </c:pt>
                <c:pt idx="3107">
                  <c:v>136.02000000000001</c:v>
                </c:pt>
                <c:pt idx="3108">
                  <c:v>135.60999999999999</c:v>
                </c:pt>
                <c:pt idx="3109">
                  <c:v>134.10999999999999</c:v>
                </c:pt>
                <c:pt idx="3110">
                  <c:v>133.34</c:v>
                </c:pt>
                <c:pt idx="3111">
                  <c:v>132.82900000000001</c:v>
                </c:pt>
                <c:pt idx="3112">
                  <c:v>130.86000000000001</c:v>
                </c:pt>
                <c:pt idx="3113">
                  <c:v>129.73999999999998</c:v>
                </c:pt>
                <c:pt idx="3114">
                  <c:v>131.97</c:v>
                </c:pt>
                <c:pt idx="3115">
                  <c:v>132.19999999999999</c:v>
                </c:pt>
                <c:pt idx="3116">
                  <c:v>132.26999999999998</c:v>
                </c:pt>
                <c:pt idx="3117">
                  <c:v>132.53</c:v>
                </c:pt>
                <c:pt idx="3118">
                  <c:v>132.1</c:v>
                </c:pt>
                <c:pt idx="3119">
                  <c:v>133.69999999999999</c:v>
                </c:pt>
                <c:pt idx="3120">
                  <c:v>131.76</c:v>
                </c:pt>
                <c:pt idx="3121">
                  <c:v>131.47</c:v>
                </c:pt>
                <c:pt idx="3122">
                  <c:v>128.16</c:v>
                </c:pt>
                <c:pt idx="3123">
                  <c:v>128.1</c:v>
                </c:pt>
                <c:pt idx="3124">
                  <c:v>129.07</c:v>
                </c:pt>
                <c:pt idx="3125">
                  <c:v>131.97</c:v>
                </c:pt>
                <c:pt idx="3126">
                  <c:v>132.05000000000001</c:v>
                </c:pt>
                <c:pt idx="3127">
                  <c:v>133.1</c:v>
                </c:pt>
                <c:pt idx="3128">
                  <c:v>131.41499999999999</c:v>
                </c:pt>
                <c:pt idx="3129">
                  <c:v>132.91999999999999</c:v>
                </c:pt>
                <c:pt idx="3130">
                  <c:v>132.07</c:v>
                </c:pt>
                <c:pt idx="3131">
                  <c:v>133.47</c:v>
                </c:pt>
                <c:pt idx="3132">
                  <c:v>134.13999999999999</c:v>
                </c:pt>
                <c:pt idx="3133">
                  <c:v>134.4</c:v>
                </c:pt>
                <c:pt idx="3134">
                  <c:v>135.69999999999999</c:v>
                </c:pt>
                <c:pt idx="3135">
                  <c:v>135.47999999999999</c:v>
                </c:pt>
                <c:pt idx="3136">
                  <c:v>132.44</c:v>
                </c:pt>
                <c:pt idx="3137">
                  <c:v>133.46</c:v>
                </c:pt>
                <c:pt idx="3138">
                  <c:v>131.32000000000065</c:v>
                </c:pt>
                <c:pt idx="3139">
                  <c:v>131.97999999999999</c:v>
                </c:pt>
                <c:pt idx="3140">
                  <c:v>133.17299999999997</c:v>
                </c:pt>
                <c:pt idx="3141">
                  <c:v>132.79</c:v>
                </c:pt>
                <c:pt idx="3142">
                  <c:v>136.10499999999999</c:v>
                </c:pt>
                <c:pt idx="3143">
                  <c:v>136.51</c:v>
                </c:pt>
                <c:pt idx="3144">
                  <c:v>137.41200000000001</c:v>
                </c:pt>
                <c:pt idx="3145">
                  <c:v>136.79</c:v>
                </c:pt>
                <c:pt idx="3146">
                  <c:v>135.49</c:v>
                </c:pt>
                <c:pt idx="3147">
                  <c:v>135.32000000000065</c:v>
                </c:pt>
                <c:pt idx="3148">
                  <c:v>134.13999999999999</c:v>
                </c:pt>
                <c:pt idx="3149">
                  <c:v>134.16</c:v>
                </c:pt>
                <c:pt idx="3150">
                  <c:v>133.51</c:v>
                </c:pt>
                <c:pt idx="3151">
                  <c:v>135.75</c:v>
                </c:pt>
                <c:pt idx="3152">
                  <c:v>135.43</c:v>
                </c:pt>
                <c:pt idx="3153">
                  <c:v>136.36000000000001</c:v>
                </c:pt>
                <c:pt idx="3154">
                  <c:v>137.37</c:v>
                </c:pt>
                <c:pt idx="3155">
                  <c:v>137.72999999999999</c:v>
                </c:pt>
                <c:pt idx="3156">
                  <c:v>136.47</c:v>
                </c:pt>
                <c:pt idx="3157">
                  <c:v>135.09</c:v>
                </c:pt>
                <c:pt idx="3158">
                  <c:v>133.92500000000001</c:v>
                </c:pt>
                <c:pt idx="3159">
                  <c:v>133.96</c:v>
                </c:pt>
                <c:pt idx="3160">
                  <c:v>136.16999999999999</c:v>
                </c:pt>
                <c:pt idx="3161">
                  <c:v>138.67499999999998</c:v>
                </c:pt>
                <c:pt idx="3162">
                  <c:v>138.68</c:v>
                </c:pt>
                <c:pt idx="3163">
                  <c:v>137.70999999999998</c:v>
                </c:pt>
                <c:pt idx="3164">
                  <c:v>137.59</c:v>
                </c:pt>
                <c:pt idx="3165">
                  <c:v>136.63999999999999</c:v>
                </c:pt>
                <c:pt idx="3166">
                  <c:v>139.34900000000002</c:v>
                </c:pt>
                <c:pt idx="3167">
                  <c:v>139.62</c:v>
                </c:pt>
                <c:pt idx="3168">
                  <c:v>140.32000000000065</c:v>
                </c:pt>
                <c:pt idx="3169">
                  <c:v>140.49</c:v>
                </c:pt>
                <c:pt idx="3170">
                  <c:v>140.60999999999999</c:v>
                </c:pt>
                <c:pt idx="3171">
                  <c:v>140.84</c:v>
                </c:pt>
                <c:pt idx="3172">
                  <c:v>140.76999999999998</c:v>
                </c:pt>
                <c:pt idx="3173">
                  <c:v>140.79</c:v>
                </c:pt>
                <c:pt idx="3174">
                  <c:v>140.94999999999999</c:v>
                </c:pt>
                <c:pt idx="3175">
                  <c:v>141.99</c:v>
                </c:pt>
                <c:pt idx="3176">
                  <c:v>142.18</c:v>
                </c:pt>
                <c:pt idx="3177">
                  <c:v>142.19</c:v>
                </c:pt>
                <c:pt idx="3178">
                  <c:v>141.76</c:v>
                </c:pt>
                <c:pt idx="3179">
                  <c:v>141.82000000000065</c:v>
                </c:pt>
                <c:pt idx="3180">
                  <c:v>140.66499999999999</c:v>
                </c:pt>
                <c:pt idx="3181">
                  <c:v>141.51</c:v>
                </c:pt>
                <c:pt idx="3182">
                  <c:v>141.54</c:v>
                </c:pt>
                <c:pt idx="3183">
                  <c:v>141.4</c:v>
                </c:pt>
                <c:pt idx="3184">
                  <c:v>141.51</c:v>
                </c:pt>
                <c:pt idx="3185">
                  <c:v>140.49</c:v>
                </c:pt>
                <c:pt idx="3186">
                  <c:v>141.16</c:v>
                </c:pt>
                <c:pt idx="3187">
                  <c:v>141.03</c:v>
                </c:pt>
                <c:pt idx="3188">
                  <c:v>140.91</c:v>
                </c:pt>
                <c:pt idx="3189">
                  <c:v>143.76999999999998</c:v>
                </c:pt>
                <c:pt idx="3190">
                  <c:v>144.33000000000001</c:v>
                </c:pt>
                <c:pt idx="3191">
                  <c:v>143.51</c:v>
                </c:pt>
                <c:pt idx="3192">
                  <c:v>143.91</c:v>
                </c:pt>
                <c:pt idx="3193">
                  <c:v>144.39000000000001</c:v>
                </c:pt>
                <c:pt idx="3194">
                  <c:v>146.59</c:v>
                </c:pt>
                <c:pt idx="3195">
                  <c:v>147.23999999999998</c:v>
                </c:pt>
                <c:pt idx="3196">
                  <c:v>146.73999999999998</c:v>
                </c:pt>
                <c:pt idx="3197">
                  <c:v>146.62</c:v>
                </c:pt>
                <c:pt idx="3198">
                  <c:v>146.69999999999999</c:v>
                </c:pt>
                <c:pt idx="3199">
                  <c:v>146.70999999999998</c:v>
                </c:pt>
                <c:pt idx="3200">
                  <c:v>145.87</c:v>
                </c:pt>
                <c:pt idx="3201">
                  <c:v>145.64499999999998</c:v>
                </c:pt>
                <c:pt idx="3202">
                  <c:v>144.1</c:v>
                </c:pt>
                <c:pt idx="3203">
                  <c:v>143.29499999999999</c:v>
                </c:pt>
                <c:pt idx="3204">
                  <c:v>144.63999999999999</c:v>
                </c:pt>
                <c:pt idx="3205">
                  <c:v>143.97</c:v>
                </c:pt>
                <c:pt idx="3206">
                  <c:v>144.345</c:v>
                </c:pt>
                <c:pt idx="3207">
                  <c:v>144.5</c:v>
                </c:pt>
                <c:pt idx="3208">
                  <c:v>145.09</c:v>
                </c:pt>
                <c:pt idx="3209">
                  <c:v>146.125</c:v>
                </c:pt>
                <c:pt idx="3210">
                  <c:v>146.13999999999999</c:v>
                </c:pt>
                <c:pt idx="3211">
                  <c:v>145.642</c:v>
                </c:pt>
                <c:pt idx="3212">
                  <c:v>144.19999999999999</c:v>
                </c:pt>
                <c:pt idx="3213">
                  <c:v>143.28</c:v>
                </c:pt>
                <c:pt idx="3214">
                  <c:v>143.36000000000001</c:v>
                </c:pt>
                <c:pt idx="3215">
                  <c:v>142.89000000000001</c:v>
                </c:pt>
                <c:pt idx="3216">
                  <c:v>144.08000000000001</c:v>
                </c:pt>
                <c:pt idx="3217">
                  <c:v>145.54</c:v>
                </c:pt>
                <c:pt idx="3218">
                  <c:v>146.19999999999999</c:v>
                </c:pt>
                <c:pt idx="3219">
                  <c:v>145.82000000000065</c:v>
                </c:pt>
                <c:pt idx="3220">
                  <c:v>143.3896</c:v>
                </c:pt>
                <c:pt idx="3221">
                  <c:v>143.41</c:v>
                </c:pt>
                <c:pt idx="3222">
                  <c:v>141.41999999999999</c:v>
                </c:pt>
                <c:pt idx="3223">
                  <c:v>141.02000000000001</c:v>
                </c:pt>
                <c:pt idx="3224">
                  <c:v>141.43</c:v>
                </c:pt>
                <c:pt idx="3225">
                  <c:v>141.35000000000065</c:v>
                </c:pt>
                <c:pt idx="3226">
                  <c:v>141.35000000000065</c:v>
                </c:pt>
                <c:pt idx="3227">
                  <c:v>142.83000000000001</c:v>
                </c:pt>
                <c:pt idx="3228">
                  <c:v>141.56</c:v>
                </c:pt>
                <c:pt idx="3229">
                  <c:v>141.8486</c:v>
                </c:pt>
                <c:pt idx="3230">
                  <c:v>142.96</c:v>
                </c:pt>
                <c:pt idx="3231">
                  <c:v>139.72</c:v>
                </c:pt>
                <c:pt idx="3232">
                  <c:v>138.04</c:v>
                </c:pt>
                <c:pt idx="3233">
                  <c:v>138.16</c:v>
                </c:pt>
                <c:pt idx="3234">
                  <c:v>138.26499999999999</c:v>
                </c:pt>
                <c:pt idx="3235">
                  <c:v>137.79</c:v>
                </c:pt>
                <c:pt idx="3236">
                  <c:v>135.9299</c:v>
                </c:pt>
                <c:pt idx="3237">
                  <c:v>135.69999999999999</c:v>
                </c:pt>
                <c:pt idx="3238">
                  <c:v>136.37</c:v>
                </c:pt>
                <c:pt idx="3239">
                  <c:v>139.13</c:v>
                </c:pt>
                <c:pt idx="3240">
                  <c:v>139.19</c:v>
                </c:pt>
                <c:pt idx="3241">
                  <c:v>139.44999999999999</c:v>
                </c:pt>
                <c:pt idx="3242">
                  <c:v>141.35000000000065</c:v>
                </c:pt>
                <c:pt idx="3243">
                  <c:v>141.05000000000001</c:v>
                </c:pt>
                <c:pt idx="3244">
                  <c:v>140.33000000000001</c:v>
                </c:pt>
                <c:pt idx="3245">
                  <c:v>141.46</c:v>
                </c:pt>
                <c:pt idx="3246">
                  <c:v>142.12</c:v>
                </c:pt>
                <c:pt idx="3247">
                  <c:v>142.155</c:v>
                </c:pt>
                <c:pt idx="3248">
                  <c:v>141.44999999999999</c:v>
                </c:pt>
                <c:pt idx="3249">
                  <c:v>141.25</c:v>
                </c:pt>
                <c:pt idx="3250">
                  <c:v>141.5</c:v>
                </c:pt>
                <c:pt idx="3251">
                  <c:v>141.97999999999999</c:v>
                </c:pt>
                <c:pt idx="3252">
                  <c:v>142.41499999999999</c:v>
                </c:pt>
                <c:pt idx="3253">
                  <c:v>142.47299999999998</c:v>
                </c:pt>
                <c:pt idx="3254">
                  <c:v>143.44</c:v>
                </c:pt>
                <c:pt idx="3255">
                  <c:v>143.51</c:v>
                </c:pt>
                <c:pt idx="3256">
                  <c:v>142.63</c:v>
                </c:pt>
                <c:pt idx="3257">
                  <c:v>142.10509999999999</c:v>
                </c:pt>
                <c:pt idx="3258">
                  <c:v>143.76999999999998</c:v>
                </c:pt>
                <c:pt idx="3259">
                  <c:v>145.37</c:v>
                </c:pt>
                <c:pt idx="3260">
                  <c:v>144.29</c:v>
                </c:pt>
                <c:pt idx="3261">
                  <c:v>145.12</c:v>
                </c:pt>
                <c:pt idx="3262">
                  <c:v>142.79</c:v>
                </c:pt>
                <c:pt idx="3263">
                  <c:v>142.35000000000065</c:v>
                </c:pt>
                <c:pt idx="3264">
                  <c:v>141.75</c:v>
                </c:pt>
                <c:pt idx="3265">
                  <c:v>141.5616</c:v>
                </c:pt>
                <c:pt idx="3266">
                  <c:v>140.03</c:v>
                </c:pt>
                <c:pt idx="3267">
                  <c:v>142.41</c:v>
                </c:pt>
                <c:pt idx="3268">
                  <c:v>146.06</c:v>
                </c:pt>
                <c:pt idx="3269">
                  <c:v>145.73409999999998</c:v>
                </c:pt>
                <c:pt idx="3270">
                  <c:v>146.37</c:v>
                </c:pt>
                <c:pt idx="3271">
                  <c:v>145.96949999999998</c:v>
                </c:pt>
                <c:pt idx="3272">
                  <c:v>145.54959999999934</c:v>
                </c:pt>
                <c:pt idx="3273">
                  <c:v>145.91999999999999</c:v>
                </c:pt>
                <c:pt idx="3274">
                  <c:v>147.08000000000001</c:v>
                </c:pt>
                <c:pt idx="3275">
                  <c:v>147.07</c:v>
                </c:pt>
                <c:pt idx="3276">
                  <c:v>146.97</c:v>
                </c:pt>
                <c:pt idx="3277">
                  <c:v>147.07</c:v>
                </c:pt>
                <c:pt idx="3278">
                  <c:v>147.05000000000001</c:v>
                </c:pt>
                <c:pt idx="3279">
                  <c:v>148</c:v>
                </c:pt>
                <c:pt idx="3280">
                  <c:v>148.33000000000001</c:v>
                </c:pt>
                <c:pt idx="3281">
                  <c:v>149.13</c:v>
                </c:pt>
                <c:pt idx="3282">
                  <c:v>149.37</c:v>
                </c:pt>
                <c:pt idx="3283">
                  <c:v>149.41</c:v>
                </c:pt>
                <c:pt idx="3284">
                  <c:v>150.25</c:v>
                </c:pt>
                <c:pt idx="3285">
                  <c:v>150.07</c:v>
                </c:pt>
                <c:pt idx="3286">
                  <c:v>150.66</c:v>
                </c:pt>
                <c:pt idx="3287">
                  <c:v>150.07</c:v>
                </c:pt>
                <c:pt idx="3288">
                  <c:v>149.69999999999999</c:v>
                </c:pt>
                <c:pt idx="3289">
                  <c:v>151.23999999999998</c:v>
                </c:pt>
                <c:pt idx="3290">
                  <c:v>149.535</c:v>
                </c:pt>
                <c:pt idx="3291">
                  <c:v>151.05000000000001</c:v>
                </c:pt>
                <c:pt idx="3292">
                  <c:v>151.16</c:v>
                </c:pt>
                <c:pt idx="3293">
                  <c:v>150.96</c:v>
                </c:pt>
                <c:pt idx="3294">
                  <c:v>151.80000000000001</c:v>
                </c:pt>
                <c:pt idx="3295">
                  <c:v>151.76999999999998</c:v>
                </c:pt>
                <c:pt idx="3296">
                  <c:v>152.02000000000001</c:v>
                </c:pt>
                <c:pt idx="3297">
                  <c:v>152.15100000000001</c:v>
                </c:pt>
                <c:pt idx="3298">
                  <c:v>152.29</c:v>
                </c:pt>
                <c:pt idx="3299">
                  <c:v>152.10999999999999</c:v>
                </c:pt>
                <c:pt idx="3300">
                  <c:v>153.25</c:v>
                </c:pt>
                <c:pt idx="3301">
                  <c:v>151.34</c:v>
                </c:pt>
                <c:pt idx="3302">
                  <c:v>150.41999999999999</c:v>
                </c:pt>
                <c:pt idx="3303">
                  <c:v>151.89000000000001</c:v>
                </c:pt>
                <c:pt idx="3304">
                  <c:v>149</c:v>
                </c:pt>
                <c:pt idx="3305">
                  <c:v>150.02000000000001</c:v>
                </c:pt>
                <c:pt idx="3306">
                  <c:v>151.91</c:v>
                </c:pt>
                <c:pt idx="3307">
                  <c:v>151.60999999999999</c:v>
                </c:pt>
                <c:pt idx="3308">
                  <c:v>152.10999999999999</c:v>
                </c:pt>
                <c:pt idx="3309">
                  <c:v>152.91999999999999</c:v>
                </c:pt>
                <c:pt idx="3310">
                  <c:v>154.29</c:v>
                </c:pt>
                <c:pt idx="3311">
                  <c:v>154.5</c:v>
                </c:pt>
                <c:pt idx="3312">
                  <c:v>154.77599999999998</c:v>
                </c:pt>
                <c:pt idx="3313">
                  <c:v>155.44</c:v>
                </c:pt>
                <c:pt idx="3314">
                  <c:v>156.03</c:v>
                </c:pt>
                <c:pt idx="3315">
                  <c:v>155.68</c:v>
                </c:pt>
                <c:pt idx="3316">
                  <c:v>155.905</c:v>
                </c:pt>
                <c:pt idx="3317">
                  <c:v>156.72999999999999</c:v>
                </c:pt>
                <c:pt idx="3318">
                  <c:v>155.83000000000001</c:v>
                </c:pt>
                <c:pt idx="3319">
                  <c:v>154.97</c:v>
                </c:pt>
                <c:pt idx="3320">
                  <c:v>154.60999999999999</c:v>
                </c:pt>
                <c:pt idx="3321">
                  <c:v>155.69</c:v>
                </c:pt>
                <c:pt idx="3322">
                  <c:v>154.35900000000001</c:v>
                </c:pt>
                <c:pt idx="3323">
                  <c:v>155.6</c:v>
                </c:pt>
                <c:pt idx="3324">
                  <c:v>154.94999999999999</c:v>
                </c:pt>
                <c:pt idx="3325">
                  <c:v>156.19</c:v>
                </c:pt>
                <c:pt idx="3326">
                  <c:v>156.19</c:v>
                </c:pt>
                <c:pt idx="3327">
                  <c:v>156.66999999999999</c:v>
                </c:pt>
                <c:pt idx="3328">
                  <c:v>156.05000000000001</c:v>
                </c:pt>
                <c:pt idx="3329">
                  <c:v>156.82000000000065</c:v>
                </c:pt>
                <c:pt idx="3330">
                  <c:v>155.22999999999999</c:v>
                </c:pt>
                <c:pt idx="3331">
                  <c:v>155.86000000000001</c:v>
                </c:pt>
                <c:pt idx="3332">
                  <c:v>155.15800000000004</c:v>
                </c:pt>
                <c:pt idx="3333">
                  <c:v>156.20999999999998</c:v>
                </c:pt>
                <c:pt idx="3334">
                  <c:v>156.75</c:v>
                </c:pt>
                <c:pt idx="3335">
                  <c:v>158.66999999999999</c:v>
                </c:pt>
                <c:pt idx="3336">
                  <c:v>159.19</c:v>
                </c:pt>
                <c:pt idx="3337">
                  <c:v>158.80000000000001</c:v>
                </c:pt>
                <c:pt idx="3338">
                  <c:v>155.11799999999999</c:v>
                </c:pt>
                <c:pt idx="3339">
                  <c:v>157.41</c:v>
                </c:pt>
                <c:pt idx="3340">
                  <c:v>155.10999999999999</c:v>
                </c:pt>
                <c:pt idx="3341">
                  <c:v>154.13999999999999</c:v>
                </c:pt>
                <c:pt idx="3342">
                  <c:v>155.47999999999999</c:v>
                </c:pt>
                <c:pt idx="3343">
                  <c:v>156.16999999999999</c:v>
                </c:pt>
                <c:pt idx="3344">
                  <c:v>157.78</c:v>
                </c:pt>
                <c:pt idx="3345">
                  <c:v>157.88000000000065</c:v>
                </c:pt>
                <c:pt idx="3346">
                  <c:v>158.52000000000001</c:v>
                </c:pt>
                <c:pt idx="3347">
                  <c:v>158.23999999999998</c:v>
                </c:pt>
                <c:pt idx="3348">
                  <c:v>159.30000000000001</c:v>
                </c:pt>
                <c:pt idx="3349">
                  <c:v>159.68</c:v>
                </c:pt>
                <c:pt idx="3350">
                  <c:v>158.28</c:v>
                </c:pt>
                <c:pt idx="3351">
                  <c:v>159.75</c:v>
                </c:pt>
                <c:pt idx="3352">
                  <c:v>161.36800000000065</c:v>
                </c:pt>
                <c:pt idx="3353">
                  <c:v>161.78</c:v>
                </c:pt>
                <c:pt idx="3354">
                  <c:v>162.59989999999999</c:v>
                </c:pt>
                <c:pt idx="3355">
                  <c:v>163.34</c:v>
                </c:pt>
                <c:pt idx="3356">
                  <c:v>162.88100000000065</c:v>
                </c:pt>
                <c:pt idx="3357">
                  <c:v>163.41</c:v>
                </c:pt>
                <c:pt idx="3358">
                  <c:v>163.54</c:v>
                </c:pt>
                <c:pt idx="3359">
                  <c:v>165.23</c:v>
                </c:pt>
                <c:pt idx="3360">
                  <c:v>166.11499999999998</c:v>
                </c:pt>
                <c:pt idx="3361">
                  <c:v>165.34</c:v>
                </c:pt>
                <c:pt idx="3362">
                  <c:v>166.94</c:v>
                </c:pt>
                <c:pt idx="3363">
                  <c:v>166.93</c:v>
                </c:pt>
                <c:pt idx="3364">
                  <c:v>167.17</c:v>
                </c:pt>
                <c:pt idx="3365">
                  <c:v>165.93</c:v>
                </c:pt>
                <c:pt idx="3366">
                  <c:v>165.45000000000007</c:v>
                </c:pt>
                <c:pt idx="3367">
                  <c:v>165.30800000000065</c:v>
                </c:pt>
                <c:pt idx="3368">
                  <c:v>166.3</c:v>
                </c:pt>
                <c:pt idx="3369">
                  <c:v>165.22</c:v>
                </c:pt>
                <c:pt idx="3370">
                  <c:v>165.83</c:v>
                </c:pt>
                <c:pt idx="3371">
                  <c:v>163.44499999999999</c:v>
                </c:pt>
                <c:pt idx="3372">
                  <c:v>164.35000000000065</c:v>
                </c:pt>
                <c:pt idx="3373">
                  <c:v>163.56</c:v>
                </c:pt>
                <c:pt idx="3374">
                  <c:v>161.27199999999999</c:v>
                </c:pt>
                <c:pt idx="3375">
                  <c:v>162.72999999999999</c:v>
                </c:pt>
                <c:pt idx="3376">
                  <c:v>164.8</c:v>
                </c:pt>
                <c:pt idx="3377">
                  <c:v>164.8</c:v>
                </c:pt>
                <c:pt idx="3378">
                  <c:v>163.09800000000001</c:v>
                </c:pt>
                <c:pt idx="3379">
                  <c:v>161.75</c:v>
                </c:pt>
                <c:pt idx="3380">
                  <c:v>164.20999999999998</c:v>
                </c:pt>
                <c:pt idx="3381">
                  <c:v>163.17499999999998</c:v>
                </c:pt>
                <c:pt idx="3382">
                  <c:v>164.44</c:v>
                </c:pt>
                <c:pt idx="3383">
                  <c:v>165.73499999999999</c:v>
                </c:pt>
                <c:pt idx="3384">
                  <c:v>163.44999999999999</c:v>
                </c:pt>
                <c:pt idx="3385">
                  <c:v>159.4</c:v>
                </c:pt>
                <c:pt idx="3386">
                  <c:v>159.07</c:v>
                </c:pt>
                <c:pt idx="3387">
                  <c:v>157.06</c:v>
                </c:pt>
                <c:pt idx="3388">
                  <c:v>158.57499999999999</c:v>
                </c:pt>
                <c:pt idx="3389">
                  <c:v>160.13999999999999</c:v>
                </c:pt>
                <c:pt idx="3390">
                  <c:v>161.08000000000001</c:v>
                </c:pt>
                <c:pt idx="3391">
                  <c:v>160.41999999999999</c:v>
                </c:pt>
                <c:pt idx="3392">
                  <c:v>161.36000000000001</c:v>
                </c:pt>
                <c:pt idx="3393">
                  <c:v>161.20999999999998</c:v>
                </c:pt>
                <c:pt idx="3394">
                  <c:v>161.28</c:v>
                </c:pt>
                <c:pt idx="3395">
                  <c:v>163.02000000000001</c:v>
                </c:pt>
                <c:pt idx="3396">
                  <c:v>163.94499999999999</c:v>
                </c:pt>
                <c:pt idx="3397">
                  <c:v>165.13</c:v>
                </c:pt>
                <c:pt idx="3398">
                  <c:v>165.19200000000001</c:v>
                </c:pt>
                <c:pt idx="3399">
                  <c:v>167.44</c:v>
                </c:pt>
                <c:pt idx="3400">
                  <c:v>167.51</c:v>
                </c:pt>
                <c:pt idx="3401">
                  <c:v>168.155</c:v>
                </c:pt>
                <c:pt idx="3402">
                  <c:v>167.52500000000001</c:v>
                </c:pt>
                <c:pt idx="3403">
                  <c:v>167.95010000000065</c:v>
                </c:pt>
                <c:pt idx="3404">
                  <c:v>168.87</c:v>
                </c:pt>
                <c:pt idx="3405">
                  <c:v>169.17</c:v>
                </c:pt>
                <c:pt idx="3406">
                  <c:v>169.5</c:v>
                </c:pt>
                <c:pt idx="3407">
                  <c:v>169.14</c:v>
                </c:pt>
                <c:pt idx="3408">
                  <c:v>168.52</c:v>
                </c:pt>
                <c:pt idx="3409">
                  <c:v>168.93</c:v>
                </c:pt>
                <c:pt idx="3410">
                  <c:v>169.10999999999999</c:v>
                </c:pt>
                <c:pt idx="3411">
                  <c:v>168.59</c:v>
                </c:pt>
                <c:pt idx="3412">
                  <c:v>168.58800000000065</c:v>
                </c:pt>
                <c:pt idx="3413">
                  <c:v>168.70999999999998</c:v>
                </c:pt>
                <c:pt idx="3414">
                  <c:v>170.66</c:v>
                </c:pt>
                <c:pt idx="3415">
                  <c:v>170.95000000000007</c:v>
                </c:pt>
                <c:pt idx="3416">
                  <c:v>170.7</c:v>
                </c:pt>
                <c:pt idx="3417">
                  <c:v>169.73</c:v>
                </c:pt>
                <c:pt idx="3418">
                  <c:v>169.18</c:v>
                </c:pt>
                <c:pt idx="3419">
                  <c:v>169.8</c:v>
                </c:pt>
                <c:pt idx="3420">
                  <c:v>169.31</c:v>
                </c:pt>
                <c:pt idx="3421">
                  <c:v>169.11099999999999</c:v>
                </c:pt>
                <c:pt idx="3422">
                  <c:v>169.60999999999999</c:v>
                </c:pt>
                <c:pt idx="3423">
                  <c:v>168.73999999999998</c:v>
                </c:pt>
                <c:pt idx="3424">
                  <c:v>166.38000000000065</c:v>
                </c:pt>
                <c:pt idx="3425">
                  <c:v>165.83</c:v>
                </c:pt>
                <c:pt idx="3426">
                  <c:v>164.76999999999998</c:v>
                </c:pt>
                <c:pt idx="3427">
                  <c:v>165.58</c:v>
                </c:pt>
                <c:pt idx="3428">
                  <c:v>164.56</c:v>
                </c:pt>
                <c:pt idx="3429">
                  <c:v>166.06</c:v>
                </c:pt>
                <c:pt idx="3430">
                  <c:v>166.62</c:v>
                </c:pt>
                <c:pt idx="3431">
                  <c:v>166</c:v>
                </c:pt>
                <c:pt idx="3432">
                  <c:v>163.33000000000001</c:v>
                </c:pt>
                <c:pt idx="3433">
                  <c:v>163.91</c:v>
                </c:pt>
                <c:pt idx="3434">
                  <c:v>164.17</c:v>
                </c:pt>
                <c:pt idx="3435">
                  <c:v>163.65</c:v>
                </c:pt>
                <c:pt idx="3436">
                  <c:v>164.39000000000001</c:v>
                </c:pt>
                <c:pt idx="3437">
                  <c:v>165.75</c:v>
                </c:pt>
                <c:pt idx="3438">
                  <c:v>165.96</c:v>
                </c:pt>
                <c:pt idx="3439">
                  <c:v>166.04</c:v>
                </c:pt>
                <c:pt idx="3440">
                  <c:v>167.63399999999999</c:v>
                </c:pt>
                <c:pt idx="3441">
                  <c:v>168.87</c:v>
                </c:pt>
                <c:pt idx="3442">
                  <c:v>169.4</c:v>
                </c:pt>
                <c:pt idx="3443">
                  <c:v>168.95000000000007</c:v>
                </c:pt>
                <c:pt idx="3444">
                  <c:v>169.33</c:v>
                </c:pt>
                <c:pt idx="3445">
                  <c:v>170.31</c:v>
                </c:pt>
                <c:pt idx="3446">
                  <c:v>171.07</c:v>
                </c:pt>
                <c:pt idx="3447">
                  <c:v>173.05100000000004</c:v>
                </c:pt>
                <c:pt idx="3448">
                  <c:v>172.76</c:v>
                </c:pt>
                <c:pt idx="3449">
                  <c:v>170.72</c:v>
                </c:pt>
                <c:pt idx="3450">
                  <c:v>169.93</c:v>
                </c:pt>
                <c:pt idx="3451">
                  <c:v>169.53</c:v>
                </c:pt>
                <c:pt idx="3452">
                  <c:v>169.04</c:v>
                </c:pt>
                <c:pt idx="3453">
                  <c:v>169.69</c:v>
                </c:pt>
                <c:pt idx="3454">
                  <c:v>168.90900000000002</c:v>
                </c:pt>
                <c:pt idx="3455">
                  <c:v>168.01</c:v>
                </c:pt>
                <c:pt idx="3456">
                  <c:v>169.34</c:v>
                </c:pt>
                <c:pt idx="3457">
                  <c:v>169.18</c:v>
                </c:pt>
                <c:pt idx="3458">
                  <c:v>167.62</c:v>
                </c:pt>
                <c:pt idx="3459">
                  <c:v>168.89000000000001</c:v>
                </c:pt>
                <c:pt idx="3460">
                  <c:v>167.43</c:v>
                </c:pt>
                <c:pt idx="3461">
                  <c:v>165.48000000000027</c:v>
                </c:pt>
                <c:pt idx="3462">
                  <c:v>165.6</c:v>
                </c:pt>
                <c:pt idx="3463">
                  <c:v>169.17</c:v>
                </c:pt>
                <c:pt idx="3464">
                  <c:v>170.26</c:v>
                </c:pt>
                <c:pt idx="3465">
                  <c:v>170.94</c:v>
                </c:pt>
                <c:pt idx="3466">
                  <c:v>169.7</c:v>
                </c:pt>
                <c:pt idx="3467">
                  <c:v>172.07</c:v>
                </c:pt>
                <c:pt idx="3468">
                  <c:v>173.22</c:v>
                </c:pt>
                <c:pt idx="3469">
                  <c:v>174.3880000000008</c:v>
                </c:pt>
                <c:pt idx="3470">
                  <c:v>174.4</c:v>
                </c:pt>
                <c:pt idx="3471">
                  <c:v>175.41</c:v>
                </c:pt>
                <c:pt idx="3472">
                  <c:v>174.57</c:v>
                </c:pt>
                <c:pt idx="3473">
                  <c:v>175.15</c:v>
                </c:pt>
                <c:pt idx="3474">
                  <c:v>175.95000000000007</c:v>
                </c:pt>
                <c:pt idx="3475">
                  <c:v>176.23</c:v>
                </c:pt>
                <c:pt idx="3476">
                  <c:v>177.17</c:v>
                </c:pt>
                <c:pt idx="3477">
                  <c:v>176.29</c:v>
                </c:pt>
                <c:pt idx="3478">
                  <c:v>175.79</c:v>
                </c:pt>
                <c:pt idx="3479">
                  <c:v>176.20999999999998</c:v>
                </c:pt>
                <c:pt idx="3480">
                  <c:v>176.83</c:v>
                </c:pt>
                <c:pt idx="3481">
                  <c:v>176.26999999999998</c:v>
                </c:pt>
                <c:pt idx="3482">
                  <c:v>177.17</c:v>
                </c:pt>
                <c:pt idx="3483">
                  <c:v>174.93</c:v>
                </c:pt>
                <c:pt idx="3484">
                  <c:v>177.29</c:v>
                </c:pt>
                <c:pt idx="3485">
                  <c:v>177.32000000000065</c:v>
                </c:pt>
                <c:pt idx="3486">
                  <c:v>176.96</c:v>
                </c:pt>
                <c:pt idx="3487">
                  <c:v>178.38000000000065</c:v>
                </c:pt>
                <c:pt idx="3488">
                  <c:v>179.26999999999998</c:v>
                </c:pt>
                <c:pt idx="3489">
                  <c:v>180.05</c:v>
                </c:pt>
                <c:pt idx="3490">
                  <c:v>179.42000000000004</c:v>
                </c:pt>
                <c:pt idx="3491">
                  <c:v>179.03</c:v>
                </c:pt>
                <c:pt idx="3492">
                  <c:v>178.47</c:v>
                </c:pt>
                <c:pt idx="3493">
                  <c:v>179.91</c:v>
                </c:pt>
                <c:pt idx="3494">
                  <c:v>180.81</c:v>
                </c:pt>
                <c:pt idx="3495">
                  <c:v>180.63</c:v>
                </c:pt>
                <c:pt idx="3496">
                  <c:v>180.68</c:v>
                </c:pt>
                <c:pt idx="3497">
                  <c:v>181.12</c:v>
                </c:pt>
                <c:pt idx="3498">
                  <c:v>181</c:v>
                </c:pt>
                <c:pt idx="3499">
                  <c:v>180.53</c:v>
                </c:pt>
                <c:pt idx="3500">
                  <c:v>179.75</c:v>
                </c:pt>
                <c:pt idx="3501">
                  <c:v>179.73</c:v>
                </c:pt>
                <c:pt idx="3502">
                  <c:v>178.94</c:v>
                </c:pt>
                <c:pt idx="3503">
                  <c:v>180.94</c:v>
                </c:pt>
                <c:pt idx="3504">
                  <c:v>181.4</c:v>
                </c:pt>
                <c:pt idx="3505">
                  <c:v>180.75</c:v>
                </c:pt>
                <c:pt idx="3506">
                  <c:v>178.72</c:v>
                </c:pt>
                <c:pt idx="3507">
                  <c:v>178.13</c:v>
                </c:pt>
                <c:pt idx="3508">
                  <c:v>178.10999999999999</c:v>
                </c:pt>
                <c:pt idx="3509">
                  <c:v>179.21599999999998</c:v>
                </c:pt>
                <c:pt idx="3510">
                  <c:v>178.65</c:v>
                </c:pt>
                <c:pt idx="3511">
                  <c:v>181.7</c:v>
                </c:pt>
                <c:pt idx="3512">
                  <c:v>181.49</c:v>
                </c:pt>
                <c:pt idx="3513">
                  <c:v>181.56</c:v>
                </c:pt>
                <c:pt idx="3514">
                  <c:v>182.53</c:v>
                </c:pt>
                <c:pt idx="3515">
                  <c:v>182.93</c:v>
                </c:pt>
                <c:pt idx="3516">
                  <c:v>183.85500000000027</c:v>
                </c:pt>
                <c:pt idx="3517">
                  <c:v>183.845</c:v>
                </c:pt>
                <c:pt idx="3518">
                  <c:v>183.82000000000065</c:v>
                </c:pt>
                <c:pt idx="3519">
                  <c:v>184.69</c:v>
                </c:pt>
                <c:pt idx="3520">
                  <c:v>182.92000000000004</c:v>
                </c:pt>
                <c:pt idx="3521">
                  <c:v>182.88500000000047</c:v>
                </c:pt>
                <c:pt idx="3522">
                  <c:v>182.36</c:v>
                </c:pt>
                <c:pt idx="3523">
                  <c:v>183.48000000000027</c:v>
                </c:pt>
                <c:pt idx="3524">
                  <c:v>183.52</c:v>
                </c:pt>
                <c:pt idx="3525">
                  <c:v>183.64</c:v>
                </c:pt>
                <c:pt idx="3526">
                  <c:v>184.14</c:v>
                </c:pt>
                <c:pt idx="3527">
                  <c:v>181.685</c:v>
                </c:pt>
                <c:pt idx="3528">
                  <c:v>183.67</c:v>
                </c:pt>
                <c:pt idx="3529">
                  <c:v>184.66</c:v>
                </c:pt>
                <c:pt idx="3530">
                  <c:v>184.42000000000004</c:v>
                </c:pt>
                <c:pt idx="3531">
                  <c:v>183.63499999999999</c:v>
                </c:pt>
                <c:pt idx="3532">
                  <c:v>184.18</c:v>
                </c:pt>
                <c:pt idx="3533">
                  <c:v>184.3</c:v>
                </c:pt>
                <c:pt idx="3534">
                  <c:v>182.79</c:v>
                </c:pt>
                <c:pt idx="3535">
                  <c:v>178.89000000000001</c:v>
                </c:pt>
                <c:pt idx="3536">
                  <c:v>178.01</c:v>
                </c:pt>
                <c:pt idx="3537">
                  <c:v>179.07</c:v>
                </c:pt>
                <c:pt idx="3538">
                  <c:v>177.35000000000065</c:v>
                </c:pt>
                <c:pt idx="3539">
                  <c:v>179.23</c:v>
                </c:pt>
                <c:pt idx="3540">
                  <c:v>178.18</c:v>
                </c:pt>
                <c:pt idx="3541">
                  <c:v>174.17</c:v>
                </c:pt>
                <c:pt idx="3542">
                  <c:v>175.38500000000047</c:v>
                </c:pt>
                <c:pt idx="3543">
                  <c:v>175.17</c:v>
                </c:pt>
                <c:pt idx="3544">
                  <c:v>177.48000000000027</c:v>
                </c:pt>
                <c:pt idx="3545">
                  <c:v>179.68</c:v>
                </c:pt>
                <c:pt idx="3546">
                  <c:v>180.01</c:v>
                </c:pt>
                <c:pt idx="3547">
                  <c:v>181.98000000000027</c:v>
                </c:pt>
                <c:pt idx="3548">
                  <c:v>182.07</c:v>
                </c:pt>
                <c:pt idx="3549">
                  <c:v>183.01</c:v>
                </c:pt>
                <c:pt idx="3550">
                  <c:v>184.02</c:v>
                </c:pt>
                <c:pt idx="3551">
                  <c:v>184.23999999999998</c:v>
                </c:pt>
                <c:pt idx="3552">
                  <c:v>183.02</c:v>
                </c:pt>
                <c:pt idx="3553">
                  <c:v>184.1</c:v>
                </c:pt>
                <c:pt idx="3554">
                  <c:v>183.89000000000001</c:v>
                </c:pt>
                <c:pt idx="3555">
                  <c:v>184.91</c:v>
                </c:pt>
                <c:pt idx="3556">
                  <c:v>184.84</c:v>
                </c:pt>
                <c:pt idx="3557">
                  <c:v>184.85000000000065</c:v>
                </c:pt>
                <c:pt idx="3558">
                  <c:v>185.82000000000065</c:v>
                </c:pt>
                <c:pt idx="3559">
                  <c:v>186.29</c:v>
                </c:pt>
                <c:pt idx="3560">
                  <c:v>184.98000000000027</c:v>
                </c:pt>
                <c:pt idx="3561">
                  <c:v>187.58</c:v>
                </c:pt>
                <c:pt idx="3562">
                  <c:v>187.75</c:v>
                </c:pt>
                <c:pt idx="3563">
                  <c:v>188.18</c:v>
                </c:pt>
                <c:pt idx="3564">
                  <c:v>188.26</c:v>
                </c:pt>
                <c:pt idx="3565">
                  <c:v>188.16</c:v>
                </c:pt>
                <c:pt idx="3566">
                  <c:v>187.23</c:v>
                </c:pt>
                <c:pt idx="3567">
                  <c:v>187.28</c:v>
                </c:pt>
                <c:pt idx="3568">
                  <c:v>185.18</c:v>
                </c:pt>
                <c:pt idx="3569">
                  <c:v>184.66</c:v>
                </c:pt>
                <c:pt idx="3570">
                  <c:v>186.33</c:v>
                </c:pt>
                <c:pt idx="3571">
                  <c:v>187.66</c:v>
                </c:pt>
                <c:pt idx="3572">
                  <c:v>186.66</c:v>
                </c:pt>
                <c:pt idx="3573">
                  <c:v>187.74699999999999</c:v>
                </c:pt>
                <c:pt idx="3574">
                  <c:v>186.2</c:v>
                </c:pt>
                <c:pt idx="3575">
                  <c:v>185.43</c:v>
                </c:pt>
                <c:pt idx="3576">
                  <c:v>186.31</c:v>
                </c:pt>
                <c:pt idx="3577">
                  <c:v>184.97</c:v>
                </c:pt>
                <c:pt idx="3578">
                  <c:v>184.58</c:v>
                </c:pt>
                <c:pt idx="3579">
                  <c:v>185.49</c:v>
                </c:pt>
                <c:pt idx="3580">
                  <c:v>187.01</c:v>
                </c:pt>
                <c:pt idx="3581">
                  <c:v>188.25</c:v>
                </c:pt>
                <c:pt idx="3582">
                  <c:v>188.88000000000065</c:v>
                </c:pt>
                <c:pt idx="3583">
                  <c:v>188.63</c:v>
                </c:pt>
                <c:pt idx="3584">
                  <c:v>186.4</c:v>
                </c:pt>
                <c:pt idx="3585">
                  <c:v>184.34</c:v>
                </c:pt>
                <c:pt idx="3586">
                  <c:v>185.1</c:v>
                </c:pt>
                <c:pt idx="3587">
                  <c:v>187.09</c:v>
                </c:pt>
                <c:pt idx="3588">
                  <c:v>183.155</c:v>
                </c:pt>
                <c:pt idx="3589">
                  <c:v>181.51</c:v>
                </c:pt>
              </c:numCache>
            </c:numRef>
          </c:val>
        </c:ser>
        <c:marker val="1"/>
        <c:axId val="170236928"/>
        <c:axId val="170730240"/>
      </c:lineChart>
      <c:dateAx>
        <c:axId val="170236928"/>
        <c:scaling>
          <c:orientation val="minMax"/>
        </c:scaling>
        <c:axPos val="b"/>
        <c:numFmt formatCode="d/m/yyyy" sourceLinked="1"/>
        <c:tickLblPos val="nextTo"/>
        <c:crossAx val="170730240"/>
        <c:crosses val="autoZero"/>
        <c:auto val="1"/>
        <c:lblOffset val="100"/>
      </c:dateAx>
      <c:valAx>
        <c:axId val="170730240"/>
        <c:scaling>
          <c:orientation val="minMax"/>
        </c:scaling>
        <c:axPos val="l"/>
        <c:majorGridlines/>
        <c:numFmt formatCode="General" sourceLinked="1"/>
        <c:tickLblPos val="nextTo"/>
        <c:crossAx val="170236928"/>
        <c:crosses val="autoZero"/>
        <c:crossBetween val="between"/>
      </c:valAx>
      <c:spPr>
        <a:noFill/>
        <a:ln w="25400">
          <a:noFill/>
        </a:ln>
      </c:spPr>
    </c:plotArea>
    <c:plotVisOnly val="1"/>
  </c:chart>
  <c:spPr>
    <a:ln>
      <a:noFill/>
    </a:ln>
  </c:spPr>
  <c:externalData r:id="rId1"/>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Arkýř">
      <a:fillStyleLst>
        <a:solidFill>
          <a:schemeClr val="phClr"/>
        </a:solidFill>
        <a:gradFill rotWithShape="1">
          <a:gsLst>
            <a:gs pos="0">
              <a:schemeClr val="phClr">
                <a:tint val="35000"/>
                <a:satMod val="260000"/>
              </a:schemeClr>
            </a:gs>
            <a:gs pos="30000">
              <a:schemeClr val="phClr">
                <a:tint val="38000"/>
                <a:satMod val="260000"/>
              </a:schemeClr>
            </a:gs>
            <a:gs pos="75000">
              <a:schemeClr val="phClr">
                <a:tint val="55000"/>
                <a:satMod val="255000"/>
              </a:schemeClr>
            </a:gs>
            <a:gs pos="100000">
              <a:schemeClr val="phClr">
                <a:tint val="70000"/>
                <a:satMod val="255000"/>
              </a:schemeClr>
            </a:gs>
          </a:gsLst>
          <a:path path="circle">
            <a:fillToRect l="5000" t="100000" r="120000" b="10000"/>
          </a:path>
        </a:gradFill>
        <a:gradFill rotWithShape="1">
          <a:gsLst>
            <a:gs pos="0">
              <a:schemeClr val="phClr">
                <a:shade val="63000"/>
                <a:satMod val="165000"/>
              </a:schemeClr>
            </a:gs>
            <a:gs pos="30000">
              <a:schemeClr val="phClr">
                <a:shade val="58000"/>
                <a:satMod val="165000"/>
              </a:schemeClr>
            </a:gs>
            <a:gs pos="75000">
              <a:schemeClr val="phClr">
                <a:shade val="30000"/>
                <a:satMod val="175000"/>
              </a:schemeClr>
            </a:gs>
            <a:gs pos="100000">
              <a:schemeClr val="phClr">
                <a:shade val="15000"/>
                <a:satMod val="175000"/>
              </a:schemeClr>
            </a:gs>
          </a:gsLst>
          <a:path path="circle">
            <a:fillToRect l="5000" t="100000" r="120000" b="10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F8DF0-CD0D-4FE4-A34D-7DA5E7EA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24921</Words>
  <Characters>147040</Characters>
  <Application>Microsoft Office Word</Application>
  <DocSecurity>0</DocSecurity>
  <Lines>1225</Lines>
  <Paragraphs>343</Paragraphs>
  <ScaleCrop>false</ScaleCrop>
  <HeadingPairs>
    <vt:vector size="2" baseType="variant">
      <vt:variant>
        <vt:lpstr>Název</vt:lpstr>
      </vt:variant>
      <vt:variant>
        <vt:i4>1</vt:i4>
      </vt:variant>
    </vt:vector>
  </HeadingPairs>
  <TitlesOfParts>
    <vt:vector size="1" baseType="lpstr">
      <vt:lpstr/>
    </vt:vector>
  </TitlesOfParts>
  <Company>Lenovo</Company>
  <LinksUpToDate>false</LinksUpToDate>
  <CharactersWithSpaces>171618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Kleinová</dc:creator>
  <cp:lastModifiedBy>Jana Kleinová</cp:lastModifiedBy>
  <cp:revision>6</cp:revision>
  <dcterms:created xsi:type="dcterms:W3CDTF">2014-04-24T21:42:00Z</dcterms:created>
  <dcterms:modified xsi:type="dcterms:W3CDTF">2014-05-12T17:09:00Z</dcterms:modified>
</cp:coreProperties>
</file>