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F0F84" w14:textId="77777777" w:rsidR="00832CB3" w:rsidRPr="00746487" w:rsidRDefault="00832CB3" w:rsidP="00D83E7E">
      <w:pPr>
        <w:pStyle w:val="ZPTitulkafakulta"/>
        <w:spacing w:before="0" w:after="0" w:line="240" w:lineRule="auto"/>
      </w:pPr>
      <w:r w:rsidRPr="00746487">
        <w:rPr>
          <w:noProof/>
        </w:rPr>
        <mc:AlternateContent>
          <mc:Choice Requires="wps">
            <w:drawing>
              <wp:inline distT="0" distB="0" distL="0" distR="0" wp14:anchorId="4D00F6A8" wp14:editId="39035CEE">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6B96EAB2" w14:textId="77777777" w:rsidR="00502B71" w:rsidRDefault="00502B71" w:rsidP="00832CB3">
                            <w:pPr>
                              <w:pStyle w:val="ZPZhlavtitulnlist"/>
                              <w:pBdr>
                                <w:bottom w:val="none" w:sz="0" w:space="0" w:color="auto"/>
                              </w:pBdr>
                              <w:spacing w:after="0"/>
                              <w:rPr>
                                <w:rStyle w:val="ZP-NadpisyzkladChar"/>
                              </w:rPr>
                            </w:pPr>
                            <w:r>
                              <w:rPr>
                                <w:noProof/>
                              </w:rPr>
                              <w:drawing>
                                <wp:inline distT="0" distB="0" distL="0" distR="0" wp14:anchorId="356DFA0D" wp14:editId="571E981E">
                                  <wp:extent cx="2268000" cy="588454"/>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17B6AC8C" w14:textId="77777777" w:rsidR="00502B71" w:rsidRDefault="00502B71" w:rsidP="00832CB3">
                            <w:pPr>
                              <w:pStyle w:val="ZPTitulkafakulta"/>
                            </w:pPr>
                            <w:r>
                              <w:t>Přírodovědecká fakulta</w:t>
                            </w:r>
                          </w:p>
                          <w:p w14:paraId="56063054" w14:textId="437C52C2" w:rsidR="00502B71" w:rsidRDefault="00E10EE1" w:rsidP="00940EE8">
                            <w:pPr>
                              <w:pStyle w:val="ZPTitulkanzev"/>
                            </w:pPr>
                            <w:sdt>
                              <w:sdtPr>
                                <w:rPr>
                                  <w:sz w:val="44"/>
                                  <w:szCs w:val="44"/>
                                </w:r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502B71" w:rsidRPr="00926EDE">
                                  <w:rPr>
                                    <w:sz w:val="44"/>
                                    <w:szCs w:val="44"/>
                                  </w:rPr>
                                  <w:t xml:space="preserve">Využití močových a tkáňových </w:t>
                                </w:r>
                                <w:proofErr w:type="spellStart"/>
                                <w:r w:rsidR="00502B71" w:rsidRPr="00926EDE">
                                  <w:rPr>
                                    <w:sz w:val="44"/>
                                    <w:szCs w:val="44"/>
                                  </w:rPr>
                                  <w:t>mikroRNA</w:t>
                                </w:r>
                                <w:proofErr w:type="spellEnd"/>
                                <w:r w:rsidR="00502B71" w:rsidRPr="00926EDE">
                                  <w:rPr>
                                    <w:sz w:val="44"/>
                                    <w:szCs w:val="44"/>
                                  </w:rPr>
                                  <w:t xml:space="preserve"> k zpřesnění diagnostiky karcinomu prostaty</w:t>
                                </w:r>
                              </w:sdtContent>
                            </w:sdt>
                          </w:p>
                        </w:txbxContent>
                      </wps:txbx>
                      <wps:bodyPr rot="0" vert="horz" wrap="square" lIns="91440" tIns="45720" rIns="91440" bIns="45720" anchor="t" anchorCtr="0">
                        <a:spAutoFit/>
                      </wps:bodyPr>
                    </wps:wsp>
                  </a:graphicData>
                </a:graphic>
              </wp:inline>
            </w:drawing>
          </mc:Choice>
          <mc:Fallback>
            <w:pict>
              <v:shapetype w14:anchorId="4D00F6A8"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" stroked="f">
                <v:textbox style="mso-fit-shape-to-text:t">
                  <w:txbxContent>
                    <w:p w14:paraId="6B96EAB2" w14:textId="77777777" w:rsidR="00502B71" w:rsidRDefault="00502B71" w:rsidP="00832CB3">
                      <w:pPr>
                        <w:pStyle w:val="ZPZhlavtitulnlist"/>
                        <w:pBdr>
                          <w:bottom w:val="none" w:sz="0" w:space="0" w:color="auto"/>
                        </w:pBdr>
                        <w:spacing w:after="0"/>
                        <w:rPr>
                          <w:rStyle w:val="ZP-NadpisyzkladChar"/>
                        </w:rPr>
                      </w:pPr>
                      <w:r>
                        <w:rPr>
                          <w:noProof/>
                        </w:rPr>
                        <w:drawing>
                          <wp:inline distT="0" distB="0" distL="0" distR="0" wp14:anchorId="356DFA0D" wp14:editId="571E981E">
                            <wp:extent cx="2268000" cy="588454"/>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17B6AC8C" w14:textId="77777777" w:rsidR="00502B71" w:rsidRDefault="00502B71" w:rsidP="00832CB3">
                      <w:pPr>
                        <w:pStyle w:val="ZPTitulkafakulta"/>
                      </w:pPr>
                      <w:r>
                        <w:t>Přírodovědecká fakulta</w:t>
                      </w:r>
                    </w:p>
                    <w:p w14:paraId="56063054" w14:textId="437C52C2" w:rsidR="00502B71" w:rsidRDefault="00E10EE1" w:rsidP="00940EE8">
                      <w:pPr>
                        <w:pStyle w:val="ZPTitulkanzev"/>
                      </w:pPr>
                      <w:sdt>
                        <w:sdtPr>
                          <w:rPr>
                            <w:sz w:val="44"/>
                            <w:szCs w:val="44"/>
                          </w:r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502B71" w:rsidRPr="00926EDE">
                            <w:rPr>
                              <w:sz w:val="44"/>
                              <w:szCs w:val="44"/>
                            </w:rPr>
                            <w:t xml:space="preserve">Využití močových a tkáňových </w:t>
                          </w:r>
                          <w:proofErr w:type="spellStart"/>
                          <w:r w:rsidR="00502B71" w:rsidRPr="00926EDE">
                            <w:rPr>
                              <w:sz w:val="44"/>
                              <w:szCs w:val="44"/>
                            </w:rPr>
                            <w:t>mikroRNA</w:t>
                          </w:r>
                          <w:proofErr w:type="spellEnd"/>
                          <w:r w:rsidR="00502B71" w:rsidRPr="00926EDE">
                            <w:rPr>
                              <w:sz w:val="44"/>
                              <w:szCs w:val="44"/>
                            </w:rPr>
                            <w:t xml:space="preserve"> k zpřesnění diagnostiky karcinomu prostaty</w:t>
                          </w:r>
                        </w:sdtContent>
                      </w:sdt>
                    </w:p>
                  </w:txbxContent>
                </v:textbox>
                <w10:anchorlock/>
              </v:shape>
            </w:pict>
          </mc:Fallback>
        </mc:AlternateContent>
      </w:r>
    </w:p>
    <w:p w14:paraId="21E32581" w14:textId="28BE3954" w:rsidR="00832CB3" w:rsidRPr="00746487" w:rsidRDefault="00E10EE1" w:rsidP="00832CB3">
      <w:pPr>
        <w:pStyle w:val="ZPTitulkahlavn"/>
      </w:pPr>
      <w:sdt>
        <w:sdtPr>
          <w:id w:val="995605782"/>
          <w:placeholder>
            <w:docPart w:val="A223F13ED43349BA9E8FFBC75F516302"/>
          </w:placeholder>
          <w:comboBox>
            <w:listItem w:displayText="Zvolte druh závěrečné práce" w:value=""/>
            <w:listItem w:displayText="Diplomová práce" w:value="Diplomová práce"/>
            <w:listItem w:displayText="Bakalářská práce" w:value="Bakalářská práce"/>
            <w:listItem w:displayText="Disertační práce" w:value="Disertační práce"/>
          </w:comboBox>
        </w:sdtPr>
        <w:sdtEndPr/>
        <w:sdtContent>
          <w:r w:rsidR="00926EDE">
            <w:t>Diplomová práce</w:t>
          </w:r>
        </w:sdtContent>
      </w:sdt>
    </w:p>
    <w:p w14:paraId="22228495" w14:textId="3BECE487" w:rsidR="00832CB3" w:rsidRPr="00746487" w:rsidRDefault="00E10EE1" w:rsidP="00832CB3">
      <w:pPr>
        <w:pStyle w:val="ZPTitulkaautor"/>
      </w:pPr>
      <w:sdt>
        <w:sdtPr>
          <w:rPr>
            <w:lang w:val="en-GB"/>
          </w:rPr>
          <w:alias w:val="Autor"/>
          <w:tag w:val=""/>
          <w:id w:val="678628427"/>
          <w:placeholder>
            <w:docPart w:val="C9C5D857FA604480B51C624C21CA8E2A"/>
          </w:placeholder>
          <w:dataBinding w:prefixMappings="xmlns:ns0='http://purl.org/dc/elements/1.1/' xmlns:ns1='http://schemas.openxmlformats.org/package/2006/metadata/core-properties' " w:xpath="/ns1:coreProperties[1]/ns0:creator[1]" w:storeItemID="{6C3C8BC8-F283-45AE-878A-BAB7291924A1}"/>
          <w:text/>
        </w:sdtPr>
        <w:sdtEndPr/>
        <w:sdtContent>
          <w:r w:rsidR="00926EDE">
            <w:rPr>
              <w:lang w:val="en-GB"/>
            </w:rPr>
            <w:t>Marie Mądrzyk</w:t>
          </w:r>
        </w:sdtContent>
      </w:sdt>
    </w:p>
    <w:p w14:paraId="2144FCE1" w14:textId="77777777" w:rsidR="00832CB3" w:rsidRPr="00746487" w:rsidRDefault="00832CB3" w:rsidP="00704143">
      <w:pPr>
        <w:pStyle w:val="ZPTitulkadra"/>
      </w:pPr>
    </w:p>
    <w:p w14:paraId="6EA618C8" w14:textId="77777777" w:rsidR="00B75A1B" w:rsidRPr="00746487" w:rsidRDefault="00830CE4" w:rsidP="00704143">
      <w:pPr>
        <w:pStyle w:val="ZPPatatitulnstrnky"/>
        <w:keepNext w:val="0"/>
        <w:keepLines w:val="0"/>
        <w:widowControl w:val="0"/>
      </w:pPr>
      <w:r w:rsidRPr="00746487">
        <w:rPr>
          <w:noProof/>
        </w:rPr>
        <mc:AlternateContent>
          <mc:Choice Requires="wps">
            <w:drawing>
              <wp:inline distT="0" distB="0" distL="0" distR="0" wp14:anchorId="272EE81C" wp14:editId="4D8B366A">
                <wp:extent cx="4572000" cy="115200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14:paraId="28185FA7" w14:textId="6DE39F01" w:rsidR="00502B71" w:rsidRDefault="00502B71" w:rsidP="006E36ED">
                            <w:pPr>
                              <w:pStyle w:val="ZPTitulkahlavn"/>
                              <w:spacing w:after="340"/>
                            </w:pPr>
                            <w:r>
                              <w:t xml:space="preserve">Vedoucí práce: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r>
                                  <w:t>prof. RNDr. Ondřej Slabý, Ph.D.</w:t>
                                </w:r>
                              </w:sdtContent>
                            </w:sdt>
                          </w:p>
                          <w:bookmarkStart w:id="0" w:name="ZN_PRACOVISTE" w:displacedByCustomXml="next"/>
                          <w:bookmarkEnd w:id="0" w:displacedByCustomXml="next"/>
                          <w:bookmarkStart w:id="1" w:name="PRACOVISTE" w:displacedByCustomXml="next"/>
                          <w:sdt>
                            <w:sdtPr>
                              <w:alias w:val="PRACOVISTE"/>
                              <w:tag w:val="Pracoviště"/>
                              <w:id w:val="-397662143"/>
                              <w:dataBinding w:xpath="/ns0:Properties[1]/ns0:Company[1]" w:storeItemID="{6668398D-A668-4E3E-A5EB-62B293D839F1}"/>
                              <w:comboBox w:lastValue="Ústav biochemie">
                                <w:listItem w:displayText="[Vyberte český název katedry nebo ústavu]" w:value=""/>
                                <w:listItem w:displayText="Geografický ústav " w:value="Geografický ústav "/>
                                <w:listItem w:displayText="Národní centrum pro výzkum biomolekul " w:value="Národní centrum pro výzkum biomolekul "/>
                                <w:listItem w:displayText="RECETOX " w:value="RECETOX "/>
                                <w:listItem w:displayText="Školící pracoviště - Biofyzikální ústav Akademie věd ČR " w:value="Školící pracoviště - Biofyzikální ústav Akademie věd ČR "/>
                                <w:listItem w:displayText="Školící pracoviště - Ústav biologie obratlovců Akademie věd ČR " w:value="Školící pracoviště - Ústav biologie obratlovců Akademie věd ČR "/>
                                <w:listItem w:displayText="Ústav antropologie " w:value="Ústav antropologie "/>
                                <w:listItem w:displayText="Ústav biochemie " w:value="Ústav biochemie "/>
                                <w:listItem w:displayText="Ústav botaniky a zoologie " w:value="Ústav botaniky a zoologie "/>
                                <w:listItem w:displayText="Ústav experimentální biologie " w:value="Ústav experimentální biologie "/>
                                <w:listItem w:displayText="Ústav fyzikální elektroniky " w:value="Ústav fyzikální elektroniky "/>
                                <w:listItem w:displayText="Ústav fyziky kondenzovaných látek " w:value="Ústav fyziky kondenzovaných látek "/>
                                <w:listItem w:displayText="Ústav geologických věd " w:value="Ústav geologických věd "/>
                                <w:listItem w:displayText="Ústav chemie " w:value="Ústav chemie "/>
                                <w:listItem w:displayText="Ústav matematiky a statistiky " w:value="Ústav matematiky a statistiky "/>
                                <w:listItem w:displayText="Ústav teoretické fyziky a astrofyziky " w:value="Ústav teoretické fyziky a astrofyziky "/>
                              </w:comboBox>
                            </w:sdtPr>
                            <w:sdtEndPr/>
                            <w:sdtContent>
                              <w:p w14:paraId="4A1A4F80" w14:textId="0EC62886" w:rsidR="00502B71" w:rsidRPr="00581F80" w:rsidRDefault="00502B71" w:rsidP="00FC6C95">
                                <w:pPr>
                                  <w:pStyle w:val="ZPTitulkahlavn"/>
                                </w:pPr>
                                <w:r>
                                  <w:t>Ústav biochemie</w:t>
                                </w:r>
                              </w:p>
                            </w:sdtContent>
                          </w:sdt>
                          <w:bookmarkEnd w:id="1" w:displacedByCustomXml="prev"/>
                        </w:txbxContent>
                      </wps:txbx>
                      <wps:bodyPr rot="0" vert="horz" wrap="square" lIns="91440" tIns="45720" rIns="91440" bIns="45720" anchor="t" anchorCtr="0">
                        <a:spAutoFit/>
                      </wps:bodyPr>
                    </wps:wsp>
                  </a:graphicData>
                </a:graphic>
              </wp:inline>
            </w:drawing>
          </mc:Choice>
          <mc:Fallback>
            <w:pict>
              <v:shape w14:anchorId="272EE81C"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" stroked="f">
                <v:textbox style="mso-fit-shape-to-text:t">
                  <w:txbxContent>
                    <w:p w14:paraId="28185FA7" w14:textId="6DE39F01" w:rsidR="00502B71" w:rsidRDefault="00502B71" w:rsidP="006E36ED">
                      <w:pPr>
                        <w:pStyle w:val="ZPTitulkahlavn"/>
                        <w:spacing w:after="340"/>
                      </w:pPr>
                      <w:r>
                        <w:t xml:space="preserve">Vedoucí práce: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r>
                            <w:t>prof. RNDr. Ondřej Slabý, Ph.D.</w:t>
                          </w:r>
                        </w:sdtContent>
                      </w:sdt>
                    </w:p>
                    <w:bookmarkStart w:id="2" w:name="ZN_PRACOVISTE" w:displacedByCustomXml="next"/>
                    <w:bookmarkEnd w:id="2" w:displacedByCustomXml="next"/>
                    <w:bookmarkStart w:id="3" w:name="PRACOVISTE" w:displacedByCustomXml="next"/>
                    <w:sdt>
                      <w:sdtPr>
                        <w:alias w:val="PRACOVISTE"/>
                        <w:tag w:val="Pracoviště"/>
                        <w:id w:val="-397662143"/>
                        <w:dataBinding w:xpath="/ns0:Properties[1]/ns0:Company[1]" w:storeItemID="{6668398D-A668-4E3E-A5EB-62B293D839F1}"/>
                        <w:comboBox w:lastValue="Ústav biochemie">
                          <w:listItem w:displayText="[Vyberte český název katedry nebo ústavu]" w:value=""/>
                          <w:listItem w:displayText="Geografický ústav " w:value="Geografický ústav "/>
                          <w:listItem w:displayText="Národní centrum pro výzkum biomolekul " w:value="Národní centrum pro výzkum biomolekul "/>
                          <w:listItem w:displayText="RECETOX " w:value="RECETOX "/>
                          <w:listItem w:displayText="Školící pracoviště - Biofyzikální ústav Akademie věd ČR " w:value="Školící pracoviště - Biofyzikální ústav Akademie věd ČR "/>
                          <w:listItem w:displayText="Školící pracoviště - Ústav biologie obratlovců Akademie věd ČR " w:value="Školící pracoviště - Ústav biologie obratlovců Akademie věd ČR "/>
                          <w:listItem w:displayText="Ústav antropologie " w:value="Ústav antropologie "/>
                          <w:listItem w:displayText="Ústav biochemie " w:value="Ústav biochemie "/>
                          <w:listItem w:displayText="Ústav botaniky a zoologie " w:value="Ústav botaniky a zoologie "/>
                          <w:listItem w:displayText="Ústav experimentální biologie " w:value="Ústav experimentální biologie "/>
                          <w:listItem w:displayText="Ústav fyzikální elektroniky " w:value="Ústav fyzikální elektroniky "/>
                          <w:listItem w:displayText="Ústav fyziky kondenzovaných látek " w:value="Ústav fyziky kondenzovaných látek "/>
                          <w:listItem w:displayText="Ústav geologických věd " w:value="Ústav geologických věd "/>
                          <w:listItem w:displayText="Ústav chemie " w:value="Ústav chemie "/>
                          <w:listItem w:displayText="Ústav matematiky a statistiky " w:value="Ústav matematiky a statistiky "/>
                          <w:listItem w:displayText="Ústav teoretické fyziky a astrofyziky " w:value="Ústav teoretické fyziky a astrofyziky "/>
                        </w:comboBox>
                      </w:sdtPr>
                      <w:sdtEndPr/>
                      <w:sdtContent>
                        <w:p w14:paraId="4A1A4F80" w14:textId="0EC62886" w:rsidR="00502B71" w:rsidRPr="00581F80" w:rsidRDefault="00502B71" w:rsidP="00FC6C95">
                          <w:pPr>
                            <w:pStyle w:val="ZPTitulkahlavn"/>
                          </w:pPr>
                          <w:r>
                            <w:t>Ústav biochemie</w:t>
                          </w:r>
                        </w:p>
                      </w:sdtContent>
                    </w:sdt>
                    <w:bookmarkEnd w:id="3" w:displacedByCustomXml="prev"/>
                  </w:txbxContent>
                </v:textbox>
                <w10:anchorlock/>
              </v:shape>
            </w:pict>
          </mc:Fallback>
        </mc:AlternateContent>
      </w:r>
    </w:p>
    <w:p w14:paraId="46B84F5A" w14:textId="48752FD3" w:rsidR="00AB5C53" w:rsidRDefault="00DD5A2A" w:rsidP="00832CB3">
      <w:pPr>
        <w:pStyle w:val="ZPTitulkarok"/>
        <w:sectPr w:rsidR="00AB5C53" w:rsidSect="00EE7EB3">
          <w:footerReference w:type="even" r:id="rId12"/>
          <w:pgSz w:w="11906" w:h="16838" w:code="9"/>
          <w:pgMar w:top="1134" w:right="1134" w:bottom="1134" w:left="1701" w:header="1900" w:footer="1280" w:gutter="0"/>
          <w:cols w:space="708"/>
          <w:vAlign w:val="both"/>
          <w:docGrid w:linePitch="360"/>
        </w:sectPr>
      </w:pPr>
      <w:r w:rsidRPr="00746487">
        <w:t>Brno</w:t>
      </w:r>
      <w:r w:rsidR="007468F6" w:rsidRPr="00746487">
        <w:t xml:space="preserve"> </w:t>
      </w:r>
      <w:bookmarkStart w:id="4" w:name="ROK_ODEVZDANI"/>
      <w:sdt>
        <w:sdtPr>
          <w:alias w:val="Rok odevzdání"/>
          <w:tag w:val="ROK_ODEVZDANI"/>
          <w:id w:val="-513071692"/>
          <w:placeholder>
            <w:docPart w:val="2BABCA033EBC4976AE636FB63700FA9C"/>
          </w:placeholder>
          <w:text/>
        </w:sdtPr>
        <w:sdtEndPr/>
        <w:sdtContent>
          <w:r w:rsidR="00926EDE">
            <w:t>2020</w:t>
          </w:r>
        </w:sdtContent>
      </w:sdt>
      <w:bookmarkEnd w:id="4"/>
      <w:r w:rsidR="00205DD1">
        <w:t xml:space="preserve"> </w:t>
      </w:r>
    </w:p>
    <w:p w14:paraId="023368A7" w14:textId="77777777" w:rsidR="002C0686" w:rsidRPr="00746487" w:rsidRDefault="002C0686" w:rsidP="00A00BBC">
      <w:pPr>
        <w:pStyle w:val="ZPNadpis1vodn"/>
      </w:pPr>
      <w:bookmarkStart w:id="5" w:name="ZN_LOGO"/>
      <w:bookmarkEnd w:id="5"/>
      <w:r w:rsidRPr="00746487">
        <w:lastRenderedPageBreak/>
        <w:t>Bibliografický záznam</w:t>
      </w:r>
    </w:p>
    <w:p w14:paraId="09428EA9" w14:textId="296EA370" w:rsidR="00BB6FEC" w:rsidRPr="00746487" w:rsidRDefault="00974A40" w:rsidP="00280732">
      <w:pPr>
        <w:pStyle w:val="ZPBibilografickzznam"/>
      </w:pPr>
      <w:r w:rsidRPr="00746487">
        <w:rPr>
          <w:rStyle w:val="ZPPKlbiblografie"/>
        </w:rPr>
        <w:t>Autor:</w:t>
      </w:r>
      <w:r w:rsidRPr="00746487">
        <w:tab/>
      </w:r>
      <w:sdt>
        <w:sdtPr>
          <w:alias w:val="Autor"/>
          <w:tag w:val=""/>
          <w:id w:val="-2076660119"/>
          <w:placeholder>
            <w:docPart w:val="5976A0EA76D249BA85291D7C9AD32714"/>
          </w:placeholder>
          <w:dataBinding w:prefixMappings="xmlns:ns0='http://purl.org/dc/elements/1.1/' xmlns:ns1='http://schemas.openxmlformats.org/package/2006/metadata/core-properties' " w:xpath="/ns1:coreProperties[1]/ns0:creator[1]" w:storeItemID="{6C3C8BC8-F283-45AE-878A-BAB7291924A1}"/>
          <w:text/>
        </w:sdtPr>
        <w:sdtEndPr/>
        <w:sdtContent>
          <w:r w:rsidR="00926EDE">
            <w:t>Marie Mądrzyk</w:t>
          </w:r>
        </w:sdtContent>
      </w:sdt>
      <w:r w:rsidRPr="00746487">
        <w:br/>
      </w:r>
      <w:r w:rsidR="00DD38C5">
        <w:t>Přírodovědecká fakulta</w:t>
      </w:r>
      <w:r w:rsidR="006C2D7E">
        <w:br/>
      </w:r>
      <w:r w:rsidR="009263A5" w:rsidRPr="00746487">
        <w:t xml:space="preserve">Masarykova univerzita </w:t>
      </w:r>
      <w:r w:rsidRPr="00746487">
        <w:br/>
      </w:r>
      <w:bookmarkStart w:id="6" w:name="ZN_PRACOVISTE_BZCS"/>
      <w:bookmarkEnd w:id="6"/>
      <w:r w:rsidR="00DD38C5">
        <w:fldChar w:fldCharType="begin"/>
      </w:r>
      <w:r w:rsidR="00DD38C5">
        <w:instrText xml:space="preserve"> REF PRACOVISTE \h </w:instrText>
      </w:r>
      <w:r w:rsidR="00DD38C5">
        <w:fldChar w:fldCharType="separate"/>
      </w:r>
      <w:sdt>
        <w:sdtPr>
          <w:alias w:val="PRACOVISTE"/>
          <w:tag w:val="Pracoviště"/>
          <w:id w:val="1588731067"/>
          <w:dataBinding w:xpath="/ns0:Properties[1]/ns0:Company[1]" w:storeItemID="{6668398D-A668-4E3E-A5EB-62B293D839F1}"/>
          <w:comboBox w:lastValue="Ústav biochemie">
            <w:listItem w:displayText="[Vyberte český název katedry nebo ústavu]" w:value=""/>
            <w:listItem w:displayText="Geografický ústav " w:value="Geografický ústav "/>
            <w:listItem w:displayText="Národní centrum pro výzkum biomolekul " w:value="Národní centrum pro výzkum biomolekul "/>
            <w:listItem w:displayText="RECETOX " w:value="RECETOX "/>
            <w:listItem w:displayText="Školící pracoviště - Biofyzikální ústav Akademie věd ČR " w:value="Školící pracoviště - Biofyzikální ústav Akademie věd ČR "/>
            <w:listItem w:displayText="Školící pracoviště - Ústav biologie obratlovců Akademie věd ČR " w:value="Školící pracoviště - Ústav biologie obratlovců Akademie věd ČR "/>
            <w:listItem w:displayText="Ústav antropologie " w:value="Ústav antropologie "/>
            <w:listItem w:displayText="Ústav biochemie " w:value="Ústav biochemie "/>
            <w:listItem w:displayText="Ústav botaniky a zoologie " w:value="Ústav botaniky a zoologie "/>
            <w:listItem w:displayText="Ústav experimentální biologie " w:value="Ústav experimentální biologie "/>
            <w:listItem w:displayText="Ústav fyzikální elektroniky " w:value="Ústav fyzikální elektroniky "/>
            <w:listItem w:displayText="Ústav fyziky kondenzovaných látek " w:value="Ústav fyziky kondenzovaných látek "/>
            <w:listItem w:displayText="Ústav geologických věd " w:value="Ústav geologických věd "/>
            <w:listItem w:displayText="Ústav chemie " w:value="Ústav chemie "/>
            <w:listItem w:displayText="Ústav matematiky a statistiky " w:value="Ústav matematiky a statistiky "/>
            <w:listItem w:displayText="Ústav teoretické fyziky a astrofyziky " w:value="Ústav teoretické fyziky a astrofyziky "/>
          </w:comboBox>
        </w:sdtPr>
        <w:sdtEndPr/>
        <w:sdtContent>
          <w:r w:rsidR="0048503A">
            <w:t>Ústav biochemie</w:t>
          </w:r>
        </w:sdtContent>
      </w:sdt>
      <w:r w:rsidR="00DD38C5">
        <w:fldChar w:fldCharType="end"/>
      </w:r>
    </w:p>
    <w:p w14:paraId="5967A184" w14:textId="467DC3C8" w:rsidR="00974A40" w:rsidRPr="00746487" w:rsidRDefault="00974A40" w:rsidP="00280732">
      <w:pPr>
        <w:pStyle w:val="ZPBibilografickzznam"/>
      </w:pPr>
      <w:r w:rsidRPr="00746487">
        <w:rPr>
          <w:rStyle w:val="ZPPKlbiblografie"/>
        </w:rPr>
        <w:t>Název práce:</w:t>
      </w:r>
      <w:r w:rsidRPr="00746487">
        <w:tab/>
      </w:r>
      <w:sdt>
        <w:sdtPr>
          <w:alias w:val="Název"/>
          <w:tag w:val=""/>
          <w:id w:val="1293642851"/>
          <w:placeholder>
            <w:docPart w:val="2A6DBBF301DD4EDF9C625AE38E95E5AD"/>
          </w:placeholder>
          <w:dataBinding w:prefixMappings="xmlns:ns0='http://purl.org/dc/elements/1.1/' xmlns:ns1='http://schemas.openxmlformats.org/package/2006/metadata/core-properties' " w:xpath="/ns1:coreProperties[1]/ns0:title[1]" w:storeItemID="{6C3C8BC8-F283-45AE-878A-BAB7291924A1}"/>
          <w:text/>
        </w:sdtPr>
        <w:sdtEndPr/>
        <w:sdtContent>
          <w:r w:rsidR="00926EDE">
            <w:t xml:space="preserve">Využití močových a tkáňových </w:t>
          </w:r>
          <w:proofErr w:type="spellStart"/>
          <w:r w:rsidR="00926EDE">
            <w:t>mikroRNA</w:t>
          </w:r>
          <w:proofErr w:type="spellEnd"/>
          <w:r w:rsidR="00926EDE">
            <w:t xml:space="preserve"> k zpřesnění diagnostiky karcinomu prostaty</w:t>
          </w:r>
        </w:sdtContent>
      </w:sdt>
    </w:p>
    <w:p w14:paraId="77AC37A8" w14:textId="4DE5AB3C" w:rsidR="00974A40" w:rsidRPr="00746487" w:rsidRDefault="00974A40" w:rsidP="00704143">
      <w:pPr>
        <w:pStyle w:val="ZPBibilografickzznam"/>
        <w:rPr>
          <w:rStyle w:val="ZPPKlbiblografie"/>
        </w:rPr>
      </w:pPr>
      <w:r w:rsidRPr="00746487">
        <w:rPr>
          <w:rStyle w:val="ZPPKlbiblografie"/>
        </w:rPr>
        <w:t>Studijní program:</w:t>
      </w:r>
      <w:r w:rsidRPr="00746487">
        <w:rPr>
          <w:rStyle w:val="ZPPKlbiblografie"/>
        </w:rPr>
        <w:tab/>
      </w:r>
      <w:r w:rsidR="00926EDE">
        <w:t>Biochemie</w:t>
      </w:r>
    </w:p>
    <w:p w14:paraId="24E01C79" w14:textId="25F28A64" w:rsidR="0091711B" w:rsidRPr="00746487" w:rsidRDefault="00974A40" w:rsidP="00704143">
      <w:pPr>
        <w:pStyle w:val="ZPBibilografickzznam"/>
      </w:pPr>
      <w:r w:rsidRPr="00746487">
        <w:rPr>
          <w:rStyle w:val="ZPPKlbiblografie"/>
        </w:rPr>
        <w:t>Studijní obor:</w:t>
      </w:r>
      <w:r w:rsidRPr="00746487">
        <w:tab/>
      </w:r>
      <w:r w:rsidR="00F71F22">
        <w:t>Analytická biochemie</w:t>
      </w:r>
    </w:p>
    <w:p w14:paraId="44B10BEC" w14:textId="6E746128" w:rsidR="00974A40" w:rsidRPr="00746487" w:rsidRDefault="00974A40" w:rsidP="00704143">
      <w:pPr>
        <w:pStyle w:val="ZPBibilografickzznam"/>
      </w:pPr>
      <w:r w:rsidRPr="00746487">
        <w:rPr>
          <w:rStyle w:val="ZPPKlbiblografie"/>
        </w:rPr>
        <w:t>Vedoucí práce:</w:t>
      </w:r>
      <w:r w:rsidRPr="00746487">
        <w:tab/>
      </w:r>
      <w:sdt>
        <w:sdtPr>
          <w:alias w:val="Vedoucí práce"/>
          <w:tag w:val=""/>
          <w:id w:val="1828940534"/>
          <w:placeholder>
            <w:docPart w:val="D8EC7FDA97A744A2A0E92B3B31C56358"/>
          </w:placeholder>
          <w:dataBinding w:prefixMappings="xmlns:ns0='http://schemas.openxmlformats.org/officeDocument/2006/extended-properties' " w:xpath="/ns0:Properties[1]/ns0:Manager[1]" w:storeItemID="{6668398D-A668-4E3E-A5EB-62B293D839F1}"/>
          <w:text/>
        </w:sdtPr>
        <w:sdtEndPr/>
        <w:sdtContent>
          <w:r w:rsidR="00926EDE">
            <w:t>prof. RNDr. Ondřej Slabý, Ph.D.</w:t>
          </w:r>
        </w:sdtContent>
      </w:sdt>
    </w:p>
    <w:p w14:paraId="57233EE4" w14:textId="3BF09857" w:rsidR="00974A40" w:rsidRPr="00746487" w:rsidRDefault="00B67E52" w:rsidP="00704143">
      <w:pPr>
        <w:pStyle w:val="ZPBibilografickzznam"/>
      </w:pPr>
      <w:r>
        <w:rPr>
          <w:rStyle w:val="ZPPKlbiblografie"/>
        </w:rPr>
        <w:t>R</w:t>
      </w:r>
      <w:r w:rsidR="00974A40" w:rsidRPr="00746487">
        <w:rPr>
          <w:rStyle w:val="ZPPKlbiblografie"/>
        </w:rPr>
        <w:t>ok</w:t>
      </w:r>
      <w:r w:rsidR="00D21BED" w:rsidRPr="00746487">
        <w:rPr>
          <w:rStyle w:val="ZPPKlbiblografie"/>
        </w:rPr>
        <w:t>:</w:t>
      </w:r>
      <w:r w:rsidR="00974A40" w:rsidRPr="00746487">
        <w:tab/>
      </w:r>
      <w:r>
        <w:fldChar w:fldCharType="begin"/>
      </w:r>
      <w:r>
        <w:instrText xml:space="preserve"> REF ROK_ODEVZDANI \h </w:instrText>
      </w:r>
      <w:r>
        <w:fldChar w:fldCharType="separate"/>
      </w:r>
      <w:sdt>
        <w:sdtPr>
          <w:alias w:val="Rok odevzdání"/>
          <w:tag w:val="ROK_ODEVZDANI"/>
          <w:id w:val="-1606961409"/>
          <w:placeholder>
            <w:docPart w:val="F4C7290E7A8843D28B43B239EF7BF671"/>
          </w:placeholder>
          <w:text/>
        </w:sdtPr>
        <w:sdtEndPr/>
        <w:sdtContent>
          <w:r w:rsidR="0048503A">
            <w:t>2020</w:t>
          </w:r>
        </w:sdtContent>
      </w:sdt>
      <w:r>
        <w:fldChar w:fldCharType="end"/>
      </w:r>
    </w:p>
    <w:p w14:paraId="7E3088B7" w14:textId="1D246D6A" w:rsidR="00974A40" w:rsidRPr="00746487" w:rsidRDefault="00974A40" w:rsidP="00704143">
      <w:pPr>
        <w:pStyle w:val="ZPBibilografickzznam"/>
      </w:pPr>
      <w:r w:rsidRPr="00746487">
        <w:rPr>
          <w:rStyle w:val="ZPPKlbiblografie"/>
        </w:rPr>
        <w:t>Počet stran:</w:t>
      </w:r>
      <w:r w:rsidRPr="00746487">
        <w:tab/>
      </w:r>
      <w:r w:rsidR="00673928">
        <w:rPr>
          <w:noProof/>
        </w:rPr>
        <w:t>80</w:t>
      </w:r>
    </w:p>
    <w:p w14:paraId="26F9D728" w14:textId="7A5AB544" w:rsidR="00A3028A" w:rsidRDefault="00974A40" w:rsidP="00704143">
      <w:pPr>
        <w:pStyle w:val="ZPBibilografickzznam"/>
      </w:pPr>
      <w:r w:rsidRPr="00746487">
        <w:rPr>
          <w:rStyle w:val="ZPPKlbiblografie"/>
        </w:rPr>
        <w:t>Klíčová slova:</w:t>
      </w:r>
      <w:r w:rsidRPr="00746487">
        <w:tab/>
      </w:r>
      <w:sdt>
        <w:sdtPr>
          <w:id w:val="2087726934"/>
          <w:placeholder>
            <w:docPart w:val="3DE0A0F29902430BB2EEE7B113DC314C"/>
          </w:placeholder>
          <w:text/>
        </w:sdtPr>
        <w:sdtEndPr/>
        <w:sdtContent>
          <w:r w:rsidR="00926EDE">
            <w:t xml:space="preserve">karcinom prostaty, </w:t>
          </w:r>
          <w:proofErr w:type="spellStart"/>
          <w:r w:rsidR="00926EDE">
            <w:t>mikroRNA</w:t>
          </w:r>
          <w:proofErr w:type="spellEnd"/>
          <w:r w:rsidR="00926EDE">
            <w:t>, RNA sekvenování, diagnostika, biomarker</w:t>
          </w:r>
        </w:sdtContent>
      </w:sdt>
    </w:p>
    <w:p w14:paraId="59BFEAFA" w14:textId="77777777" w:rsidR="000E1807" w:rsidRPr="00746487" w:rsidRDefault="000E1807" w:rsidP="00704143">
      <w:pPr>
        <w:pStyle w:val="ZPBibilografickzznam"/>
      </w:pPr>
      <w:r w:rsidRPr="00746487">
        <w:br w:type="page"/>
      </w:r>
    </w:p>
    <w:p w14:paraId="32A663AB" w14:textId="77777777" w:rsidR="000E1807" w:rsidRPr="00746487" w:rsidRDefault="004F1C84" w:rsidP="00A00BBC">
      <w:pPr>
        <w:pStyle w:val="ZPNadpis1vodn"/>
        <w:rPr>
          <w:lang w:val="en-GB"/>
        </w:rPr>
      </w:pPr>
      <w:r w:rsidRPr="00746487">
        <w:rPr>
          <w:lang w:val="en-GB"/>
        </w:rPr>
        <w:lastRenderedPageBreak/>
        <w:t>Bibliographic</w:t>
      </w:r>
      <w:r w:rsidR="000E1807" w:rsidRPr="00746487">
        <w:rPr>
          <w:lang w:val="en-GB"/>
        </w:rPr>
        <w:t xml:space="preserve"> record</w:t>
      </w:r>
    </w:p>
    <w:p w14:paraId="344A71B6" w14:textId="54EF1FAC" w:rsidR="00BB6FEC" w:rsidRPr="00746487" w:rsidRDefault="000E1807" w:rsidP="00EF006C">
      <w:pPr>
        <w:pStyle w:val="ZPBibilografickzznam"/>
        <w:rPr>
          <w:lang w:val="en-GB"/>
        </w:rPr>
      </w:pPr>
      <w:r w:rsidRPr="00746487">
        <w:rPr>
          <w:rStyle w:val="ZPPKlbiblografie"/>
          <w:lang w:val="en-GB"/>
        </w:rPr>
        <w:t>Author:</w:t>
      </w:r>
      <w:r w:rsidRPr="00746487">
        <w:rPr>
          <w:lang w:val="en-GB"/>
        </w:rPr>
        <w:tab/>
      </w:r>
      <w:sdt>
        <w:sdtPr>
          <w:rPr>
            <w:lang w:val="en-GB"/>
          </w:rPr>
          <w:alias w:val="Autor"/>
          <w:tag w:val=""/>
          <w:id w:val="-1160154958"/>
          <w:placeholder>
            <w:docPart w:val="9733C22C4319423DB584C863368ADC13"/>
          </w:placeholder>
          <w:dataBinding w:prefixMappings="xmlns:ns0='http://purl.org/dc/elements/1.1/' xmlns:ns1='http://schemas.openxmlformats.org/package/2006/metadata/core-properties' " w:xpath="/ns1:coreProperties[1]/ns0:creator[1]" w:storeItemID="{6C3C8BC8-F283-45AE-878A-BAB7291924A1}"/>
          <w:text/>
        </w:sdtPr>
        <w:sdtEndPr/>
        <w:sdtContent>
          <w:r w:rsidR="00926EDE">
            <w:rPr>
              <w:lang w:val="en-GB"/>
            </w:rPr>
            <w:t>Marie Mądrzyk</w:t>
          </w:r>
        </w:sdtContent>
      </w:sdt>
      <w:r w:rsidRPr="00746487">
        <w:rPr>
          <w:lang w:val="en-GB"/>
        </w:rPr>
        <w:br/>
      </w:r>
      <w:r w:rsidR="00DD38C5">
        <w:rPr>
          <w:lang w:val="en-GB"/>
        </w:rPr>
        <w:t>Faculty of Science</w:t>
      </w:r>
      <w:r w:rsidR="006C2D7E">
        <w:rPr>
          <w:lang w:val="en-GB"/>
        </w:rPr>
        <w:br/>
      </w:r>
      <w:r w:rsidR="009263A5" w:rsidRPr="00746487">
        <w:rPr>
          <w:lang w:val="en-GB"/>
        </w:rPr>
        <w:t>Masaryk University</w:t>
      </w:r>
      <w:r w:rsidRPr="00746487">
        <w:rPr>
          <w:lang w:val="en-GB"/>
        </w:rPr>
        <w:br/>
      </w:r>
      <w:bookmarkStart w:id="7" w:name="ZN_PRACOVISTE_BZEN"/>
      <w:bookmarkEnd w:id="7"/>
      <w:sdt>
        <w:sdtPr>
          <w:rPr>
            <w:lang w:val="en-GB"/>
          </w:rPr>
          <w:alias w:val="PRACOVISTE_EN"/>
          <w:tag w:val="Pracoviště anglicky"/>
          <w:id w:val="-1606812868"/>
          <w:placeholder>
            <w:docPart w:val="DB2D242449CD474DA5E9CBAA23E1BF7D"/>
          </w:placeholder>
          <w:comboBox>
            <w:listItem w:displayText="[Vyberte anglický název katedry nebo ústavu]" w:value=""/>
            <w:listItem w:displayText="Cooperating Institute - Institute of Biophysics of the Academy of Sciences " w:value="Cooperating Institute - Institute of Biophysics of the Academy of Sciences "/>
            <w:listItem w:displayText="Cooperating Institute - Institute of Vertebrate Biology of the Academy of Sciences " w:value="Cooperating Institute - Institute of Vertebrate Biology of the Academy of Sciences "/>
            <w:listItem w:displayText="Department of Anthropology " w:value="Department of Anthropology "/>
            <w:listItem w:displayText="Department of Biochemistry " w:value="Department of Biochemistry "/>
            <w:listItem w:displayText="Department of Botany and Zoology " w:value="Department of Botany and Zoology "/>
            <w:listItem w:displayText="Department of Condensed Matter Physics " w:value="Department of Condensed Matter Physics "/>
            <w:listItem w:displayText="Department of Experimental Biology " w:value="Department of Experimental Biology "/>
            <w:listItem w:displayText="Department of Geography " w:value="Department of Geography "/>
            <w:listItem w:displayText="Department of Geological Sciences " w:value="Department of Geological Sciences "/>
            <w:listItem w:displayText="Department of Chemistry " w:value="Department of Chemistry "/>
            <w:listItem w:displayText="Department of Mathematics and Statistics " w:value="Department of Mathematics and Statistics "/>
            <w:listItem w:displayText="Department of Physical Electronics " w:value="Department of Physical Electronics "/>
            <w:listItem w:displayText="Department of Theoretical Physics and Astrophysics " w:value="Department of Theoretical Physics and Astrophysics "/>
            <w:listItem w:displayText="National Centre for Biomolecular Research " w:value="National Centre for Biomolecular Research "/>
            <w:listItem w:displayText="RECETOX " w:value="RECETOX "/>
          </w:comboBox>
        </w:sdtPr>
        <w:sdtEndPr/>
        <w:sdtContent>
          <w:r w:rsidR="00926EDE">
            <w:rPr>
              <w:lang w:val="en-GB"/>
            </w:rPr>
            <w:t xml:space="preserve">Department of Biochemistry </w:t>
          </w:r>
        </w:sdtContent>
      </w:sdt>
    </w:p>
    <w:p w14:paraId="26F91DBF" w14:textId="2C96B190" w:rsidR="000E1807" w:rsidRPr="00746487" w:rsidRDefault="000E1807" w:rsidP="00704143">
      <w:pPr>
        <w:pStyle w:val="ZPBibilografickzznam"/>
        <w:rPr>
          <w:lang w:val="en-GB"/>
        </w:rPr>
      </w:pPr>
      <w:r w:rsidRPr="00746487">
        <w:rPr>
          <w:rStyle w:val="ZPPKlbiblografie"/>
          <w:lang w:val="en-GB"/>
        </w:rPr>
        <w:t>Title of Thesis:</w:t>
      </w:r>
      <w:r w:rsidRPr="00746487">
        <w:rPr>
          <w:lang w:val="en-GB"/>
        </w:rPr>
        <w:tab/>
      </w:r>
      <w:sdt>
        <w:sdtPr>
          <w:rPr>
            <w:lang w:val="en-GB"/>
          </w:rPr>
          <w:id w:val="-469832108"/>
          <w:placeholder>
            <w:docPart w:val="AA7036C89E584EDEACF67CABE6DD328D"/>
          </w:placeholder>
          <w:text/>
        </w:sdtPr>
        <w:sdtEndPr/>
        <w:sdtContent>
          <w:r w:rsidR="00926EDE" w:rsidRPr="00797A61">
            <w:rPr>
              <w:lang w:val="en-GB"/>
            </w:rPr>
            <w:t>The use of urinary and tissue microRNAs to refine prostate cancer diagnostics</w:t>
          </w:r>
        </w:sdtContent>
      </w:sdt>
    </w:p>
    <w:p w14:paraId="3DF6FEEE" w14:textId="6B9E47CC" w:rsidR="000E1807" w:rsidRPr="00746487" w:rsidRDefault="00D21BED" w:rsidP="00704143">
      <w:pPr>
        <w:pStyle w:val="ZPBibilografickzznam"/>
        <w:rPr>
          <w:rStyle w:val="ZPPKlbiblografie"/>
          <w:lang w:val="en-GB"/>
        </w:rPr>
      </w:pPr>
      <w:r w:rsidRPr="00746487">
        <w:rPr>
          <w:rStyle w:val="ZPPKlbiblografie"/>
          <w:lang w:val="en-GB"/>
        </w:rPr>
        <w:t>Degree Programme</w:t>
      </w:r>
      <w:r w:rsidR="000E1807" w:rsidRPr="00746487">
        <w:rPr>
          <w:rStyle w:val="ZPPKlbiblografie"/>
          <w:lang w:val="en-GB"/>
        </w:rPr>
        <w:t>:</w:t>
      </w:r>
      <w:r w:rsidR="000E1807" w:rsidRPr="00746487">
        <w:rPr>
          <w:rStyle w:val="ZPPKlbiblografie"/>
          <w:lang w:val="en-GB"/>
        </w:rPr>
        <w:tab/>
      </w:r>
      <w:proofErr w:type="spellStart"/>
      <w:r w:rsidR="00926EDE">
        <w:t>Biochemistry</w:t>
      </w:r>
      <w:proofErr w:type="spellEnd"/>
    </w:p>
    <w:p w14:paraId="479EC26F" w14:textId="0AE7934B" w:rsidR="0091711B" w:rsidRPr="00746487" w:rsidRDefault="00D21BED" w:rsidP="00704143">
      <w:pPr>
        <w:pStyle w:val="ZPBibilografickzznam"/>
        <w:rPr>
          <w:lang w:val="en-GB"/>
        </w:rPr>
      </w:pPr>
      <w:r w:rsidRPr="00746487">
        <w:rPr>
          <w:rStyle w:val="ZPPKlbiblografie"/>
          <w:lang w:val="en-GB"/>
        </w:rPr>
        <w:t>Field of Study</w:t>
      </w:r>
      <w:r w:rsidR="000E1807" w:rsidRPr="00746487">
        <w:rPr>
          <w:rStyle w:val="ZPPKlbiblografie"/>
          <w:lang w:val="en-GB"/>
        </w:rPr>
        <w:t>:</w:t>
      </w:r>
      <w:r w:rsidR="000E1807" w:rsidRPr="00746487">
        <w:rPr>
          <w:lang w:val="en-GB"/>
        </w:rPr>
        <w:tab/>
      </w:r>
      <w:bookmarkStart w:id="8" w:name="ZN_OBOR_EN"/>
      <w:bookmarkEnd w:id="8"/>
      <w:sdt>
        <w:sdtPr>
          <w:rPr>
            <w:lang w:val="en-GB"/>
          </w:rPr>
          <w:alias w:val="Obor"/>
          <w:tag w:val="Obor"/>
          <w:id w:val="1334189132"/>
          <w:placeholder>
            <w:docPart w:val="878A577C026E4BF9A0E2629DD6CA92A5"/>
          </w:placeholder>
          <w:comboBox>
            <w:listItem w:displayText="Vyberte anglický název oboru" w:value=""/>
            <w:listItem w:displayText="Administrative Geology" w:value="Administrative Geology"/>
            <w:listItem w:displayText="Advanced Materials" w:value="Advanced Materials"/>
            <w:listItem w:displayText="Advanced Nanotechnologies and Microtechnologies" w:value="Advanced Nanotechnologies and Microtechnologies"/>
            <w:listItem w:displayText="Algebra and Discrete Mathematics" w:value="Algebra and Discrete Mathematics"/>
            <w:listItem w:displayText="Algebra, Number Theory and Mathematical Logic" w:value="Algebra, Number Theory and Mathematical Logic"/>
            <w:listItem w:displayText="Analytical Biochemistry" w:value="Analytical Biochemistry"/>
            <w:listItem w:displayText="Analytical Chemist - Manager of Chemical Laboratory" w:value="Analytical Chemist - Manager of Chemical Laboratory"/>
            <w:listItem w:displayText="Analytical Chemistry" w:value="Analytical Chemistry"/>
            <w:listItem w:displayText="Animal Physiology" w:value="Animal Physiology"/>
            <w:listItem w:displayText="Anthropology" w:value="Anthropology"/>
            <w:listItem w:displayText="Applied and Environmental Geology" w:value="Applied and Environmental Geology"/>
            <w:listItem w:displayText="Applied Biochemistry" w:value="Applied Biochemistry"/>
            <w:listItem w:displayText="Applied Geography" w:value="Applied Geography"/>
            <w:listItem w:displayText="Applied Geography and Geoinformatics" w:value="Applied Geography and Geoinformatics"/>
            <w:listItem w:displayText="Applied Mathematics for Multi-Branches Study" w:value="Applied Mathematics for Multi-Branches Study"/>
            <w:listItem w:displayText="Astrophysics" w:value="Astrophysics"/>
            <w:listItem w:displayText="Bioanalyst - Specialist in Laboratory Methods" w:value="Bioanalyst - Specialist in Laboratory Methods"/>
            <w:listItem w:displayText="Biochemistry" w:value="Biochemistry"/>
            <w:listItem w:displayText="Biology with a view to Education" w:value="Biology with a view to Education"/>
            <w:listItem w:displayText="Biomolecular Chemistry" w:value="Biomolecular Chemistry"/>
            <w:listItem w:displayText="Bio-omics" w:value="Bio-omics"/>
            <w:listItem w:displayText="Biophysical Chemistry" w:value="Biophysical Chemistry"/>
            <w:listItem w:displayText="Biophysical Chemisty" w:value="Biophysical Chemisty"/>
            <w:listItem w:displayText="Biophysics" w:value="Biophysics"/>
            <w:listItem w:displayText="Botany" w:value="Botany"/>
            <w:listItem w:displayText="Cartography, Geoinformatics and Remote Sensing" w:value="Cartography, Geoinformatics and Remote Sensing"/>
            <w:listItem w:displayText="Condensed Matter Physics" w:value="Condensed Matter Physics"/>
            <w:listItem w:displayText="Ecological and Evolutionary Biology" w:value="Ecological and Evolutionary Biology"/>
            <w:listItem w:displayText="Ecology" w:value="Ecology"/>
            <w:listItem w:displayText="Ecotoxicology" w:value="Ecotoxicology"/>
            <w:listItem w:displayText="Environmental Chemistry" w:value="Environmental Chemistry"/>
            <w:listItem w:displayText="Finance Mathematics" w:value="Finance Mathematics"/>
            <w:listItem w:displayText="Financial and Insurance Mathematics" w:value="Financial and Insurance Mathematics"/>
            <w:listItem w:displayText="General and Molecular Genetics" w:value="General and Molecular Genetics"/>
            <w:listItem w:displayText="General Physics" w:value="General Physics"/>
            <w:listItem w:displayText="General Problems of Mathematics" w:value="General Problems of Mathematics"/>
            <w:listItem w:displayText="Genomics and Proteomics" w:value="Genomics and Proteomics"/>
            <w:listItem w:displayText="Geographical Cartography and Geoinformatics" w:value="Geographical Cartography and Geoinformatics"/>
            <w:listItem w:displayText="Geography" w:value="Geography"/>
            <w:listItem w:displayText="Geography and Cartography with a view to Education" w:value="Geography and Cartography with a view to Education"/>
            <w:listItem w:displayText="Geological Sciences" w:value="Geological Sciences"/>
            <w:listItem w:displayText="Geology" w:value="Geology"/>
            <w:listItem w:displayText="Geology combined with Archaeology" w:value="Geology combined with Archaeology"/>
            <w:listItem w:displayText="Geology for Multi-Branches Study" w:value="Geology for Multi-Branches Study"/>
            <w:listItem w:displayText="Geometry" w:value="Geometry"/>
            <w:listItem w:displayText="Geometry, Topology and Global Analysis" w:value="Geometry, Topology and Global Analysis"/>
            <w:listItem w:displayText="Hydrobiology" w:value="Hydrobiology"/>
            <w:listItem w:displayText="Chemistry" w:value="Chemistry"/>
            <w:listItem w:displayText="Chemistry of Conservation - Restoration" w:value="Chemistry of Conservation - Restoration"/>
            <w:listItem w:displayText="Chemistry with a view to Education" w:value="Chemistry with a view to Education"/>
            <w:listItem w:displayText="Chemoinformatics and Bioinformatics" w:value="Chemoinformatics and Bioinformatics"/>
            <w:listItem w:displayText="Inorganic Chemistry" w:value="Inorganic Chemistry"/>
            <w:listItem w:displayText="Laboratory and Measuring Technology" w:value="Laboratory and Measuring Technology"/>
            <w:listItem w:displayText="Material Chemistry" w:value="Material Chemistry"/>
            <w:listItem w:displayText="Materials Chemistry" w:value="Materials Chemistry"/>
            <w:listItem w:displayText="Mathematical Analysis" w:value="Mathematical Analysis"/>
            <w:listItem w:displayText="Mathematical Biology" w:value="Mathematical Biology"/>
            <w:listItem w:displayText="Mathematical Modelling and Numeric Methods" w:value="Mathematical Modelling and Numeric Methods"/>
            <w:listItem w:displayText="Mathematics" w:value="Mathematics"/>
            <w:listItem w:displayText="Mathematics with a view to Education" w:value="Mathematics with a view to Education"/>
            <w:listItem w:displayText="Mathematics with Informatics" w:value="Mathematics with Informatics"/>
            <w:listItem w:displayText="Medical Genetics and Molecular Diagnostics" w:value="Medical Genetics and Molecular Diagnostics"/>
            <w:listItem w:displayText="Medical Physics" w:value="Medical Physics"/>
            <w:listItem w:displayText="Microbiology" w:value="Microbiology"/>
            <w:listItem w:displayText="Modelling and Calculations" w:value="Modelling and Calculations"/>
            <w:listItem w:displayText="Molecular and Cellular Biology" w:value="Molecular and Cellular Biology"/>
            <w:listItem w:displayText="Molecular Biology and Genetics" w:value="Molecular Biology and Genetics"/>
            <w:listItem w:displayText="Nanotechnology - Applied Physics" w:value="Nanotechnology - Applied Physics"/>
            <w:listItem w:displayText="Organic Chemistry" w:value="Organic Chemistry"/>
            <w:listItem w:displayText="Parasitology" w:value="Parasitology"/>
            <w:listItem w:displayText="Physical Geography" w:value="Physical Geography"/>
            <w:listItem w:displayText="Physical Chemistry" w:value="Physical Chemistry"/>
            <w:listItem w:displayText="Physics" w:value="Physics"/>
            <w:listItem w:displayText="Physics with a view to Education" w:value="Physics with a view to Education"/>
            <w:listItem w:displayText="Plant Anatomy and Physiology" w:value="Plant Anatomy and Physiology"/>
            <w:listItem w:displayText="Plasma Physics" w:value="Plasma Physics"/>
            <w:listItem w:displayText="Probability, Statistics and Mathematical Modelling" w:value="Probability, Statistics and Mathematical Modelling"/>
            <w:listItem w:displayText="Regional Geography and Regional Planning" w:value="Regional Geography and Regional Planning"/>
            <w:listItem w:displayText="Social Geography and Regional Development" w:value="Social Geography and Regional Development"/>
            <w:listItem w:displayText="Special Biology" w:value="Special Biology"/>
            <w:listItem w:displayText="Statistics and Data Analysis" w:value="Statistics and Data Analysis"/>
            <w:listItem w:displayText="Structural Biology" w:value="Structural Biology"/>
            <w:listItem w:displayText="Structural Chemistry" w:value="Structural Chemistry"/>
            <w:listItem w:displayText="Theoretical Physics and Astrophysics" w:value="Theoretical Physics and Astrophysics"/>
            <w:listItem w:displayText="Upper Secondary School Teacher Training in Biology" w:value="Upper Secondary School Teacher Training in Biology"/>
            <w:listItem w:displayText="Upper Secondary School Teacher Training in Descriptive Geometry" w:value="Upper Secondary School Teacher Training in Descriptive Geometry"/>
            <w:listItem w:displayText="Upper Secondary School Teacher Training in Geography and Cartography" w:value="Upper Secondary School Teacher Training in Geography and Cartography"/>
            <w:listItem w:displayText="Upper Secondary School Teacher Training in Geology" w:value="Upper Secondary School Teacher Training in Geology"/>
            <w:listItem w:displayText="Upper Secondary School Teacher Training in Chemistry" w:value="Upper Secondary School Teacher Training in Chemistry"/>
            <w:listItem w:displayText="Upper Secondary School Teacher Training in Mathematics" w:value="Upper Secondary School Teacher Training in Mathematics"/>
            <w:listItem w:displayText="Upper Secondary School Teacher Training in Physics" w:value="Upper Secondary School Teacher Training in Physics"/>
            <w:listItem w:displayText="Wave and Partical Optics" w:value="Wave and Partical Optics"/>
            <w:listItem w:displayText="Zoology" w:value="Zoology"/>
          </w:comboBox>
        </w:sdtPr>
        <w:sdtEndPr/>
        <w:sdtContent>
          <w:r w:rsidR="00926EDE">
            <w:rPr>
              <w:lang w:val="en-GB"/>
            </w:rPr>
            <w:t>Analytical Biochemistry</w:t>
          </w:r>
        </w:sdtContent>
      </w:sdt>
    </w:p>
    <w:p w14:paraId="3095EB3A" w14:textId="3A68FD5F" w:rsidR="000E1807" w:rsidRPr="00746487" w:rsidRDefault="00D21BED" w:rsidP="00704143">
      <w:pPr>
        <w:pStyle w:val="ZPBibilografickzznam"/>
        <w:rPr>
          <w:lang w:val="en-GB"/>
        </w:rPr>
      </w:pPr>
      <w:r w:rsidRPr="00746487">
        <w:rPr>
          <w:rStyle w:val="ZPPKlbiblografie"/>
          <w:lang w:val="en-GB"/>
        </w:rPr>
        <w:t>Supervisor</w:t>
      </w:r>
      <w:r w:rsidR="000E1807" w:rsidRPr="00746487">
        <w:rPr>
          <w:rStyle w:val="ZPPKlbiblografie"/>
          <w:lang w:val="en-GB"/>
        </w:rPr>
        <w:t>:</w:t>
      </w:r>
      <w:r w:rsidR="000E1807" w:rsidRPr="00746487">
        <w:rPr>
          <w:lang w:val="en-GB"/>
        </w:rPr>
        <w:tab/>
      </w:r>
      <w:sdt>
        <w:sdtPr>
          <w:rPr>
            <w:lang w:val="en-GB"/>
          </w:rPr>
          <w:alias w:val="Vedoucí práce"/>
          <w:tag w:val=""/>
          <w:id w:val="-1442070207"/>
          <w:placeholder>
            <w:docPart w:val="C8B5BE22735E483BA870DDA671DDD908"/>
          </w:placeholder>
          <w:dataBinding w:prefixMappings="xmlns:ns0='http://schemas.openxmlformats.org/officeDocument/2006/extended-properties' " w:xpath="/ns0:Properties[1]/ns0:Manager[1]" w:storeItemID="{6668398D-A668-4E3E-A5EB-62B293D839F1}"/>
          <w:text/>
        </w:sdtPr>
        <w:sdtEndPr/>
        <w:sdtContent>
          <w:r w:rsidR="00926EDE">
            <w:rPr>
              <w:lang w:val="en-GB"/>
            </w:rPr>
            <w:t xml:space="preserve">prof. </w:t>
          </w:r>
          <w:proofErr w:type="spellStart"/>
          <w:r w:rsidR="00926EDE">
            <w:rPr>
              <w:lang w:val="en-GB"/>
            </w:rPr>
            <w:t>RNDr</w:t>
          </w:r>
          <w:proofErr w:type="spellEnd"/>
          <w:r w:rsidR="00926EDE">
            <w:rPr>
              <w:lang w:val="en-GB"/>
            </w:rPr>
            <w:t xml:space="preserve">. </w:t>
          </w:r>
          <w:proofErr w:type="spellStart"/>
          <w:r w:rsidR="00926EDE">
            <w:rPr>
              <w:lang w:val="en-GB"/>
            </w:rPr>
            <w:t>Ondřej</w:t>
          </w:r>
          <w:proofErr w:type="spellEnd"/>
          <w:r w:rsidR="00926EDE">
            <w:rPr>
              <w:lang w:val="en-GB"/>
            </w:rPr>
            <w:t xml:space="preserve"> </w:t>
          </w:r>
          <w:proofErr w:type="spellStart"/>
          <w:r w:rsidR="00926EDE">
            <w:rPr>
              <w:lang w:val="en-GB"/>
            </w:rPr>
            <w:t>Slabý</w:t>
          </w:r>
          <w:proofErr w:type="spellEnd"/>
          <w:r w:rsidR="00926EDE">
            <w:rPr>
              <w:lang w:val="en-GB"/>
            </w:rPr>
            <w:t>, Ph.D.</w:t>
          </w:r>
        </w:sdtContent>
      </w:sdt>
    </w:p>
    <w:p w14:paraId="026DCDD1" w14:textId="7F98B196" w:rsidR="000E1807" w:rsidRPr="00746487" w:rsidRDefault="00D21BED" w:rsidP="00704143">
      <w:pPr>
        <w:pStyle w:val="ZPBibilografickzznam"/>
        <w:rPr>
          <w:lang w:val="en-GB"/>
        </w:rPr>
      </w:pPr>
      <w:r w:rsidRPr="00746487">
        <w:rPr>
          <w:rStyle w:val="ZPPKlbiblografie"/>
          <w:lang w:val="en-GB"/>
        </w:rPr>
        <w:t>Year:</w:t>
      </w:r>
      <w:r w:rsidR="000E1807" w:rsidRPr="00746487">
        <w:rPr>
          <w:lang w:val="en-GB"/>
        </w:rPr>
        <w:tab/>
      </w:r>
      <w:r w:rsidR="00B67E52">
        <w:rPr>
          <w:lang w:val="en-GB"/>
        </w:rPr>
        <w:fldChar w:fldCharType="begin"/>
      </w:r>
      <w:r w:rsidR="00B67E52">
        <w:rPr>
          <w:lang w:val="en-GB"/>
        </w:rPr>
        <w:instrText xml:space="preserve"> REF ROK_ODEVZDANI \h </w:instrText>
      </w:r>
      <w:r w:rsidR="00B67E52">
        <w:rPr>
          <w:lang w:val="en-GB"/>
        </w:rPr>
      </w:r>
      <w:r w:rsidR="00B67E52">
        <w:rPr>
          <w:lang w:val="en-GB"/>
        </w:rPr>
        <w:fldChar w:fldCharType="separate"/>
      </w:r>
      <w:sdt>
        <w:sdtPr>
          <w:alias w:val="Rok odevzdání"/>
          <w:tag w:val="ROK_ODEVZDANI"/>
          <w:id w:val="-1020382672"/>
          <w:placeholder>
            <w:docPart w:val="18A56CB413B44A9D8F707E6D73101EC6"/>
          </w:placeholder>
          <w:text/>
        </w:sdtPr>
        <w:sdtEndPr/>
        <w:sdtContent>
          <w:r w:rsidR="0048503A">
            <w:t>2020</w:t>
          </w:r>
        </w:sdtContent>
      </w:sdt>
      <w:r w:rsidR="00B67E52">
        <w:rPr>
          <w:lang w:val="en-GB"/>
        </w:rPr>
        <w:fldChar w:fldCharType="end"/>
      </w:r>
    </w:p>
    <w:p w14:paraId="497D71D0" w14:textId="31A1631A" w:rsidR="000E1807" w:rsidRPr="00746487" w:rsidRDefault="00D21BED" w:rsidP="00704143">
      <w:pPr>
        <w:pStyle w:val="ZPBibilografickzznam"/>
        <w:rPr>
          <w:lang w:val="en-GB"/>
        </w:rPr>
      </w:pPr>
      <w:r w:rsidRPr="00746487">
        <w:rPr>
          <w:rStyle w:val="ZPPKlbiblografie"/>
          <w:lang w:val="en-GB"/>
        </w:rPr>
        <w:t>Number of Pages</w:t>
      </w:r>
      <w:r w:rsidR="000E1807" w:rsidRPr="00746487">
        <w:rPr>
          <w:rStyle w:val="ZPPKlbiblografie"/>
          <w:lang w:val="en-GB"/>
        </w:rPr>
        <w:t>:</w:t>
      </w:r>
      <w:r w:rsidR="000E1807" w:rsidRPr="00746487">
        <w:rPr>
          <w:lang w:val="en-GB"/>
        </w:rPr>
        <w:tab/>
      </w:r>
      <w:r w:rsidR="00612ED3" w:rsidRPr="00746487">
        <w:rPr>
          <w:lang w:val="en-GB"/>
        </w:rPr>
        <w:fldChar w:fldCharType="begin"/>
      </w:r>
      <w:r w:rsidR="00612ED3" w:rsidRPr="00746487">
        <w:rPr>
          <w:lang w:val="en-GB"/>
        </w:rPr>
        <w:instrText xml:space="preserve"> NUMPAGES  \* Arabic  \* MERGEFORMAT </w:instrText>
      </w:r>
      <w:r w:rsidR="00612ED3" w:rsidRPr="00746487">
        <w:rPr>
          <w:lang w:val="en-GB"/>
        </w:rPr>
        <w:fldChar w:fldCharType="separate"/>
      </w:r>
      <w:r w:rsidR="0048503A">
        <w:rPr>
          <w:noProof/>
          <w:lang w:val="en-GB"/>
        </w:rPr>
        <w:t>8</w:t>
      </w:r>
      <w:r w:rsidR="00612ED3" w:rsidRPr="00746487">
        <w:rPr>
          <w:lang w:val="en-GB"/>
        </w:rPr>
        <w:fldChar w:fldCharType="end"/>
      </w:r>
      <w:r w:rsidR="00673928">
        <w:rPr>
          <w:lang w:val="en-GB"/>
        </w:rPr>
        <w:t>0</w:t>
      </w:r>
    </w:p>
    <w:p w14:paraId="6C841CD1" w14:textId="46819856" w:rsidR="00974A40" w:rsidRPr="00746487" w:rsidRDefault="000E1807" w:rsidP="00704143">
      <w:pPr>
        <w:pStyle w:val="ZPBibilografickzznam"/>
        <w:rPr>
          <w:lang w:val="en-GB"/>
        </w:rPr>
      </w:pPr>
      <w:r w:rsidRPr="00746487">
        <w:rPr>
          <w:rStyle w:val="ZPPKlbiblografie"/>
          <w:lang w:val="en-GB"/>
        </w:rPr>
        <w:t>K</w:t>
      </w:r>
      <w:r w:rsidR="00D21BED" w:rsidRPr="00746487">
        <w:rPr>
          <w:rStyle w:val="ZPPKlbiblografie"/>
          <w:lang w:val="en-GB"/>
        </w:rPr>
        <w:t>eywords</w:t>
      </w:r>
      <w:r w:rsidRPr="00746487">
        <w:rPr>
          <w:rStyle w:val="ZPPKlbiblografie"/>
          <w:lang w:val="en-GB"/>
        </w:rPr>
        <w:t>:</w:t>
      </w:r>
      <w:r w:rsidRPr="00746487">
        <w:rPr>
          <w:lang w:val="en-GB"/>
        </w:rPr>
        <w:tab/>
      </w:r>
      <w:sdt>
        <w:sdtPr>
          <w:id w:val="112340290"/>
          <w:placeholder>
            <w:docPart w:val="799A47CB4E004C598F32D76AEBA1101F"/>
          </w:placeholder>
          <w:text/>
        </w:sdtPr>
        <w:sdtEndPr/>
        <w:sdtContent>
          <w:proofErr w:type="spellStart"/>
          <w:r w:rsidR="00926EDE" w:rsidRPr="00926EDE">
            <w:t>prostate</w:t>
          </w:r>
          <w:proofErr w:type="spellEnd"/>
          <w:r w:rsidR="00926EDE" w:rsidRPr="00926EDE">
            <w:t xml:space="preserve"> </w:t>
          </w:r>
          <w:proofErr w:type="spellStart"/>
          <w:r w:rsidR="00926EDE" w:rsidRPr="00926EDE">
            <w:t>cancer</w:t>
          </w:r>
          <w:proofErr w:type="spellEnd"/>
          <w:r w:rsidR="00926EDE" w:rsidRPr="00926EDE">
            <w:t xml:space="preserve">, </w:t>
          </w:r>
          <w:proofErr w:type="spellStart"/>
          <w:r w:rsidR="00926EDE" w:rsidRPr="00926EDE">
            <w:t>microRNA</w:t>
          </w:r>
          <w:proofErr w:type="spellEnd"/>
          <w:r w:rsidR="00926EDE" w:rsidRPr="00926EDE">
            <w:t xml:space="preserve">, RNA </w:t>
          </w:r>
          <w:proofErr w:type="spellStart"/>
          <w:r w:rsidR="00926EDE" w:rsidRPr="00926EDE">
            <w:t>sequencing</w:t>
          </w:r>
          <w:proofErr w:type="spellEnd"/>
          <w:r w:rsidR="00926EDE" w:rsidRPr="00926EDE">
            <w:t xml:space="preserve">, </w:t>
          </w:r>
          <w:proofErr w:type="spellStart"/>
          <w:r w:rsidR="00926EDE" w:rsidRPr="00926EDE">
            <w:t>diagnostics</w:t>
          </w:r>
          <w:proofErr w:type="spellEnd"/>
          <w:r w:rsidR="00926EDE" w:rsidRPr="00926EDE">
            <w:t>, biomarker</w:t>
          </w:r>
        </w:sdtContent>
      </w:sdt>
    </w:p>
    <w:p w14:paraId="2352701E" w14:textId="77777777" w:rsidR="000E1807" w:rsidRPr="00746487" w:rsidRDefault="000E1807" w:rsidP="00704143">
      <w:pPr>
        <w:pStyle w:val="ZPBibilografickzznam"/>
        <w:sectPr w:rsidR="000E1807" w:rsidRPr="00746487" w:rsidSect="00F233D4">
          <w:headerReference w:type="default" r:id="rId13"/>
          <w:footerReference w:type="even" r:id="rId14"/>
          <w:footerReference w:type="default" r:id="rId15"/>
          <w:pgSz w:w="11906" w:h="16838" w:code="9"/>
          <w:pgMar w:top="1134" w:right="1134" w:bottom="1134" w:left="1701" w:header="1899" w:footer="1281" w:gutter="0"/>
          <w:cols w:space="708"/>
          <w:docGrid w:linePitch="360"/>
        </w:sectPr>
      </w:pPr>
    </w:p>
    <w:p w14:paraId="2CA401D8" w14:textId="77777777" w:rsidR="0077567B" w:rsidRPr="00746487" w:rsidRDefault="0077567B" w:rsidP="00A00BBC">
      <w:pPr>
        <w:pStyle w:val="ZPNadpis1vodn"/>
      </w:pPr>
      <w:r w:rsidRPr="00746487">
        <w:lastRenderedPageBreak/>
        <w:t>Abstrakt</w:t>
      </w:r>
    </w:p>
    <w:p w14:paraId="2AE7983B" w14:textId="65DD1F65" w:rsidR="00C96B30" w:rsidRPr="00926EDE" w:rsidRDefault="00926EDE" w:rsidP="000C069C">
      <w:pPr>
        <w:pStyle w:val="Dalodstavce"/>
        <w:ind w:firstLine="0"/>
      </w:pPr>
      <w:r w:rsidRPr="00926EDE">
        <w:t>Současné rutinní vyšetřovací metody pro diagnostiku karcinomu prostaty (</w:t>
      </w:r>
      <w:proofErr w:type="spellStart"/>
      <w:r w:rsidRPr="00926EDE">
        <w:t>PCa</w:t>
      </w:r>
      <w:proofErr w:type="spellEnd"/>
      <w:r w:rsidRPr="00926EDE">
        <w:t xml:space="preserve">) jako digitální rektální vyšetření a měření hladiny prostatického specifického antigenu (PSA) v krevním séru významně zvýšily časný záchyt tohoto onemocnění. Bohužel zejména PSA test vykazuje nízkou specificitu, díky čemuž jsou k invazivnímu bioptickému vyšetření indikováni i pacienti s benigní hyperplazií, kteří jej podstupují zbytečně. V případě potvrzeného karcinomu je zase klíčové přesnější odlišení indolentních a agresivních karcinomů, což by zlepšilo péči o pacienty a snížilo zdravotní komplikace spojené s nesprávně indikovanou následnou terapií. Novými biomarkery umožňující odlišení indolentních a agresivních karcinomů by mohly být </w:t>
      </w:r>
      <w:r w:rsidR="00CE4C91">
        <w:br/>
      </w:r>
      <w:proofErr w:type="spellStart"/>
      <w:r w:rsidRPr="00926EDE">
        <w:t>mikroRNA</w:t>
      </w:r>
      <w:proofErr w:type="spellEnd"/>
      <w:r w:rsidRPr="00926EDE">
        <w:t xml:space="preserve"> (</w:t>
      </w:r>
      <w:proofErr w:type="spellStart"/>
      <w:r w:rsidRPr="00926EDE">
        <w:t>miRNA</w:t>
      </w:r>
      <w:proofErr w:type="spellEnd"/>
      <w:r w:rsidRPr="00926EDE">
        <w:t xml:space="preserve">), které jsou významně zapojeny do patofyziologie </w:t>
      </w:r>
      <w:proofErr w:type="spellStart"/>
      <w:r w:rsidRPr="00926EDE">
        <w:t>PCa</w:t>
      </w:r>
      <w:proofErr w:type="spellEnd"/>
      <w:r w:rsidRPr="00926EDE">
        <w:t xml:space="preserve">. Zvýšení specificity PSA a zlepšení detekce by mohl nabídnout nový diagnostický přístup založený na analýze močových </w:t>
      </w:r>
      <w:proofErr w:type="spellStart"/>
      <w:r w:rsidRPr="00926EDE">
        <w:t>miRNA</w:t>
      </w:r>
      <w:proofErr w:type="spellEnd"/>
      <w:r w:rsidRPr="00926EDE">
        <w:t xml:space="preserve">, což je přístup, který má zcela neinvazivní charakter. Profilování hladin </w:t>
      </w:r>
      <w:proofErr w:type="spellStart"/>
      <w:r w:rsidRPr="00926EDE">
        <w:t>miRNA</w:t>
      </w:r>
      <w:proofErr w:type="spellEnd"/>
      <w:r w:rsidRPr="00926EDE">
        <w:t xml:space="preserve"> v tkáni </w:t>
      </w:r>
      <w:proofErr w:type="spellStart"/>
      <w:r w:rsidRPr="00926EDE">
        <w:t>PCa</w:t>
      </w:r>
      <w:proofErr w:type="spellEnd"/>
      <w:r w:rsidRPr="00926EDE">
        <w:t xml:space="preserve"> vedlo k identifikaci 149 významně rozdílně exprimovaných </w:t>
      </w:r>
      <w:proofErr w:type="spellStart"/>
      <w:r w:rsidRPr="00926EDE">
        <w:t>miRNA</w:t>
      </w:r>
      <w:proofErr w:type="spellEnd"/>
      <w:r w:rsidRPr="00926EDE">
        <w:t xml:space="preserve"> </w:t>
      </w:r>
      <w:r w:rsidR="00AB5C53">
        <w:br/>
      </w:r>
      <w:r w:rsidRPr="00926EDE">
        <w:t>u agresivních tumorů ve srovnání s indolentní formou karcinomu. Diagnostický potenciál byl úspěšně ověřen na nezávislé kohortě pacientů v případě miR‑15b‑5p (p</w:t>
      </w:r>
      <w:r w:rsidR="00CE4C91">
        <w:t> </w:t>
      </w:r>
      <w:proofErr w:type="gramStart"/>
      <w:r w:rsidRPr="00926EDE">
        <w:t>&lt;</w:t>
      </w:r>
      <w:r w:rsidR="00CE4C91">
        <w:t> </w:t>
      </w:r>
      <w:r w:rsidRPr="00926EDE">
        <w:t>0.0001</w:t>
      </w:r>
      <w:proofErr w:type="gramEnd"/>
      <w:r w:rsidRPr="00926EDE">
        <w:t xml:space="preserve">) </w:t>
      </w:r>
      <w:r w:rsidR="00CE4C91">
        <w:br/>
      </w:r>
      <w:r w:rsidRPr="00926EDE">
        <w:t>a miR‑106b‑5p (p</w:t>
      </w:r>
      <w:r w:rsidR="00CE4C91">
        <w:t xml:space="preserve"> </w:t>
      </w:r>
      <w:r w:rsidRPr="00926EDE">
        <w:t>= 0.0002). Navíc miR‑</w:t>
      </w:r>
      <w:proofErr w:type="gramStart"/>
      <w:r w:rsidRPr="00926EDE">
        <w:t>106b</w:t>
      </w:r>
      <w:proofErr w:type="gramEnd"/>
      <w:r w:rsidRPr="00926EDE">
        <w:t xml:space="preserve">‑5p a miR‑103a‑3p vykazovaly významnou asociaci exprese s hladinou PSA. Výsledky RNA sekvenování určily 11 močových </w:t>
      </w:r>
      <w:proofErr w:type="spellStart"/>
      <w:r w:rsidRPr="00926EDE">
        <w:t>miRNA</w:t>
      </w:r>
      <w:proofErr w:type="spellEnd"/>
      <w:r w:rsidRPr="00926EDE">
        <w:t xml:space="preserve"> s významně rozdílnou hladinou u skupiny pacientů s indolentní formou karcinomu prostaty oproti skupině s agresivní formou nádoru. Dále bylo identifikováno 12 </w:t>
      </w:r>
      <w:proofErr w:type="spellStart"/>
      <w:r w:rsidRPr="00926EDE">
        <w:t>miRNA</w:t>
      </w:r>
      <w:proofErr w:type="spellEnd"/>
      <w:r w:rsidRPr="00926EDE">
        <w:t xml:space="preserve"> s významně odlišný-mi hladinami exprese u pacientů s maligním onemocněním prostaty ve srovnání se skupinou pacientů s hyperplazií prostaty a zdravých subjektů. Výsledky této diplomové práce naznačují možné využití </w:t>
      </w:r>
      <w:proofErr w:type="spellStart"/>
      <w:r w:rsidRPr="00926EDE">
        <w:t>miRNA</w:t>
      </w:r>
      <w:proofErr w:type="spellEnd"/>
      <w:r w:rsidRPr="00926EDE">
        <w:t xml:space="preserve"> jako potenciálních biomarkerů pro zpřesnění diagnostiky a prognózy </w:t>
      </w:r>
      <w:r w:rsidR="00CE4C91">
        <w:br/>
      </w:r>
      <w:r w:rsidRPr="00926EDE">
        <w:t>u pacient</w:t>
      </w:r>
      <w:r w:rsidR="00CE4C91">
        <w:t>ů</w:t>
      </w:r>
      <w:r w:rsidRPr="00926EDE">
        <w:t xml:space="preserve"> s karcinomem prostaty</w:t>
      </w:r>
      <w:r w:rsidR="000C069C">
        <w:t>.</w:t>
      </w:r>
    </w:p>
    <w:p w14:paraId="11C7E455" w14:textId="77777777" w:rsidR="00C96B30" w:rsidRPr="00CE4C91" w:rsidRDefault="00C96B30" w:rsidP="00A00BBC">
      <w:pPr>
        <w:pStyle w:val="ZPNadpis1vodn"/>
        <w:rPr>
          <w:lang w:val="en-GB"/>
        </w:rPr>
      </w:pPr>
      <w:r w:rsidRPr="00CE4C91">
        <w:rPr>
          <w:lang w:val="en-GB"/>
        </w:rPr>
        <w:lastRenderedPageBreak/>
        <w:t>Abstract</w:t>
      </w:r>
    </w:p>
    <w:p w14:paraId="3C8F3CA3" w14:textId="763BDFB8" w:rsidR="00C96B30" w:rsidRPr="00CE4C91" w:rsidRDefault="00CE4C91" w:rsidP="00CE4C91">
      <w:pPr>
        <w:pStyle w:val="Odstavec1"/>
        <w:rPr>
          <w:lang w:val="en-GB"/>
        </w:rPr>
      </w:pPr>
      <w:r w:rsidRPr="00CE4C91">
        <w:rPr>
          <w:lang w:val="en-GB"/>
        </w:rPr>
        <w:t>Current routine screening methods for the diagnosis of prostate cancer (</w:t>
      </w:r>
      <w:proofErr w:type="spellStart"/>
      <w:r w:rsidRPr="00CE4C91">
        <w:rPr>
          <w:lang w:val="en-GB"/>
        </w:rPr>
        <w:t>PCa</w:t>
      </w:r>
      <w:proofErr w:type="spellEnd"/>
      <w:r w:rsidRPr="00CE4C91">
        <w:rPr>
          <w:lang w:val="en-GB"/>
        </w:rPr>
        <w:t xml:space="preserve">) such as digital rectal examination and measurement of prostate specific antigen (PSA) levels in the blood serum have significantly increased the early detection of this disease. Unfortunately, the PSA test shows low specificity, so patients with benign hyperplasia are indicated for unnecessary invasive biopsies. In the case of confirming </w:t>
      </w:r>
      <w:proofErr w:type="spellStart"/>
      <w:r w:rsidRPr="00CE4C91">
        <w:rPr>
          <w:lang w:val="en-GB"/>
        </w:rPr>
        <w:t>PCa</w:t>
      </w:r>
      <w:proofErr w:type="spellEnd"/>
      <w:r w:rsidRPr="00CE4C91">
        <w:rPr>
          <w:lang w:val="en-GB"/>
        </w:rPr>
        <w:t xml:space="preserve">, a more accurate distinction between indolent and aggressive cancers is crucial, which would improve patient care and reduce health complications associated with incorrectly indicated follow-up therapy. New biomarkers enabling the differentiation of indolent and aggressive </w:t>
      </w:r>
      <w:proofErr w:type="spellStart"/>
      <w:r w:rsidRPr="00CE4C91">
        <w:rPr>
          <w:lang w:val="en-GB"/>
        </w:rPr>
        <w:t>PCa</w:t>
      </w:r>
      <w:proofErr w:type="spellEnd"/>
      <w:r w:rsidRPr="00CE4C91">
        <w:rPr>
          <w:lang w:val="en-GB"/>
        </w:rPr>
        <w:t xml:space="preserve"> could be microRNAs (miRNAs), which are significantly involved in the pathophysiology of </w:t>
      </w:r>
      <w:proofErr w:type="spellStart"/>
      <w:r w:rsidRPr="00CE4C91">
        <w:rPr>
          <w:lang w:val="en-GB"/>
        </w:rPr>
        <w:t>PCa</w:t>
      </w:r>
      <w:proofErr w:type="spellEnd"/>
      <w:r w:rsidRPr="00CE4C91">
        <w:rPr>
          <w:lang w:val="en-GB"/>
        </w:rPr>
        <w:t xml:space="preserve">. Increasing the specificity of PSA and improving detection could be achieved by a new diagnostic approach based on the analysis of urinary miRNAs, which is a completely non-invasive approach. Profiling of miRNA levels in </w:t>
      </w:r>
      <w:proofErr w:type="spellStart"/>
      <w:r w:rsidRPr="00CE4C91">
        <w:rPr>
          <w:lang w:val="en-GB"/>
        </w:rPr>
        <w:t>PCa</w:t>
      </w:r>
      <w:proofErr w:type="spellEnd"/>
      <w:r w:rsidRPr="00CE4C91">
        <w:rPr>
          <w:lang w:val="en-GB"/>
        </w:rPr>
        <w:t xml:space="preserve"> tissue led to the identification of 149 significantly differentially expressed miRNAs in aggressive tumours compared to the indolent form of cancer. The diagnostic potential was successfully verified in an independent cohort of patients for miR-15b‑5p (p &lt;</w:t>
      </w:r>
      <w:r w:rsidR="00D41AE4">
        <w:rPr>
          <w:lang w:val="en-GB"/>
        </w:rPr>
        <w:t xml:space="preserve"> </w:t>
      </w:r>
      <w:r w:rsidRPr="00CE4C91">
        <w:rPr>
          <w:lang w:val="en-GB"/>
        </w:rPr>
        <w:t>0.0001) and miR106b5p (p = 0.0002). In addition, miR-106b-5p and miR-103a-3p showed a significant association of expression with PSA levels. The results of RNA sequencing identified 11 urinary miRNAs with significantly different levels in the group of patients with indolent prostate cancer compared to the group with aggressive tumour. In addition, 12 miRNAs with significantly different expression levels were identified in patients with prostate malignancy compared to the group of prostate hyperplasia patients and healthy subjects. The results of this diploma thesis suggest the use of miRNAs as potential biomarkers for more ac-curate diagnosis and prognosis in patients with prostate cancer.</w:t>
      </w:r>
    </w:p>
    <w:p w14:paraId="5E16160D" w14:textId="77777777" w:rsidR="002C0686" w:rsidRPr="00CE4C91" w:rsidRDefault="002C0686" w:rsidP="00CE4C91">
      <w:pPr>
        <w:pStyle w:val="Odstavec1"/>
      </w:pPr>
    </w:p>
    <w:p w14:paraId="1058CC97" w14:textId="77777777" w:rsidR="002C0686" w:rsidRPr="00746487" w:rsidRDefault="002C0686" w:rsidP="007C294D">
      <w:pPr>
        <w:pStyle w:val="inZPKlovslova"/>
        <w:sectPr w:rsidR="002C0686" w:rsidRPr="00746487" w:rsidSect="00F233D4">
          <w:pgSz w:w="11906" w:h="16838" w:code="9"/>
          <w:pgMar w:top="1134" w:right="1134" w:bottom="1134" w:left="1701" w:header="1899" w:footer="1281" w:gutter="0"/>
          <w:cols w:space="708"/>
          <w:docGrid w:linePitch="360"/>
        </w:sectPr>
      </w:pPr>
    </w:p>
    <w:p w14:paraId="2B6426BD" w14:textId="0F2066F7" w:rsidR="00AF6E5D" w:rsidRDefault="00DD38C5" w:rsidP="00DD38C5">
      <w:pPr>
        <w:pStyle w:val="ZPNadpis1vodn"/>
        <w:jc w:val="center"/>
      </w:pPr>
      <w:bookmarkStart w:id="9" w:name="ZN_ZADANI"/>
      <w:bookmarkEnd w:id="9"/>
      <w:r>
        <w:rPr>
          <w:noProof/>
        </w:rPr>
        <w:lastRenderedPageBreak/>
        <w:drawing>
          <wp:inline distT="0" distB="0" distL="0" distR="0" wp14:anchorId="7F4177B6" wp14:editId="762786D5">
            <wp:extent cx="5571358" cy="7878725"/>
            <wp:effectExtent l="0" t="0" r="0" b="8255"/>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pic:cNvPicPr>
                      <a:picLocks noChangeAspect="1" noChangeArrowheads="1"/>
                    </pic:cNvPicPr>
                  </pic:nvPicPr>
                  <pic:blipFill>
                    <a:blip r:embed="rId16"/>
                    <a:stretch>
                      <a:fillRect/>
                    </a:stretch>
                  </pic:blipFill>
                  <pic:spPr bwMode="auto">
                    <a:xfrm>
                      <a:off x="0" y="0"/>
                      <a:ext cx="5582118" cy="7893941"/>
                    </a:xfrm>
                    <a:prstGeom prst="rect">
                      <a:avLst/>
                    </a:prstGeom>
                    <a:noFill/>
                    <a:ln>
                      <a:noFill/>
                    </a:ln>
                  </pic:spPr>
                </pic:pic>
              </a:graphicData>
            </a:graphic>
          </wp:inline>
        </w:drawing>
      </w:r>
    </w:p>
    <w:p w14:paraId="39AD647E" w14:textId="2DAA9703" w:rsidR="00AF6E5D" w:rsidRDefault="00AF6E5D" w:rsidP="00DD38C5">
      <w:pPr>
        <w:pStyle w:val="ZPNadpis1vodn"/>
        <w:jc w:val="center"/>
        <w:sectPr w:rsidR="00AF6E5D" w:rsidSect="00F233D4">
          <w:headerReference w:type="default" r:id="rId17"/>
          <w:footerReference w:type="default" r:id="rId18"/>
          <w:pgSz w:w="11906" w:h="16838" w:code="9"/>
          <w:pgMar w:top="1134" w:right="1134" w:bottom="1134" w:left="1701" w:header="0" w:footer="0" w:gutter="0"/>
          <w:cols w:space="708"/>
          <w:vAlign w:val="center"/>
          <w:docGrid w:linePitch="360"/>
        </w:sectPr>
      </w:pPr>
      <w:r w:rsidRPr="00C83EDC">
        <w:rPr>
          <w:noProof/>
          <w:lang w:val="en-GB"/>
        </w:rPr>
        <w:lastRenderedPageBreak/>
        <w:drawing>
          <wp:inline distT="0" distB="0" distL="0" distR="0" wp14:anchorId="04701294" wp14:editId="68FB03CF">
            <wp:extent cx="5416615" cy="7659897"/>
            <wp:effectExtent l="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tretch>
                      <a:fillRect/>
                    </a:stretch>
                  </pic:blipFill>
                  <pic:spPr bwMode="auto">
                    <a:xfrm>
                      <a:off x="0" y="0"/>
                      <a:ext cx="5440708" cy="7693968"/>
                    </a:xfrm>
                    <a:prstGeom prst="rect">
                      <a:avLst/>
                    </a:prstGeom>
                    <a:noFill/>
                    <a:ln>
                      <a:noFill/>
                    </a:ln>
                  </pic:spPr>
                </pic:pic>
              </a:graphicData>
            </a:graphic>
          </wp:inline>
        </w:drawing>
      </w:r>
    </w:p>
    <w:p w14:paraId="4BF512FC" w14:textId="0F636D74" w:rsidR="006613D4" w:rsidRPr="00746487" w:rsidRDefault="00AF6E5D" w:rsidP="00CE1A04">
      <w:pPr>
        <w:pStyle w:val="ZPNadpis1vodn"/>
      </w:pPr>
      <w:r>
        <w:lastRenderedPageBreak/>
        <w:t>P</w:t>
      </w:r>
      <w:r w:rsidR="006613D4" w:rsidRPr="00746487">
        <w:t>rohlášení</w:t>
      </w:r>
    </w:p>
    <w:p w14:paraId="13E625E4" w14:textId="4B1725F3" w:rsidR="00DD38C5" w:rsidRPr="00746487" w:rsidRDefault="00DD38C5" w:rsidP="00ED1B1E">
      <w:pPr>
        <w:pStyle w:val="ZPZklad"/>
      </w:pPr>
      <w:bookmarkStart w:id="10" w:name="ZN_PROHLASENI"/>
      <w:bookmarkEnd w:id="10"/>
      <w:r w:rsidRPr="00DB00F5">
        <w:t xml:space="preserve">Prohlašuji, že jsem svoji </w:t>
      </w:r>
      <w:sdt>
        <w:sdtPr>
          <w:id w:val="1876810570"/>
          <w:placeholder>
            <w:docPart w:val="B766FDCA3C4440718CFDCF288D2CB068"/>
          </w:placeholder>
          <w:comboBox>
            <w:listItem w:value="Vyberte druh práce"/>
            <w:listItem w:displayText="bakalářskou" w:value="bakalářskou"/>
            <w:listItem w:displayText="diplomovou" w:value="diplomovou"/>
            <w:listItem w:displayText="rigorózní" w:value="rigorózní"/>
            <w:listItem w:displayText="disertační" w:value="disertační"/>
          </w:comboBox>
        </w:sdtPr>
        <w:sdtEndPr/>
        <w:sdtContent>
          <w:r w:rsidR="00AF6E5D">
            <w:t>diplomovou</w:t>
          </w:r>
        </w:sdtContent>
      </w:sdt>
      <w:r>
        <w:t xml:space="preserve"> </w:t>
      </w:r>
      <w:r w:rsidRPr="00DB00F5">
        <w:t>práci</w:t>
      </w:r>
      <w:r>
        <w:t xml:space="preserve"> </w:t>
      </w:r>
      <w:sdt>
        <w:sdtPr>
          <w:id w:val="-1146735316"/>
          <w:placeholder>
            <w:docPart w:val="DA517E6BB8224F4E98B98096BF6269FC"/>
          </w:placeholder>
          <w:dropDownList>
            <w:listItem w:displayText="Vyberte podle pohlaví" w:value=""/>
            <w:listItem w:displayText="vypracoval" w:value="vypracoval"/>
            <w:listItem w:displayText="vypracovala" w:value="vypracovala"/>
          </w:dropDownList>
        </w:sdtPr>
        <w:sdtEndPr/>
        <w:sdtContent>
          <w:r w:rsidR="00AF6E5D">
            <w:t>vypracovala</w:t>
          </w:r>
        </w:sdtContent>
      </w:sdt>
      <w:r w:rsidRPr="00DB00F5">
        <w:t xml:space="preserve"> sa</w:t>
      </w:r>
      <w:r>
        <w:t>mostatně pod vedením vedoucího práce s </w:t>
      </w:r>
      <w:r w:rsidRPr="00DB00F5">
        <w:t>využitím informačních zdrojů, které jsou v práci citovány.</w:t>
      </w:r>
    </w:p>
    <w:p w14:paraId="7F485538" w14:textId="2DABD063" w:rsidR="00581933" w:rsidRPr="00746487" w:rsidRDefault="00F40517" w:rsidP="00AF6E5D">
      <w:pPr>
        <w:pStyle w:val="inZPPodpisprohlen"/>
        <w:spacing w:before="600"/>
        <w:jc w:val="left"/>
      </w:pPr>
      <w:r w:rsidRPr="00746487">
        <w:t xml:space="preserve">V Brně </w:t>
      </w:r>
      <w:sdt>
        <w:sdtPr>
          <w:id w:val="541563648"/>
          <w:placeholder>
            <w:docPart w:val="28A32A8F17474875AC4DD41AD3F85C9E"/>
          </w:placeholder>
          <w:date w:fullDate="2020-08-10T00:00:00Z">
            <w:dateFormat w:val="d. MMMM yyyy"/>
            <w:lid w:val="cs-CZ"/>
            <w:storeMappedDataAs w:val="dateTime"/>
            <w:calendar w:val="gregorian"/>
          </w:date>
        </w:sdtPr>
        <w:sdtEndPr/>
        <w:sdtContent>
          <w:r w:rsidR="00AF6E5D">
            <w:t>10. srpna 2020</w:t>
          </w:r>
        </w:sdtContent>
      </w:sdt>
      <w:r w:rsidR="00581933" w:rsidRPr="00746487">
        <w:tab/>
      </w:r>
      <w:r w:rsidR="00FF3438" w:rsidRPr="00746487">
        <w:t>.......................................</w:t>
      </w:r>
      <w:r w:rsidR="00AF6E5D" w:rsidRPr="00AF6E5D">
        <w:t xml:space="preserve"> </w:t>
      </w:r>
      <w:sdt>
        <w:sdtPr>
          <w:alias w:val="Autor"/>
          <w:tag w:val=""/>
          <w:id w:val="-1420636599"/>
          <w:placeholder>
            <w:docPart w:val="FCE8EDCCB8E34006894E869FC3FDC457"/>
          </w:placeholder>
          <w:dataBinding w:prefixMappings="xmlns:ns0='http://purl.org/dc/elements/1.1/' xmlns:ns1='http://schemas.openxmlformats.org/package/2006/metadata/core-properties' " w:xpath="/ns1:coreProperties[1]/ns0:creator[1]" w:storeItemID="{6C3C8BC8-F283-45AE-878A-BAB7291924A1}"/>
          <w:text/>
        </w:sdtPr>
        <w:sdtEndPr/>
        <w:sdtContent>
          <w:r w:rsidR="00AF6E5D">
            <w:t>Marie Mądrzyk</w:t>
          </w:r>
        </w:sdtContent>
      </w:sdt>
      <w:r w:rsidR="00581933" w:rsidRPr="00746487">
        <w:tab/>
      </w:r>
    </w:p>
    <w:p w14:paraId="14FA4ACB" w14:textId="77777777" w:rsidR="00DB00F5" w:rsidRPr="00746487" w:rsidRDefault="00DB00F5" w:rsidP="00581933">
      <w:pPr>
        <w:pStyle w:val="inZPPodpisprohlen"/>
      </w:pPr>
    </w:p>
    <w:p w14:paraId="6114148D" w14:textId="77777777" w:rsidR="00FF3438" w:rsidRPr="00746487" w:rsidRDefault="00FF3438" w:rsidP="00581933">
      <w:pPr>
        <w:pStyle w:val="inZPPodpisprohlen"/>
        <w:sectPr w:rsidR="00FF3438" w:rsidRPr="00746487" w:rsidSect="0048503A">
          <w:headerReference w:type="default" r:id="rId20"/>
          <w:footerReference w:type="default" r:id="rId21"/>
          <w:pgSz w:w="11906" w:h="16838" w:code="9"/>
          <w:pgMar w:top="1134" w:right="1134" w:bottom="1134" w:left="1701" w:header="1899" w:footer="1281" w:gutter="0"/>
          <w:cols w:space="708"/>
          <w:docGrid w:linePitch="360"/>
        </w:sectPr>
      </w:pPr>
    </w:p>
    <w:p w14:paraId="5A655803" w14:textId="77777777" w:rsidR="00F40517" w:rsidRPr="00746487" w:rsidRDefault="00210C1C" w:rsidP="00CE1A04">
      <w:pPr>
        <w:pStyle w:val="ZPNadpis1vodn"/>
      </w:pPr>
      <w:r w:rsidRPr="00746487">
        <w:lastRenderedPageBreak/>
        <w:t>Poděkování</w:t>
      </w:r>
    </w:p>
    <w:p w14:paraId="16303739" w14:textId="7510B398" w:rsidR="00AF6E5D" w:rsidRDefault="00AF6E5D" w:rsidP="00AF6E5D">
      <w:pPr>
        <w:pStyle w:val="ZPZklad"/>
        <w:spacing w:line="360" w:lineRule="auto"/>
        <w:rPr>
          <w:rFonts w:ascii="Times New Roman" w:hAnsi="Times New Roman"/>
        </w:rPr>
      </w:pPr>
      <w:r w:rsidRPr="00AF6E5D">
        <w:rPr>
          <w:rFonts w:ascii="Times New Roman" w:hAnsi="Times New Roman"/>
        </w:rPr>
        <w:t xml:space="preserve">Na úvod bych chtěla poděkovat prof. RNDr. Ondřeji Slabému, Ph.D. za odborné vedení diplomové práce a také za možnost dále se profesně rozvíjet v rámci jeho výzkumného týmu. Dále bych chtěla poděkovat Mgr. Jaroslavu Juráčkovi PhD. za jeho velkou pomoc, za odborné a cenné rady, a především za trpělivost a vstřícný přístup. Moc si toho vážím. Velké poděkování také patří Mgr. </w:t>
      </w:r>
      <w:proofErr w:type="spellStart"/>
      <w:r w:rsidRPr="00AF6E5D">
        <w:rPr>
          <w:rFonts w:ascii="Times New Roman" w:hAnsi="Times New Roman"/>
        </w:rPr>
        <w:t>Júlii</w:t>
      </w:r>
      <w:proofErr w:type="spellEnd"/>
      <w:r w:rsidRPr="00AF6E5D">
        <w:rPr>
          <w:rFonts w:ascii="Times New Roman" w:hAnsi="Times New Roman"/>
        </w:rPr>
        <w:t xml:space="preserve"> </w:t>
      </w:r>
      <w:proofErr w:type="spellStart"/>
      <w:r w:rsidRPr="00AF6E5D">
        <w:rPr>
          <w:rFonts w:ascii="Times New Roman" w:hAnsi="Times New Roman"/>
        </w:rPr>
        <w:t>Bohošové</w:t>
      </w:r>
      <w:proofErr w:type="spellEnd"/>
      <w:r w:rsidRPr="00AF6E5D">
        <w:rPr>
          <w:rFonts w:ascii="Times New Roman" w:hAnsi="Times New Roman"/>
        </w:rPr>
        <w:t xml:space="preserve"> za spolupráci, rady a pomoc při přípravě </w:t>
      </w:r>
      <w:proofErr w:type="spellStart"/>
      <w:r w:rsidRPr="00AF6E5D">
        <w:rPr>
          <w:rFonts w:ascii="Times New Roman" w:hAnsi="Times New Roman"/>
        </w:rPr>
        <w:t>sekvenačních</w:t>
      </w:r>
      <w:proofErr w:type="spellEnd"/>
      <w:r w:rsidRPr="00AF6E5D">
        <w:rPr>
          <w:rFonts w:ascii="Times New Roman" w:hAnsi="Times New Roman"/>
        </w:rPr>
        <w:t xml:space="preserve"> knihoven a samotném sekvenování. Dále bych chtěla vyjádřit vděčnost a díky Mgr. Karolíně Trachtové z </w:t>
      </w:r>
      <w:proofErr w:type="spellStart"/>
      <w:r w:rsidRPr="00AF6E5D">
        <w:rPr>
          <w:rFonts w:ascii="Times New Roman" w:hAnsi="Times New Roman"/>
        </w:rPr>
        <w:t>bioinformatického</w:t>
      </w:r>
      <w:proofErr w:type="spellEnd"/>
      <w:r w:rsidRPr="00AF6E5D">
        <w:rPr>
          <w:rFonts w:ascii="Times New Roman" w:hAnsi="Times New Roman"/>
        </w:rPr>
        <w:t xml:space="preserve"> oddělení za zpracování dat a přípravu kvalitních analýz, a také dalším členům skupiny za přátelské pracovní prostředí.</w:t>
      </w:r>
    </w:p>
    <w:p w14:paraId="31740B01" w14:textId="77777777" w:rsidR="00AF6E5D" w:rsidRDefault="00AF6E5D" w:rsidP="00AF6E5D">
      <w:pPr>
        <w:pStyle w:val="ZPZklad"/>
        <w:spacing w:line="360" w:lineRule="auto"/>
        <w:rPr>
          <w:rFonts w:ascii="Times New Roman" w:hAnsi="Times New Roman"/>
        </w:rPr>
      </w:pPr>
    </w:p>
    <w:p w14:paraId="7CEE4F6A" w14:textId="79DE3954" w:rsidR="00210C1C" w:rsidRPr="00746487" w:rsidRDefault="00AF6E5D" w:rsidP="00AF6E5D">
      <w:pPr>
        <w:pStyle w:val="ZPZklad"/>
        <w:spacing w:line="360" w:lineRule="auto"/>
      </w:pPr>
      <w:r w:rsidRPr="00AF6E5D">
        <w:rPr>
          <w:rFonts w:ascii="Times New Roman" w:hAnsi="Times New Roman"/>
        </w:rPr>
        <w:t>Zvláštní poděkování patří mému manželovi za starostlivost, pomoc a neskutečnou podporu po celou dobu mého studia. Na závěr patří velké díky také mé rodině a přátelům za motivaci, podporu a pochopení</w:t>
      </w:r>
      <w:r w:rsidR="000C069C">
        <w:rPr>
          <w:rFonts w:ascii="Times New Roman" w:hAnsi="Times New Roman"/>
        </w:rPr>
        <w:t>.</w:t>
      </w:r>
    </w:p>
    <w:p w14:paraId="5D699E07" w14:textId="77777777" w:rsidR="00C612F9" w:rsidRPr="00746487" w:rsidRDefault="00C612F9" w:rsidP="00A2558D">
      <w:pPr>
        <w:pStyle w:val="Dalodstavce"/>
      </w:pPr>
    </w:p>
    <w:p w14:paraId="37E04A96" w14:textId="77777777" w:rsidR="009951BF" w:rsidRPr="00746487" w:rsidRDefault="009951BF" w:rsidP="00A2558D">
      <w:pPr>
        <w:pStyle w:val="Dalodstavce"/>
        <w:sectPr w:rsidR="009951BF" w:rsidRPr="00746487" w:rsidSect="00F71F22">
          <w:footerReference w:type="default" r:id="rId22"/>
          <w:footerReference w:type="first" r:id="rId23"/>
          <w:pgSz w:w="11906" w:h="16838" w:code="9"/>
          <w:pgMar w:top="1134" w:right="1134" w:bottom="1134" w:left="1701" w:header="1899" w:footer="1281" w:gutter="0"/>
          <w:cols w:space="708"/>
          <w:docGrid w:linePitch="360"/>
        </w:sectPr>
      </w:pPr>
    </w:p>
    <w:p w14:paraId="329A2061" w14:textId="413DF795" w:rsidR="00E76694" w:rsidRPr="00746487" w:rsidRDefault="00EE7EB3" w:rsidP="002E640F">
      <w:pPr>
        <w:pStyle w:val="ZPNadpis1vodn"/>
      </w:pPr>
      <w:r>
        <w:lastRenderedPageBreak/>
        <w:t xml:space="preserve">Table </w:t>
      </w:r>
      <w:proofErr w:type="spellStart"/>
      <w:r>
        <w:t>of</w:t>
      </w:r>
      <w:proofErr w:type="spellEnd"/>
      <w:r>
        <w:t xml:space="preserve"> </w:t>
      </w:r>
      <w:proofErr w:type="spellStart"/>
      <w:r>
        <w:t>contents</w:t>
      </w:r>
      <w:proofErr w:type="spellEnd"/>
    </w:p>
    <w:p w14:paraId="12837F1A" w14:textId="30CD2E34" w:rsidR="0048503A" w:rsidRDefault="00825A03">
      <w:pPr>
        <w:pStyle w:val="Obsah1"/>
        <w:rPr>
          <w:rFonts w:asciiTheme="minorHAnsi" w:eastAsiaTheme="minorEastAsia" w:hAnsiTheme="minorHAnsi" w:cstheme="minorBidi"/>
          <w:b w:val="0"/>
          <w:color w:val="auto"/>
          <w:sz w:val="22"/>
          <w:szCs w:val="22"/>
          <w:lang w:val="en-GB" w:eastAsia="en-GB"/>
        </w:rPr>
      </w:pPr>
      <w:r w:rsidRPr="00746487">
        <w:rPr>
          <w:rFonts w:ascii="Arial" w:hAnsi="Arial"/>
          <w:bCs/>
          <w:noProof w:val="0"/>
        </w:rPr>
        <w:fldChar w:fldCharType="begin"/>
      </w:r>
      <w:r w:rsidRPr="00746487">
        <w:rPr>
          <w:noProof w:val="0"/>
        </w:rPr>
        <w:instrText xml:space="preserve"> TOC \o "1-2" </w:instrText>
      </w:r>
      <w:r w:rsidRPr="00746487">
        <w:rPr>
          <w:rFonts w:ascii="Arial" w:hAnsi="Arial"/>
          <w:bCs/>
          <w:noProof w:val="0"/>
        </w:rPr>
        <w:fldChar w:fldCharType="separate"/>
      </w:r>
      <w:r w:rsidR="0048503A">
        <w:t>List of abbreviations</w:t>
      </w:r>
      <w:r w:rsidR="0048503A">
        <w:tab/>
      </w:r>
      <w:r w:rsidR="0048503A">
        <w:fldChar w:fldCharType="begin"/>
      </w:r>
      <w:r w:rsidR="0048503A">
        <w:instrText xml:space="preserve"> PAGEREF _Toc48160980 \h </w:instrText>
      </w:r>
      <w:r w:rsidR="0048503A">
        <w:fldChar w:fldCharType="separate"/>
      </w:r>
      <w:r w:rsidR="0048503A">
        <w:t>12</w:t>
      </w:r>
      <w:r w:rsidR="0048503A">
        <w:fldChar w:fldCharType="end"/>
      </w:r>
    </w:p>
    <w:p w14:paraId="59AFC151" w14:textId="191DC173" w:rsidR="0048503A" w:rsidRDefault="0048503A">
      <w:pPr>
        <w:pStyle w:val="Obsah1"/>
        <w:rPr>
          <w:rFonts w:asciiTheme="minorHAnsi" w:eastAsiaTheme="minorEastAsia" w:hAnsiTheme="minorHAnsi" w:cstheme="minorBidi"/>
          <w:b w:val="0"/>
          <w:color w:val="auto"/>
          <w:sz w:val="22"/>
          <w:szCs w:val="22"/>
          <w:lang w:val="en-GB" w:eastAsia="en-GB"/>
        </w:rPr>
      </w:pPr>
      <w:r>
        <w:t>Introduction</w:t>
      </w:r>
      <w:r>
        <w:tab/>
      </w:r>
      <w:r>
        <w:fldChar w:fldCharType="begin"/>
      </w:r>
      <w:r>
        <w:instrText xml:space="preserve"> PAGEREF _Toc48160981 \h </w:instrText>
      </w:r>
      <w:r>
        <w:fldChar w:fldCharType="separate"/>
      </w:r>
      <w:r>
        <w:t>15</w:t>
      </w:r>
      <w:r>
        <w:fldChar w:fldCharType="end"/>
      </w:r>
    </w:p>
    <w:p w14:paraId="46981518" w14:textId="4A005F9C" w:rsidR="0048503A" w:rsidRDefault="0048503A">
      <w:pPr>
        <w:pStyle w:val="Obsah1"/>
        <w:rPr>
          <w:rFonts w:asciiTheme="minorHAnsi" w:eastAsiaTheme="minorEastAsia" w:hAnsiTheme="minorHAnsi" w:cstheme="minorBidi"/>
          <w:b w:val="0"/>
          <w:color w:val="auto"/>
          <w:sz w:val="22"/>
          <w:szCs w:val="22"/>
          <w:lang w:val="en-GB" w:eastAsia="en-GB"/>
        </w:rPr>
      </w:pPr>
      <w:r w:rsidRPr="008C1E7A">
        <w:rPr>
          <w:b w:val="0"/>
        </w:rPr>
        <w:t>THEORETICAL PART</w:t>
      </w:r>
      <w:r>
        <w:tab/>
      </w:r>
      <w:r>
        <w:fldChar w:fldCharType="begin"/>
      </w:r>
      <w:r>
        <w:instrText xml:space="preserve"> PAGEREF _Toc48160982 \h </w:instrText>
      </w:r>
      <w:r>
        <w:fldChar w:fldCharType="separate"/>
      </w:r>
      <w:r>
        <w:t>16</w:t>
      </w:r>
      <w:r>
        <w:fldChar w:fldCharType="end"/>
      </w:r>
    </w:p>
    <w:p w14:paraId="536E1D4C" w14:textId="4F7ECC34" w:rsidR="0048503A" w:rsidRDefault="0048503A">
      <w:pPr>
        <w:pStyle w:val="Obsah1"/>
        <w:rPr>
          <w:rFonts w:asciiTheme="minorHAnsi" w:eastAsiaTheme="minorEastAsia" w:hAnsiTheme="minorHAnsi" w:cstheme="minorBidi"/>
          <w:b w:val="0"/>
          <w:color w:val="auto"/>
          <w:sz w:val="22"/>
          <w:szCs w:val="22"/>
          <w:lang w:val="en-GB" w:eastAsia="en-GB"/>
        </w:rPr>
      </w:pPr>
      <w:r w:rsidRPr="008C1E7A">
        <w:rPr>
          <w:lang w:val="en-GB"/>
        </w:rPr>
        <w:t>1</w:t>
      </w:r>
      <w:r>
        <w:rPr>
          <w:rFonts w:asciiTheme="minorHAnsi" w:eastAsiaTheme="minorEastAsia" w:hAnsiTheme="minorHAnsi" w:cstheme="minorBidi"/>
          <w:b w:val="0"/>
          <w:color w:val="auto"/>
          <w:sz w:val="22"/>
          <w:szCs w:val="22"/>
          <w:lang w:val="en-GB" w:eastAsia="en-GB"/>
        </w:rPr>
        <w:tab/>
      </w:r>
      <w:r w:rsidRPr="008C1E7A">
        <w:rPr>
          <w:lang w:val="en-GB"/>
        </w:rPr>
        <w:t>Prostate cancer</w:t>
      </w:r>
      <w:r>
        <w:tab/>
      </w:r>
      <w:r>
        <w:fldChar w:fldCharType="begin"/>
      </w:r>
      <w:r>
        <w:instrText xml:space="preserve"> PAGEREF _Toc48160983 \h </w:instrText>
      </w:r>
      <w:r>
        <w:fldChar w:fldCharType="separate"/>
      </w:r>
      <w:r>
        <w:t>16</w:t>
      </w:r>
      <w:r>
        <w:fldChar w:fldCharType="end"/>
      </w:r>
    </w:p>
    <w:p w14:paraId="4266D5CF" w14:textId="2BDAB800"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1.1</w:t>
      </w:r>
      <w:r>
        <w:rPr>
          <w:rFonts w:asciiTheme="minorHAnsi" w:eastAsiaTheme="minorEastAsia" w:hAnsiTheme="minorHAnsi" w:cstheme="minorBidi"/>
          <w:iCs w:val="0"/>
          <w:sz w:val="22"/>
          <w:szCs w:val="22"/>
          <w:lang w:val="en-GB" w:eastAsia="en-GB"/>
        </w:rPr>
        <w:tab/>
      </w:r>
      <w:r w:rsidRPr="008C1E7A">
        <w:rPr>
          <w:lang w:val="en-GB"/>
        </w:rPr>
        <w:t>Epidemiology</w:t>
      </w:r>
      <w:r>
        <w:tab/>
      </w:r>
      <w:r>
        <w:fldChar w:fldCharType="begin"/>
      </w:r>
      <w:r>
        <w:instrText xml:space="preserve"> PAGEREF _Toc48160984 \h </w:instrText>
      </w:r>
      <w:r>
        <w:fldChar w:fldCharType="separate"/>
      </w:r>
      <w:r>
        <w:t>16</w:t>
      </w:r>
      <w:r>
        <w:fldChar w:fldCharType="end"/>
      </w:r>
    </w:p>
    <w:p w14:paraId="7E2540EF" w14:textId="78DAF31A"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1.2</w:t>
      </w:r>
      <w:r>
        <w:rPr>
          <w:rFonts w:asciiTheme="minorHAnsi" w:eastAsiaTheme="minorEastAsia" w:hAnsiTheme="minorHAnsi" w:cstheme="minorBidi"/>
          <w:iCs w:val="0"/>
          <w:sz w:val="22"/>
          <w:szCs w:val="22"/>
          <w:lang w:val="en-GB" w:eastAsia="en-GB"/>
        </w:rPr>
        <w:tab/>
      </w:r>
      <w:r w:rsidRPr="008C1E7A">
        <w:rPr>
          <w:lang w:val="en-GB"/>
        </w:rPr>
        <w:t>Tumour staging</w:t>
      </w:r>
      <w:r>
        <w:tab/>
      </w:r>
      <w:r>
        <w:fldChar w:fldCharType="begin"/>
      </w:r>
      <w:r>
        <w:instrText xml:space="preserve"> PAGEREF _Toc48160985 \h </w:instrText>
      </w:r>
      <w:r>
        <w:fldChar w:fldCharType="separate"/>
      </w:r>
      <w:r>
        <w:t>16</w:t>
      </w:r>
      <w:r>
        <w:fldChar w:fldCharType="end"/>
      </w:r>
    </w:p>
    <w:p w14:paraId="76390FC0" w14:textId="5C75B110"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1.3</w:t>
      </w:r>
      <w:r>
        <w:rPr>
          <w:rFonts w:asciiTheme="minorHAnsi" w:eastAsiaTheme="minorEastAsia" w:hAnsiTheme="minorHAnsi" w:cstheme="minorBidi"/>
          <w:iCs w:val="0"/>
          <w:sz w:val="22"/>
          <w:szCs w:val="22"/>
          <w:lang w:val="en-GB" w:eastAsia="en-GB"/>
        </w:rPr>
        <w:tab/>
      </w:r>
      <w:r w:rsidRPr="008C1E7A">
        <w:rPr>
          <w:lang w:val="en-GB"/>
        </w:rPr>
        <w:t>Tumour grading</w:t>
      </w:r>
      <w:r>
        <w:tab/>
      </w:r>
      <w:r>
        <w:fldChar w:fldCharType="begin"/>
      </w:r>
      <w:r>
        <w:instrText xml:space="preserve"> PAGEREF _Toc48160986 \h </w:instrText>
      </w:r>
      <w:r>
        <w:fldChar w:fldCharType="separate"/>
      </w:r>
      <w:r>
        <w:t>17</w:t>
      </w:r>
      <w:r>
        <w:fldChar w:fldCharType="end"/>
      </w:r>
    </w:p>
    <w:p w14:paraId="061E2D91" w14:textId="77835F5D"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1.4</w:t>
      </w:r>
      <w:r>
        <w:rPr>
          <w:rFonts w:asciiTheme="minorHAnsi" w:eastAsiaTheme="minorEastAsia" w:hAnsiTheme="minorHAnsi" w:cstheme="minorBidi"/>
          <w:iCs w:val="0"/>
          <w:sz w:val="22"/>
          <w:szCs w:val="22"/>
          <w:lang w:val="en-GB" w:eastAsia="en-GB"/>
        </w:rPr>
        <w:tab/>
      </w:r>
      <w:r w:rsidRPr="008C1E7A">
        <w:rPr>
          <w:lang w:val="en-GB"/>
        </w:rPr>
        <w:t>Molecular pathogenesis</w:t>
      </w:r>
      <w:r>
        <w:tab/>
      </w:r>
      <w:r>
        <w:fldChar w:fldCharType="begin"/>
      </w:r>
      <w:r>
        <w:instrText xml:space="preserve"> PAGEREF _Toc48160987 \h </w:instrText>
      </w:r>
      <w:r>
        <w:fldChar w:fldCharType="separate"/>
      </w:r>
      <w:r>
        <w:t>19</w:t>
      </w:r>
      <w:r>
        <w:fldChar w:fldCharType="end"/>
      </w:r>
    </w:p>
    <w:p w14:paraId="4EC6CE0B" w14:textId="084C8321"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1.5</w:t>
      </w:r>
      <w:r>
        <w:rPr>
          <w:rFonts w:asciiTheme="minorHAnsi" w:eastAsiaTheme="minorEastAsia" w:hAnsiTheme="minorHAnsi" w:cstheme="minorBidi"/>
          <w:iCs w:val="0"/>
          <w:sz w:val="22"/>
          <w:szCs w:val="22"/>
          <w:lang w:val="en-GB" w:eastAsia="en-GB"/>
        </w:rPr>
        <w:tab/>
      </w:r>
      <w:r w:rsidRPr="008C1E7A">
        <w:rPr>
          <w:lang w:val="en-GB"/>
        </w:rPr>
        <w:t>Diagnostics</w:t>
      </w:r>
      <w:r>
        <w:tab/>
      </w:r>
      <w:r>
        <w:fldChar w:fldCharType="begin"/>
      </w:r>
      <w:r>
        <w:instrText xml:space="preserve"> PAGEREF _Toc48160988 \h </w:instrText>
      </w:r>
      <w:r>
        <w:fldChar w:fldCharType="separate"/>
      </w:r>
      <w:r>
        <w:t>23</w:t>
      </w:r>
      <w:r>
        <w:fldChar w:fldCharType="end"/>
      </w:r>
    </w:p>
    <w:p w14:paraId="3BDB68F1" w14:textId="5CED3C08" w:rsidR="0048503A" w:rsidRDefault="0048503A">
      <w:pPr>
        <w:pStyle w:val="Obsah1"/>
        <w:rPr>
          <w:rFonts w:asciiTheme="minorHAnsi" w:eastAsiaTheme="minorEastAsia" w:hAnsiTheme="minorHAnsi" w:cstheme="minorBidi"/>
          <w:b w:val="0"/>
          <w:color w:val="auto"/>
          <w:sz w:val="22"/>
          <w:szCs w:val="22"/>
          <w:lang w:val="en-GB" w:eastAsia="en-GB"/>
        </w:rPr>
      </w:pPr>
      <w:r w:rsidRPr="008C1E7A">
        <w:rPr>
          <w:lang w:val="en-GB"/>
        </w:rPr>
        <w:t>2</w:t>
      </w:r>
      <w:r>
        <w:rPr>
          <w:rFonts w:asciiTheme="minorHAnsi" w:eastAsiaTheme="minorEastAsia" w:hAnsiTheme="minorHAnsi" w:cstheme="minorBidi"/>
          <w:b w:val="0"/>
          <w:color w:val="auto"/>
          <w:sz w:val="22"/>
          <w:szCs w:val="22"/>
          <w:lang w:val="en-GB" w:eastAsia="en-GB"/>
        </w:rPr>
        <w:tab/>
      </w:r>
      <w:r w:rsidRPr="008C1E7A">
        <w:rPr>
          <w:lang w:val="en-GB"/>
        </w:rPr>
        <w:t>mikroRNA</w:t>
      </w:r>
      <w:r>
        <w:tab/>
      </w:r>
      <w:r>
        <w:fldChar w:fldCharType="begin"/>
      </w:r>
      <w:r>
        <w:instrText xml:space="preserve"> PAGEREF _Toc48160989 \h </w:instrText>
      </w:r>
      <w:r>
        <w:fldChar w:fldCharType="separate"/>
      </w:r>
      <w:r>
        <w:t>29</w:t>
      </w:r>
      <w:r>
        <w:fldChar w:fldCharType="end"/>
      </w:r>
    </w:p>
    <w:p w14:paraId="6B55C36F" w14:textId="481D9E64"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2.1</w:t>
      </w:r>
      <w:r>
        <w:rPr>
          <w:rFonts w:asciiTheme="minorHAnsi" w:eastAsiaTheme="minorEastAsia" w:hAnsiTheme="minorHAnsi" w:cstheme="minorBidi"/>
          <w:iCs w:val="0"/>
          <w:sz w:val="22"/>
          <w:szCs w:val="22"/>
          <w:lang w:val="en-GB" w:eastAsia="en-GB"/>
        </w:rPr>
        <w:tab/>
      </w:r>
      <w:r w:rsidRPr="008C1E7A">
        <w:rPr>
          <w:lang w:val="en-GB"/>
        </w:rPr>
        <w:t>Biogenesis and function</w:t>
      </w:r>
      <w:r>
        <w:tab/>
      </w:r>
      <w:r>
        <w:fldChar w:fldCharType="begin"/>
      </w:r>
      <w:r>
        <w:instrText xml:space="preserve"> PAGEREF _Toc48160990 \h </w:instrText>
      </w:r>
      <w:r>
        <w:fldChar w:fldCharType="separate"/>
      </w:r>
      <w:r>
        <w:t>29</w:t>
      </w:r>
      <w:r>
        <w:fldChar w:fldCharType="end"/>
      </w:r>
    </w:p>
    <w:p w14:paraId="54376A04" w14:textId="2C990753"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2.2</w:t>
      </w:r>
      <w:r>
        <w:rPr>
          <w:rFonts w:asciiTheme="minorHAnsi" w:eastAsiaTheme="minorEastAsia" w:hAnsiTheme="minorHAnsi" w:cstheme="minorBidi"/>
          <w:iCs w:val="0"/>
          <w:sz w:val="22"/>
          <w:szCs w:val="22"/>
          <w:lang w:val="en-GB" w:eastAsia="en-GB"/>
        </w:rPr>
        <w:tab/>
      </w:r>
      <w:r w:rsidRPr="008C1E7A">
        <w:rPr>
          <w:lang w:val="en-GB"/>
        </w:rPr>
        <w:t>miRNAs and their role in cancer</w:t>
      </w:r>
      <w:r>
        <w:tab/>
      </w:r>
      <w:r>
        <w:fldChar w:fldCharType="begin"/>
      </w:r>
      <w:r>
        <w:instrText xml:space="preserve"> PAGEREF _Toc48160991 \h </w:instrText>
      </w:r>
      <w:r>
        <w:fldChar w:fldCharType="separate"/>
      </w:r>
      <w:r>
        <w:t>30</w:t>
      </w:r>
      <w:r>
        <w:fldChar w:fldCharType="end"/>
      </w:r>
    </w:p>
    <w:p w14:paraId="6CEAFC7C" w14:textId="4E680F92"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2.3</w:t>
      </w:r>
      <w:r>
        <w:rPr>
          <w:rFonts w:asciiTheme="minorHAnsi" w:eastAsiaTheme="minorEastAsia" w:hAnsiTheme="minorHAnsi" w:cstheme="minorBidi"/>
          <w:iCs w:val="0"/>
          <w:sz w:val="22"/>
          <w:szCs w:val="22"/>
          <w:lang w:val="en-GB" w:eastAsia="en-GB"/>
        </w:rPr>
        <w:tab/>
      </w:r>
      <w:r w:rsidRPr="008C1E7A">
        <w:rPr>
          <w:lang w:val="en-GB"/>
        </w:rPr>
        <w:t>The role of miRNAs as biomarkers in prostate cancer</w:t>
      </w:r>
      <w:r>
        <w:tab/>
      </w:r>
      <w:r>
        <w:fldChar w:fldCharType="begin"/>
      </w:r>
      <w:r>
        <w:instrText xml:space="preserve"> PAGEREF _Toc48160992 \h </w:instrText>
      </w:r>
      <w:r>
        <w:fldChar w:fldCharType="separate"/>
      </w:r>
      <w:r>
        <w:t>32</w:t>
      </w:r>
      <w:r>
        <w:fldChar w:fldCharType="end"/>
      </w:r>
    </w:p>
    <w:p w14:paraId="0DE50382" w14:textId="0D0178E4" w:rsidR="0048503A" w:rsidRDefault="0048503A">
      <w:pPr>
        <w:pStyle w:val="Obsah1"/>
        <w:rPr>
          <w:rFonts w:asciiTheme="minorHAnsi" w:eastAsiaTheme="minorEastAsia" w:hAnsiTheme="minorHAnsi" w:cstheme="minorBidi"/>
          <w:b w:val="0"/>
          <w:color w:val="auto"/>
          <w:sz w:val="22"/>
          <w:szCs w:val="22"/>
          <w:lang w:val="en-GB" w:eastAsia="en-GB"/>
        </w:rPr>
      </w:pPr>
      <w:r w:rsidRPr="008C1E7A">
        <w:rPr>
          <w:lang w:val="en-GB"/>
        </w:rPr>
        <w:t>3</w:t>
      </w:r>
      <w:r>
        <w:rPr>
          <w:rFonts w:asciiTheme="minorHAnsi" w:eastAsiaTheme="minorEastAsia" w:hAnsiTheme="minorHAnsi" w:cstheme="minorBidi"/>
          <w:b w:val="0"/>
          <w:color w:val="auto"/>
          <w:sz w:val="22"/>
          <w:szCs w:val="22"/>
          <w:lang w:val="en-GB" w:eastAsia="en-GB"/>
        </w:rPr>
        <w:tab/>
      </w:r>
      <w:r w:rsidRPr="008C1E7A">
        <w:rPr>
          <w:lang w:val="en-GB"/>
        </w:rPr>
        <w:t>Diploma thesis objectives</w:t>
      </w:r>
      <w:r>
        <w:tab/>
      </w:r>
      <w:r>
        <w:fldChar w:fldCharType="begin"/>
      </w:r>
      <w:r>
        <w:instrText xml:space="preserve"> PAGEREF _Toc48160993 \h </w:instrText>
      </w:r>
      <w:r>
        <w:fldChar w:fldCharType="separate"/>
      </w:r>
      <w:r>
        <w:t>37</w:t>
      </w:r>
      <w:r>
        <w:fldChar w:fldCharType="end"/>
      </w:r>
    </w:p>
    <w:p w14:paraId="25C4396A" w14:textId="145367DE" w:rsidR="0048503A" w:rsidRDefault="0048503A">
      <w:pPr>
        <w:pStyle w:val="Obsah1"/>
        <w:rPr>
          <w:rFonts w:asciiTheme="minorHAnsi" w:eastAsiaTheme="minorEastAsia" w:hAnsiTheme="minorHAnsi" w:cstheme="minorBidi"/>
          <w:b w:val="0"/>
          <w:color w:val="auto"/>
          <w:sz w:val="22"/>
          <w:szCs w:val="22"/>
          <w:lang w:val="en-GB" w:eastAsia="en-GB"/>
        </w:rPr>
      </w:pPr>
      <w:r w:rsidRPr="008C1E7A">
        <w:rPr>
          <w:b w:val="0"/>
        </w:rPr>
        <w:t>PRACTICAL PART</w:t>
      </w:r>
      <w:r>
        <w:tab/>
      </w:r>
      <w:r>
        <w:fldChar w:fldCharType="begin"/>
      </w:r>
      <w:r>
        <w:instrText xml:space="preserve"> PAGEREF _Toc48160994 \h </w:instrText>
      </w:r>
      <w:r>
        <w:fldChar w:fldCharType="separate"/>
      </w:r>
      <w:r>
        <w:t>38</w:t>
      </w:r>
      <w:r>
        <w:fldChar w:fldCharType="end"/>
      </w:r>
    </w:p>
    <w:p w14:paraId="73DB7145" w14:textId="224594B7" w:rsidR="0048503A" w:rsidRDefault="0048503A">
      <w:pPr>
        <w:pStyle w:val="Obsah1"/>
        <w:rPr>
          <w:rFonts w:asciiTheme="minorHAnsi" w:eastAsiaTheme="minorEastAsia" w:hAnsiTheme="minorHAnsi" w:cstheme="minorBidi"/>
          <w:b w:val="0"/>
          <w:color w:val="auto"/>
          <w:sz w:val="22"/>
          <w:szCs w:val="22"/>
          <w:lang w:val="en-GB" w:eastAsia="en-GB"/>
        </w:rPr>
      </w:pPr>
      <w:r w:rsidRPr="008C1E7A">
        <w:rPr>
          <w:lang w:val="en-GB"/>
        </w:rPr>
        <w:t>4</w:t>
      </w:r>
      <w:r>
        <w:rPr>
          <w:rFonts w:asciiTheme="minorHAnsi" w:eastAsiaTheme="minorEastAsia" w:hAnsiTheme="minorHAnsi" w:cstheme="minorBidi"/>
          <w:b w:val="0"/>
          <w:color w:val="auto"/>
          <w:sz w:val="22"/>
          <w:szCs w:val="22"/>
          <w:lang w:val="en-GB" w:eastAsia="en-GB"/>
        </w:rPr>
        <w:tab/>
      </w:r>
      <w:r w:rsidRPr="008C1E7A">
        <w:rPr>
          <w:lang w:val="en-GB"/>
        </w:rPr>
        <w:t>Materials and methods</w:t>
      </w:r>
      <w:r>
        <w:tab/>
      </w:r>
      <w:r>
        <w:fldChar w:fldCharType="begin"/>
      </w:r>
      <w:r>
        <w:instrText xml:space="preserve"> PAGEREF _Toc48160995 \h </w:instrText>
      </w:r>
      <w:r>
        <w:fldChar w:fldCharType="separate"/>
      </w:r>
      <w:r>
        <w:t>38</w:t>
      </w:r>
      <w:r>
        <w:fldChar w:fldCharType="end"/>
      </w:r>
    </w:p>
    <w:p w14:paraId="44955522" w14:textId="285D9EB7"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4.1</w:t>
      </w:r>
      <w:r>
        <w:rPr>
          <w:rFonts w:asciiTheme="minorHAnsi" w:eastAsiaTheme="minorEastAsia" w:hAnsiTheme="minorHAnsi" w:cstheme="minorBidi"/>
          <w:iCs w:val="0"/>
          <w:sz w:val="22"/>
          <w:szCs w:val="22"/>
          <w:lang w:val="en-GB" w:eastAsia="en-GB"/>
        </w:rPr>
        <w:tab/>
      </w:r>
      <w:r w:rsidRPr="008C1E7A">
        <w:rPr>
          <w:lang w:val="en-GB"/>
        </w:rPr>
        <w:t>miRNA profiling in tumour tissue</w:t>
      </w:r>
      <w:r>
        <w:tab/>
      </w:r>
      <w:r>
        <w:fldChar w:fldCharType="begin"/>
      </w:r>
      <w:r>
        <w:instrText xml:space="preserve"> PAGEREF _Toc48160996 \h </w:instrText>
      </w:r>
      <w:r>
        <w:fldChar w:fldCharType="separate"/>
      </w:r>
      <w:r>
        <w:t>38</w:t>
      </w:r>
      <w:r>
        <w:fldChar w:fldCharType="end"/>
      </w:r>
    </w:p>
    <w:p w14:paraId="2FEFD6F0" w14:textId="6DD4C18C"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4.2</w:t>
      </w:r>
      <w:r>
        <w:rPr>
          <w:rFonts w:asciiTheme="minorHAnsi" w:eastAsiaTheme="minorEastAsia" w:hAnsiTheme="minorHAnsi" w:cstheme="minorBidi"/>
          <w:iCs w:val="0"/>
          <w:sz w:val="22"/>
          <w:szCs w:val="22"/>
          <w:lang w:val="en-GB" w:eastAsia="en-GB"/>
        </w:rPr>
        <w:tab/>
      </w:r>
      <w:r w:rsidRPr="008C1E7A">
        <w:rPr>
          <w:lang w:val="en-GB"/>
        </w:rPr>
        <w:t>miRNA validation</w:t>
      </w:r>
      <w:r>
        <w:tab/>
      </w:r>
      <w:r>
        <w:fldChar w:fldCharType="begin"/>
      </w:r>
      <w:r>
        <w:instrText xml:space="preserve"> PAGEREF _Toc48160997 \h </w:instrText>
      </w:r>
      <w:r>
        <w:fldChar w:fldCharType="separate"/>
      </w:r>
      <w:r>
        <w:t>42</w:t>
      </w:r>
      <w:r>
        <w:fldChar w:fldCharType="end"/>
      </w:r>
    </w:p>
    <w:p w14:paraId="1F158A02" w14:textId="2707A3BB"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4.3</w:t>
      </w:r>
      <w:r>
        <w:rPr>
          <w:rFonts w:asciiTheme="minorHAnsi" w:eastAsiaTheme="minorEastAsia" w:hAnsiTheme="minorHAnsi" w:cstheme="minorBidi"/>
          <w:iCs w:val="0"/>
          <w:sz w:val="22"/>
          <w:szCs w:val="22"/>
          <w:lang w:val="en-GB" w:eastAsia="en-GB"/>
        </w:rPr>
        <w:tab/>
      </w:r>
      <w:r w:rsidRPr="008C1E7A">
        <w:rPr>
          <w:lang w:val="en-GB"/>
        </w:rPr>
        <w:t>miRNA profiling in urine</w:t>
      </w:r>
      <w:r>
        <w:tab/>
      </w:r>
      <w:r>
        <w:fldChar w:fldCharType="begin"/>
      </w:r>
      <w:r>
        <w:instrText xml:space="preserve"> PAGEREF _Toc48160998 \h </w:instrText>
      </w:r>
      <w:r>
        <w:fldChar w:fldCharType="separate"/>
      </w:r>
      <w:r>
        <w:t>43</w:t>
      </w:r>
      <w:r>
        <w:fldChar w:fldCharType="end"/>
      </w:r>
    </w:p>
    <w:p w14:paraId="185C39E2" w14:textId="4C4B6B7D" w:rsidR="0048503A" w:rsidRDefault="0048503A">
      <w:pPr>
        <w:pStyle w:val="Obsah1"/>
        <w:rPr>
          <w:rFonts w:asciiTheme="minorHAnsi" w:eastAsiaTheme="minorEastAsia" w:hAnsiTheme="minorHAnsi" w:cstheme="minorBidi"/>
          <w:b w:val="0"/>
          <w:color w:val="auto"/>
          <w:sz w:val="22"/>
          <w:szCs w:val="22"/>
          <w:lang w:val="en-GB" w:eastAsia="en-GB"/>
        </w:rPr>
      </w:pPr>
      <w:r w:rsidRPr="008C1E7A">
        <w:rPr>
          <w:lang w:val="en-GB"/>
        </w:rPr>
        <w:t>5</w:t>
      </w:r>
      <w:r>
        <w:rPr>
          <w:rFonts w:asciiTheme="minorHAnsi" w:eastAsiaTheme="minorEastAsia" w:hAnsiTheme="minorHAnsi" w:cstheme="minorBidi"/>
          <w:b w:val="0"/>
          <w:color w:val="auto"/>
          <w:sz w:val="22"/>
          <w:szCs w:val="22"/>
          <w:lang w:val="en-GB" w:eastAsia="en-GB"/>
        </w:rPr>
        <w:tab/>
      </w:r>
      <w:r w:rsidRPr="008C1E7A">
        <w:rPr>
          <w:lang w:val="en-GB"/>
        </w:rPr>
        <w:t>Results</w:t>
      </w:r>
      <w:r>
        <w:tab/>
      </w:r>
      <w:r>
        <w:fldChar w:fldCharType="begin"/>
      </w:r>
      <w:r>
        <w:instrText xml:space="preserve"> PAGEREF _Toc48160999 \h </w:instrText>
      </w:r>
      <w:r>
        <w:fldChar w:fldCharType="separate"/>
      </w:r>
      <w:r>
        <w:t>51</w:t>
      </w:r>
      <w:r>
        <w:fldChar w:fldCharType="end"/>
      </w:r>
    </w:p>
    <w:p w14:paraId="25254DB3" w14:textId="2DD333BF"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5.1</w:t>
      </w:r>
      <w:r>
        <w:rPr>
          <w:rFonts w:asciiTheme="minorHAnsi" w:eastAsiaTheme="minorEastAsia" w:hAnsiTheme="minorHAnsi" w:cstheme="minorBidi"/>
          <w:iCs w:val="0"/>
          <w:sz w:val="22"/>
          <w:szCs w:val="22"/>
          <w:lang w:val="en-GB" w:eastAsia="en-GB"/>
        </w:rPr>
        <w:tab/>
      </w:r>
      <w:r w:rsidRPr="008C1E7A">
        <w:rPr>
          <w:lang w:val="en-GB"/>
        </w:rPr>
        <w:t>miRNA profiling in tumour tissue</w:t>
      </w:r>
      <w:r>
        <w:tab/>
      </w:r>
      <w:r>
        <w:fldChar w:fldCharType="begin"/>
      </w:r>
      <w:r>
        <w:instrText xml:space="preserve"> PAGEREF _Toc48161000 \h </w:instrText>
      </w:r>
      <w:r>
        <w:fldChar w:fldCharType="separate"/>
      </w:r>
      <w:r>
        <w:t>51</w:t>
      </w:r>
      <w:r>
        <w:fldChar w:fldCharType="end"/>
      </w:r>
    </w:p>
    <w:p w14:paraId="23228127" w14:textId="3149DA7A"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5.2</w:t>
      </w:r>
      <w:r>
        <w:rPr>
          <w:rFonts w:asciiTheme="minorHAnsi" w:eastAsiaTheme="minorEastAsia" w:hAnsiTheme="minorHAnsi" w:cstheme="minorBidi"/>
          <w:iCs w:val="0"/>
          <w:sz w:val="22"/>
          <w:szCs w:val="22"/>
          <w:lang w:val="en-GB" w:eastAsia="en-GB"/>
        </w:rPr>
        <w:tab/>
      </w:r>
      <w:r w:rsidRPr="008C1E7A">
        <w:rPr>
          <w:lang w:val="en-GB"/>
        </w:rPr>
        <w:t>miRNA validation</w:t>
      </w:r>
      <w:r>
        <w:tab/>
      </w:r>
      <w:r>
        <w:fldChar w:fldCharType="begin"/>
      </w:r>
      <w:r>
        <w:instrText xml:space="preserve"> PAGEREF _Toc48161001 \h </w:instrText>
      </w:r>
      <w:r>
        <w:fldChar w:fldCharType="separate"/>
      </w:r>
      <w:r>
        <w:t>54</w:t>
      </w:r>
      <w:r>
        <w:fldChar w:fldCharType="end"/>
      </w:r>
    </w:p>
    <w:p w14:paraId="7DC186B0" w14:textId="30486F68"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5.3</w:t>
      </w:r>
      <w:r>
        <w:rPr>
          <w:rFonts w:asciiTheme="minorHAnsi" w:eastAsiaTheme="minorEastAsia" w:hAnsiTheme="minorHAnsi" w:cstheme="minorBidi"/>
          <w:iCs w:val="0"/>
          <w:sz w:val="22"/>
          <w:szCs w:val="22"/>
          <w:lang w:val="en-GB" w:eastAsia="en-GB"/>
        </w:rPr>
        <w:tab/>
      </w:r>
      <w:r w:rsidRPr="008C1E7A">
        <w:rPr>
          <w:lang w:val="en-GB"/>
        </w:rPr>
        <w:t>miRNA profiling in urine</w:t>
      </w:r>
      <w:r>
        <w:tab/>
      </w:r>
      <w:r>
        <w:fldChar w:fldCharType="begin"/>
      </w:r>
      <w:r>
        <w:instrText xml:space="preserve"> PAGEREF _Toc48161002 \h </w:instrText>
      </w:r>
      <w:r>
        <w:fldChar w:fldCharType="separate"/>
      </w:r>
      <w:r>
        <w:t>58</w:t>
      </w:r>
      <w:r>
        <w:fldChar w:fldCharType="end"/>
      </w:r>
    </w:p>
    <w:p w14:paraId="0458FFC2" w14:textId="78038243" w:rsidR="0048503A" w:rsidRDefault="0048503A">
      <w:pPr>
        <w:pStyle w:val="Obsah1"/>
        <w:rPr>
          <w:rFonts w:asciiTheme="minorHAnsi" w:eastAsiaTheme="minorEastAsia" w:hAnsiTheme="minorHAnsi" w:cstheme="minorBidi"/>
          <w:b w:val="0"/>
          <w:color w:val="auto"/>
          <w:sz w:val="22"/>
          <w:szCs w:val="22"/>
          <w:lang w:val="en-GB" w:eastAsia="en-GB"/>
        </w:rPr>
      </w:pPr>
      <w:r w:rsidRPr="008C1E7A">
        <w:rPr>
          <w:lang w:val="en-GB"/>
        </w:rPr>
        <w:t>6</w:t>
      </w:r>
      <w:r>
        <w:rPr>
          <w:rFonts w:asciiTheme="minorHAnsi" w:eastAsiaTheme="minorEastAsia" w:hAnsiTheme="minorHAnsi" w:cstheme="minorBidi"/>
          <w:b w:val="0"/>
          <w:color w:val="auto"/>
          <w:sz w:val="22"/>
          <w:szCs w:val="22"/>
          <w:lang w:val="en-GB" w:eastAsia="en-GB"/>
        </w:rPr>
        <w:tab/>
      </w:r>
      <w:r w:rsidRPr="008C1E7A">
        <w:rPr>
          <w:lang w:val="en-GB"/>
        </w:rPr>
        <w:t>Discussion</w:t>
      </w:r>
      <w:r>
        <w:tab/>
      </w:r>
      <w:r>
        <w:fldChar w:fldCharType="begin"/>
      </w:r>
      <w:r>
        <w:instrText xml:space="preserve"> PAGEREF _Toc48161003 \h </w:instrText>
      </w:r>
      <w:r>
        <w:fldChar w:fldCharType="separate"/>
      </w:r>
      <w:r>
        <w:t>64</w:t>
      </w:r>
      <w:r>
        <w:fldChar w:fldCharType="end"/>
      </w:r>
    </w:p>
    <w:p w14:paraId="655865A7" w14:textId="0D5309C9"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6.1</w:t>
      </w:r>
      <w:r>
        <w:rPr>
          <w:rFonts w:asciiTheme="minorHAnsi" w:eastAsiaTheme="minorEastAsia" w:hAnsiTheme="minorHAnsi" w:cstheme="minorBidi"/>
          <w:iCs w:val="0"/>
          <w:sz w:val="22"/>
          <w:szCs w:val="22"/>
          <w:lang w:val="en-GB" w:eastAsia="en-GB"/>
        </w:rPr>
        <w:tab/>
      </w:r>
      <w:r w:rsidRPr="008C1E7A">
        <w:rPr>
          <w:lang w:val="en-GB"/>
        </w:rPr>
        <w:t>miRNA profiling in tumour tissue</w:t>
      </w:r>
      <w:r>
        <w:tab/>
      </w:r>
      <w:r>
        <w:fldChar w:fldCharType="begin"/>
      </w:r>
      <w:r>
        <w:instrText xml:space="preserve"> PAGEREF _Toc48161004 \h </w:instrText>
      </w:r>
      <w:r>
        <w:fldChar w:fldCharType="separate"/>
      </w:r>
      <w:r>
        <w:t>64</w:t>
      </w:r>
      <w:r>
        <w:fldChar w:fldCharType="end"/>
      </w:r>
    </w:p>
    <w:p w14:paraId="0B40B002" w14:textId="27361D5F" w:rsidR="0048503A" w:rsidRDefault="0048503A">
      <w:pPr>
        <w:pStyle w:val="Obsah2"/>
        <w:rPr>
          <w:rFonts w:asciiTheme="minorHAnsi" w:eastAsiaTheme="minorEastAsia" w:hAnsiTheme="minorHAnsi" w:cstheme="minorBidi"/>
          <w:iCs w:val="0"/>
          <w:sz w:val="22"/>
          <w:szCs w:val="22"/>
          <w:lang w:val="en-GB" w:eastAsia="en-GB"/>
        </w:rPr>
      </w:pPr>
      <w:r w:rsidRPr="008C1E7A">
        <w:rPr>
          <w:lang w:val="en-GB"/>
        </w:rPr>
        <w:t>6.2</w:t>
      </w:r>
      <w:r>
        <w:rPr>
          <w:rFonts w:asciiTheme="minorHAnsi" w:eastAsiaTheme="minorEastAsia" w:hAnsiTheme="minorHAnsi" w:cstheme="minorBidi"/>
          <w:iCs w:val="0"/>
          <w:sz w:val="22"/>
          <w:szCs w:val="22"/>
          <w:lang w:val="en-GB" w:eastAsia="en-GB"/>
        </w:rPr>
        <w:tab/>
      </w:r>
      <w:r w:rsidRPr="008C1E7A">
        <w:rPr>
          <w:lang w:val="en-GB"/>
        </w:rPr>
        <w:t>miRNA profiling in urine</w:t>
      </w:r>
      <w:r>
        <w:tab/>
      </w:r>
      <w:r>
        <w:fldChar w:fldCharType="begin"/>
      </w:r>
      <w:r>
        <w:instrText xml:space="preserve"> PAGEREF _Toc48161005 \h </w:instrText>
      </w:r>
      <w:r>
        <w:fldChar w:fldCharType="separate"/>
      </w:r>
      <w:r>
        <w:t>66</w:t>
      </w:r>
      <w:r>
        <w:fldChar w:fldCharType="end"/>
      </w:r>
    </w:p>
    <w:p w14:paraId="4BACE543" w14:textId="308FC561" w:rsidR="0048503A" w:rsidRDefault="0048503A">
      <w:pPr>
        <w:pStyle w:val="Obsah1"/>
        <w:rPr>
          <w:rFonts w:asciiTheme="minorHAnsi" w:eastAsiaTheme="minorEastAsia" w:hAnsiTheme="minorHAnsi" w:cstheme="minorBidi"/>
          <w:b w:val="0"/>
          <w:color w:val="auto"/>
          <w:sz w:val="22"/>
          <w:szCs w:val="22"/>
          <w:lang w:val="en-GB" w:eastAsia="en-GB"/>
        </w:rPr>
      </w:pPr>
      <w:r w:rsidRPr="008C1E7A">
        <w:rPr>
          <w:lang w:val="en-GB"/>
        </w:rPr>
        <w:lastRenderedPageBreak/>
        <w:t>Summary</w:t>
      </w:r>
      <w:r>
        <w:tab/>
      </w:r>
      <w:r>
        <w:fldChar w:fldCharType="begin"/>
      </w:r>
      <w:r>
        <w:instrText xml:space="preserve"> PAGEREF _Toc48161006 \h </w:instrText>
      </w:r>
      <w:r>
        <w:fldChar w:fldCharType="separate"/>
      </w:r>
      <w:r>
        <w:t>70</w:t>
      </w:r>
      <w:r>
        <w:fldChar w:fldCharType="end"/>
      </w:r>
    </w:p>
    <w:p w14:paraId="42E41F72" w14:textId="401F0BD5" w:rsidR="0048503A" w:rsidRDefault="0048503A">
      <w:pPr>
        <w:pStyle w:val="Obsah1"/>
        <w:rPr>
          <w:rFonts w:asciiTheme="minorHAnsi" w:eastAsiaTheme="minorEastAsia" w:hAnsiTheme="minorHAnsi" w:cstheme="minorBidi"/>
          <w:b w:val="0"/>
          <w:color w:val="auto"/>
          <w:sz w:val="22"/>
          <w:szCs w:val="22"/>
          <w:lang w:val="en-GB" w:eastAsia="en-GB"/>
        </w:rPr>
      </w:pPr>
      <w:r w:rsidRPr="008C1E7A">
        <w:rPr>
          <w:lang w:val="en-GB"/>
        </w:rPr>
        <w:t>List of references</w:t>
      </w:r>
      <w:r>
        <w:tab/>
      </w:r>
      <w:r>
        <w:fldChar w:fldCharType="begin"/>
      </w:r>
      <w:r>
        <w:instrText xml:space="preserve"> PAGEREF _Toc48161007 \h </w:instrText>
      </w:r>
      <w:r>
        <w:fldChar w:fldCharType="separate"/>
      </w:r>
      <w:r>
        <w:t>71</w:t>
      </w:r>
      <w:r>
        <w:fldChar w:fldCharType="end"/>
      </w:r>
    </w:p>
    <w:p w14:paraId="50460DFD" w14:textId="449725AA" w:rsidR="00F5609F" w:rsidRPr="00746487" w:rsidRDefault="00825A03" w:rsidP="00A2558D">
      <w:pPr>
        <w:pStyle w:val="Dalodstavce"/>
      </w:pPr>
      <w:r w:rsidRPr="00746487">
        <w:fldChar w:fldCharType="end"/>
      </w:r>
    </w:p>
    <w:p w14:paraId="2A937BC7" w14:textId="77777777" w:rsidR="00A639A6" w:rsidRPr="00746487" w:rsidRDefault="00A639A6" w:rsidP="00A2558D">
      <w:pPr>
        <w:pStyle w:val="Dalodstavce"/>
        <w:sectPr w:rsidR="00A639A6" w:rsidRPr="00746487" w:rsidSect="0048503A">
          <w:headerReference w:type="even" r:id="rId24"/>
          <w:headerReference w:type="default" r:id="rId25"/>
          <w:footerReference w:type="default" r:id="rId26"/>
          <w:pgSz w:w="11906" w:h="16838" w:code="9"/>
          <w:pgMar w:top="1134" w:right="1134" w:bottom="1134" w:left="1701" w:header="1899" w:footer="1281" w:gutter="0"/>
          <w:cols w:space="708"/>
          <w:docGrid w:linePitch="360"/>
        </w:sectPr>
      </w:pPr>
    </w:p>
    <w:p w14:paraId="74D20CF8" w14:textId="77834BE9" w:rsidR="00DC0619" w:rsidRDefault="00AF6E5D" w:rsidP="007C0619">
      <w:pPr>
        <w:pStyle w:val="Nadpis10"/>
      </w:pPr>
      <w:bookmarkStart w:id="11" w:name="_Toc48160980"/>
      <w:r>
        <w:lastRenderedPageBreak/>
        <w:t xml:space="preserve">List </w:t>
      </w:r>
      <w:proofErr w:type="spellStart"/>
      <w:r>
        <w:t>of</w:t>
      </w:r>
      <w:proofErr w:type="spellEnd"/>
      <w:r>
        <w:t xml:space="preserve"> </w:t>
      </w:r>
      <w:proofErr w:type="spellStart"/>
      <w:r>
        <w:t>abbreviations</w:t>
      </w:r>
      <w:bookmarkEnd w:id="11"/>
      <w:proofErr w:type="spellEnd"/>
    </w:p>
    <w:sdt>
      <w:sdtPr>
        <w:rPr>
          <w:lang w:val="en-GB"/>
        </w:rPr>
        <w:id w:val="587350276"/>
        <w15:repeatingSection/>
      </w:sdtPr>
      <w:sdtEndPr/>
      <w:sdtContent>
        <w:sdt>
          <w:sdtPr>
            <w:rPr>
              <w:lang w:val="en-GB"/>
            </w:rPr>
            <w:id w:val="1750694245"/>
            <w:placeholder>
              <w:docPart w:val="D4279C96394E419EAC3DF4BA3D226311"/>
            </w:placeholder>
            <w15:repeatingSectionItem/>
          </w:sdtPr>
          <w:sdtEndPr/>
          <w:sdtContent>
            <w:p w14:paraId="31A71B42" w14:textId="77777777" w:rsidR="00AF6E5D" w:rsidRPr="005578B3" w:rsidRDefault="00E10EE1" w:rsidP="00AF6E5D">
              <w:pPr>
                <w:pStyle w:val="ZPSeznamzkratek"/>
                <w:rPr>
                  <w:lang w:val="en-GB"/>
                </w:rPr>
              </w:pPr>
              <w:sdt>
                <w:sdtPr>
                  <w:rPr>
                    <w:lang w:val="en-GB"/>
                  </w:rPr>
                  <w:id w:val="1694493069"/>
                  <w:placeholder>
                    <w:docPart w:val="A487628AB0674E51AD6138EC7EA6751E"/>
                  </w:placeholder>
                  <w:text/>
                </w:sdtPr>
                <w:sdtEndPr/>
                <w:sdtContent>
                  <w:r w:rsidR="00AF6E5D">
                    <w:rPr>
                      <w:lang w:val="en-GB"/>
                    </w:rPr>
                    <w:t>AGO 2</w:t>
                  </w:r>
                </w:sdtContent>
              </w:sdt>
              <w:r w:rsidR="00AF6E5D" w:rsidRPr="005578B3">
                <w:rPr>
                  <w:lang w:val="en-GB"/>
                </w:rPr>
                <w:tab/>
                <w:t>–</w:t>
              </w:r>
              <w:r w:rsidR="00AF6E5D" w:rsidRPr="005578B3">
                <w:rPr>
                  <w:lang w:val="en-GB"/>
                </w:rPr>
                <w:tab/>
              </w:r>
              <w:proofErr w:type="spellStart"/>
              <w:r w:rsidR="00AF6E5D">
                <w:rPr>
                  <w:lang w:val="en-GB"/>
                </w:rPr>
                <w:t>argonaute</w:t>
              </w:r>
              <w:proofErr w:type="spellEnd"/>
              <w:r w:rsidR="00AF6E5D">
                <w:rPr>
                  <w:lang w:val="en-GB"/>
                </w:rPr>
                <w:t xml:space="preserve"> </w:t>
              </w:r>
              <w:sdt>
                <w:sdtPr>
                  <w:rPr>
                    <w:lang w:val="en-GB"/>
                  </w:rPr>
                  <w:id w:val="-1263756182"/>
                  <w:placeholder>
                    <w:docPart w:val="81C5A504ADA3401E80BF9D3AE8D3503E"/>
                  </w:placeholder>
                  <w:text/>
                </w:sdtPr>
                <w:sdtEndPr/>
                <w:sdtContent>
                  <w:r w:rsidR="00AF6E5D">
                    <w:rPr>
                      <w:lang w:val="en-GB"/>
                    </w:rPr>
                    <w:t>RISC catalytic component 2</w:t>
                  </w:r>
                </w:sdtContent>
              </w:sdt>
            </w:p>
          </w:sdtContent>
        </w:sdt>
        <w:sdt>
          <w:sdtPr>
            <w:rPr>
              <w:lang w:val="en-GB"/>
            </w:rPr>
            <w:id w:val="-1269704184"/>
            <w:placeholder>
              <w:docPart w:val="8D06B903461947EC8E9AEBD0F037384C"/>
            </w:placeholder>
            <w15:repeatingSectionItem/>
          </w:sdtPr>
          <w:sdtEndPr/>
          <w:sdtContent>
            <w:p w14:paraId="72CD8971" w14:textId="77777777" w:rsidR="00AF6E5D" w:rsidRPr="005578B3" w:rsidRDefault="00E10EE1" w:rsidP="00AF6E5D">
              <w:pPr>
                <w:pStyle w:val="ZPSeznamzkratek"/>
                <w:rPr>
                  <w:lang w:val="en-GB"/>
                </w:rPr>
              </w:pPr>
              <w:sdt>
                <w:sdtPr>
                  <w:rPr>
                    <w:lang w:val="en-GB"/>
                  </w:rPr>
                  <w:id w:val="-788967793"/>
                  <w:placeholder>
                    <w:docPart w:val="11B331759F774F399F3F6FACFDB1063D"/>
                  </w:placeholder>
                  <w:text/>
                </w:sdtPr>
                <w:sdtEndPr/>
                <w:sdtContent>
                  <w:r w:rsidR="00AF6E5D">
                    <w:rPr>
                      <w:lang w:val="en-GB"/>
                    </w:rPr>
                    <w:t>AKT</w:t>
                  </w:r>
                </w:sdtContent>
              </w:sdt>
              <w:r w:rsidR="00AF6E5D" w:rsidRPr="005578B3">
                <w:rPr>
                  <w:lang w:val="en-GB"/>
                </w:rPr>
                <w:tab/>
                <w:t>–</w:t>
              </w:r>
              <w:r w:rsidR="00AF6E5D" w:rsidRPr="005578B3">
                <w:rPr>
                  <w:lang w:val="en-GB"/>
                </w:rPr>
                <w:tab/>
              </w:r>
              <w:sdt>
                <w:sdtPr>
                  <w:rPr>
                    <w:lang w:val="en-GB"/>
                  </w:rPr>
                  <w:id w:val="274450916"/>
                  <w:placeholder>
                    <w:docPart w:val="995F41D179A64D20A84BD9E06819CFBD"/>
                  </w:placeholder>
                  <w:text/>
                </w:sdtPr>
                <w:sdtEndPr/>
                <w:sdtContent>
                  <w:r w:rsidR="00AF6E5D">
                    <w:rPr>
                      <w:lang w:val="en-GB"/>
                    </w:rPr>
                    <w:t>protein kinase B</w:t>
                  </w:r>
                </w:sdtContent>
              </w:sdt>
            </w:p>
          </w:sdtContent>
        </w:sdt>
        <w:sdt>
          <w:sdtPr>
            <w:rPr>
              <w:lang w:val="en-GB"/>
            </w:rPr>
            <w:id w:val="696964598"/>
            <w:placeholder>
              <w:docPart w:val="49B38108EAB5452EAD28C073F9F0B979"/>
            </w:placeholder>
            <w15:repeatingSectionItem/>
          </w:sdtPr>
          <w:sdtEndPr/>
          <w:sdtContent>
            <w:p w14:paraId="521EA56B" w14:textId="77777777" w:rsidR="00AF6E5D" w:rsidRPr="005578B3" w:rsidRDefault="00E10EE1" w:rsidP="00AF6E5D">
              <w:pPr>
                <w:pStyle w:val="ZPSeznamzkratek"/>
                <w:rPr>
                  <w:lang w:val="en-GB"/>
                </w:rPr>
              </w:pPr>
              <w:sdt>
                <w:sdtPr>
                  <w:rPr>
                    <w:lang w:val="en-GB"/>
                  </w:rPr>
                  <w:id w:val="-1217969186"/>
                  <w:placeholder>
                    <w:docPart w:val="8EC2E1C0ABB64036B7AE687617A3975C"/>
                  </w:placeholder>
                  <w:text/>
                </w:sdtPr>
                <w:sdtEndPr/>
                <w:sdtContent>
                  <w:r w:rsidR="00AF6E5D">
                    <w:rPr>
                      <w:lang w:val="en-GB"/>
                    </w:rPr>
                    <w:t>AUC</w:t>
                  </w:r>
                </w:sdtContent>
              </w:sdt>
              <w:r w:rsidR="00AF6E5D" w:rsidRPr="005578B3">
                <w:rPr>
                  <w:lang w:val="en-GB"/>
                </w:rPr>
                <w:tab/>
                <w:t>–</w:t>
              </w:r>
              <w:r w:rsidR="00AF6E5D" w:rsidRPr="005578B3">
                <w:rPr>
                  <w:lang w:val="en-GB"/>
                </w:rPr>
                <w:tab/>
              </w:r>
              <w:sdt>
                <w:sdtPr>
                  <w:rPr>
                    <w:lang w:val="en-GB"/>
                  </w:rPr>
                  <w:id w:val="-160172063"/>
                  <w:placeholder>
                    <w:docPart w:val="776954E07323422CB9E5FBDB9F72DBC6"/>
                  </w:placeholder>
                  <w:text/>
                </w:sdtPr>
                <w:sdtEndPr/>
                <w:sdtContent>
                  <w:r w:rsidR="00AF6E5D">
                    <w:rPr>
                      <w:lang w:val="en-GB"/>
                    </w:rPr>
                    <w:t>area under curve</w:t>
                  </w:r>
                </w:sdtContent>
              </w:sdt>
            </w:p>
          </w:sdtContent>
        </w:sdt>
        <w:sdt>
          <w:sdtPr>
            <w:rPr>
              <w:lang w:val="en-GB"/>
            </w:rPr>
            <w:id w:val="-133874979"/>
            <w:placeholder>
              <w:docPart w:val="874DC2ADF84D44CFBE912C06C01D133A"/>
            </w:placeholder>
            <w15:repeatingSectionItem/>
          </w:sdtPr>
          <w:sdtEndPr/>
          <w:sdtContent>
            <w:p w14:paraId="7CBCCCF7" w14:textId="77777777" w:rsidR="00AF6E5D" w:rsidRPr="005578B3" w:rsidRDefault="00E10EE1" w:rsidP="00AF6E5D">
              <w:pPr>
                <w:pStyle w:val="ZPSeznamzkratek"/>
                <w:rPr>
                  <w:lang w:val="en-GB"/>
                </w:rPr>
              </w:pPr>
              <w:sdt>
                <w:sdtPr>
                  <w:rPr>
                    <w:lang w:val="en-GB"/>
                  </w:rPr>
                  <w:id w:val="-1909295685"/>
                  <w:placeholder>
                    <w:docPart w:val="8C5BA4ED408C429087621BE395068ED1"/>
                  </w:placeholder>
                  <w:text/>
                </w:sdtPr>
                <w:sdtEndPr/>
                <w:sdtContent>
                  <w:r w:rsidR="00AF6E5D">
                    <w:rPr>
                      <w:lang w:val="en-GB"/>
                    </w:rPr>
                    <w:t>BCR</w:t>
                  </w:r>
                </w:sdtContent>
              </w:sdt>
              <w:r w:rsidR="00AF6E5D" w:rsidRPr="005578B3">
                <w:rPr>
                  <w:lang w:val="en-GB"/>
                </w:rPr>
                <w:tab/>
                <w:t>–</w:t>
              </w:r>
              <w:r w:rsidR="00AF6E5D" w:rsidRPr="005578B3">
                <w:rPr>
                  <w:lang w:val="en-GB"/>
                </w:rPr>
                <w:tab/>
              </w:r>
              <w:sdt>
                <w:sdtPr>
                  <w:rPr>
                    <w:lang w:val="en-GB"/>
                  </w:rPr>
                  <w:id w:val="-703946293"/>
                  <w:placeholder>
                    <w:docPart w:val="5AFB4DD6F6B3430B9FA62B5639792232"/>
                  </w:placeholder>
                  <w:text/>
                </w:sdtPr>
                <w:sdtEndPr/>
                <w:sdtContent>
                  <w:r w:rsidR="00AF6E5D">
                    <w:rPr>
                      <w:lang w:val="en-GB"/>
                    </w:rPr>
                    <w:t>biochemical recurrence</w:t>
                  </w:r>
                </w:sdtContent>
              </w:sdt>
            </w:p>
          </w:sdtContent>
        </w:sdt>
        <w:sdt>
          <w:sdtPr>
            <w:rPr>
              <w:lang w:val="en-GB"/>
            </w:rPr>
            <w:id w:val="-1110734114"/>
            <w:placeholder>
              <w:docPart w:val="86C88003E0A34B878AA3F3B1CD730865"/>
            </w:placeholder>
            <w15:repeatingSectionItem/>
          </w:sdtPr>
          <w:sdtEndPr/>
          <w:sdtContent>
            <w:p w14:paraId="72100A6D" w14:textId="77777777" w:rsidR="00AF6E5D" w:rsidRPr="005578B3" w:rsidRDefault="00E10EE1" w:rsidP="00AF6E5D">
              <w:pPr>
                <w:pStyle w:val="ZPSeznamzkratek"/>
                <w:rPr>
                  <w:lang w:val="en-GB"/>
                </w:rPr>
              </w:pPr>
              <w:sdt>
                <w:sdtPr>
                  <w:rPr>
                    <w:lang w:val="en-GB"/>
                  </w:rPr>
                  <w:id w:val="-740177190"/>
                  <w:placeholder>
                    <w:docPart w:val="8CFC112B48C74901B535C83B403E35DD"/>
                  </w:placeholder>
                  <w:text/>
                </w:sdtPr>
                <w:sdtEndPr/>
                <w:sdtContent>
                  <w:r w:rsidR="00AF6E5D">
                    <w:rPr>
                      <w:lang w:val="en-GB"/>
                    </w:rPr>
                    <w:t>BPH</w:t>
                  </w:r>
                </w:sdtContent>
              </w:sdt>
              <w:r w:rsidR="00AF6E5D" w:rsidRPr="005578B3">
                <w:rPr>
                  <w:lang w:val="en-GB"/>
                </w:rPr>
                <w:tab/>
                <w:t>–</w:t>
              </w:r>
              <w:r w:rsidR="00AF6E5D" w:rsidRPr="005578B3">
                <w:rPr>
                  <w:lang w:val="en-GB"/>
                </w:rPr>
                <w:tab/>
              </w:r>
              <w:sdt>
                <w:sdtPr>
                  <w:rPr>
                    <w:lang w:val="en-GB"/>
                  </w:rPr>
                  <w:id w:val="1820072880"/>
                  <w:placeholder>
                    <w:docPart w:val="3EBC703E07F246DE9703A84B7834F85C"/>
                  </w:placeholder>
                  <w:text/>
                </w:sdtPr>
                <w:sdtEndPr/>
                <w:sdtContent>
                  <w:r w:rsidR="00AF6E5D">
                    <w:rPr>
                      <w:lang w:val="en-GB"/>
                    </w:rPr>
                    <w:t>benign prostatic hyperplasia</w:t>
                  </w:r>
                </w:sdtContent>
              </w:sdt>
            </w:p>
          </w:sdtContent>
        </w:sdt>
        <w:sdt>
          <w:sdtPr>
            <w:rPr>
              <w:lang w:val="en-GB"/>
            </w:rPr>
            <w:id w:val="51978763"/>
            <w:placeholder>
              <w:docPart w:val="B8D6B01DD769439EA303B0C2B66E02C9"/>
            </w:placeholder>
            <w15:repeatingSectionItem/>
          </w:sdtPr>
          <w:sdtEndPr/>
          <w:sdtContent>
            <w:p w14:paraId="6C6CEA9C" w14:textId="77777777" w:rsidR="00AF6E5D" w:rsidRPr="005578B3" w:rsidRDefault="00E10EE1" w:rsidP="00AF6E5D">
              <w:pPr>
                <w:pStyle w:val="ZPSeznamzkratek"/>
                <w:rPr>
                  <w:lang w:val="en-GB"/>
                </w:rPr>
              </w:pPr>
              <w:sdt>
                <w:sdtPr>
                  <w:rPr>
                    <w:i/>
                    <w:iCs/>
                    <w:lang w:val="en-GB"/>
                  </w:rPr>
                  <w:id w:val="1224344372"/>
                  <w:placeholder>
                    <w:docPart w:val="01730199B13A4E0BABD0067233FE74B6"/>
                  </w:placeholder>
                  <w:text/>
                </w:sdtPr>
                <w:sdtEndPr/>
                <w:sdtContent>
                  <w:r w:rsidR="00AF6E5D">
                    <w:rPr>
                      <w:i/>
                      <w:iCs/>
                      <w:lang w:val="en-GB"/>
                    </w:rPr>
                    <w:t>BRCA 1</w:t>
                  </w:r>
                </w:sdtContent>
              </w:sdt>
              <w:r w:rsidR="00AF6E5D" w:rsidRPr="005578B3">
                <w:rPr>
                  <w:lang w:val="en-GB"/>
                </w:rPr>
                <w:tab/>
                <w:t>–</w:t>
              </w:r>
              <w:r w:rsidR="00AF6E5D" w:rsidRPr="005578B3">
                <w:rPr>
                  <w:lang w:val="en-GB"/>
                </w:rPr>
                <w:tab/>
              </w:r>
              <w:sdt>
                <w:sdtPr>
                  <w:rPr>
                    <w:lang w:val="en-GB"/>
                  </w:rPr>
                  <w:id w:val="562145231"/>
                  <w:placeholder>
                    <w:docPart w:val="61CE9AB15C74435E95132B1963EA5F0D"/>
                  </w:placeholder>
                  <w:text/>
                </w:sdtPr>
                <w:sdtEndPr/>
                <w:sdtContent>
                  <w:r w:rsidR="00AF6E5D">
                    <w:rPr>
                      <w:lang w:val="en-GB"/>
                    </w:rPr>
                    <w:t>gene encoding breast cancer type 1 susceptibility protein</w:t>
                  </w:r>
                </w:sdtContent>
              </w:sdt>
            </w:p>
          </w:sdtContent>
        </w:sdt>
        <w:sdt>
          <w:sdtPr>
            <w:rPr>
              <w:lang w:val="en-GB"/>
            </w:rPr>
            <w:id w:val="1543324178"/>
            <w:placeholder>
              <w:docPart w:val="24AB25D6684F4973B3A4B36AC30ABCCC"/>
            </w:placeholder>
            <w15:repeatingSectionItem/>
          </w:sdtPr>
          <w:sdtEndPr/>
          <w:sdtContent>
            <w:p w14:paraId="29715BFC" w14:textId="77777777" w:rsidR="00AF6E5D" w:rsidRPr="005578B3" w:rsidRDefault="00E10EE1" w:rsidP="00AF6E5D">
              <w:pPr>
                <w:pStyle w:val="ZPSeznamzkratek"/>
                <w:rPr>
                  <w:lang w:val="en-GB"/>
                </w:rPr>
              </w:pPr>
              <w:sdt>
                <w:sdtPr>
                  <w:rPr>
                    <w:i/>
                    <w:iCs/>
                    <w:lang w:val="en-GB"/>
                  </w:rPr>
                  <w:id w:val="192747297"/>
                  <w:placeholder>
                    <w:docPart w:val="4CE7DF823A47466EA3F226EEFCE51327"/>
                  </w:placeholder>
                  <w:text/>
                </w:sdtPr>
                <w:sdtEndPr/>
                <w:sdtContent>
                  <w:r w:rsidR="00AF6E5D">
                    <w:rPr>
                      <w:i/>
                      <w:iCs/>
                      <w:lang w:val="en-GB"/>
                    </w:rPr>
                    <w:t>BRCA 2</w:t>
                  </w:r>
                </w:sdtContent>
              </w:sdt>
              <w:r w:rsidR="00AF6E5D" w:rsidRPr="005578B3">
                <w:rPr>
                  <w:lang w:val="en-GB"/>
                </w:rPr>
                <w:tab/>
                <w:t>–</w:t>
              </w:r>
              <w:r w:rsidR="00AF6E5D" w:rsidRPr="005578B3">
                <w:rPr>
                  <w:lang w:val="en-GB"/>
                </w:rPr>
                <w:tab/>
              </w:r>
              <w:sdt>
                <w:sdtPr>
                  <w:rPr>
                    <w:lang w:val="en-GB"/>
                  </w:rPr>
                  <w:id w:val="-1609581762"/>
                  <w:placeholder>
                    <w:docPart w:val="9E86F4650E70420B9AE9D3B931C0DF25"/>
                  </w:placeholder>
                  <w:text/>
                </w:sdtPr>
                <w:sdtEndPr/>
                <w:sdtContent>
                  <w:r w:rsidR="00AF6E5D">
                    <w:rPr>
                      <w:lang w:val="en-GB"/>
                    </w:rPr>
                    <w:t>gene encoding breast cancer type 2 susceptibility protein</w:t>
                  </w:r>
                </w:sdtContent>
              </w:sdt>
            </w:p>
          </w:sdtContent>
        </w:sdt>
        <w:sdt>
          <w:sdtPr>
            <w:rPr>
              <w:lang w:val="en-GB"/>
            </w:rPr>
            <w:id w:val="-319818760"/>
            <w:placeholder>
              <w:docPart w:val="C10F15BD9B0043C99B1CA116C77BC8D7"/>
            </w:placeholder>
            <w15:repeatingSectionItem/>
          </w:sdtPr>
          <w:sdtEndPr/>
          <w:sdtContent>
            <w:p w14:paraId="7CE28904" w14:textId="77777777" w:rsidR="00AF6E5D" w:rsidRPr="005578B3" w:rsidRDefault="00E10EE1" w:rsidP="00AF6E5D">
              <w:pPr>
                <w:pStyle w:val="ZPSeznamzkratek"/>
                <w:rPr>
                  <w:lang w:val="en-GB"/>
                </w:rPr>
              </w:pPr>
              <w:sdt>
                <w:sdtPr>
                  <w:rPr>
                    <w:i/>
                    <w:iCs/>
                    <w:lang w:val="en-GB"/>
                  </w:rPr>
                  <w:id w:val="-606813400"/>
                  <w:placeholder>
                    <w:docPart w:val="E5EB6E5EEFCD4241A8B0B5BFBDB9B4D0"/>
                  </w:placeholder>
                  <w:text/>
                </w:sdtPr>
                <w:sdtEndPr/>
                <w:sdtContent>
                  <w:r w:rsidR="00AF6E5D">
                    <w:rPr>
                      <w:i/>
                      <w:iCs/>
                      <w:lang w:val="en-GB"/>
                    </w:rPr>
                    <w:t>CCND1</w:t>
                  </w:r>
                </w:sdtContent>
              </w:sdt>
              <w:r w:rsidR="00AF6E5D" w:rsidRPr="005578B3">
                <w:rPr>
                  <w:lang w:val="en-GB"/>
                </w:rPr>
                <w:tab/>
                <w:t>–</w:t>
              </w:r>
              <w:r w:rsidR="00AF6E5D" w:rsidRPr="005578B3">
                <w:rPr>
                  <w:lang w:val="en-GB"/>
                </w:rPr>
                <w:tab/>
              </w:r>
              <w:sdt>
                <w:sdtPr>
                  <w:rPr>
                    <w:lang w:val="en-GB"/>
                  </w:rPr>
                  <w:id w:val="902497099"/>
                  <w:placeholder>
                    <w:docPart w:val="F02F8FFF755E4F57B8887DFF165302D9"/>
                  </w:placeholder>
                  <w:text/>
                </w:sdtPr>
                <w:sdtEndPr/>
                <w:sdtContent>
                  <w:r w:rsidR="00AF6E5D">
                    <w:rPr>
                      <w:lang w:val="en-GB"/>
                    </w:rPr>
                    <w:t>gene encoding cyclin D1</w:t>
                  </w:r>
                </w:sdtContent>
              </w:sdt>
            </w:p>
          </w:sdtContent>
        </w:sdt>
        <w:sdt>
          <w:sdtPr>
            <w:rPr>
              <w:lang w:val="en-GB"/>
            </w:rPr>
            <w:id w:val="2124419259"/>
            <w:placeholder>
              <w:docPart w:val="8E02F691FB7841DFBCB9F697001B3FBB"/>
            </w:placeholder>
            <w15:repeatingSectionItem/>
          </w:sdtPr>
          <w:sdtEndPr/>
          <w:sdtContent>
            <w:p w14:paraId="19AF60AE" w14:textId="77777777" w:rsidR="00AF6E5D" w:rsidRPr="005578B3" w:rsidRDefault="00E10EE1" w:rsidP="00AF6E5D">
              <w:pPr>
                <w:pStyle w:val="ZPSeznamzkratek"/>
                <w:rPr>
                  <w:lang w:val="en-GB"/>
                </w:rPr>
              </w:pPr>
              <w:sdt>
                <w:sdtPr>
                  <w:rPr>
                    <w:i/>
                    <w:iCs/>
                    <w:lang w:val="en-GB"/>
                  </w:rPr>
                  <w:id w:val="691274780"/>
                  <w:placeholder>
                    <w:docPart w:val="F71E1A458CFC420E868A35AA5D50B89A"/>
                  </w:placeholder>
                  <w:text/>
                </w:sdtPr>
                <w:sdtEndPr/>
                <w:sdtContent>
                  <w:r w:rsidR="00AF6E5D">
                    <w:rPr>
                      <w:i/>
                      <w:iCs/>
                      <w:lang w:val="en-GB"/>
                    </w:rPr>
                    <w:t>CDH1</w:t>
                  </w:r>
                </w:sdtContent>
              </w:sdt>
              <w:r w:rsidR="00AF6E5D" w:rsidRPr="005578B3">
                <w:rPr>
                  <w:lang w:val="en-GB"/>
                </w:rPr>
                <w:tab/>
                <w:t>–</w:t>
              </w:r>
              <w:r w:rsidR="00AF6E5D" w:rsidRPr="005578B3">
                <w:rPr>
                  <w:lang w:val="en-GB"/>
                </w:rPr>
                <w:tab/>
              </w:r>
              <w:sdt>
                <w:sdtPr>
                  <w:rPr>
                    <w:lang w:val="en-GB"/>
                  </w:rPr>
                  <w:id w:val="787783602"/>
                  <w:placeholder>
                    <w:docPart w:val="43A481DDA0D74ABF974DB068B4F1CFCD"/>
                  </w:placeholder>
                  <w:text/>
                </w:sdtPr>
                <w:sdtEndPr/>
                <w:sdtContent>
                  <w:r w:rsidR="00AF6E5D">
                    <w:rPr>
                      <w:lang w:val="en-GB"/>
                    </w:rPr>
                    <w:t>gene encoding cadherin-1</w:t>
                  </w:r>
                </w:sdtContent>
              </w:sdt>
            </w:p>
          </w:sdtContent>
        </w:sdt>
        <w:sdt>
          <w:sdtPr>
            <w:rPr>
              <w:lang w:val="en-GB"/>
            </w:rPr>
            <w:id w:val="-867826673"/>
            <w:placeholder>
              <w:docPart w:val="8B9063F55270474E8653F7F18D1CBE60"/>
            </w:placeholder>
            <w15:repeatingSectionItem/>
          </w:sdtPr>
          <w:sdtEndPr/>
          <w:sdtContent>
            <w:p w14:paraId="781CC15C" w14:textId="77777777" w:rsidR="00AF6E5D" w:rsidRPr="005578B3" w:rsidRDefault="00E10EE1" w:rsidP="00AF6E5D">
              <w:pPr>
                <w:pStyle w:val="ZPSeznamzkratek"/>
                <w:rPr>
                  <w:lang w:val="en-GB"/>
                </w:rPr>
              </w:pPr>
              <w:sdt>
                <w:sdtPr>
                  <w:rPr>
                    <w:i/>
                    <w:iCs/>
                    <w:lang w:val="en-GB"/>
                  </w:rPr>
                  <w:id w:val="-270393334"/>
                  <w:placeholder>
                    <w:docPart w:val="56DD3DB8184447CDA0C8CDE0E78BA92A"/>
                  </w:placeholder>
                  <w:text/>
                </w:sdtPr>
                <w:sdtEndPr/>
                <w:sdtContent>
                  <w:r w:rsidR="00AF6E5D">
                    <w:rPr>
                      <w:i/>
                      <w:iCs/>
                      <w:lang w:val="en-GB"/>
                    </w:rPr>
                    <w:t>CDKN1B</w:t>
                  </w:r>
                </w:sdtContent>
              </w:sdt>
              <w:r w:rsidR="00AF6E5D" w:rsidRPr="005578B3">
                <w:rPr>
                  <w:lang w:val="en-GB"/>
                </w:rPr>
                <w:tab/>
                <w:t>–</w:t>
              </w:r>
              <w:r w:rsidR="00AF6E5D" w:rsidRPr="005578B3">
                <w:rPr>
                  <w:lang w:val="en-GB"/>
                </w:rPr>
                <w:tab/>
              </w:r>
              <w:sdt>
                <w:sdtPr>
                  <w:rPr>
                    <w:lang w:val="en-GB"/>
                  </w:rPr>
                  <w:id w:val="2133584325"/>
                  <w:placeholder>
                    <w:docPart w:val="D5C0622C2EE945A78DB62477A697F719"/>
                  </w:placeholder>
                  <w:text/>
                </w:sdtPr>
                <w:sdtEndPr/>
                <w:sdtContent>
                  <w:r w:rsidR="00AF6E5D">
                    <w:rPr>
                      <w:lang w:val="en-GB"/>
                    </w:rPr>
                    <w:t>gene encoding cyclin dependent kinase inhibitor 1B</w:t>
                  </w:r>
                </w:sdtContent>
              </w:sdt>
            </w:p>
          </w:sdtContent>
        </w:sdt>
        <w:sdt>
          <w:sdtPr>
            <w:rPr>
              <w:lang w:val="en-GB"/>
            </w:rPr>
            <w:id w:val="-1693609618"/>
            <w:placeholder>
              <w:docPart w:val="E67C229683134BF98382EA1EBBC24DB6"/>
            </w:placeholder>
            <w15:repeatingSectionItem/>
          </w:sdtPr>
          <w:sdtEndPr/>
          <w:sdtContent>
            <w:p w14:paraId="0232D193" w14:textId="77777777" w:rsidR="00AF6E5D" w:rsidRPr="005578B3" w:rsidRDefault="00E10EE1" w:rsidP="00AF6E5D">
              <w:pPr>
                <w:pStyle w:val="ZPSeznamzkratek"/>
                <w:rPr>
                  <w:lang w:val="en-GB"/>
                </w:rPr>
              </w:pPr>
              <w:sdt>
                <w:sdtPr>
                  <w:rPr>
                    <w:lang w:val="en-GB"/>
                  </w:rPr>
                  <w:id w:val="-1864818321"/>
                  <w:placeholder>
                    <w:docPart w:val="ED30F0D4D4D54E548B904442324DE381"/>
                  </w:placeholder>
                  <w:text/>
                </w:sdtPr>
                <w:sdtEndPr/>
                <w:sdtContent>
                  <w:r w:rsidR="00AF6E5D">
                    <w:rPr>
                      <w:lang w:val="en-GB"/>
                    </w:rPr>
                    <w:t>CpG</w:t>
                  </w:r>
                </w:sdtContent>
              </w:sdt>
              <w:r w:rsidR="00AF6E5D" w:rsidRPr="005578B3">
                <w:rPr>
                  <w:lang w:val="en-GB"/>
                </w:rPr>
                <w:tab/>
                <w:t>–</w:t>
              </w:r>
              <w:r w:rsidR="00AF6E5D" w:rsidRPr="005578B3">
                <w:rPr>
                  <w:lang w:val="en-GB"/>
                </w:rPr>
                <w:tab/>
              </w:r>
              <w:sdt>
                <w:sdtPr>
                  <w:rPr>
                    <w:lang w:val="en-GB"/>
                  </w:rPr>
                  <w:id w:val="-615753771"/>
                  <w:placeholder>
                    <w:docPart w:val="320D59D8A87642D99DA60F223735B2EE"/>
                  </w:placeholder>
                  <w:text/>
                </w:sdtPr>
                <w:sdtEndPr/>
                <w:sdtContent>
                  <w:r w:rsidR="00AF6E5D">
                    <w:rPr>
                      <w:lang w:val="en-GB"/>
                    </w:rPr>
                    <w:t>5'—cytosine—phosphate—guanine—3' region of DNA</w:t>
                  </w:r>
                </w:sdtContent>
              </w:sdt>
            </w:p>
          </w:sdtContent>
        </w:sdt>
        <w:sdt>
          <w:sdtPr>
            <w:rPr>
              <w:lang w:val="en-GB"/>
            </w:rPr>
            <w:id w:val="-385107010"/>
            <w:placeholder>
              <w:docPart w:val="F147E57C9AA0464B9B1A82727B43B631"/>
            </w:placeholder>
            <w15:repeatingSectionItem/>
          </w:sdtPr>
          <w:sdtEndPr/>
          <w:sdtContent>
            <w:p w14:paraId="729E9E49" w14:textId="77777777" w:rsidR="00AF6E5D" w:rsidRPr="005578B3" w:rsidRDefault="00E10EE1" w:rsidP="00AF6E5D">
              <w:pPr>
                <w:pStyle w:val="ZPSeznamzkratek"/>
                <w:rPr>
                  <w:lang w:val="en-GB"/>
                </w:rPr>
              </w:pPr>
              <w:sdt>
                <w:sdtPr>
                  <w:rPr>
                    <w:lang w:val="en-GB"/>
                  </w:rPr>
                  <w:id w:val="-793914632"/>
                  <w:placeholder>
                    <w:docPart w:val="7426D922293C4B3A929A84569A667C85"/>
                  </w:placeholder>
                  <w:text/>
                </w:sdtPr>
                <w:sdtEndPr/>
                <w:sdtContent>
                  <w:r w:rsidR="00AF6E5D">
                    <w:rPr>
                      <w:lang w:val="en-GB"/>
                    </w:rPr>
                    <w:t>CRPC</w:t>
                  </w:r>
                </w:sdtContent>
              </w:sdt>
              <w:r w:rsidR="00AF6E5D" w:rsidRPr="005578B3">
                <w:rPr>
                  <w:lang w:val="en-GB"/>
                </w:rPr>
                <w:tab/>
                <w:t>–</w:t>
              </w:r>
              <w:r w:rsidR="00AF6E5D" w:rsidRPr="005578B3">
                <w:rPr>
                  <w:lang w:val="en-GB"/>
                </w:rPr>
                <w:tab/>
              </w:r>
              <w:sdt>
                <w:sdtPr>
                  <w:rPr>
                    <w:lang w:val="en-GB"/>
                  </w:rPr>
                  <w:id w:val="-358659844"/>
                  <w:placeholder>
                    <w:docPart w:val="CEA2FC5570494E68889203CD2FDE8F01"/>
                  </w:placeholder>
                  <w:text/>
                </w:sdtPr>
                <w:sdtEndPr/>
                <w:sdtContent>
                  <w:r w:rsidR="00AF6E5D">
                    <w:rPr>
                      <w:lang w:val="en-GB"/>
                    </w:rPr>
                    <w:t>castration-resistant prostate cancer</w:t>
                  </w:r>
                </w:sdtContent>
              </w:sdt>
            </w:p>
          </w:sdtContent>
        </w:sdt>
        <w:sdt>
          <w:sdtPr>
            <w:rPr>
              <w:lang w:val="en-GB"/>
            </w:rPr>
            <w:id w:val="-1450544442"/>
            <w:placeholder>
              <w:docPart w:val="FFAE2E68C47C4338BB1C41DEBAA50762"/>
            </w:placeholder>
            <w15:repeatingSectionItem/>
          </w:sdtPr>
          <w:sdtEndPr/>
          <w:sdtContent>
            <w:p w14:paraId="4A2B44F7" w14:textId="77777777" w:rsidR="00AF6E5D" w:rsidRPr="005578B3" w:rsidRDefault="00E10EE1" w:rsidP="00AF6E5D">
              <w:pPr>
                <w:pStyle w:val="ZPSeznamzkratek"/>
                <w:rPr>
                  <w:lang w:val="en-GB"/>
                </w:rPr>
              </w:pPr>
              <w:sdt>
                <w:sdtPr>
                  <w:rPr>
                    <w:lang w:val="en-GB"/>
                  </w:rPr>
                  <w:id w:val="1733896156"/>
                  <w:placeholder>
                    <w:docPart w:val="9EBB4DA864E94AA68B4C3B7974DABF7B"/>
                  </w:placeholder>
                  <w:text/>
                </w:sdtPr>
                <w:sdtEndPr/>
                <w:sdtContent>
                  <w:proofErr w:type="spellStart"/>
                  <w:r w:rsidR="00AF6E5D">
                    <w:rPr>
                      <w:lang w:val="en-GB"/>
                    </w:rPr>
                    <w:t>cT</w:t>
                  </w:r>
                  <w:proofErr w:type="spellEnd"/>
                </w:sdtContent>
              </w:sdt>
              <w:r w:rsidR="00AF6E5D" w:rsidRPr="005578B3">
                <w:rPr>
                  <w:lang w:val="en-GB"/>
                </w:rPr>
                <w:tab/>
                <w:t>–</w:t>
              </w:r>
              <w:r w:rsidR="00AF6E5D" w:rsidRPr="005578B3">
                <w:rPr>
                  <w:lang w:val="en-GB"/>
                </w:rPr>
                <w:tab/>
              </w:r>
              <w:sdt>
                <w:sdtPr>
                  <w:rPr>
                    <w:lang w:val="en-GB"/>
                  </w:rPr>
                  <w:id w:val="2080321144"/>
                  <w:placeholder>
                    <w:docPart w:val="6E5494C36B60406F9CA20D0DA70E043B"/>
                  </w:placeholder>
                  <w:text/>
                </w:sdtPr>
                <w:sdtEndPr/>
                <w:sdtContent>
                  <w:r w:rsidR="00AF6E5D">
                    <w:rPr>
                      <w:lang w:val="en-GB"/>
                    </w:rPr>
                    <w:t>clinical T category</w:t>
                  </w:r>
                </w:sdtContent>
              </w:sdt>
            </w:p>
          </w:sdtContent>
        </w:sdt>
        <w:sdt>
          <w:sdtPr>
            <w:rPr>
              <w:lang w:val="en-GB"/>
            </w:rPr>
            <w:id w:val="-1434737499"/>
            <w:placeholder>
              <w:docPart w:val="B7FD289EBA1F41F5818B2CEBF8121493"/>
            </w:placeholder>
            <w15:repeatingSectionItem/>
          </w:sdtPr>
          <w:sdtEndPr/>
          <w:sdtContent>
            <w:p w14:paraId="79019E9B" w14:textId="77777777" w:rsidR="00AF6E5D" w:rsidRPr="005578B3" w:rsidRDefault="00E10EE1" w:rsidP="00AF6E5D">
              <w:pPr>
                <w:pStyle w:val="ZPSeznamzkratek"/>
                <w:rPr>
                  <w:lang w:val="en-GB"/>
                </w:rPr>
              </w:pPr>
              <w:sdt>
                <w:sdtPr>
                  <w:rPr>
                    <w:lang w:val="en-GB"/>
                  </w:rPr>
                  <w:id w:val="-1407909764"/>
                  <w:placeholder>
                    <w:docPart w:val="276C9129BCAF4B7E8E7396185856D22B"/>
                  </w:placeholder>
                  <w:text/>
                </w:sdtPr>
                <w:sdtEndPr/>
                <w:sdtContent>
                  <w:r w:rsidR="00AF6E5D">
                    <w:rPr>
                      <w:lang w:val="en-GB"/>
                    </w:rPr>
                    <w:t>CT</w:t>
                  </w:r>
                </w:sdtContent>
              </w:sdt>
              <w:r w:rsidR="00AF6E5D" w:rsidRPr="005578B3">
                <w:rPr>
                  <w:lang w:val="en-GB"/>
                </w:rPr>
                <w:tab/>
                <w:t>–</w:t>
              </w:r>
              <w:r w:rsidR="00AF6E5D" w:rsidRPr="005578B3">
                <w:rPr>
                  <w:lang w:val="en-GB"/>
                </w:rPr>
                <w:tab/>
              </w:r>
              <w:sdt>
                <w:sdtPr>
                  <w:rPr>
                    <w:lang w:val="en-GB"/>
                  </w:rPr>
                  <w:id w:val="-442607951"/>
                  <w:placeholder>
                    <w:docPart w:val="694844CF97214148BA35EB5D842EE061"/>
                  </w:placeholder>
                  <w:text/>
                </w:sdtPr>
                <w:sdtEndPr/>
                <w:sdtContent>
                  <w:r w:rsidR="00AF6E5D">
                    <w:rPr>
                      <w:lang w:val="en-GB"/>
                    </w:rPr>
                    <w:t>computed tomography</w:t>
                  </w:r>
                </w:sdtContent>
              </w:sdt>
            </w:p>
          </w:sdtContent>
        </w:sdt>
        <w:sdt>
          <w:sdtPr>
            <w:rPr>
              <w:lang w:val="en-GB"/>
            </w:rPr>
            <w:id w:val="1150252323"/>
            <w:placeholder>
              <w:docPart w:val="8432369E77994334926C3D7D1B880EB8"/>
            </w:placeholder>
            <w15:repeatingSectionItem/>
          </w:sdtPr>
          <w:sdtEndPr/>
          <w:sdtContent>
            <w:p w14:paraId="4E2E8935" w14:textId="77777777" w:rsidR="00AF6E5D" w:rsidRPr="005578B3" w:rsidRDefault="00E10EE1" w:rsidP="00AF6E5D">
              <w:pPr>
                <w:pStyle w:val="ZPSeznamzkratek"/>
                <w:rPr>
                  <w:lang w:val="en-GB"/>
                </w:rPr>
              </w:pPr>
              <w:sdt>
                <w:sdtPr>
                  <w:rPr>
                    <w:lang w:val="en-GB"/>
                  </w:rPr>
                  <w:id w:val="476266716"/>
                  <w:placeholder>
                    <w:docPart w:val="7A874422633A4130879712CE3F2BC74B"/>
                  </w:placeholder>
                  <w:text/>
                </w:sdtPr>
                <w:sdtEndPr/>
                <w:sdtContent>
                  <w:r w:rsidR="00AF6E5D">
                    <w:rPr>
                      <w:lang w:val="en-GB"/>
                    </w:rPr>
                    <w:t>Ct</w:t>
                  </w:r>
                </w:sdtContent>
              </w:sdt>
              <w:r w:rsidR="00AF6E5D" w:rsidRPr="005578B3">
                <w:rPr>
                  <w:lang w:val="en-GB"/>
                </w:rPr>
                <w:tab/>
                <w:t>–</w:t>
              </w:r>
              <w:r w:rsidR="00AF6E5D" w:rsidRPr="005578B3">
                <w:rPr>
                  <w:lang w:val="en-GB"/>
                </w:rPr>
                <w:tab/>
              </w:r>
              <w:sdt>
                <w:sdtPr>
                  <w:rPr>
                    <w:lang w:val="en-GB"/>
                  </w:rPr>
                  <w:id w:val="-1739699984"/>
                  <w:placeholder>
                    <w:docPart w:val="BCD43E1555EC427FA86E65B69C842A86"/>
                  </w:placeholder>
                  <w:text/>
                </w:sdtPr>
                <w:sdtEndPr/>
                <w:sdtContent>
                  <w:r w:rsidR="00AF6E5D">
                    <w:rPr>
                      <w:lang w:val="en-GB"/>
                    </w:rPr>
                    <w:t>cycle of threshold</w:t>
                  </w:r>
                </w:sdtContent>
              </w:sdt>
            </w:p>
          </w:sdtContent>
        </w:sdt>
        <w:sdt>
          <w:sdtPr>
            <w:rPr>
              <w:lang w:val="en-GB"/>
            </w:rPr>
            <w:id w:val="22598246"/>
            <w:placeholder>
              <w:docPart w:val="161011FA21334E9D89688CEF02901E72"/>
            </w:placeholder>
            <w15:repeatingSectionItem/>
          </w:sdtPr>
          <w:sdtEndPr/>
          <w:sdtContent>
            <w:p w14:paraId="6A529B7B" w14:textId="77777777" w:rsidR="00AF6E5D" w:rsidRPr="005578B3" w:rsidRDefault="00E10EE1" w:rsidP="00AF6E5D">
              <w:pPr>
                <w:pStyle w:val="ZPSeznamzkratek"/>
                <w:rPr>
                  <w:lang w:val="en-GB"/>
                </w:rPr>
              </w:pPr>
              <w:sdt>
                <w:sdtPr>
                  <w:rPr>
                    <w:lang w:val="en-GB"/>
                  </w:rPr>
                  <w:id w:val="1801106421"/>
                  <w:placeholder>
                    <w:docPart w:val="C5977433F4524975A773B5F4C1C3FFBA"/>
                  </w:placeholder>
                  <w:text/>
                </w:sdtPr>
                <w:sdtEndPr/>
                <w:sdtContent>
                  <w:r w:rsidR="00AF6E5D">
                    <w:rPr>
                      <w:lang w:val="en-GB"/>
                    </w:rPr>
                    <w:t>D-2HG</w:t>
                  </w:r>
                </w:sdtContent>
              </w:sdt>
              <w:r w:rsidR="00AF6E5D" w:rsidRPr="005578B3">
                <w:rPr>
                  <w:lang w:val="en-GB"/>
                </w:rPr>
                <w:tab/>
                <w:t>–</w:t>
              </w:r>
              <w:r w:rsidR="00AF6E5D" w:rsidRPr="005578B3">
                <w:rPr>
                  <w:lang w:val="en-GB"/>
                </w:rPr>
                <w:tab/>
              </w:r>
              <w:sdt>
                <w:sdtPr>
                  <w:rPr>
                    <w:lang w:val="en-GB"/>
                  </w:rPr>
                  <w:id w:val="842052167"/>
                  <w:placeholder>
                    <w:docPart w:val="55FAEB7372074B068396936284D2860D"/>
                  </w:placeholder>
                  <w:text/>
                </w:sdtPr>
                <w:sdtEndPr/>
                <w:sdtContent>
                  <w:r w:rsidR="00AF6E5D">
                    <w:rPr>
                      <w:lang w:val="en-GB"/>
                    </w:rPr>
                    <w:t>D2-hydroxyglutarate</w:t>
                  </w:r>
                </w:sdtContent>
              </w:sdt>
            </w:p>
          </w:sdtContent>
        </w:sdt>
        <w:sdt>
          <w:sdtPr>
            <w:rPr>
              <w:lang w:val="en-GB"/>
            </w:rPr>
            <w:id w:val="-1176877413"/>
            <w:placeholder>
              <w:docPart w:val="EA5F1299B1144E59B706ACD742731FA9"/>
            </w:placeholder>
            <w15:repeatingSectionItem/>
          </w:sdtPr>
          <w:sdtEndPr/>
          <w:sdtContent>
            <w:p w14:paraId="7E23A6BB" w14:textId="77777777" w:rsidR="00AF6E5D" w:rsidRPr="005578B3" w:rsidRDefault="00E10EE1" w:rsidP="00AF6E5D">
              <w:pPr>
                <w:pStyle w:val="ZPSeznamzkratek"/>
                <w:rPr>
                  <w:lang w:val="en-GB"/>
                </w:rPr>
              </w:pPr>
              <w:sdt>
                <w:sdtPr>
                  <w:rPr>
                    <w:lang w:val="en-GB"/>
                  </w:rPr>
                  <w:id w:val="232356835"/>
                  <w:placeholder>
                    <w:docPart w:val="C0A3BB91023E433097950D5AA9CA1C9E"/>
                  </w:placeholder>
                  <w:text/>
                </w:sdtPr>
                <w:sdtEndPr/>
                <w:sdtContent>
                  <w:r w:rsidR="00AF6E5D">
                    <w:rPr>
                      <w:lang w:val="en-GB"/>
                    </w:rPr>
                    <w:t>DGCR8/Pasha</w:t>
                  </w:r>
                </w:sdtContent>
              </w:sdt>
              <w:r w:rsidR="00AF6E5D" w:rsidRPr="005578B3">
                <w:rPr>
                  <w:lang w:val="en-GB"/>
                </w:rPr>
                <w:tab/>
                <w:t>–</w:t>
              </w:r>
              <w:r w:rsidR="00AF6E5D" w:rsidRPr="005578B3">
                <w:rPr>
                  <w:lang w:val="en-GB"/>
                </w:rPr>
                <w:tab/>
              </w:r>
              <w:sdt>
                <w:sdtPr>
                  <w:rPr>
                    <w:lang w:val="en-GB"/>
                  </w:rPr>
                  <w:id w:val="351378770"/>
                  <w:placeholder>
                    <w:docPart w:val="8C575D665C304D74BBBE5F5DF9D71866"/>
                  </w:placeholder>
                  <w:text/>
                </w:sdtPr>
                <w:sdtEndPr/>
                <w:sdtContent>
                  <w:r w:rsidR="00AF6E5D">
                    <w:rPr>
                      <w:lang w:val="en-GB"/>
                    </w:rPr>
                    <w:t xml:space="preserve">DiGeorge syndrome critical region 8 </w:t>
                  </w:r>
                </w:sdtContent>
              </w:sdt>
            </w:p>
          </w:sdtContent>
        </w:sdt>
        <w:sdt>
          <w:sdtPr>
            <w:rPr>
              <w:lang w:val="en-GB"/>
            </w:rPr>
            <w:id w:val="-1194447410"/>
            <w:placeholder>
              <w:docPart w:val="08E9F3990E6749358E7EA2A2CA5B68BA"/>
            </w:placeholder>
            <w15:repeatingSectionItem/>
          </w:sdtPr>
          <w:sdtEndPr/>
          <w:sdtContent>
            <w:p w14:paraId="38C04719" w14:textId="77777777" w:rsidR="00AF6E5D" w:rsidRPr="005578B3" w:rsidRDefault="00E10EE1" w:rsidP="00AF6E5D">
              <w:pPr>
                <w:pStyle w:val="ZPSeznamzkratek"/>
                <w:rPr>
                  <w:lang w:val="en-GB"/>
                </w:rPr>
              </w:pPr>
              <w:sdt>
                <w:sdtPr>
                  <w:rPr>
                    <w:i/>
                    <w:iCs/>
                    <w:lang w:val="en-GB"/>
                  </w:rPr>
                  <w:id w:val="-1807777044"/>
                  <w:placeholder>
                    <w:docPart w:val="AC9DADFE797D4ED68DFD1EB6396B7DAB"/>
                  </w:placeholder>
                  <w:text/>
                </w:sdtPr>
                <w:sdtEndPr/>
                <w:sdtContent>
                  <w:r w:rsidR="00AF6E5D">
                    <w:rPr>
                      <w:i/>
                      <w:iCs/>
                      <w:lang w:val="en-GB"/>
                    </w:rPr>
                    <w:t>DLX1</w:t>
                  </w:r>
                </w:sdtContent>
              </w:sdt>
              <w:r w:rsidR="00AF6E5D" w:rsidRPr="005578B3">
                <w:rPr>
                  <w:lang w:val="en-GB"/>
                </w:rPr>
                <w:tab/>
                <w:t>–</w:t>
              </w:r>
              <w:r w:rsidR="00AF6E5D" w:rsidRPr="005578B3">
                <w:rPr>
                  <w:lang w:val="en-GB"/>
                </w:rPr>
                <w:tab/>
              </w:r>
              <w:sdt>
                <w:sdtPr>
                  <w:rPr>
                    <w:lang w:val="en-GB"/>
                  </w:rPr>
                  <w:id w:val="-479454979"/>
                  <w:placeholder>
                    <w:docPart w:val="56BE887D1DD24BC49F84FEF00A499256"/>
                  </w:placeholder>
                  <w:text/>
                </w:sdtPr>
                <w:sdtEndPr/>
                <w:sdtContent>
                  <w:r w:rsidR="00AF6E5D">
                    <w:rPr>
                      <w:lang w:val="en-GB"/>
                    </w:rPr>
                    <w:t>gene encoding distal-less homeobox 1</w:t>
                  </w:r>
                </w:sdtContent>
              </w:sdt>
            </w:p>
          </w:sdtContent>
        </w:sdt>
        <w:sdt>
          <w:sdtPr>
            <w:rPr>
              <w:lang w:val="en-GB"/>
            </w:rPr>
            <w:id w:val="21907159"/>
            <w:placeholder>
              <w:docPart w:val="E1BBAD3B13DD4579996F737D7EC8519D"/>
            </w:placeholder>
            <w15:repeatingSectionItem/>
          </w:sdtPr>
          <w:sdtEndPr/>
          <w:sdtContent>
            <w:p w14:paraId="43746AF7" w14:textId="77777777" w:rsidR="00AF6E5D" w:rsidRPr="005578B3" w:rsidRDefault="00E10EE1" w:rsidP="00AF6E5D">
              <w:pPr>
                <w:pStyle w:val="ZPSeznamzkratek"/>
                <w:rPr>
                  <w:lang w:val="en-GB"/>
                </w:rPr>
              </w:pPr>
              <w:sdt>
                <w:sdtPr>
                  <w:rPr>
                    <w:lang w:val="en-GB"/>
                  </w:rPr>
                  <w:id w:val="86813245"/>
                  <w:placeholder>
                    <w:docPart w:val="7126ECE3567240DAA24217A88D902AB2"/>
                  </w:placeholder>
                  <w:text/>
                </w:sdtPr>
                <w:sdtEndPr/>
                <w:sdtContent>
                  <w:r w:rsidR="00AF6E5D">
                    <w:rPr>
                      <w:lang w:val="en-GB"/>
                    </w:rPr>
                    <w:t>DRE</w:t>
                  </w:r>
                </w:sdtContent>
              </w:sdt>
              <w:r w:rsidR="00AF6E5D" w:rsidRPr="005578B3">
                <w:rPr>
                  <w:lang w:val="en-GB"/>
                </w:rPr>
                <w:tab/>
                <w:t>–</w:t>
              </w:r>
              <w:r w:rsidR="00AF6E5D" w:rsidRPr="005578B3">
                <w:rPr>
                  <w:lang w:val="en-GB"/>
                </w:rPr>
                <w:tab/>
              </w:r>
              <w:sdt>
                <w:sdtPr>
                  <w:rPr>
                    <w:lang w:val="en-GB"/>
                  </w:rPr>
                  <w:id w:val="989601510"/>
                  <w:placeholder>
                    <w:docPart w:val="2A67B9E6B78B46F4A385A1971699AF4B"/>
                  </w:placeholder>
                  <w:text/>
                </w:sdtPr>
                <w:sdtEndPr/>
                <w:sdtContent>
                  <w:r w:rsidR="00AF6E5D">
                    <w:rPr>
                      <w:lang w:val="en-GB"/>
                    </w:rPr>
                    <w:t>digital rectal examination</w:t>
                  </w:r>
                </w:sdtContent>
              </w:sdt>
            </w:p>
          </w:sdtContent>
        </w:sdt>
        <w:sdt>
          <w:sdtPr>
            <w:rPr>
              <w:lang w:val="en-GB"/>
            </w:rPr>
            <w:id w:val="-918248475"/>
            <w:placeholder>
              <w:docPart w:val="DAE77D581451474B86B95E8283265AAC"/>
            </w:placeholder>
            <w15:repeatingSectionItem/>
          </w:sdtPr>
          <w:sdtEndPr/>
          <w:sdtContent>
            <w:p w14:paraId="64385A3F" w14:textId="77777777" w:rsidR="00AF6E5D" w:rsidRPr="005578B3" w:rsidRDefault="00E10EE1" w:rsidP="00AF6E5D">
              <w:pPr>
                <w:pStyle w:val="ZPSeznamzkratek"/>
                <w:rPr>
                  <w:lang w:val="en-GB"/>
                </w:rPr>
              </w:pPr>
              <w:sdt>
                <w:sdtPr>
                  <w:rPr>
                    <w:lang w:val="en-GB"/>
                  </w:rPr>
                  <w:id w:val="-499429502"/>
                  <w:placeholder>
                    <w:docPart w:val="E0637EC9924B40629F536119F4901C3B"/>
                  </w:placeholder>
                  <w:text/>
                </w:sdtPr>
                <w:sdtEndPr/>
                <w:sdtContent>
                  <w:proofErr w:type="spellStart"/>
                  <w:r w:rsidR="00AF6E5D">
                    <w:rPr>
                      <w:lang w:val="en-GB"/>
                    </w:rPr>
                    <w:t>dsRBD</w:t>
                  </w:r>
                  <w:proofErr w:type="spellEnd"/>
                </w:sdtContent>
              </w:sdt>
              <w:r w:rsidR="00AF6E5D" w:rsidRPr="005578B3">
                <w:rPr>
                  <w:lang w:val="en-GB"/>
                </w:rPr>
                <w:tab/>
                <w:t>–</w:t>
              </w:r>
              <w:r w:rsidR="00AF6E5D" w:rsidRPr="005578B3">
                <w:rPr>
                  <w:lang w:val="en-GB"/>
                </w:rPr>
                <w:tab/>
              </w:r>
              <w:sdt>
                <w:sdtPr>
                  <w:rPr>
                    <w:lang w:val="en-GB"/>
                  </w:rPr>
                  <w:id w:val="2018115720"/>
                  <w:placeholder>
                    <w:docPart w:val="13A064253C334E3E9135C75B862E2F6D"/>
                  </w:placeholder>
                  <w:text/>
                </w:sdtPr>
                <w:sdtEndPr/>
                <w:sdtContent>
                  <w:r w:rsidR="00AF6E5D">
                    <w:rPr>
                      <w:lang w:val="en-GB"/>
                    </w:rPr>
                    <w:t>double stranded RNA binding domain</w:t>
                  </w:r>
                </w:sdtContent>
              </w:sdt>
            </w:p>
          </w:sdtContent>
        </w:sdt>
        <w:sdt>
          <w:sdtPr>
            <w:rPr>
              <w:lang w:val="en-GB"/>
            </w:rPr>
            <w:id w:val="-967051679"/>
            <w:placeholder>
              <w:docPart w:val="7D4CEC970AE9475098C6996C7EA91D9A"/>
            </w:placeholder>
            <w15:repeatingSectionItem/>
          </w:sdtPr>
          <w:sdtEndPr/>
          <w:sdtContent>
            <w:p w14:paraId="60EB1EE4" w14:textId="77777777" w:rsidR="00AF6E5D" w:rsidRPr="005578B3" w:rsidRDefault="00E10EE1" w:rsidP="00AF6E5D">
              <w:pPr>
                <w:pStyle w:val="ZPSeznamzkratek"/>
                <w:rPr>
                  <w:lang w:val="en-GB"/>
                </w:rPr>
              </w:pPr>
              <w:sdt>
                <w:sdtPr>
                  <w:rPr>
                    <w:lang w:val="en-GB"/>
                  </w:rPr>
                  <w:id w:val="1356227687"/>
                  <w:placeholder>
                    <w:docPart w:val="2B8CEEE499064FDB8216DFF027B9DF27"/>
                  </w:placeholder>
                  <w:text/>
                </w:sdtPr>
                <w:sdtEndPr/>
                <w:sdtContent>
                  <w:r w:rsidR="00AF6E5D">
                    <w:rPr>
                      <w:lang w:val="en-GB"/>
                    </w:rPr>
                    <w:t>EDTA</w:t>
                  </w:r>
                </w:sdtContent>
              </w:sdt>
              <w:r w:rsidR="00AF6E5D" w:rsidRPr="005578B3">
                <w:rPr>
                  <w:lang w:val="en-GB"/>
                </w:rPr>
                <w:tab/>
                <w:t>–</w:t>
              </w:r>
              <w:r w:rsidR="00AF6E5D" w:rsidRPr="005578B3">
                <w:rPr>
                  <w:lang w:val="en-GB"/>
                </w:rPr>
                <w:tab/>
              </w:r>
              <w:sdt>
                <w:sdtPr>
                  <w:rPr>
                    <w:lang w:val="en-GB"/>
                  </w:rPr>
                  <w:id w:val="769741352"/>
                  <w:placeholder>
                    <w:docPart w:val="A1448E55470D49E18E41DF2394E9A2AE"/>
                  </w:placeholder>
                  <w:text/>
                </w:sdtPr>
                <w:sdtEndPr/>
                <w:sdtContent>
                  <w:r w:rsidR="00AF6E5D">
                    <w:rPr>
                      <w:lang w:val="en-GB"/>
                    </w:rPr>
                    <w:t>ethylenediaminetetraacetic acid</w:t>
                  </w:r>
                </w:sdtContent>
              </w:sdt>
            </w:p>
          </w:sdtContent>
        </w:sdt>
        <w:sdt>
          <w:sdtPr>
            <w:rPr>
              <w:lang w:val="en-GB"/>
            </w:rPr>
            <w:id w:val="-1616212640"/>
            <w:placeholder>
              <w:docPart w:val="DEAA656AA0E7489F8D99AC80F7C8F2A5"/>
            </w:placeholder>
            <w15:repeatingSectionItem/>
          </w:sdtPr>
          <w:sdtEndPr/>
          <w:sdtContent>
            <w:p w14:paraId="370D0245" w14:textId="77777777" w:rsidR="00AF6E5D" w:rsidRPr="005578B3" w:rsidRDefault="00E10EE1" w:rsidP="00AF6E5D">
              <w:pPr>
                <w:pStyle w:val="ZPSeznamzkratek"/>
                <w:rPr>
                  <w:lang w:val="en-GB"/>
                </w:rPr>
              </w:pPr>
              <w:sdt>
                <w:sdtPr>
                  <w:rPr>
                    <w:i/>
                    <w:iCs/>
                    <w:lang w:val="en-GB"/>
                  </w:rPr>
                  <w:id w:val="95985013"/>
                  <w:placeholder>
                    <w:docPart w:val="A996885A30724B7BB4955A5A9B2EC841"/>
                  </w:placeholder>
                  <w:text/>
                </w:sdtPr>
                <w:sdtEndPr/>
                <w:sdtContent>
                  <w:r w:rsidR="00AF6E5D">
                    <w:rPr>
                      <w:i/>
                      <w:iCs/>
                      <w:lang w:val="en-GB"/>
                    </w:rPr>
                    <w:t>ERG</w:t>
                  </w:r>
                </w:sdtContent>
              </w:sdt>
              <w:r w:rsidR="00AF6E5D" w:rsidRPr="005578B3">
                <w:rPr>
                  <w:lang w:val="en-GB"/>
                </w:rPr>
                <w:tab/>
                <w:t>–</w:t>
              </w:r>
              <w:r w:rsidR="00AF6E5D" w:rsidRPr="005578B3">
                <w:rPr>
                  <w:lang w:val="en-GB"/>
                </w:rPr>
                <w:tab/>
              </w:r>
              <w:sdt>
                <w:sdtPr>
                  <w:rPr>
                    <w:lang w:val="en-GB"/>
                  </w:rPr>
                  <w:id w:val="-280952551"/>
                  <w:placeholder>
                    <w:docPart w:val="F1844BA8CC7E46698A933AD69A053B27"/>
                  </w:placeholder>
                  <w:text/>
                </w:sdtPr>
                <w:sdtEndPr/>
                <w:sdtContent>
                  <w:r w:rsidR="00AF6E5D">
                    <w:rPr>
                      <w:lang w:val="en-GB"/>
                    </w:rPr>
                    <w:t>gene encoding ETS transcription factor ERG</w:t>
                  </w:r>
                </w:sdtContent>
              </w:sdt>
            </w:p>
          </w:sdtContent>
        </w:sdt>
        <w:sdt>
          <w:sdtPr>
            <w:rPr>
              <w:lang w:val="en-GB"/>
            </w:rPr>
            <w:id w:val="194815995"/>
            <w:placeholder>
              <w:docPart w:val="A73A3DBF22AC4774853EFB5A11FB88E0"/>
            </w:placeholder>
            <w15:repeatingSectionItem/>
          </w:sdtPr>
          <w:sdtEndPr/>
          <w:sdtContent>
            <w:p w14:paraId="091CEB0F" w14:textId="77777777" w:rsidR="00AF6E5D" w:rsidRPr="005578B3" w:rsidRDefault="00E10EE1" w:rsidP="00AF6E5D">
              <w:pPr>
                <w:pStyle w:val="ZPSeznamzkratek"/>
                <w:rPr>
                  <w:lang w:val="en-GB"/>
                </w:rPr>
              </w:pPr>
              <w:sdt>
                <w:sdtPr>
                  <w:rPr>
                    <w:lang w:val="en-GB"/>
                  </w:rPr>
                  <w:id w:val="-1693515608"/>
                  <w:placeholder>
                    <w:docPart w:val="EA803F6F162F4E0B88B6833711FD0C43"/>
                  </w:placeholder>
                  <w:text/>
                </w:sdtPr>
                <w:sdtEndPr/>
                <w:sdtContent>
                  <w:r w:rsidR="00AF6E5D">
                    <w:rPr>
                      <w:lang w:val="en-GB"/>
                    </w:rPr>
                    <w:t>ETS</w:t>
                  </w:r>
                </w:sdtContent>
              </w:sdt>
              <w:r w:rsidR="00AF6E5D" w:rsidRPr="005578B3">
                <w:rPr>
                  <w:lang w:val="en-GB"/>
                </w:rPr>
                <w:tab/>
                <w:t>–</w:t>
              </w:r>
              <w:r w:rsidR="00AF6E5D" w:rsidRPr="005578B3">
                <w:rPr>
                  <w:lang w:val="en-GB"/>
                </w:rPr>
                <w:tab/>
              </w:r>
              <w:sdt>
                <w:sdtPr>
                  <w:rPr>
                    <w:lang w:val="en-GB"/>
                  </w:rPr>
                  <w:id w:val="2042861179"/>
                  <w:placeholder>
                    <w:docPart w:val="6FF6ED437745400C9FCA3D2D363ED120"/>
                  </w:placeholder>
                  <w:text/>
                </w:sdtPr>
                <w:sdtEndPr/>
                <w:sdtContent>
                  <w:r w:rsidR="00AF6E5D">
                    <w:rPr>
                      <w:lang w:val="en-GB"/>
                    </w:rPr>
                    <w:t>erythroblast transformation-specific family of transcription factors</w:t>
                  </w:r>
                </w:sdtContent>
              </w:sdt>
            </w:p>
          </w:sdtContent>
        </w:sdt>
        <w:sdt>
          <w:sdtPr>
            <w:rPr>
              <w:lang w:val="en-GB"/>
            </w:rPr>
            <w:id w:val="-584229135"/>
            <w:placeholder>
              <w:docPart w:val="F337F1D13CB5430DA74D765B758E50BC"/>
            </w:placeholder>
            <w15:repeatingSectionItem/>
          </w:sdtPr>
          <w:sdtEndPr/>
          <w:sdtContent>
            <w:p w14:paraId="357257B2" w14:textId="77777777" w:rsidR="00AF6E5D" w:rsidRPr="005578B3" w:rsidRDefault="00E10EE1" w:rsidP="00AF6E5D">
              <w:pPr>
                <w:pStyle w:val="ZPSeznamzkratek"/>
                <w:rPr>
                  <w:lang w:val="en-GB"/>
                </w:rPr>
              </w:pPr>
              <w:sdt>
                <w:sdtPr>
                  <w:rPr>
                    <w:i/>
                    <w:iCs/>
                    <w:lang w:val="en-GB"/>
                  </w:rPr>
                  <w:id w:val="-1587915157"/>
                  <w:placeholder>
                    <w:docPart w:val="E92E05344FA84B9FA379BDA262B23C87"/>
                  </w:placeholder>
                  <w:text/>
                </w:sdtPr>
                <w:sdtEndPr/>
                <w:sdtContent>
                  <w:r w:rsidR="00AF6E5D">
                    <w:rPr>
                      <w:i/>
                      <w:iCs/>
                      <w:lang w:val="en-GB"/>
                    </w:rPr>
                    <w:t>ETV1</w:t>
                  </w:r>
                </w:sdtContent>
              </w:sdt>
              <w:r w:rsidR="00AF6E5D" w:rsidRPr="005578B3">
                <w:rPr>
                  <w:lang w:val="en-GB"/>
                </w:rPr>
                <w:tab/>
                <w:t>–</w:t>
              </w:r>
              <w:r w:rsidR="00AF6E5D" w:rsidRPr="005578B3">
                <w:rPr>
                  <w:lang w:val="en-GB"/>
                </w:rPr>
                <w:tab/>
              </w:r>
              <w:sdt>
                <w:sdtPr>
                  <w:rPr>
                    <w:lang w:val="en-GB"/>
                  </w:rPr>
                  <w:id w:val="-1427563514"/>
                  <w:placeholder>
                    <w:docPart w:val="B8050DDB9796409CA16DDDF857FD8A79"/>
                  </w:placeholder>
                  <w:text/>
                </w:sdtPr>
                <w:sdtEndPr/>
                <w:sdtContent>
                  <w:r w:rsidR="00AF6E5D">
                    <w:rPr>
                      <w:lang w:val="en-GB"/>
                    </w:rPr>
                    <w:t>gene encoding ETS variant transcription factor 1</w:t>
                  </w:r>
                </w:sdtContent>
              </w:sdt>
            </w:p>
          </w:sdtContent>
        </w:sdt>
        <w:sdt>
          <w:sdtPr>
            <w:rPr>
              <w:lang w:val="en-GB"/>
            </w:rPr>
            <w:id w:val="1652553729"/>
            <w:placeholder>
              <w:docPart w:val="1C5F18DA0BB04006A27AFB761F30B476"/>
            </w:placeholder>
            <w15:repeatingSectionItem/>
          </w:sdtPr>
          <w:sdtEndPr/>
          <w:sdtContent>
            <w:p w14:paraId="7E9B18CF" w14:textId="77777777" w:rsidR="00AF6E5D" w:rsidRPr="005578B3" w:rsidRDefault="00E10EE1" w:rsidP="00AF6E5D">
              <w:pPr>
                <w:pStyle w:val="ZPSeznamzkratek"/>
                <w:rPr>
                  <w:lang w:val="en-GB"/>
                </w:rPr>
              </w:pPr>
              <w:sdt>
                <w:sdtPr>
                  <w:rPr>
                    <w:i/>
                    <w:iCs/>
                    <w:lang w:val="en-GB"/>
                  </w:rPr>
                  <w:id w:val="-1237310511"/>
                  <w:placeholder>
                    <w:docPart w:val="4DB80E5128D64AAA9C239374357FC3F1"/>
                  </w:placeholder>
                  <w:text/>
                </w:sdtPr>
                <w:sdtEndPr/>
                <w:sdtContent>
                  <w:r w:rsidR="00AF6E5D">
                    <w:rPr>
                      <w:i/>
                      <w:iCs/>
                      <w:lang w:val="en-GB"/>
                    </w:rPr>
                    <w:t>ETV4</w:t>
                  </w:r>
                </w:sdtContent>
              </w:sdt>
              <w:r w:rsidR="00AF6E5D" w:rsidRPr="005578B3">
                <w:rPr>
                  <w:lang w:val="en-GB"/>
                </w:rPr>
                <w:tab/>
                <w:t>–</w:t>
              </w:r>
              <w:r w:rsidR="00AF6E5D" w:rsidRPr="005578B3">
                <w:rPr>
                  <w:lang w:val="en-GB"/>
                </w:rPr>
                <w:tab/>
              </w:r>
              <w:sdt>
                <w:sdtPr>
                  <w:rPr>
                    <w:lang w:val="en-GB"/>
                  </w:rPr>
                  <w:id w:val="1346600450"/>
                  <w:placeholder>
                    <w:docPart w:val="C6753C4339ED4120B36021755EDEF036"/>
                  </w:placeholder>
                  <w:text/>
                </w:sdtPr>
                <w:sdtEndPr/>
                <w:sdtContent>
                  <w:r w:rsidR="00AF6E5D">
                    <w:rPr>
                      <w:lang w:val="en-GB"/>
                    </w:rPr>
                    <w:t>gene encoding ETS variant transcription factor 4</w:t>
                  </w:r>
                </w:sdtContent>
              </w:sdt>
            </w:p>
          </w:sdtContent>
        </w:sdt>
        <w:sdt>
          <w:sdtPr>
            <w:rPr>
              <w:lang w:val="en-GB"/>
            </w:rPr>
            <w:id w:val="-674109399"/>
            <w:placeholder>
              <w:docPart w:val="3BD2BA3D46FE4EC99C8AA4A3DEBD245C"/>
            </w:placeholder>
            <w15:repeatingSectionItem/>
          </w:sdtPr>
          <w:sdtEndPr/>
          <w:sdtContent>
            <w:p w14:paraId="1F13B28A" w14:textId="77777777" w:rsidR="00AF6E5D" w:rsidRPr="005578B3" w:rsidRDefault="00E10EE1" w:rsidP="00AF6E5D">
              <w:pPr>
                <w:pStyle w:val="ZPSeznamzkratek"/>
                <w:rPr>
                  <w:lang w:val="en-GB"/>
                </w:rPr>
              </w:pPr>
              <w:sdt>
                <w:sdtPr>
                  <w:rPr>
                    <w:i/>
                    <w:iCs/>
                    <w:lang w:val="en-GB"/>
                  </w:rPr>
                  <w:id w:val="-933812673"/>
                  <w:placeholder>
                    <w:docPart w:val="7886671DA80E457D9B580093033B0601"/>
                  </w:placeholder>
                  <w:text/>
                </w:sdtPr>
                <w:sdtEndPr/>
                <w:sdtContent>
                  <w:r w:rsidR="00AF6E5D">
                    <w:rPr>
                      <w:i/>
                      <w:iCs/>
                      <w:lang w:val="en-GB"/>
                    </w:rPr>
                    <w:t>ETV5</w:t>
                  </w:r>
                </w:sdtContent>
              </w:sdt>
              <w:r w:rsidR="00AF6E5D" w:rsidRPr="005578B3">
                <w:rPr>
                  <w:lang w:val="en-GB"/>
                </w:rPr>
                <w:tab/>
                <w:t>–</w:t>
              </w:r>
              <w:r w:rsidR="00AF6E5D" w:rsidRPr="005578B3">
                <w:rPr>
                  <w:lang w:val="en-GB"/>
                </w:rPr>
                <w:tab/>
              </w:r>
              <w:sdt>
                <w:sdtPr>
                  <w:rPr>
                    <w:lang w:val="en-GB"/>
                  </w:rPr>
                  <w:id w:val="-1754734562"/>
                  <w:placeholder>
                    <w:docPart w:val="87D41A4C3C424F9DA041F393AE20FDB3"/>
                  </w:placeholder>
                  <w:text/>
                </w:sdtPr>
                <w:sdtEndPr/>
                <w:sdtContent>
                  <w:r w:rsidR="00AF6E5D">
                    <w:rPr>
                      <w:lang w:val="en-GB"/>
                    </w:rPr>
                    <w:t>gene encoding ETS variant transcription factor 5</w:t>
                  </w:r>
                </w:sdtContent>
              </w:sdt>
            </w:p>
          </w:sdtContent>
        </w:sdt>
        <w:sdt>
          <w:sdtPr>
            <w:rPr>
              <w:lang w:val="en-GB"/>
            </w:rPr>
            <w:id w:val="-1156919075"/>
            <w:placeholder>
              <w:docPart w:val="01115A53875044E087D9ADD195674B86"/>
            </w:placeholder>
            <w15:repeatingSectionItem/>
          </w:sdtPr>
          <w:sdtEndPr/>
          <w:sdtContent>
            <w:p w14:paraId="51B51CFE" w14:textId="77777777" w:rsidR="00AF6E5D" w:rsidRPr="005578B3" w:rsidRDefault="00E10EE1" w:rsidP="00AF6E5D">
              <w:pPr>
                <w:pStyle w:val="ZPSeznamzkratek"/>
                <w:rPr>
                  <w:lang w:val="en-GB"/>
                </w:rPr>
              </w:pPr>
              <w:sdt>
                <w:sdtPr>
                  <w:rPr>
                    <w:i/>
                    <w:iCs/>
                    <w:lang w:val="en-GB"/>
                  </w:rPr>
                  <w:id w:val="146878811"/>
                  <w:placeholder>
                    <w:docPart w:val="6A0D692B735546C3ADF8CB4F9BE60E00"/>
                  </w:placeholder>
                  <w:text/>
                </w:sdtPr>
                <w:sdtEndPr/>
                <w:sdtContent>
                  <w:r w:rsidR="00AF6E5D">
                    <w:rPr>
                      <w:i/>
                      <w:iCs/>
                      <w:lang w:val="en-GB"/>
                    </w:rPr>
                    <w:t>FANCD2</w:t>
                  </w:r>
                </w:sdtContent>
              </w:sdt>
              <w:r w:rsidR="00AF6E5D" w:rsidRPr="005578B3">
                <w:rPr>
                  <w:lang w:val="en-GB"/>
                </w:rPr>
                <w:tab/>
                <w:t>–</w:t>
              </w:r>
              <w:r w:rsidR="00AF6E5D" w:rsidRPr="005578B3">
                <w:rPr>
                  <w:lang w:val="en-GB"/>
                </w:rPr>
                <w:tab/>
              </w:r>
              <w:sdt>
                <w:sdtPr>
                  <w:rPr>
                    <w:lang w:val="en-GB"/>
                  </w:rPr>
                  <w:id w:val="-1057856974"/>
                  <w:placeholder>
                    <w:docPart w:val="212DE73902F74C78A114026A8AC5DDD3"/>
                  </w:placeholder>
                  <w:text/>
                </w:sdtPr>
                <w:sdtEndPr/>
                <w:sdtContent>
                  <w:r w:rsidR="00AF6E5D">
                    <w:rPr>
                      <w:lang w:val="en-GB"/>
                    </w:rPr>
                    <w:t>gene encoding FA complementation group D2</w:t>
                  </w:r>
                </w:sdtContent>
              </w:sdt>
            </w:p>
          </w:sdtContent>
        </w:sdt>
        <w:sdt>
          <w:sdtPr>
            <w:rPr>
              <w:lang w:val="en-GB"/>
            </w:rPr>
            <w:id w:val="-201321100"/>
            <w:placeholder>
              <w:docPart w:val="9B60B73A2BC1445AABAF40623F737A36"/>
            </w:placeholder>
            <w15:repeatingSectionItem/>
          </w:sdtPr>
          <w:sdtEndPr/>
          <w:sdtContent>
            <w:p w14:paraId="2C261357" w14:textId="77777777" w:rsidR="00AF6E5D" w:rsidRPr="005578B3" w:rsidRDefault="00E10EE1" w:rsidP="00AF6E5D">
              <w:pPr>
                <w:pStyle w:val="ZPSeznamzkratek"/>
                <w:rPr>
                  <w:lang w:val="en-GB"/>
                </w:rPr>
              </w:pPr>
              <w:sdt>
                <w:sdtPr>
                  <w:rPr>
                    <w:lang w:val="en-GB"/>
                  </w:rPr>
                  <w:id w:val="1496833237"/>
                  <w:placeholder>
                    <w:docPart w:val="CDC1AF5B7A174B2790415A8DCA0AD3EB"/>
                  </w:placeholder>
                  <w:text/>
                </w:sdtPr>
                <w:sdtEndPr/>
                <w:sdtContent>
                  <w:r w:rsidR="00AF6E5D">
                    <w:rPr>
                      <w:lang w:val="en-GB"/>
                    </w:rPr>
                    <w:t>FC</w:t>
                  </w:r>
                </w:sdtContent>
              </w:sdt>
              <w:r w:rsidR="00AF6E5D" w:rsidRPr="005578B3">
                <w:rPr>
                  <w:lang w:val="en-GB"/>
                </w:rPr>
                <w:tab/>
                <w:t>–</w:t>
              </w:r>
              <w:r w:rsidR="00AF6E5D" w:rsidRPr="005578B3">
                <w:rPr>
                  <w:lang w:val="en-GB"/>
                </w:rPr>
                <w:tab/>
              </w:r>
              <w:sdt>
                <w:sdtPr>
                  <w:rPr>
                    <w:lang w:val="en-GB"/>
                  </w:rPr>
                  <w:id w:val="1233587908"/>
                  <w:placeholder>
                    <w:docPart w:val="A604B478E3F242FE9BEBC3A4D9A132FF"/>
                  </w:placeholder>
                  <w:text/>
                </w:sdtPr>
                <w:sdtEndPr/>
                <w:sdtContent>
                  <w:r w:rsidR="00AF6E5D">
                    <w:rPr>
                      <w:lang w:val="en-GB"/>
                    </w:rPr>
                    <w:t>fold change</w:t>
                  </w:r>
                </w:sdtContent>
              </w:sdt>
            </w:p>
          </w:sdtContent>
        </w:sdt>
        <w:sdt>
          <w:sdtPr>
            <w:rPr>
              <w:lang w:val="en-GB"/>
            </w:rPr>
            <w:id w:val="-1559078947"/>
            <w:placeholder>
              <w:docPart w:val="A061DA1E0038473FBD5844B82030ABE2"/>
            </w:placeholder>
            <w15:repeatingSectionItem/>
          </w:sdtPr>
          <w:sdtEndPr/>
          <w:sdtContent>
            <w:p w14:paraId="4BC0CCFE" w14:textId="77777777" w:rsidR="00AF6E5D" w:rsidRPr="005578B3" w:rsidRDefault="00E10EE1" w:rsidP="00AF6E5D">
              <w:pPr>
                <w:pStyle w:val="ZPSeznamzkratek"/>
                <w:rPr>
                  <w:lang w:val="en-GB"/>
                </w:rPr>
              </w:pPr>
              <w:sdt>
                <w:sdtPr>
                  <w:rPr>
                    <w:lang w:val="en-GB"/>
                  </w:rPr>
                  <w:id w:val="487363075"/>
                  <w:placeholder>
                    <w:docPart w:val="89D836279C4D4F8F97B710CE16FAAF07"/>
                  </w:placeholder>
                  <w:text/>
                </w:sdtPr>
                <w:sdtEndPr/>
                <w:sdtContent>
                  <w:r w:rsidR="00AF6E5D">
                    <w:rPr>
                      <w:lang w:val="en-GB"/>
                    </w:rPr>
                    <w:t>FDA</w:t>
                  </w:r>
                </w:sdtContent>
              </w:sdt>
              <w:r w:rsidR="00AF6E5D" w:rsidRPr="005578B3">
                <w:rPr>
                  <w:lang w:val="en-GB"/>
                </w:rPr>
                <w:tab/>
                <w:t>–</w:t>
              </w:r>
              <w:r w:rsidR="00AF6E5D" w:rsidRPr="005578B3">
                <w:rPr>
                  <w:lang w:val="en-GB"/>
                </w:rPr>
                <w:tab/>
              </w:r>
              <w:sdt>
                <w:sdtPr>
                  <w:rPr>
                    <w:lang w:val="en-GB"/>
                  </w:rPr>
                  <w:id w:val="-470284144"/>
                  <w:placeholder>
                    <w:docPart w:val="52B3DD55E1D4495CA2234570B3C684A1"/>
                  </w:placeholder>
                  <w:text/>
                </w:sdtPr>
                <w:sdtEndPr/>
                <w:sdtContent>
                  <w:r w:rsidR="00AF6E5D">
                    <w:rPr>
                      <w:lang w:val="en-GB"/>
                    </w:rPr>
                    <w:t>Food and Drug Administration</w:t>
                  </w:r>
                </w:sdtContent>
              </w:sdt>
            </w:p>
          </w:sdtContent>
        </w:sdt>
        <w:sdt>
          <w:sdtPr>
            <w:rPr>
              <w:lang w:val="en-GB"/>
            </w:rPr>
            <w:id w:val="30700475"/>
            <w:placeholder>
              <w:docPart w:val="8D127C4B25AC4C8A851E63461186884A"/>
            </w:placeholder>
            <w15:repeatingSectionItem/>
          </w:sdtPr>
          <w:sdtEndPr/>
          <w:sdtContent>
            <w:p w14:paraId="3E8504B0" w14:textId="77777777" w:rsidR="00AF6E5D" w:rsidRPr="005578B3" w:rsidRDefault="00E10EE1" w:rsidP="00AF6E5D">
              <w:pPr>
                <w:pStyle w:val="ZPSeznamzkratek"/>
                <w:rPr>
                  <w:lang w:val="en-GB"/>
                </w:rPr>
              </w:pPr>
              <w:sdt>
                <w:sdtPr>
                  <w:rPr>
                    <w:lang w:val="en-GB"/>
                  </w:rPr>
                  <w:id w:val="799425186"/>
                  <w:placeholder>
                    <w:docPart w:val="1216325D5CF342DDB81C87479A3EAAD4"/>
                  </w:placeholder>
                  <w:text/>
                </w:sdtPr>
                <w:sdtEndPr/>
                <w:sdtContent>
                  <w:r w:rsidR="00AF6E5D">
                    <w:rPr>
                      <w:lang w:val="en-GB"/>
                    </w:rPr>
                    <w:t>FFPE</w:t>
                  </w:r>
                </w:sdtContent>
              </w:sdt>
              <w:r w:rsidR="00AF6E5D" w:rsidRPr="005578B3">
                <w:rPr>
                  <w:lang w:val="en-GB"/>
                </w:rPr>
                <w:tab/>
                <w:t>–</w:t>
              </w:r>
              <w:r w:rsidR="00AF6E5D" w:rsidRPr="005578B3">
                <w:rPr>
                  <w:lang w:val="en-GB"/>
                </w:rPr>
                <w:tab/>
              </w:r>
              <w:sdt>
                <w:sdtPr>
                  <w:rPr>
                    <w:lang w:val="en-GB"/>
                  </w:rPr>
                  <w:id w:val="-2081826089"/>
                  <w:placeholder>
                    <w:docPart w:val="E44CCA4DD72A4244BD5B664E9CBF110F"/>
                  </w:placeholder>
                  <w:text/>
                </w:sdtPr>
                <w:sdtEndPr/>
                <w:sdtContent>
                  <w:r w:rsidR="00AF6E5D">
                    <w:rPr>
                      <w:lang w:val="en-GB"/>
                    </w:rPr>
                    <w:t>formalin-fixed paraffin-embedded</w:t>
                  </w:r>
                </w:sdtContent>
              </w:sdt>
            </w:p>
          </w:sdtContent>
        </w:sdt>
        <w:sdt>
          <w:sdtPr>
            <w:rPr>
              <w:lang w:val="en-GB"/>
            </w:rPr>
            <w:id w:val="-747805710"/>
            <w:placeholder>
              <w:docPart w:val="D0BCC1DD653E40CEAD7E1053AA277A61"/>
            </w:placeholder>
            <w15:repeatingSectionItem/>
          </w:sdtPr>
          <w:sdtEndPr/>
          <w:sdtContent>
            <w:p w14:paraId="1011BAAB" w14:textId="77777777" w:rsidR="00AF6E5D" w:rsidRPr="005578B3" w:rsidRDefault="00E10EE1" w:rsidP="00AF6E5D">
              <w:pPr>
                <w:pStyle w:val="ZPSeznamzkratek"/>
                <w:rPr>
                  <w:lang w:val="en-GB"/>
                </w:rPr>
              </w:pPr>
              <w:sdt>
                <w:sdtPr>
                  <w:rPr>
                    <w:lang w:val="en-GB"/>
                  </w:rPr>
                  <w:id w:val="-1565336053"/>
                  <w:placeholder>
                    <w:docPart w:val="934A4BE268AD4A87900FBA8B1AAEFE8B"/>
                  </w:placeholder>
                  <w:text/>
                </w:sdtPr>
                <w:sdtEndPr/>
                <w:sdtContent>
                  <w:r w:rsidR="00AF6E5D">
                    <w:rPr>
                      <w:lang w:val="en-GB"/>
                    </w:rPr>
                    <w:t>FKHD</w:t>
                  </w:r>
                </w:sdtContent>
              </w:sdt>
              <w:r w:rsidR="00AF6E5D" w:rsidRPr="005578B3">
                <w:rPr>
                  <w:lang w:val="en-GB"/>
                </w:rPr>
                <w:tab/>
                <w:t>–</w:t>
              </w:r>
              <w:r w:rsidR="00AF6E5D" w:rsidRPr="005578B3">
                <w:rPr>
                  <w:lang w:val="en-GB"/>
                </w:rPr>
                <w:tab/>
              </w:r>
              <w:sdt>
                <w:sdtPr>
                  <w:rPr>
                    <w:lang w:val="en-GB"/>
                  </w:rPr>
                  <w:id w:val="-1294975806"/>
                  <w:placeholder>
                    <w:docPart w:val="CE1E6D0691504C579FF556D9C1F53703"/>
                  </w:placeholder>
                  <w:text/>
                </w:sdtPr>
                <w:sdtEndPr/>
                <w:sdtContent>
                  <w:proofErr w:type="spellStart"/>
                  <w:r w:rsidR="00AF6E5D">
                    <w:rPr>
                      <w:lang w:val="en-GB"/>
                    </w:rPr>
                    <w:t>forkhead</w:t>
                  </w:r>
                  <w:proofErr w:type="spellEnd"/>
                  <w:r w:rsidR="00AF6E5D">
                    <w:rPr>
                      <w:lang w:val="en-GB"/>
                    </w:rPr>
                    <w:t xml:space="preserve"> DNA-binding domain</w:t>
                  </w:r>
                </w:sdtContent>
              </w:sdt>
            </w:p>
          </w:sdtContent>
        </w:sdt>
        <w:sdt>
          <w:sdtPr>
            <w:rPr>
              <w:lang w:val="en-GB"/>
            </w:rPr>
            <w:id w:val="-75211011"/>
            <w:placeholder>
              <w:docPart w:val="8569AD829A114C86BF40F4439E8FBD24"/>
            </w:placeholder>
            <w15:repeatingSectionItem/>
          </w:sdtPr>
          <w:sdtEndPr/>
          <w:sdtContent>
            <w:p w14:paraId="1332E6B9" w14:textId="77777777" w:rsidR="00AF6E5D" w:rsidRPr="005578B3" w:rsidRDefault="00E10EE1" w:rsidP="00AF6E5D">
              <w:pPr>
                <w:pStyle w:val="ZPSeznamzkratek"/>
                <w:rPr>
                  <w:lang w:val="en-GB"/>
                </w:rPr>
              </w:pPr>
              <w:sdt>
                <w:sdtPr>
                  <w:rPr>
                    <w:i/>
                    <w:iCs/>
                    <w:lang w:val="en-GB"/>
                  </w:rPr>
                  <w:id w:val="1558353214"/>
                  <w:placeholder>
                    <w:docPart w:val="06737D3D77DD43E38DBCF6C559185ED9"/>
                  </w:placeholder>
                  <w:text/>
                </w:sdtPr>
                <w:sdtEndPr/>
                <w:sdtContent>
                  <w:r w:rsidR="00AF6E5D">
                    <w:rPr>
                      <w:i/>
                      <w:iCs/>
                      <w:lang w:val="en-GB"/>
                    </w:rPr>
                    <w:t>FLI1</w:t>
                  </w:r>
                </w:sdtContent>
              </w:sdt>
              <w:r w:rsidR="00AF6E5D" w:rsidRPr="005578B3">
                <w:rPr>
                  <w:lang w:val="en-GB"/>
                </w:rPr>
                <w:tab/>
                <w:t>–</w:t>
              </w:r>
              <w:r w:rsidR="00AF6E5D" w:rsidRPr="005578B3">
                <w:rPr>
                  <w:lang w:val="en-GB"/>
                </w:rPr>
                <w:tab/>
              </w:r>
              <w:sdt>
                <w:sdtPr>
                  <w:rPr>
                    <w:lang w:val="en-GB"/>
                  </w:rPr>
                  <w:id w:val="-568807410"/>
                  <w:placeholder>
                    <w:docPart w:val="7E583652643E4743B085C30923229564"/>
                  </w:placeholder>
                  <w:text/>
                </w:sdtPr>
                <w:sdtEndPr/>
                <w:sdtContent>
                  <w:r w:rsidR="00AF6E5D">
                    <w:rPr>
                      <w:lang w:val="en-GB"/>
                    </w:rPr>
                    <w:t xml:space="preserve">gene encoding Friend </w:t>
                  </w:r>
                  <w:proofErr w:type="spellStart"/>
                  <w:r w:rsidR="00AF6E5D">
                    <w:rPr>
                      <w:lang w:val="en-GB"/>
                    </w:rPr>
                    <w:t>leukemia</w:t>
                  </w:r>
                  <w:proofErr w:type="spellEnd"/>
                  <w:r w:rsidR="00AF6E5D">
                    <w:rPr>
                      <w:lang w:val="en-GB"/>
                    </w:rPr>
                    <w:t xml:space="preserve"> integration 1 transcription factor</w:t>
                  </w:r>
                </w:sdtContent>
              </w:sdt>
            </w:p>
          </w:sdtContent>
        </w:sdt>
        <w:sdt>
          <w:sdtPr>
            <w:rPr>
              <w:lang w:val="en-GB"/>
            </w:rPr>
            <w:id w:val="-2076038939"/>
            <w:placeholder>
              <w:docPart w:val="597AECE206C949959A32A3E8E28A08D9"/>
            </w:placeholder>
            <w15:repeatingSectionItem/>
          </w:sdtPr>
          <w:sdtEndPr/>
          <w:sdtContent>
            <w:p w14:paraId="22CA0E51" w14:textId="77777777" w:rsidR="00AF6E5D" w:rsidRPr="005578B3" w:rsidRDefault="00E10EE1" w:rsidP="00AF6E5D">
              <w:pPr>
                <w:pStyle w:val="ZPSeznamzkratek"/>
                <w:rPr>
                  <w:lang w:val="en-GB"/>
                </w:rPr>
              </w:pPr>
              <w:sdt>
                <w:sdtPr>
                  <w:rPr>
                    <w:i/>
                    <w:iCs/>
                    <w:lang w:val="en-GB"/>
                  </w:rPr>
                  <w:id w:val="423462180"/>
                  <w:placeholder>
                    <w:docPart w:val="DE95C3AD90824CC88CAB2082974B1788"/>
                  </w:placeholder>
                  <w:text/>
                </w:sdtPr>
                <w:sdtEndPr/>
                <w:sdtContent>
                  <w:r w:rsidR="00AF6E5D">
                    <w:rPr>
                      <w:i/>
                      <w:iCs/>
                      <w:lang w:val="en-GB"/>
                    </w:rPr>
                    <w:t>FOXA1</w:t>
                  </w:r>
                </w:sdtContent>
              </w:sdt>
              <w:r w:rsidR="00AF6E5D" w:rsidRPr="005578B3">
                <w:rPr>
                  <w:lang w:val="en-GB"/>
                </w:rPr>
                <w:tab/>
                <w:t>–</w:t>
              </w:r>
              <w:r w:rsidR="00AF6E5D" w:rsidRPr="005578B3">
                <w:rPr>
                  <w:lang w:val="en-GB"/>
                </w:rPr>
                <w:tab/>
              </w:r>
              <w:sdt>
                <w:sdtPr>
                  <w:rPr>
                    <w:lang w:val="en-GB"/>
                  </w:rPr>
                  <w:id w:val="219180961"/>
                  <w:placeholder>
                    <w:docPart w:val="D746F899DB664913A77AF18D5EE866B1"/>
                  </w:placeholder>
                  <w:text/>
                </w:sdtPr>
                <w:sdtEndPr/>
                <w:sdtContent>
                  <w:r w:rsidR="00AF6E5D">
                    <w:rPr>
                      <w:lang w:val="en-GB"/>
                    </w:rPr>
                    <w:t xml:space="preserve">gene encoding </w:t>
                  </w:r>
                  <w:proofErr w:type="spellStart"/>
                  <w:r w:rsidR="00AF6E5D">
                    <w:rPr>
                      <w:lang w:val="en-GB"/>
                    </w:rPr>
                    <w:t>forkhead</w:t>
                  </w:r>
                  <w:proofErr w:type="spellEnd"/>
                  <w:r w:rsidR="00AF6E5D">
                    <w:rPr>
                      <w:lang w:val="en-GB"/>
                    </w:rPr>
                    <w:t xml:space="preserve"> box A1</w:t>
                  </w:r>
                </w:sdtContent>
              </w:sdt>
            </w:p>
          </w:sdtContent>
        </w:sdt>
        <w:sdt>
          <w:sdtPr>
            <w:rPr>
              <w:lang w:val="en-GB"/>
            </w:rPr>
            <w:id w:val="-1782094344"/>
            <w:placeholder>
              <w:docPart w:val="B1FC369EFAB34397B459FA07AF33DAF9"/>
            </w:placeholder>
            <w15:repeatingSectionItem/>
          </w:sdtPr>
          <w:sdtEndPr/>
          <w:sdtContent>
            <w:p w14:paraId="3C93FB5D" w14:textId="77777777" w:rsidR="00AF6E5D" w:rsidRPr="005578B3" w:rsidRDefault="00E10EE1" w:rsidP="00AF6E5D">
              <w:pPr>
                <w:pStyle w:val="ZPSeznamzkratek"/>
                <w:rPr>
                  <w:lang w:val="en-GB"/>
                </w:rPr>
              </w:pPr>
              <w:sdt>
                <w:sdtPr>
                  <w:rPr>
                    <w:lang w:val="en-GB"/>
                  </w:rPr>
                  <w:id w:val="685175415"/>
                  <w:placeholder>
                    <w:docPart w:val="9E56E44C0D604B88842204BA147A715F"/>
                  </w:placeholder>
                  <w:text/>
                </w:sdtPr>
                <w:sdtEndPr/>
                <w:sdtContent>
                  <w:proofErr w:type="spellStart"/>
                  <w:r w:rsidR="00AF6E5D">
                    <w:rPr>
                      <w:lang w:val="en-GB"/>
                    </w:rPr>
                    <w:t>fPSA</w:t>
                  </w:r>
                  <w:proofErr w:type="spellEnd"/>
                </w:sdtContent>
              </w:sdt>
              <w:r w:rsidR="00AF6E5D" w:rsidRPr="005578B3">
                <w:rPr>
                  <w:lang w:val="en-GB"/>
                </w:rPr>
                <w:tab/>
                <w:t>–</w:t>
              </w:r>
              <w:r w:rsidR="00AF6E5D" w:rsidRPr="005578B3">
                <w:rPr>
                  <w:lang w:val="en-GB"/>
                </w:rPr>
                <w:tab/>
              </w:r>
              <w:sdt>
                <w:sdtPr>
                  <w:rPr>
                    <w:lang w:val="en-GB"/>
                  </w:rPr>
                  <w:id w:val="1072316936"/>
                  <w:placeholder>
                    <w:docPart w:val="629C398BDB2744338735747046CAA0A4"/>
                  </w:placeholder>
                  <w:text/>
                </w:sdtPr>
                <w:sdtEndPr/>
                <w:sdtContent>
                  <w:r w:rsidR="00AF6E5D">
                    <w:rPr>
                      <w:lang w:val="en-GB"/>
                    </w:rPr>
                    <w:t>free PSA</w:t>
                  </w:r>
                </w:sdtContent>
              </w:sdt>
            </w:p>
          </w:sdtContent>
        </w:sdt>
        <w:sdt>
          <w:sdtPr>
            <w:rPr>
              <w:lang w:val="en-GB"/>
            </w:rPr>
            <w:id w:val="-1383867703"/>
            <w:placeholder>
              <w:docPart w:val="FC7723AF8E234771BF9A0566D4837D2A"/>
            </w:placeholder>
            <w15:repeatingSectionItem/>
          </w:sdtPr>
          <w:sdtEndPr/>
          <w:sdtContent>
            <w:p w14:paraId="141EF2A2" w14:textId="77777777" w:rsidR="00AF6E5D" w:rsidRPr="005578B3" w:rsidRDefault="00E10EE1" w:rsidP="00AF6E5D">
              <w:pPr>
                <w:pStyle w:val="ZPSeznamzkratek"/>
                <w:rPr>
                  <w:lang w:val="en-GB"/>
                </w:rPr>
              </w:pPr>
              <w:sdt>
                <w:sdtPr>
                  <w:rPr>
                    <w:lang w:val="en-GB"/>
                  </w:rPr>
                  <w:id w:val="-876629079"/>
                  <w:placeholder>
                    <w:docPart w:val="D18BAB1518964DB08FA4014E89CC80E3"/>
                  </w:placeholder>
                  <w:text/>
                </w:sdtPr>
                <w:sdtEndPr/>
                <w:sdtContent>
                  <w:r w:rsidR="00AF6E5D">
                    <w:rPr>
                      <w:lang w:val="en-GB"/>
                    </w:rPr>
                    <w:t>GOI</w:t>
                  </w:r>
                </w:sdtContent>
              </w:sdt>
              <w:r w:rsidR="00AF6E5D" w:rsidRPr="005578B3">
                <w:rPr>
                  <w:lang w:val="en-GB"/>
                </w:rPr>
                <w:tab/>
                <w:t>–</w:t>
              </w:r>
              <w:r w:rsidR="00AF6E5D" w:rsidRPr="005578B3">
                <w:rPr>
                  <w:lang w:val="en-GB"/>
                </w:rPr>
                <w:tab/>
              </w:r>
              <w:sdt>
                <w:sdtPr>
                  <w:rPr>
                    <w:lang w:val="en-GB"/>
                  </w:rPr>
                  <w:id w:val="-1363197431"/>
                  <w:placeholder>
                    <w:docPart w:val="3D28ECD6E0844373A2CA7DE78B8239EA"/>
                  </w:placeholder>
                  <w:text/>
                </w:sdtPr>
                <w:sdtEndPr/>
                <w:sdtContent>
                  <w:r w:rsidR="00AF6E5D">
                    <w:rPr>
                      <w:lang w:val="en-GB"/>
                    </w:rPr>
                    <w:t>gene of interest</w:t>
                  </w:r>
                </w:sdtContent>
              </w:sdt>
            </w:p>
          </w:sdtContent>
        </w:sdt>
        <w:sdt>
          <w:sdtPr>
            <w:rPr>
              <w:lang w:val="en-GB"/>
            </w:rPr>
            <w:id w:val="1245763071"/>
            <w:placeholder>
              <w:docPart w:val="DF6B3F3230D44AEFBBA92A9F266C511D"/>
            </w:placeholder>
            <w15:repeatingSectionItem/>
          </w:sdtPr>
          <w:sdtEndPr/>
          <w:sdtContent>
            <w:p w14:paraId="024EEE26" w14:textId="77777777" w:rsidR="00AF6E5D" w:rsidRPr="005578B3" w:rsidRDefault="00E10EE1" w:rsidP="00AF6E5D">
              <w:pPr>
                <w:pStyle w:val="ZPSeznamzkratek"/>
                <w:rPr>
                  <w:lang w:val="en-GB"/>
                </w:rPr>
              </w:pPr>
              <w:sdt>
                <w:sdtPr>
                  <w:rPr>
                    <w:lang w:val="en-GB"/>
                  </w:rPr>
                  <w:id w:val="260656486"/>
                  <w:placeholder>
                    <w:docPart w:val="2E997EC6A6A6412D8A71B79C9FAC9451"/>
                  </w:placeholder>
                  <w:text/>
                </w:sdtPr>
                <w:sdtEndPr/>
                <w:sdtContent>
                  <w:r w:rsidR="00AF6E5D">
                    <w:rPr>
                      <w:lang w:val="en-GB"/>
                    </w:rPr>
                    <w:t>GS</w:t>
                  </w:r>
                </w:sdtContent>
              </w:sdt>
              <w:r w:rsidR="00AF6E5D" w:rsidRPr="005578B3">
                <w:rPr>
                  <w:lang w:val="en-GB"/>
                </w:rPr>
                <w:tab/>
                <w:t>–</w:t>
              </w:r>
              <w:r w:rsidR="00AF6E5D" w:rsidRPr="005578B3">
                <w:rPr>
                  <w:lang w:val="en-GB"/>
                </w:rPr>
                <w:tab/>
              </w:r>
              <w:sdt>
                <w:sdtPr>
                  <w:rPr>
                    <w:lang w:val="en-GB"/>
                  </w:rPr>
                  <w:id w:val="-1456861268"/>
                  <w:placeholder>
                    <w:docPart w:val="CE9A94E5A06845BF94EAC9FC3E30A5ED"/>
                  </w:placeholder>
                  <w:text/>
                </w:sdtPr>
                <w:sdtEndPr/>
                <w:sdtContent>
                  <w:r w:rsidR="00AF6E5D">
                    <w:rPr>
                      <w:lang w:val="en-GB"/>
                    </w:rPr>
                    <w:t>Gleason score</w:t>
                  </w:r>
                </w:sdtContent>
              </w:sdt>
            </w:p>
          </w:sdtContent>
        </w:sdt>
        <w:sdt>
          <w:sdtPr>
            <w:rPr>
              <w:lang w:val="en-GB"/>
            </w:rPr>
            <w:id w:val="65071687"/>
            <w:placeholder>
              <w:docPart w:val="6DDCED0062024C6B88189855E748A6A0"/>
            </w:placeholder>
            <w15:repeatingSectionItem/>
          </w:sdtPr>
          <w:sdtEndPr/>
          <w:sdtContent>
            <w:p w14:paraId="2912CB3F" w14:textId="77777777" w:rsidR="00AF6E5D" w:rsidRPr="005578B3" w:rsidRDefault="00E10EE1" w:rsidP="00AF6E5D">
              <w:pPr>
                <w:pStyle w:val="ZPSeznamzkratek"/>
                <w:rPr>
                  <w:lang w:val="en-GB"/>
                </w:rPr>
              </w:pPr>
              <w:sdt>
                <w:sdtPr>
                  <w:rPr>
                    <w:lang w:val="en-GB"/>
                  </w:rPr>
                  <w:id w:val="71178302"/>
                  <w:placeholder>
                    <w:docPart w:val="2B30334F6B184E5095B1CF3D43122396"/>
                  </w:placeholder>
                  <w:text/>
                </w:sdtPr>
                <w:sdtEndPr/>
                <w:sdtContent>
                  <w:r w:rsidR="00AF6E5D">
                    <w:rPr>
                      <w:lang w:val="en-GB"/>
                    </w:rPr>
                    <w:t>GTP</w:t>
                  </w:r>
                </w:sdtContent>
              </w:sdt>
              <w:r w:rsidR="00AF6E5D" w:rsidRPr="005578B3">
                <w:rPr>
                  <w:lang w:val="en-GB"/>
                </w:rPr>
                <w:tab/>
                <w:t>–</w:t>
              </w:r>
              <w:r w:rsidR="00AF6E5D" w:rsidRPr="005578B3">
                <w:rPr>
                  <w:lang w:val="en-GB"/>
                </w:rPr>
                <w:tab/>
              </w:r>
              <w:sdt>
                <w:sdtPr>
                  <w:rPr>
                    <w:lang w:val="en-GB"/>
                  </w:rPr>
                  <w:id w:val="1591888063"/>
                  <w:placeholder>
                    <w:docPart w:val="C2D16EFF9C1743D78E5E3308AC9215A2"/>
                  </w:placeholder>
                  <w:text/>
                </w:sdtPr>
                <w:sdtEndPr/>
                <w:sdtContent>
                  <w:r w:rsidR="00AF6E5D">
                    <w:rPr>
                      <w:lang w:val="en-GB"/>
                    </w:rPr>
                    <w:t>Guanosine triphosphate</w:t>
                  </w:r>
                </w:sdtContent>
              </w:sdt>
            </w:p>
          </w:sdtContent>
        </w:sdt>
        <w:sdt>
          <w:sdtPr>
            <w:rPr>
              <w:lang w:val="en-GB"/>
            </w:rPr>
            <w:id w:val="295344269"/>
            <w:placeholder>
              <w:docPart w:val="4B31460F3C0B4229A5D47DD33C2ECA69"/>
            </w:placeholder>
            <w15:repeatingSectionItem/>
          </w:sdtPr>
          <w:sdtEndPr/>
          <w:sdtContent>
            <w:p w14:paraId="510C0681" w14:textId="77777777" w:rsidR="00AF6E5D" w:rsidRPr="005578B3" w:rsidRDefault="00E10EE1" w:rsidP="00AF6E5D">
              <w:pPr>
                <w:pStyle w:val="ZPSeznamzkratek"/>
                <w:rPr>
                  <w:lang w:val="en-GB"/>
                </w:rPr>
              </w:pPr>
              <w:sdt>
                <w:sdtPr>
                  <w:rPr>
                    <w:i/>
                    <w:iCs/>
                    <w:lang w:val="en-GB"/>
                  </w:rPr>
                  <w:id w:val="-1287579806"/>
                  <w:placeholder>
                    <w:docPart w:val="667D6C635E6E4CFD9D6D12AD2C81856F"/>
                  </w:placeholder>
                  <w:text/>
                </w:sdtPr>
                <w:sdtEndPr/>
                <w:sdtContent>
                  <w:r w:rsidR="00AF6E5D">
                    <w:rPr>
                      <w:i/>
                      <w:iCs/>
                      <w:lang w:val="en-GB"/>
                    </w:rPr>
                    <w:t>HOXB13</w:t>
                  </w:r>
                </w:sdtContent>
              </w:sdt>
              <w:r w:rsidR="00AF6E5D" w:rsidRPr="005578B3">
                <w:rPr>
                  <w:lang w:val="en-GB"/>
                </w:rPr>
                <w:tab/>
                <w:t>–</w:t>
              </w:r>
              <w:r w:rsidR="00AF6E5D" w:rsidRPr="005578B3">
                <w:rPr>
                  <w:lang w:val="en-GB"/>
                </w:rPr>
                <w:tab/>
              </w:r>
              <w:sdt>
                <w:sdtPr>
                  <w:rPr>
                    <w:lang w:val="en-GB"/>
                  </w:rPr>
                  <w:id w:val="1395086482"/>
                  <w:placeholder>
                    <w:docPart w:val="8E3C3AC9E1DE4428B8765011CCACACF8"/>
                  </w:placeholder>
                  <w:text/>
                </w:sdtPr>
                <w:sdtEndPr/>
                <w:sdtContent>
                  <w:r w:rsidR="00AF6E5D">
                    <w:rPr>
                      <w:lang w:val="en-GB"/>
                    </w:rPr>
                    <w:t>gene encoding homeobox B13</w:t>
                  </w:r>
                </w:sdtContent>
              </w:sdt>
            </w:p>
          </w:sdtContent>
        </w:sdt>
        <w:sdt>
          <w:sdtPr>
            <w:rPr>
              <w:lang w:val="en-GB"/>
            </w:rPr>
            <w:id w:val="-389337341"/>
            <w:placeholder>
              <w:docPart w:val="381CA339D2E14249A2A33AE85709725F"/>
            </w:placeholder>
            <w15:repeatingSectionItem/>
          </w:sdtPr>
          <w:sdtEndPr/>
          <w:sdtContent>
            <w:p w14:paraId="556272CE" w14:textId="77777777" w:rsidR="00AF6E5D" w:rsidRPr="005578B3" w:rsidRDefault="00E10EE1" w:rsidP="00AF6E5D">
              <w:pPr>
                <w:pStyle w:val="ZPSeznamzkratek"/>
                <w:rPr>
                  <w:lang w:val="en-GB"/>
                </w:rPr>
              </w:pPr>
              <w:sdt>
                <w:sdtPr>
                  <w:rPr>
                    <w:i/>
                    <w:iCs/>
                    <w:lang w:val="en-GB"/>
                  </w:rPr>
                  <w:id w:val="-640875598"/>
                  <w:placeholder>
                    <w:docPart w:val="D514BFD07E8E4B67884C49F79E115A1D"/>
                  </w:placeholder>
                  <w:text/>
                </w:sdtPr>
                <w:sdtEndPr/>
                <w:sdtContent>
                  <w:r w:rsidR="00AF6E5D">
                    <w:rPr>
                      <w:i/>
                      <w:iCs/>
                      <w:lang w:val="en-GB"/>
                    </w:rPr>
                    <w:t>HOXC6</w:t>
                  </w:r>
                </w:sdtContent>
              </w:sdt>
              <w:r w:rsidR="00AF6E5D" w:rsidRPr="005578B3">
                <w:rPr>
                  <w:lang w:val="en-GB"/>
                </w:rPr>
                <w:tab/>
                <w:t>–</w:t>
              </w:r>
              <w:r w:rsidR="00AF6E5D" w:rsidRPr="005578B3">
                <w:rPr>
                  <w:lang w:val="en-GB"/>
                </w:rPr>
                <w:tab/>
              </w:r>
              <w:sdt>
                <w:sdtPr>
                  <w:rPr>
                    <w:lang w:val="en-GB"/>
                  </w:rPr>
                  <w:id w:val="86129744"/>
                  <w:placeholder>
                    <w:docPart w:val="AC4A87CE0B084075B7ED831C0331D875"/>
                  </w:placeholder>
                  <w:text/>
                </w:sdtPr>
                <w:sdtEndPr/>
                <w:sdtContent>
                  <w:r w:rsidR="00AF6E5D">
                    <w:rPr>
                      <w:lang w:val="en-GB"/>
                    </w:rPr>
                    <w:t>gene encoding homeobox C6</w:t>
                  </w:r>
                </w:sdtContent>
              </w:sdt>
            </w:p>
          </w:sdtContent>
        </w:sdt>
        <w:sdt>
          <w:sdtPr>
            <w:rPr>
              <w:lang w:val="en-GB"/>
            </w:rPr>
            <w:id w:val="1742758618"/>
            <w:placeholder>
              <w:docPart w:val="DB7C1BCE11654F0C95DFEA9619A1F90E"/>
            </w:placeholder>
            <w15:repeatingSectionItem/>
          </w:sdtPr>
          <w:sdtEndPr/>
          <w:sdtContent>
            <w:p w14:paraId="3CDB30E9" w14:textId="77777777" w:rsidR="00AF6E5D" w:rsidRPr="005578B3" w:rsidRDefault="00E10EE1" w:rsidP="00AF6E5D">
              <w:pPr>
                <w:pStyle w:val="ZPSeznamzkratek"/>
                <w:rPr>
                  <w:lang w:val="en-GB"/>
                </w:rPr>
              </w:pPr>
              <w:sdt>
                <w:sdtPr>
                  <w:rPr>
                    <w:i/>
                    <w:iCs/>
                    <w:lang w:val="en-GB"/>
                  </w:rPr>
                  <w:id w:val="-1662688568"/>
                  <w:placeholder>
                    <w:docPart w:val="12D01B8C1E5243B488B6EB60AF09B6F8"/>
                  </w:placeholder>
                  <w:text/>
                </w:sdtPr>
                <w:sdtEndPr/>
                <w:sdtContent>
                  <w:r w:rsidR="00AF6E5D">
                    <w:rPr>
                      <w:i/>
                      <w:iCs/>
                      <w:lang w:val="en-GB"/>
                    </w:rPr>
                    <w:t>IDH1</w:t>
                  </w:r>
                </w:sdtContent>
              </w:sdt>
              <w:r w:rsidR="00AF6E5D" w:rsidRPr="005578B3">
                <w:rPr>
                  <w:lang w:val="en-GB"/>
                </w:rPr>
                <w:tab/>
                <w:t>–</w:t>
              </w:r>
              <w:r w:rsidR="00AF6E5D" w:rsidRPr="005578B3">
                <w:rPr>
                  <w:lang w:val="en-GB"/>
                </w:rPr>
                <w:tab/>
              </w:r>
              <w:sdt>
                <w:sdtPr>
                  <w:rPr>
                    <w:lang w:val="en-GB"/>
                  </w:rPr>
                  <w:id w:val="-88075533"/>
                  <w:placeholder>
                    <w:docPart w:val="AA6D94338FA24B09BBD91779279BB268"/>
                  </w:placeholder>
                  <w:text/>
                </w:sdtPr>
                <w:sdtEndPr/>
                <w:sdtContent>
                  <w:r w:rsidR="00AF6E5D">
                    <w:rPr>
                      <w:lang w:val="en-GB"/>
                    </w:rPr>
                    <w:t>gene encoding isocitrate dehydrogenase 1</w:t>
                  </w:r>
                </w:sdtContent>
              </w:sdt>
            </w:p>
          </w:sdtContent>
        </w:sdt>
        <w:sdt>
          <w:sdtPr>
            <w:rPr>
              <w:lang w:val="en-GB"/>
            </w:rPr>
            <w:id w:val="-762067418"/>
            <w:placeholder>
              <w:docPart w:val="11CF64579AA7468A95549FE61E8FDD3E"/>
            </w:placeholder>
            <w15:repeatingSectionItem/>
          </w:sdtPr>
          <w:sdtEndPr/>
          <w:sdtContent>
            <w:p w14:paraId="3FF03FF3" w14:textId="77777777" w:rsidR="00AF6E5D" w:rsidRPr="005578B3" w:rsidRDefault="00E10EE1" w:rsidP="00AF6E5D">
              <w:pPr>
                <w:pStyle w:val="ZPSeznamzkratek"/>
                <w:rPr>
                  <w:lang w:val="en-GB"/>
                </w:rPr>
              </w:pPr>
              <w:sdt>
                <w:sdtPr>
                  <w:rPr>
                    <w:i/>
                    <w:iCs/>
                    <w:lang w:val="en-GB"/>
                  </w:rPr>
                  <w:id w:val="78174825"/>
                  <w:placeholder>
                    <w:docPart w:val="C0B5D8112F0C4AD2BEC338AD04EA0C83"/>
                  </w:placeholder>
                  <w:text/>
                </w:sdtPr>
                <w:sdtEndPr/>
                <w:sdtContent>
                  <w:r w:rsidR="00AF6E5D">
                    <w:rPr>
                      <w:i/>
                      <w:iCs/>
                      <w:lang w:val="en-GB"/>
                    </w:rPr>
                    <w:t>IDH2</w:t>
                  </w:r>
                </w:sdtContent>
              </w:sdt>
              <w:r w:rsidR="00AF6E5D" w:rsidRPr="005578B3">
                <w:rPr>
                  <w:lang w:val="en-GB"/>
                </w:rPr>
                <w:tab/>
                <w:t>–</w:t>
              </w:r>
              <w:r w:rsidR="00AF6E5D" w:rsidRPr="005578B3">
                <w:rPr>
                  <w:lang w:val="en-GB"/>
                </w:rPr>
                <w:tab/>
              </w:r>
              <w:sdt>
                <w:sdtPr>
                  <w:rPr>
                    <w:lang w:val="en-GB"/>
                  </w:rPr>
                  <w:id w:val="1487362925"/>
                  <w:placeholder>
                    <w:docPart w:val="EEC34EDFFA674FA7A9950EFECA22AA57"/>
                  </w:placeholder>
                  <w:text/>
                </w:sdtPr>
                <w:sdtEndPr/>
                <w:sdtContent>
                  <w:r w:rsidR="00AF6E5D">
                    <w:rPr>
                      <w:lang w:val="en-GB"/>
                    </w:rPr>
                    <w:t>gene encoding isocitrate dehydrogenase 2</w:t>
                  </w:r>
                </w:sdtContent>
              </w:sdt>
            </w:p>
          </w:sdtContent>
        </w:sdt>
        <w:sdt>
          <w:sdtPr>
            <w:rPr>
              <w:lang w:val="en-GB"/>
            </w:rPr>
            <w:id w:val="626212357"/>
            <w:placeholder>
              <w:docPart w:val="BA5AD7576CA349B1ABD24243465EC737"/>
            </w:placeholder>
            <w15:repeatingSectionItem/>
          </w:sdtPr>
          <w:sdtEndPr/>
          <w:sdtContent>
            <w:p w14:paraId="7ED216EE" w14:textId="77777777" w:rsidR="00AF6E5D" w:rsidRPr="005578B3" w:rsidRDefault="00E10EE1" w:rsidP="00AF6E5D">
              <w:pPr>
                <w:pStyle w:val="ZPSeznamzkratek"/>
                <w:rPr>
                  <w:lang w:val="en-GB"/>
                </w:rPr>
              </w:pPr>
              <w:sdt>
                <w:sdtPr>
                  <w:rPr>
                    <w:lang w:val="en-GB"/>
                  </w:rPr>
                  <w:id w:val="-1462187594"/>
                  <w:placeholder>
                    <w:docPart w:val="E94D5C9D026049B5B34AA2AA4134E359"/>
                  </w:placeholder>
                  <w:text/>
                </w:sdtPr>
                <w:sdtEndPr/>
                <w:sdtContent>
                  <w:r w:rsidR="00AF6E5D">
                    <w:rPr>
                      <w:lang w:val="en-GB"/>
                    </w:rPr>
                    <w:t>IPC</w:t>
                  </w:r>
                </w:sdtContent>
              </w:sdt>
              <w:r w:rsidR="00AF6E5D" w:rsidRPr="005578B3">
                <w:rPr>
                  <w:lang w:val="en-GB"/>
                </w:rPr>
                <w:tab/>
                <w:t>–</w:t>
              </w:r>
              <w:r w:rsidR="00AF6E5D" w:rsidRPr="005578B3">
                <w:rPr>
                  <w:lang w:val="en-GB"/>
                </w:rPr>
                <w:tab/>
              </w:r>
              <w:sdt>
                <w:sdtPr>
                  <w:rPr>
                    <w:lang w:val="en-GB"/>
                  </w:rPr>
                  <w:id w:val="-1147197269"/>
                  <w:placeholder>
                    <w:docPart w:val="D1A7B89553EB429E9068DA9FB635AFE0"/>
                  </w:placeholder>
                  <w:text/>
                </w:sdtPr>
                <w:sdtEndPr/>
                <w:sdtContent>
                  <w:proofErr w:type="spellStart"/>
                  <w:r w:rsidR="00AF6E5D">
                    <w:rPr>
                      <w:lang w:val="en-GB"/>
                    </w:rPr>
                    <w:t>interplate</w:t>
                  </w:r>
                  <w:proofErr w:type="spellEnd"/>
                  <w:r w:rsidR="00AF6E5D">
                    <w:rPr>
                      <w:lang w:val="en-GB"/>
                    </w:rPr>
                    <w:t xml:space="preserve"> calibrator</w:t>
                  </w:r>
                </w:sdtContent>
              </w:sdt>
            </w:p>
          </w:sdtContent>
        </w:sdt>
        <w:sdt>
          <w:sdtPr>
            <w:rPr>
              <w:lang w:val="en-GB"/>
            </w:rPr>
            <w:id w:val="-19625651"/>
            <w:placeholder>
              <w:docPart w:val="F45EF6EF474346A4A3F8FA458696900B"/>
            </w:placeholder>
            <w15:repeatingSectionItem/>
          </w:sdtPr>
          <w:sdtEndPr/>
          <w:sdtContent>
            <w:p w14:paraId="5CC69781" w14:textId="77777777" w:rsidR="00AF6E5D" w:rsidRPr="005578B3" w:rsidRDefault="00E10EE1" w:rsidP="00AF6E5D">
              <w:pPr>
                <w:pStyle w:val="ZPSeznamzkratek"/>
                <w:rPr>
                  <w:lang w:val="en-GB"/>
                </w:rPr>
              </w:pPr>
              <w:sdt>
                <w:sdtPr>
                  <w:rPr>
                    <w:lang w:val="en-GB"/>
                  </w:rPr>
                  <w:id w:val="-1226832675"/>
                  <w:placeholder>
                    <w:docPart w:val="E7D9A105AEAB468CB76FE7F6D489CF0C"/>
                  </w:placeholder>
                  <w:text/>
                </w:sdtPr>
                <w:sdtEndPr/>
                <w:sdtContent>
                  <w:r w:rsidR="00AF6E5D">
                    <w:rPr>
                      <w:lang w:val="en-GB"/>
                    </w:rPr>
                    <w:t>ISUP</w:t>
                  </w:r>
                </w:sdtContent>
              </w:sdt>
              <w:r w:rsidR="00AF6E5D" w:rsidRPr="005578B3">
                <w:rPr>
                  <w:lang w:val="en-GB"/>
                </w:rPr>
                <w:tab/>
                <w:t>–</w:t>
              </w:r>
              <w:r w:rsidR="00AF6E5D" w:rsidRPr="005578B3">
                <w:rPr>
                  <w:lang w:val="en-GB"/>
                </w:rPr>
                <w:tab/>
              </w:r>
              <w:sdt>
                <w:sdtPr>
                  <w:rPr>
                    <w:lang w:val="en-GB"/>
                  </w:rPr>
                  <w:id w:val="-547376690"/>
                  <w:placeholder>
                    <w:docPart w:val="C7265CC5049141769E0158EBA0954D30"/>
                  </w:placeholder>
                  <w:text/>
                </w:sdtPr>
                <w:sdtEndPr/>
                <w:sdtContent>
                  <w:r w:rsidR="00AF6E5D">
                    <w:rPr>
                      <w:lang w:val="en-GB"/>
                    </w:rPr>
                    <w:t>International Society of Urological Pathology</w:t>
                  </w:r>
                </w:sdtContent>
              </w:sdt>
            </w:p>
          </w:sdtContent>
        </w:sdt>
        <w:sdt>
          <w:sdtPr>
            <w:rPr>
              <w:lang w:val="en-GB"/>
            </w:rPr>
            <w:id w:val="-683201998"/>
            <w:placeholder>
              <w:docPart w:val="116815C021B745058360B7C260977F60"/>
            </w:placeholder>
            <w15:repeatingSectionItem/>
          </w:sdtPr>
          <w:sdtEndPr/>
          <w:sdtContent>
            <w:p w14:paraId="49AF1132" w14:textId="77777777" w:rsidR="00AF6E5D" w:rsidRPr="005578B3" w:rsidRDefault="00E10EE1" w:rsidP="00AF6E5D">
              <w:pPr>
                <w:pStyle w:val="ZPSeznamzkratek"/>
                <w:rPr>
                  <w:lang w:val="en-GB"/>
                </w:rPr>
              </w:pPr>
              <w:sdt>
                <w:sdtPr>
                  <w:rPr>
                    <w:lang w:val="en-GB"/>
                  </w:rPr>
                  <w:id w:val="114647970"/>
                  <w:placeholder>
                    <w:docPart w:val="208FFCD1A61F423899F7BC617D6905E8"/>
                  </w:placeholder>
                  <w:text/>
                </w:sdtPr>
                <w:sdtEndPr/>
                <w:sdtContent>
                  <w:r w:rsidR="00AF6E5D">
                    <w:rPr>
                      <w:lang w:val="en-GB"/>
                    </w:rPr>
                    <w:t>KLK2</w:t>
                  </w:r>
                </w:sdtContent>
              </w:sdt>
              <w:r w:rsidR="00AF6E5D" w:rsidRPr="005578B3">
                <w:rPr>
                  <w:lang w:val="en-GB"/>
                </w:rPr>
                <w:tab/>
                <w:t>–</w:t>
              </w:r>
              <w:r w:rsidR="00AF6E5D" w:rsidRPr="005578B3">
                <w:rPr>
                  <w:lang w:val="en-GB"/>
                </w:rPr>
                <w:tab/>
              </w:r>
              <w:sdt>
                <w:sdtPr>
                  <w:rPr>
                    <w:rFonts w:cstheme="minorHAnsi"/>
                    <w:lang w:val="en-GB"/>
                  </w:rPr>
                  <w:id w:val="-1466048549"/>
                  <w:placeholder>
                    <w:docPart w:val="A50828C7F6B54C9782E986B59A53A39C"/>
                  </w:placeholder>
                  <w:text/>
                </w:sdtPr>
                <w:sdtEndPr/>
                <w:sdtContent>
                  <w:r w:rsidR="00AF6E5D">
                    <w:rPr>
                      <w:rFonts w:cstheme="minorHAnsi"/>
                      <w:lang w:val="en-GB"/>
                    </w:rPr>
                    <w:t>kallikrein-related peptidase 2</w:t>
                  </w:r>
                </w:sdtContent>
              </w:sdt>
            </w:p>
          </w:sdtContent>
        </w:sdt>
        <w:sdt>
          <w:sdtPr>
            <w:rPr>
              <w:lang w:val="en-GB"/>
            </w:rPr>
            <w:id w:val="-1879851499"/>
            <w:placeholder>
              <w:docPart w:val="35704929065644C1B2C992E725E4B96F"/>
            </w:placeholder>
            <w15:repeatingSectionItem/>
          </w:sdtPr>
          <w:sdtEndPr/>
          <w:sdtContent>
            <w:p w14:paraId="5C338321" w14:textId="77777777" w:rsidR="00AF6E5D" w:rsidRPr="005578B3" w:rsidRDefault="00E10EE1" w:rsidP="00AF6E5D">
              <w:pPr>
                <w:pStyle w:val="ZPSeznamzkratek"/>
                <w:rPr>
                  <w:lang w:val="en-GB"/>
                </w:rPr>
              </w:pPr>
              <w:sdt>
                <w:sdtPr>
                  <w:rPr>
                    <w:lang w:val="en-GB"/>
                  </w:rPr>
                  <w:id w:val="-1616203634"/>
                  <w:placeholder>
                    <w:docPart w:val="844895D80319436A95DDF8309F8C30F2"/>
                  </w:placeholder>
                  <w:text/>
                </w:sdtPr>
                <w:sdtEndPr/>
                <w:sdtContent>
                  <w:r w:rsidR="00AF6E5D">
                    <w:rPr>
                      <w:lang w:val="en-GB"/>
                    </w:rPr>
                    <w:t>KLK3</w:t>
                  </w:r>
                </w:sdtContent>
              </w:sdt>
              <w:r w:rsidR="00AF6E5D" w:rsidRPr="005578B3">
                <w:rPr>
                  <w:lang w:val="en-GB"/>
                </w:rPr>
                <w:tab/>
                <w:t>–</w:t>
              </w:r>
              <w:r w:rsidR="00AF6E5D" w:rsidRPr="005578B3">
                <w:rPr>
                  <w:lang w:val="en-GB"/>
                </w:rPr>
                <w:tab/>
              </w:r>
              <w:sdt>
                <w:sdtPr>
                  <w:rPr>
                    <w:rFonts w:cstheme="minorHAnsi"/>
                    <w:lang w:val="en-GB"/>
                  </w:rPr>
                  <w:id w:val="-1943599497"/>
                  <w:placeholder>
                    <w:docPart w:val="C6D9EF3FCC96494AAB05F7E3AD86C84C"/>
                  </w:placeholder>
                  <w:text/>
                </w:sdtPr>
                <w:sdtEndPr/>
                <w:sdtContent>
                  <w:r w:rsidR="00AF6E5D">
                    <w:rPr>
                      <w:rFonts w:cstheme="minorHAnsi"/>
                      <w:lang w:val="en-GB"/>
                    </w:rPr>
                    <w:t>kallikrein-related peptidase 3</w:t>
                  </w:r>
                </w:sdtContent>
              </w:sdt>
            </w:p>
          </w:sdtContent>
        </w:sdt>
        <w:sdt>
          <w:sdtPr>
            <w:rPr>
              <w:lang w:val="en-GB"/>
            </w:rPr>
            <w:id w:val="-95871320"/>
            <w:placeholder>
              <w:docPart w:val="8B3A6E61379D489C9157772F8282CE60"/>
            </w:placeholder>
            <w15:repeatingSectionItem/>
          </w:sdtPr>
          <w:sdtEndPr/>
          <w:sdtContent>
            <w:p w14:paraId="3F3A6C45" w14:textId="77777777" w:rsidR="00AF6E5D" w:rsidRPr="005578B3" w:rsidRDefault="00E10EE1" w:rsidP="00AF6E5D">
              <w:pPr>
                <w:pStyle w:val="ZPSeznamzkratek"/>
                <w:rPr>
                  <w:lang w:val="en-GB"/>
                </w:rPr>
              </w:pPr>
              <w:sdt>
                <w:sdtPr>
                  <w:rPr>
                    <w:i/>
                    <w:iCs/>
                    <w:lang w:val="en-GB"/>
                  </w:rPr>
                  <w:id w:val="1548260957"/>
                  <w:placeholder>
                    <w:docPart w:val="927FCAEFD4764CD4AC022880219FDEA3"/>
                  </w:placeholder>
                  <w:text/>
                </w:sdtPr>
                <w:sdtEndPr/>
                <w:sdtContent>
                  <w:r w:rsidR="00AF6E5D">
                    <w:rPr>
                      <w:i/>
                      <w:iCs/>
                      <w:lang w:val="en-GB"/>
                    </w:rPr>
                    <w:t>MAP3K1</w:t>
                  </w:r>
                </w:sdtContent>
              </w:sdt>
              <w:r w:rsidR="00AF6E5D" w:rsidRPr="005578B3">
                <w:rPr>
                  <w:lang w:val="en-GB"/>
                </w:rPr>
                <w:tab/>
                <w:t>–</w:t>
              </w:r>
              <w:r w:rsidR="00AF6E5D" w:rsidRPr="005578B3">
                <w:rPr>
                  <w:lang w:val="en-GB"/>
                </w:rPr>
                <w:tab/>
              </w:r>
              <w:sdt>
                <w:sdtPr>
                  <w:rPr>
                    <w:rFonts w:cstheme="minorHAnsi"/>
                    <w:lang w:val="en-GB"/>
                  </w:rPr>
                  <w:id w:val="-578670783"/>
                  <w:placeholder>
                    <w:docPart w:val="EB268F062C41444C9097A6F5E7A4C1F2"/>
                  </w:placeholder>
                  <w:text/>
                </w:sdtPr>
                <w:sdtEndPr/>
                <w:sdtContent>
                  <w:r w:rsidR="00AF6E5D">
                    <w:rPr>
                      <w:rFonts w:cstheme="minorHAnsi"/>
                      <w:lang w:val="en-GB"/>
                    </w:rPr>
                    <w:t xml:space="preserve">gene encoding mitogen-activated protein kinase </w:t>
                  </w:r>
                  <w:proofErr w:type="spellStart"/>
                  <w:r w:rsidR="00AF6E5D">
                    <w:rPr>
                      <w:rFonts w:cstheme="minorHAnsi"/>
                      <w:lang w:val="en-GB"/>
                    </w:rPr>
                    <w:t>kinase</w:t>
                  </w:r>
                  <w:proofErr w:type="spellEnd"/>
                  <w:r w:rsidR="00AF6E5D">
                    <w:rPr>
                      <w:rFonts w:cstheme="minorHAnsi"/>
                      <w:lang w:val="en-GB"/>
                    </w:rPr>
                    <w:t xml:space="preserve"> </w:t>
                  </w:r>
                  <w:proofErr w:type="spellStart"/>
                  <w:r w:rsidR="00AF6E5D">
                    <w:rPr>
                      <w:rFonts w:cstheme="minorHAnsi"/>
                      <w:lang w:val="en-GB"/>
                    </w:rPr>
                    <w:t>kinase</w:t>
                  </w:r>
                  <w:proofErr w:type="spellEnd"/>
                  <w:r w:rsidR="00AF6E5D">
                    <w:rPr>
                      <w:rFonts w:cstheme="minorHAnsi"/>
                      <w:lang w:val="en-GB"/>
                    </w:rPr>
                    <w:t xml:space="preserve"> 1</w:t>
                  </w:r>
                </w:sdtContent>
              </w:sdt>
            </w:p>
          </w:sdtContent>
        </w:sdt>
        <w:sdt>
          <w:sdtPr>
            <w:rPr>
              <w:lang w:val="en-GB"/>
            </w:rPr>
            <w:id w:val="-1380010518"/>
            <w:placeholder>
              <w:docPart w:val="666E90BF83EA4EC2907363E3C70E6CEA"/>
            </w:placeholder>
            <w15:repeatingSectionItem/>
          </w:sdtPr>
          <w:sdtEndPr/>
          <w:sdtContent>
            <w:p w14:paraId="3F586065" w14:textId="77777777" w:rsidR="00AF6E5D" w:rsidRPr="005578B3" w:rsidRDefault="00E10EE1" w:rsidP="00AF6E5D">
              <w:pPr>
                <w:pStyle w:val="ZPSeznamzkratek"/>
                <w:rPr>
                  <w:lang w:val="en-GB"/>
                </w:rPr>
              </w:pPr>
              <w:sdt>
                <w:sdtPr>
                  <w:rPr>
                    <w:i/>
                    <w:iCs/>
                    <w:lang w:val="en-GB"/>
                  </w:rPr>
                  <w:id w:val="884297971"/>
                  <w:placeholder>
                    <w:docPart w:val="936A2C2421F2483DA486601116A84B95"/>
                  </w:placeholder>
                  <w:text/>
                </w:sdtPr>
                <w:sdtEndPr/>
                <w:sdtContent>
                  <w:r w:rsidR="00AF6E5D">
                    <w:rPr>
                      <w:i/>
                      <w:iCs/>
                      <w:lang w:val="en-GB"/>
                    </w:rPr>
                    <w:t>MAP3K7</w:t>
                  </w:r>
                </w:sdtContent>
              </w:sdt>
              <w:r w:rsidR="00AF6E5D" w:rsidRPr="005578B3">
                <w:rPr>
                  <w:lang w:val="en-GB"/>
                </w:rPr>
                <w:tab/>
                <w:t>–</w:t>
              </w:r>
              <w:r w:rsidR="00AF6E5D" w:rsidRPr="005578B3">
                <w:rPr>
                  <w:lang w:val="en-GB"/>
                </w:rPr>
                <w:tab/>
              </w:r>
              <w:sdt>
                <w:sdtPr>
                  <w:rPr>
                    <w:rFonts w:cstheme="minorHAnsi"/>
                    <w:lang w:val="en-GB"/>
                  </w:rPr>
                  <w:id w:val="-532579945"/>
                  <w:placeholder>
                    <w:docPart w:val="72DF5A8985D4445CB730837D9530CFCC"/>
                  </w:placeholder>
                  <w:text/>
                </w:sdtPr>
                <w:sdtEndPr/>
                <w:sdtContent>
                  <w:r w:rsidR="00AF6E5D">
                    <w:rPr>
                      <w:rFonts w:cstheme="minorHAnsi"/>
                      <w:lang w:val="en-GB"/>
                    </w:rPr>
                    <w:t xml:space="preserve">gene encoding mitogen-activated protein kinase </w:t>
                  </w:r>
                  <w:proofErr w:type="spellStart"/>
                  <w:r w:rsidR="00AF6E5D">
                    <w:rPr>
                      <w:rFonts w:cstheme="minorHAnsi"/>
                      <w:lang w:val="en-GB"/>
                    </w:rPr>
                    <w:t>kinase</w:t>
                  </w:r>
                  <w:proofErr w:type="spellEnd"/>
                  <w:r w:rsidR="00AF6E5D">
                    <w:rPr>
                      <w:rFonts w:cstheme="minorHAnsi"/>
                      <w:lang w:val="en-GB"/>
                    </w:rPr>
                    <w:t xml:space="preserve"> 2</w:t>
                  </w:r>
                </w:sdtContent>
              </w:sdt>
            </w:p>
          </w:sdtContent>
        </w:sdt>
        <w:sdt>
          <w:sdtPr>
            <w:rPr>
              <w:lang w:val="en-GB"/>
            </w:rPr>
            <w:id w:val="734440670"/>
            <w:placeholder>
              <w:docPart w:val="6E3DF1538A1E42ECAF37C1DD09A81327"/>
            </w:placeholder>
            <w15:repeatingSectionItem/>
          </w:sdtPr>
          <w:sdtEndPr/>
          <w:sdtContent>
            <w:p w14:paraId="3C76C78D" w14:textId="77777777" w:rsidR="00AF6E5D" w:rsidRPr="005578B3" w:rsidRDefault="00E10EE1" w:rsidP="00AF6E5D">
              <w:pPr>
                <w:pStyle w:val="ZPSeznamzkratek"/>
                <w:rPr>
                  <w:lang w:val="en-GB"/>
                </w:rPr>
              </w:pPr>
              <w:sdt>
                <w:sdtPr>
                  <w:rPr>
                    <w:i/>
                    <w:iCs/>
                    <w:lang w:val="en-GB"/>
                  </w:rPr>
                  <w:id w:val="711455321"/>
                  <w:placeholder>
                    <w:docPart w:val="F12F8CC927FB4DCABED16766D6354FEC"/>
                  </w:placeholder>
                  <w:text/>
                </w:sdtPr>
                <w:sdtEndPr/>
                <w:sdtContent>
                  <w:r w:rsidR="00AF6E5D">
                    <w:rPr>
                      <w:i/>
                      <w:iCs/>
                      <w:lang w:val="en-GB"/>
                    </w:rPr>
                    <w:t>MCM7</w:t>
                  </w:r>
                </w:sdtContent>
              </w:sdt>
              <w:r w:rsidR="00AF6E5D" w:rsidRPr="005578B3">
                <w:rPr>
                  <w:lang w:val="en-GB"/>
                </w:rPr>
                <w:tab/>
                <w:t>–</w:t>
              </w:r>
              <w:r w:rsidR="00AF6E5D" w:rsidRPr="005578B3">
                <w:rPr>
                  <w:lang w:val="en-GB"/>
                </w:rPr>
                <w:tab/>
              </w:r>
              <w:sdt>
                <w:sdtPr>
                  <w:rPr>
                    <w:lang w:val="en-GB"/>
                  </w:rPr>
                  <w:id w:val="-1244566496"/>
                  <w:placeholder>
                    <w:docPart w:val="834C9196BF2245CFAA54FBCDC84253F6"/>
                  </w:placeholder>
                  <w:text/>
                </w:sdtPr>
                <w:sdtEndPr/>
                <w:sdtContent>
                  <w:r w:rsidR="00AF6E5D">
                    <w:rPr>
                      <w:lang w:val="en-GB"/>
                    </w:rPr>
                    <w:t xml:space="preserve">gene encoding </w:t>
                  </w:r>
                  <w:proofErr w:type="spellStart"/>
                  <w:r w:rsidR="00AF6E5D">
                    <w:rPr>
                      <w:lang w:val="en-GB"/>
                    </w:rPr>
                    <w:t>minichromosome</w:t>
                  </w:r>
                  <w:proofErr w:type="spellEnd"/>
                  <w:r w:rsidR="00AF6E5D">
                    <w:rPr>
                      <w:lang w:val="en-GB"/>
                    </w:rPr>
                    <w:t xml:space="preserve"> maintenance protein 7</w:t>
                  </w:r>
                </w:sdtContent>
              </w:sdt>
            </w:p>
          </w:sdtContent>
        </w:sdt>
        <w:sdt>
          <w:sdtPr>
            <w:rPr>
              <w:lang w:val="en-GB"/>
            </w:rPr>
            <w:id w:val="514891974"/>
            <w:placeholder>
              <w:docPart w:val="6A6B5C4CA3F94D9A90ACDCBEE87D3071"/>
            </w:placeholder>
            <w15:repeatingSectionItem/>
          </w:sdtPr>
          <w:sdtEndPr/>
          <w:sdtContent>
            <w:p w14:paraId="33D2434A" w14:textId="77777777" w:rsidR="00AF6E5D" w:rsidRPr="005578B3" w:rsidRDefault="00E10EE1" w:rsidP="00AF6E5D">
              <w:pPr>
                <w:pStyle w:val="ZPSeznamzkratek"/>
                <w:rPr>
                  <w:lang w:val="en-GB"/>
                </w:rPr>
              </w:pPr>
              <w:sdt>
                <w:sdtPr>
                  <w:rPr>
                    <w:lang w:val="en-GB"/>
                  </w:rPr>
                  <w:id w:val="982666370"/>
                  <w:placeholder>
                    <w:docPart w:val="5F0F028E4A6A47959F1BCA654FD45F7F"/>
                  </w:placeholder>
                  <w:text/>
                </w:sdtPr>
                <w:sdtEndPr/>
                <w:sdtContent>
                  <w:r w:rsidR="00AF6E5D">
                    <w:rPr>
                      <w:lang w:val="en-GB"/>
                    </w:rPr>
                    <w:t>miRNA</w:t>
                  </w:r>
                </w:sdtContent>
              </w:sdt>
              <w:r w:rsidR="00AF6E5D" w:rsidRPr="005578B3">
                <w:rPr>
                  <w:lang w:val="en-GB"/>
                </w:rPr>
                <w:tab/>
                <w:t>–</w:t>
              </w:r>
              <w:r w:rsidR="00AF6E5D" w:rsidRPr="005578B3">
                <w:rPr>
                  <w:lang w:val="en-GB"/>
                </w:rPr>
                <w:tab/>
              </w:r>
              <w:sdt>
                <w:sdtPr>
                  <w:rPr>
                    <w:lang w:val="en-GB"/>
                  </w:rPr>
                  <w:id w:val="1508703211"/>
                  <w:placeholder>
                    <w:docPart w:val="808B88789CAB4C9EA1C84F2EDBB2516D"/>
                  </w:placeholder>
                  <w:text/>
                </w:sdtPr>
                <w:sdtEndPr/>
                <w:sdtContent>
                  <w:proofErr w:type="spellStart"/>
                  <w:r w:rsidR="00AF6E5D">
                    <w:rPr>
                      <w:lang w:val="en-GB"/>
                    </w:rPr>
                    <w:t>mikroRNA</w:t>
                  </w:r>
                  <w:proofErr w:type="spellEnd"/>
                </w:sdtContent>
              </w:sdt>
            </w:p>
          </w:sdtContent>
        </w:sdt>
        <w:sdt>
          <w:sdtPr>
            <w:rPr>
              <w:lang w:val="en-GB"/>
            </w:rPr>
            <w:id w:val="131133791"/>
            <w:placeholder>
              <w:docPart w:val="13D48316AB1F401087D78A14C8782FE0"/>
            </w:placeholder>
            <w15:repeatingSectionItem/>
          </w:sdtPr>
          <w:sdtEndPr/>
          <w:sdtContent>
            <w:p w14:paraId="246C4A45" w14:textId="77777777" w:rsidR="00AF6E5D" w:rsidRPr="005578B3" w:rsidRDefault="00E10EE1" w:rsidP="00AF6E5D">
              <w:pPr>
                <w:pStyle w:val="ZPSeznamzkratek"/>
                <w:rPr>
                  <w:lang w:val="en-GB"/>
                </w:rPr>
              </w:pPr>
              <w:sdt>
                <w:sdtPr>
                  <w:rPr>
                    <w:lang w:val="en-GB"/>
                  </w:rPr>
                  <w:id w:val="763194018"/>
                  <w:placeholder>
                    <w:docPart w:val="8C0DFB347DE248E9B3CC6800079AF5AE"/>
                  </w:placeholder>
                  <w:text/>
                </w:sdtPr>
                <w:sdtEndPr/>
                <w:sdtContent>
                  <w:r w:rsidR="00AF6E5D">
                    <w:rPr>
                      <w:lang w:val="en-GB"/>
                    </w:rPr>
                    <w:t>MMCI</w:t>
                  </w:r>
                </w:sdtContent>
              </w:sdt>
              <w:r w:rsidR="00AF6E5D" w:rsidRPr="005578B3">
                <w:rPr>
                  <w:lang w:val="en-GB"/>
                </w:rPr>
                <w:tab/>
                <w:t>–</w:t>
              </w:r>
              <w:r w:rsidR="00AF6E5D" w:rsidRPr="005578B3">
                <w:rPr>
                  <w:lang w:val="en-GB"/>
                </w:rPr>
                <w:tab/>
              </w:r>
              <w:sdt>
                <w:sdtPr>
                  <w:rPr>
                    <w:lang w:val="en-GB"/>
                  </w:rPr>
                  <w:id w:val="266660634"/>
                  <w:placeholder>
                    <w:docPart w:val="6F0E2FA2D159449B894788C84C7109F7"/>
                  </w:placeholder>
                  <w:text/>
                </w:sdtPr>
                <w:sdtEndPr/>
                <w:sdtContent>
                  <w:r w:rsidR="00AF6E5D">
                    <w:rPr>
                      <w:lang w:val="en-GB"/>
                    </w:rPr>
                    <w:t>Masaryk Memorial Cancer Institute</w:t>
                  </w:r>
                </w:sdtContent>
              </w:sdt>
            </w:p>
          </w:sdtContent>
        </w:sdt>
        <w:sdt>
          <w:sdtPr>
            <w:rPr>
              <w:lang w:val="en-GB"/>
            </w:rPr>
            <w:id w:val="-460728881"/>
            <w:placeholder>
              <w:docPart w:val="B25C5587A32F4EA887CDFCE08ADDA3B4"/>
            </w:placeholder>
            <w15:repeatingSectionItem/>
          </w:sdtPr>
          <w:sdtEndPr/>
          <w:sdtContent>
            <w:p w14:paraId="696A117B" w14:textId="77777777" w:rsidR="00AF6E5D" w:rsidRPr="005578B3" w:rsidRDefault="00E10EE1" w:rsidP="00AF6E5D">
              <w:pPr>
                <w:pStyle w:val="ZPSeznamzkratek"/>
                <w:rPr>
                  <w:lang w:val="en-GB"/>
                </w:rPr>
              </w:pPr>
              <w:sdt>
                <w:sdtPr>
                  <w:rPr>
                    <w:lang w:val="en-GB"/>
                  </w:rPr>
                  <w:id w:val="-923335031"/>
                  <w:placeholder>
                    <w:docPart w:val="CCF44DE0931A404B854057519CA01B04"/>
                  </w:placeholder>
                  <w:text/>
                </w:sdtPr>
                <w:sdtEndPr/>
                <w:sdtContent>
                  <w:proofErr w:type="spellStart"/>
                  <w:r w:rsidR="00AF6E5D">
                    <w:rPr>
                      <w:lang w:val="en-GB"/>
                    </w:rPr>
                    <w:t>mpMRI</w:t>
                  </w:r>
                  <w:proofErr w:type="spellEnd"/>
                </w:sdtContent>
              </w:sdt>
              <w:r w:rsidR="00AF6E5D" w:rsidRPr="005578B3">
                <w:rPr>
                  <w:lang w:val="en-GB"/>
                </w:rPr>
                <w:tab/>
                <w:t>–</w:t>
              </w:r>
              <w:r w:rsidR="00AF6E5D" w:rsidRPr="005578B3">
                <w:rPr>
                  <w:lang w:val="en-GB"/>
                </w:rPr>
                <w:tab/>
              </w:r>
              <w:sdt>
                <w:sdtPr>
                  <w:rPr>
                    <w:lang w:val="en-GB"/>
                  </w:rPr>
                  <w:id w:val="12740753"/>
                  <w:placeholder>
                    <w:docPart w:val="675AA5091AB64C05A09A5BF1707F1C7A"/>
                  </w:placeholder>
                  <w:text/>
                </w:sdtPr>
                <w:sdtEndPr/>
                <w:sdtContent>
                  <w:r w:rsidR="00AF6E5D">
                    <w:rPr>
                      <w:lang w:val="en-GB"/>
                    </w:rPr>
                    <w:t>multiparametric magnetic resonance imaging</w:t>
                  </w:r>
                </w:sdtContent>
              </w:sdt>
            </w:p>
          </w:sdtContent>
        </w:sdt>
        <w:sdt>
          <w:sdtPr>
            <w:rPr>
              <w:lang w:val="en-GB"/>
            </w:rPr>
            <w:id w:val="-76831205"/>
            <w:placeholder>
              <w:docPart w:val="95EDDEB4A8A146E5AC5181C773DC4266"/>
            </w:placeholder>
            <w15:repeatingSectionItem/>
          </w:sdtPr>
          <w:sdtEndPr/>
          <w:sdtContent>
            <w:p w14:paraId="252D826A" w14:textId="77777777" w:rsidR="00AF6E5D" w:rsidRPr="005578B3" w:rsidRDefault="00E10EE1" w:rsidP="00AF6E5D">
              <w:pPr>
                <w:pStyle w:val="ZPSeznamzkratek"/>
                <w:rPr>
                  <w:lang w:val="en-GB"/>
                </w:rPr>
              </w:pPr>
              <w:sdt>
                <w:sdtPr>
                  <w:rPr>
                    <w:lang w:val="en-GB"/>
                  </w:rPr>
                  <w:id w:val="-1278096694"/>
                  <w:placeholder>
                    <w:docPart w:val="DA4B69A8A233465E82975C265F4A96D7"/>
                  </w:placeholder>
                  <w:text/>
                </w:sdtPr>
                <w:sdtEndPr/>
                <w:sdtContent>
                  <w:r w:rsidR="00AF6E5D">
                    <w:rPr>
                      <w:lang w:val="en-GB"/>
                    </w:rPr>
                    <w:t>mTOR</w:t>
                  </w:r>
                </w:sdtContent>
              </w:sdt>
              <w:r w:rsidR="00AF6E5D" w:rsidRPr="005578B3">
                <w:rPr>
                  <w:lang w:val="en-GB"/>
                </w:rPr>
                <w:tab/>
              </w:r>
              <w:r w:rsidR="00AF6E5D" w:rsidRPr="008615BE">
                <w:rPr>
                  <w:rFonts w:asciiTheme="minorHAnsi" w:hAnsiTheme="minorHAnsi"/>
                  <w:lang w:val="en-GB"/>
                </w:rPr>
                <w:t>–</w:t>
              </w:r>
              <w:r w:rsidR="00AF6E5D" w:rsidRPr="008615BE">
                <w:rPr>
                  <w:rFonts w:asciiTheme="minorHAnsi" w:hAnsiTheme="minorHAnsi"/>
                  <w:lang w:val="en-GB"/>
                </w:rPr>
                <w:tab/>
              </w:r>
              <w:sdt>
                <w:sdtPr>
                  <w:rPr>
                    <w:color w:val="000000"/>
                    <w:lang w:val="en-GB"/>
                  </w:rPr>
                  <w:id w:val="507190325"/>
                  <w:placeholder>
                    <w:docPart w:val="8160003BC03B48CE8E6C0ECAC78E6A44"/>
                  </w:placeholder>
                  <w:text/>
                </w:sdtPr>
                <w:sdtEndPr/>
                <w:sdtContent>
                  <w:r w:rsidR="00AF6E5D">
                    <w:rPr>
                      <w:color w:val="000000"/>
                      <w:lang w:val="en-GB"/>
                    </w:rPr>
                    <w:t>mechanistic target of rapamycin kinase</w:t>
                  </w:r>
                </w:sdtContent>
              </w:sdt>
            </w:p>
          </w:sdtContent>
        </w:sdt>
        <w:sdt>
          <w:sdtPr>
            <w:rPr>
              <w:lang w:val="en-GB"/>
            </w:rPr>
            <w:id w:val="196359699"/>
            <w:placeholder>
              <w:docPart w:val="82E1F52495F3409E82FE31D5DD8FD091"/>
            </w:placeholder>
            <w15:repeatingSectionItem/>
          </w:sdtPr>
          <w:sdtEndPr/>
          <w:sdtContent>
            <w:p w14:paraId="5DF0D11B" w14:textId="77777777" w:rsidR="00AF6E5D" w:rsidRPr="005578B3" w:rsidRDefault="00E10EE1" w:rsidP="00AF6E5D">
              <w:pPr>
                <w:pStyle w:val="ZPSeznamzkratek"/>
                <w:rPr>
                  <w:lang w:val="en-GB"/>
                </w:rPr>
              </w:pPr>
              <w:sdt>
                <w:sdtPr>
                  <w:rPr>
                    <w:i/>
                    <w:iCs/>
                    <w:lang w:val="en-GB"/>
                  </w:rPr>
                  <w:id w:val="-939988793"/>
                  <w:placeholder>
                    <w:docPart w:val="02681EDEA84D46E1B8CF7CAC05D8BF26"/>
                  </w:placeholder>
                  <w:text/>
                </w:sdtPr>
                <w:sdtEndPr/>
                <w:sdtContent>
                  <w:r w:rsidR="00AF6E5D">
                    <w:rPr>
                      <w:i/>
                      <w:iCs/>
                      <w:lang w:val="en-GB"/>
                    </w:rPr>
                    <w:t>MYC</w:t>
                  </w:r>
                </w:sdtContent>
              </w:sdt>
              <w:r w:rsidR="00AF6E5D" w:rsidRPr="005578B3">
                <w:rPr>
                  <w:lang w:val="en-GB"/>
                </w:rPr>
                <w:tab/>
                <w:t>–</w:t>
              </w:r>
              <w:r w:rsidR="00AF6E5D" w:rsidRPr="005578B3">
                <w:rPr>
                  <w:lang w:val="en-GB"/>
                </w:rPr>
                <w:tab/>
              </w:r>
              <w:sdt>
                <w:sdtPr>
                  <w:rPr>
                    <w:lang w:val="en-GB"/>
                  </w:rPr>
                  <w:id w:val="-1717423331"/>
                  <w:placeholder>
                    <w:docPart w:val="A7CF6E27F1EF4AC5A62552F8DD4C6A0E"/>
                  </w:placeholder>
                  <w:text/>
                </w:sdtPr>
                <w:sdtEndPr/>
                <w:sdtContent>
                  <w:r w:rsidR="00AF6E5D">
                    <w:rPr>
                      <w:lang w:val="en-GB"/>
                    </w:rPr>
                    <w:t>gene encoding MYC proto-oncogene, BHLH transcription factor</w:t>
                  </w:r>
                </w:sdtContent>
              </w:sdt>
            </w:p>
          </w:sdtContent>
        </w:sdt>
        <w:sdt>
          <w:sdtPr>
            <w:rPr>
              <w:lang w:val="en-GB"/>
            </w:rPr>
            <w:id w:val="1319311848"/>
            <w:placeholder>
              <w:docPart w:val="F25F5D94891148D799C24289966C6902"/>
            </w:placeholder>
            <w15:repeatingSectionItem/>
          </w:sdtPr>
          <w:sdtEndPr/>
          <w:sdtContent>
            <w:p w14:paraId="7A92E647" w14:textId="77777777" w:rsidR="00AF6E5D" w:rsidRPr="005578B3" w:rsidRDefault="00E10EE1" w:rsidP="00AF6E5D">
              <w:pPr>
                <w:pStyle w:val="ZPSeznamzkratek"/>
                <w:rPr>
                  <w:lang w:val="en-GB"/>
                </w:rPr>
              </w:pPr>
              <w:sdt>
                <w:sdtPr>
                  <w:rPr>
                    <w:i/>
                    <w:iCs/>
                    <w:lang w:val="en-GB"/>
                  </w:rPr>
                  <w:id w:val="931791692"/>
                  <w:placeholder>
                    <w:docPart w:val="138B0A964E784075B3139C4EF44458FB"/>
                  </w:placeholder>
                  <w:text/>
                </w:sdtPr>
                <w:sdtEndPr/>
                <w:sdtContent>
                  <w:r w:rsidR="00AF6E5D">
                    <w:rPr>
                      <w:i/>
                      <w:iCs/>
                      <w:lang w:val="en-GB"/>
                    </w:rPr>
                    <w:t>NPM1</w:t>
                  </w:r>
                </w:sdtContent>
              </w:sdt>
              <w:r w:rsidR="00AF6E5D" w:rsidRPr="005578B3">
                <w:rPr>
                  <w:lang w:val="en-GB"/>
                </w:rPr>
                <w:tab/>
                <w:t>–</w:t>
              </w:r>
              <w:r w:rsidR="00AF6E5D" w:rsidRPr="005578B3">
                <w:rPr>
                  <w:lang w:val="en-GB"/>
                </w:rPr>
                <w:tab/>
              </w:r>
              <w:sdt>
                <w:sdtPr>
                  <w:rPr>
                    <w:lang w:val="en-GB"/>
                  </w:rPr>
                  <w:id w:val="-1252186799"/>
                  <w:placeholder>
                    <w:docPart w:val="8881F31DB1DE4D238C17C56913CB0097"/>
                  </w:placeholder>
                  <w:text/>
                </w:sdtPr>
                <w:sdtEndPr/>
                <w:sdtContent>
                  <w:r w:rsidR="00AF6E5D">
                    <w:rPr>
                      <w:lang w:val="en-GB"/>
                    </w:rPr>
                    <w:t xml:space="preserve">gene encoding </w:t>
                  </w:r>
                  <w:proofErr w:type="spellStart"/>
                  <w:r w:rsidR="00AF6E5D">
                    <w:rPr>
                      <w:lang w:val="en-GB"/>
                    </w:rPr>
                    <w:t>nucleophosmin</w:t>
                  </w:r>
                  <w:proofErr w:type="spellEnd"/>
                  <w:r w:rsidR="00AF6E5D">
                    <w:rPr>
                      <w:lang w:val="en-GB"/>
                    </w:rPr>
                    <w:t xml:space="preserve"> 1</w:t>
                  </w:r>
                </w:sdtContent>
              </w:sdt>
            </w:p>
          </w:sdtContent>
        </w:sdt>
        <w:sdt>
          <w:sdtPr>
            <w:rPr>
              <w:lang w:val="en-GB"/>
            </w:rPr>
            <w:id w:val="2056738410"/>
            <w:placeholder>
              <w:docPart w:val="004156ED3D56400098F9F2105BF31D67"/>
            </w:placeholder>
            <w15:repeatingSectionItem/>
          </w:sdtPr>
          <w:sdtEndPr/>
          <w:sdtContent>
            <w:p w14:paraId="70991A17" w14:textId="77777777" w:rsidR="00AF6E5D" w:rsidRPr="005578B3" w:rsidRDefault="00E10EE1" w:rsidP="00AF6E5D">
              <w:pPr>
                <w:pStyle w:val="ZPSeznamzkratek"/>
                <w:rPr>
                  <w:lang w:val="en-GB"/>
                </w:rPr>
              </w:pPr>
              <w:sdt>
                <w:sdtPr>
                  <w:rPr>
                    <w:lang w:val="en-GB"/>
                  </w:rPr>
                  <w:id w:val="2053035578"/>
                  <w:placeholder>
                    <w:docPart w:val="C14CD6E678B04F5285DFA03B9B1D778C"/>
                  </w:placeholder>
                  <w:text/>
                </w:sdtPr>
                <w:sdtEndPr/>
                <w:sdtContent>
                  <w:r w:rsidR="00AF6E5D">
                    <w:rPr>
                      <w:lang w:val="en-GB"/>
                    </w:rPr>
                    <w:t>PACT</w:t>
                  </w:r>
                </w:sdtContent>
              </w:sdt>
              <w:r w:rsidR="00AF6E5D" w:rsidRPr="005578B3">
                <w:rPr>
                  <w:lang w:val="en-GB"/>
                </w:rPr>
                <w:tab/>
                <w:t>–</w:t>
              </w:r>
              <w:r w:rsidR="00AF6E5D" w:rsidRPr="005578B3">
                <w:rPr>
                  <w:lang w:val="en-GB"/>
                </w:rPr>
                <w:tab/>
              </w:r>
              <w:sdt>
                <w:sdtPr>
                  <w:id w:val="-593175865"/>
                  <w:placeholder>
                    <w:docPart w:val="5A705008C031456087AC4DA1FE9D8DDB"/>
                  </w:placeholder>
                  <w:text/>
                </w:sdtPr>
                <w:sdtEndPr/>
                <w:sdtContent>
                  <w:r w:rsidR="00AF6E5D">
                    <w:t xml:space="preserve">protein </w:t>
                  </w:r>
                  <w:proofErr w:type="spellStart"/>
                  <w:r w:rsidR="00AF6E5D">
                    <w:t>activator</w:t>
                  </w:r>
                  <w:proofErr w:type="spellEnd"/>
                  <w:r w:rsidR="00AF6E5D">
                    <w:t xml:space="preserve"> </w:t>
                  </w:r>
                  <w:proofErr w:type="spellStart"/>
                  <w:r w:rsidR="00AF6E5D">
                    <w:t>of</w:t>
                  </w:r>
                  <w:proofErr w:type="spellEnd"/>
                  <w:r w:rsidR="00AF6E5D">
                    <w:t xml:space="preserve"> interferon-</w:t>
                  </w:r>
                  <w:proofErr w:type="spellStart"/>
                  <w:r w:rsidR="00AF6E5D">
                    <w:t>induced</w:t>
                  </w:r>
                  <w:proofErr w:type="spellEnd"/>
                  <w:r w:rsidR="00AF6E5D">
                    <w:t xml:space="preserve"> protein </w:t>
                  </w:r>
                  <w:proofErr w:type="spellStart"/>
                  <w:r w:rsidR="00AF6E5D">
                    <w:t>kinase</w:t>
                  </w:r>
                  <w:proofErr w:type="spellEnd"/>
                  <w:r w:rsidR="00AF6E5D">
                    <w:t xml:space="preserve"> </w:t>
                  </w:r>
                </w:sdtContent>
              </w:sdt>
            </w:p>
          </w:sdtContent>
        </w:sdt>
        <w:sdt>
          <w:sdtPr>
            <w:rPr>
              <w:lang w:val="en-GB"/>
            </w:rPr>
            <w:id w:val="-105586265"/>
            <w:placeholder>
              <w:docPart w:val="F1AF6ED70FE348998673A58BD7A43BE4"/>
            </w:placeholder>
            <w15:repeatingSectionItem/>
          </w:sdtPr>
          <w:sdtEndPr/>
          <w:sdtContent>
            <w:p w14:paraId="3C8ADE90" w14:textId="77777777" w:rsidR="00AF6E5D" w:rsidRPr="005578B3" w:rsidRDefault="00E10EE1" w:rsidP="00AF6E5D">
              <w:pPr>
                <w:pStyle w:val="ZPSeznamzkratek"/>
                <w:rPr>
                  <w:lang w:val="en-GB"/>
                </w:rPr>
              </w:pPr>
              <w:sdt>
                <w:sdtPr>
                  <w:rPr>
                    <w:lang w:val="en-GB"/>
                  </w:rPr>
                  <w:id w:val="956307964"/>
                  <w:placeholder>
                    <w:docPart w:val="F8D6101260034AE3BC5A63AAE4DF198B"/>
                  </w:placeholder>
                  <w:text/>
                </w:sdtPr>
                <w:sdtEndPr/>
                <w:sdtContent>
                  <w:proofErr w:type="spellStart"/>
                  <w:r w:rsidR="00AF6E5D">
                    <w:rPr>
                      <w:lang w:val="en-GB"/>
                    </w:rPr>
                    <w:t>PCa</w:t>
                  </w:r>
                  <w:proofErr w:type="spellEnd"/>
                </w:sdtContent>
              </w:sdt>
              <w:r w:rsidR="00AF6E5D" w:rsidRPr="005578B3">
                <w:rPr>
                  <w:lang w:val="en-GB"/>
                </w:rPr>
                <w:tab/>
                <w:t>–</w:t>
              </w:r>
              <w:r w:rsidR="00AF6E5D" w:rsidRPr="005578B3">
                <w:rPr>
                  <w:lang w:val="en-GB"/>
                </w:rPr>
                <w:tab/>
              </w:r>
              <w:sdt>
                <w:sdtPr>
                  <w:rPr>
                    <w:lang w:val="en-GB"/>
                  </w:rPr>
                  <w:id w:val="522992323"/>
                  <w:placeholder>
                    <w:docPart w:val="5E30496D1A3C4876BB17F7109CFD63CE"/>
                  </w:placeholder>
                  <w:text/>
                </w:sdtPr>
                <w:sdtEndPr/>
                <w:sdtContent>
                  <w:r w:rsidR="00AF6E5D">
                    <w:rPr>
                      <w:lang w:val="en-GB"/>
                    </w:rPr>
                    <w:t>prostate cancer</w:t>
                  </w:r>
                </w:sdtContent>
              </w:sdt>
            </w:p>
          </w:sdtContent>
        </w:sdt>
        <w:sdt>
          <w:sdtPr>
            <w:rPr>
              <w:lang w:val="en-GB"/>
            </w:rPr>
            <w:id w:val="-398828474"/>
            <w:placeholder>
              <w:docPart w:val="0F3509A3390C485BBE7ED5762CF61287"/>
            </w:placeholder>
            <w15:repeatingSectionItem/>
          </w:sdtPr>
          <w:sdtEndPr/>
          <w:sdtContent>
            <w:p w14:paraId="36891E0B" w14:textId="77777777" w:rsidR="00AF6E5D" w:rsidRPr="005578B3" w:rsidRDefault="00E10EE1" w:rsidP="00AF6E5D">
              <w:pPr>
                <w:pStyle w:val="ZPSeznamzkratek"/>
                <w:rPr>
                  <w:lang w:val="en-GB"/>
                </w:rPr>
              </w:pPr>
              <w:sdt>
                <w:sdtPr>
                  <w:rPr>
                    <w:lang w:val="en-GB"/>
                  </w:rPr>
                  <w:id w:val="1154725640"/>
                  <w:placeholder>
                    <w:docPart w:val="474D9C98B5B6406FA6D4D620087F7FDB"/>
                  </w:placeholder>
                  <w:text/>
                </w:sdtPr>
                <w:sdtEndPr/>
                <w:sdtContent>
                  <w:r w:rsidR="00AF6E5D">
                    <w:rPr>
                      <w:lang w:val="en-GB"/>
                    </w:rPr>
                    <w:t>PCA3</w:t>
                  </w:r>
                </w:sdtContent>
              </w:sdt>
              <w:r w:rsidR="00AF6E5D" w:rsidRPr="005578B3">
                <w:rPr>
                  <w:lang w:val="en-GB"/>
                </w:rPr>
                <w:tab/>
                <w:t>–</w:t>
              </w:r>
              <w:r w:rsidR="00AF6E5D" w:rsidRPr="005578B3">
                <w:rPr>
                  <w:lang w:val="en-GB"/>
                </w:rPr>
                <w:tab/>
              </w:r>
              <w:sdt>
                <w:sdtPr>
                  <w:rPr>
                    <w:lang w:val="en-GB"/>
                  </w:rPr>
                  <w:id w:val="216635965"/>
                  <w:placeholder>
                    <w:docPart w:val="D0EA7027A0434077A506E08A41BE047A"/>
                  </w:placeholder>
                  <w:text/>
                </w:sdtPr>
                <w:sdtEndPr/>
                <w:sdtContent>
                  <w:r w:rsidR="00AF6E5D">
                    <w:rPr>
                      <w:lang w:val="en-GB"/>
                    </w:rPr>
                    <w:t>prostate cancer gene 3</w:t>
                  </w:r>
                </w:sdtContent>
              </w:sdt>
            </w:p>
          </w:sdtContent>
        </w:sdt>
        <w:sdt>
          <w:sdtPr>
            <w:rPr>
              <w:lang w:val="en-GB"/>
            </w:rPr>
            <w:id w:val="-575283915"/>
            <w:placeholder>
              <w:docPart w:val="5CFC07A750534236AED262BDDCA43495"/>
            </w:placeholder>
            <w15:repeatingSectionItem/>
          </w:sdtPr>
          <w:sdtEndPr/>
          <w:sdtContent>
            <w:p w14:paraId="45525CC5" w14:textId="77777777" w:rsidR="00AF6E5D" w:rsidRPr="005578B3" w:rsidRDefault="00E10EE1" w:rsidP="00AF6E5D">
              <w:pPr>
                <w:pStyle w:val="ZPSeznamzkratek"/>
                <w:rPr>
                  <w:lang w:val="en-GB"/>
                </w:rPr>
              </w:pPr>
              <w:sdt>
                <w:sdtPr>
                  <w:rPr>
                    <w:lang w:val="en-GB"/>
                  </w:rPr>
                  <w:id w:val="-1845152604"/>
                  <w:placeholder>
                    <w:docPart w:val="B22E8D6ECC27466CBAE2E0E1C825E845"/>
                  </w:placeholder>
                  <w:text/>
                </w:sdtPr>
                <w:sdtEndPr/>
                <w:sdtContent>
                  <w:r w:rsidR="00AF6E5D">
                    <w:rPr>
                      <w:lang w:val="en-GB"/>
                    </w:rPr>
                    <w:t>PCR</w:t>
                  </w:r>
                </w:sdtContent>
              </w:sdt>
              <w:r w:rsidR="00AF6E5D" w:rsidRPr="005578B3">
                <w:rPr>
                  <w:lang w:val="en-GB"/>
                </w:rPr>
                <w:tab/>
                <w:t>–</w:t>
              </w:r>
              <w:r w:rsidR="00AF6E5D" w:rsidRPr="005578B3">
                <w:rPr>
                  <w:lang w:val="en-GB"/>
                </w:rPr>
                <w:tab/>
              </w:r>
              <w:sdt>
                <w:sdtPr>
                  <w:rPr>
                    <w:lang w:val="en-GB"/>
                  </w:rPr>
                  <w:id w:val="-1235240479"/>
                  <w:placeholder>
                    <w:docPart w:val="DE78BC43681D47FF8A6A6D01A5ACFBE7"/>
                  </w:placeholder>
                  <w:text/>
                </w:sdtPr>
                <w:sdtEndPr/>
                <w:sdtContent>
                  <w:r w:rsidR="00AF6E5D">
                    <w:rPr>
                      <w:lang w:val="en-GB"/>
                    </w:rPr>
                    <w:t>polymerase chain reaction</w:t>
                  </w:r>
                </w:sdtContent>
              </w:sdt>
            </w:p>
          </w:sdtContent>
        </w:sdt>
        <w:sdt>
          <w:sdtPr>
            <w:rPr>
              <w:lang w:val="en-GB"/>
            </w:rPr>
            <w:id w:val="842677669"/>
            <w:placeholder>
              <w:docPart w:val="F890D80246A4420A8C37B48104269D38"/>
            </w:placeholder>
            <w15:repeatingSectionItem/>
          </w:sdtPr>
          <w:sdtEndPr/>
          <w:sdtContent>
            <w:p w14:paraId="03BDC411" w14:textId="77777777" w:rsidR="00AF6E5D" w:rsidRPr="005578B3" w:rsidRDefault="00E10EE1" w:rsidP="00AF6E5D">
              <w:pPr>
                <w:pStyle w:val="ZPSeznamzkratek"/>
                <w:rPr>
                  <w:lang w:val="en-GB"/>
                </w:rPr>
              </w:pPr>
              <w:sdt>
                <w:sdtPr>
                  <w:rPr>
                    <w:lang w:val="en-GB"/>
                  </w:rPr>
                  <w:id w:val="764577531"/>
                  <w:placeholder>
                    <w:docPart w:val="4468A597B1064B4A944D770237EDA136"/>
                  </w:placeholder>
                  <w:text/>
                </w:sdtPr>
                <w:sdtEndPr/>
                <w:sdtContent>
                  <w:r w:rsidR="00AF6E5D">
                    <w:rPr>
                      <w:lang w:val="en-GB"/>
                    </w:rPr>
                    <w:t>PDPK1</w:t>
                  </w:r>
                </w:sdtContent>
              </w:sdt>
              <w:r w:rsidR="00AF6E5D" w:rsidRPr="005578B3">
                <w:rPr>
                  <w:lang w:val="en-GB"/>
                </w:rPr>
                <w:tab/>
                <w:t>–</w:t>
              </w:r>
              <w:r w:rsidR="00AF6E5D" w:rsidRPr="005578B3">
                <w:rPr>
                  <w:lang w:val="en-GB"/>
                </w:rPr>
                <w:tab/>
              </w:r>
              <w:sdt>
                <w:sdtPr>
                  <w:rPr>
                    <w:lang w:val="en-GB"/>
                  </w:rPr>
                  <w:id w:val="-1422715827"/>
                  <w:placeholder>
                    <w:docPart w:val="3794E3B03194425D89FC2C5D09BDF978"/>
                  </w:placeholder>
                  <w:text/>
                </w:sdtPr>
                <w:sdtEndPr/>
                <w:sdtContent>
                  <w:r w:rsidR="00AF6E5D">
                    <w:rPr>
                      <w:lang w:val="en-GB"/>
                    </w:rPr>
                    <w:t>3-phosphoinositide-dependent protein kinase 1</w:t>
                  </w:r>
                </w:sdtContent>
              </w:sdt>
            </w:p>
          </w:sdtContent>
        </w:sdt>
        <w:sdt>
          <w:sdtPr>
            <w:rPr>
              <w:lang w:val="en-GB"/>
            </w:rPr>
            <w:id w:val="1897931873"/>
            <w:placeholder>
              <w:docPart w:val="62258E0BE4C04EC98E10B98C4E919FE3"/>
            </w:placeholder>
            <w15:repeatingSectionItem/>
          </w:sdtPr>
          <w:sdtEndPr/>
          <w:sdtContent>
            <w:p w14:paraId="22177321" w14:textId="77777777" w:rsidR="00AF6E5D" w:rsidRPr="005578B3" w:rsidRDefault="00E10EE1" w:rsidP="00AF6E5D">
              <w:pPr>
                <w:pStyle w:val="ZPSeznamzkratek"/>
                <w:rPr>
                  <w:lang w:val="en-GB"/>
                </w:rPr>
              </w:pPr>
              <w:sdt>
                <w:sdtPr>
                  <w:rPr>
                    <w:lang w:val="en-GB"/>
                  </w:rPr>
                  <w:id w:val="-454407479"/>
                  <w:placeholder>
                    <w:docPart w:val="64207F11EA4247949C28DB03B78E34B8"/>
                  </w:placeholder>
                  <w:text/>
                </w:sdtPr>
                <w:sdtEndPr/>
                <w:sdtContent>
                  <w:r w:rsidR="00AF6E5D">
                    <w:rPr>
                      <w:lang w:val="en-GB"/>
                    </w:rPr>
                    <w:t>PHI</w:t>
                  </w:r>
                </w:sdtContent>
              </w:sdt>
              <w:r w:rsidR="00AF6E5D" w:rsidRPr="005578B3">
                <w:rPr>
                  <w:lang w:val="en-GB"/>
                </w:rPr>
                <w:tab/>
                <w:t>–</w:t>
              </w:r>
              <w:r w:rsidR="00AF6E5D" w:rsidRPr="005578B3">
                <w:rPr>
                  <w:lang w:val="en-GB"/>
                </w:rPr>
                <w:tab/>
              </w:r>
              <w:sdt>
                <w:sdtPr>
                  <w:rPr>
                    <w:lang w:val="en-GB"/>
                  </w:rPr>
                  <w:id w:val="1618407145"/>
                  <w:placeholder>
                    <w:docPart w:val="B2547DA5FD0D419592B4F82B90F7743A"/>
                  </w:placeholder>
                  <w:text/>
                </w:sdtPr>
                <w:sdtEndPr/>
                <w:sdtContent>
                  <w:r w:rsidR="00AF6E5D">
                    <w:rPr>
                      <w:lang w:val="en-GB"/>
                    </w:rPr>
                    <w:t>the Prostate Health Index</w:t>
                  </w:r>
                </w:sdtContent>
              </w:sdt>
            </w:p>
          </w:sdtContent>
        </w:sdt>
        <w:sdt>
          <w:sdtPr>
            <w:rPr>
              <w:lang w:val="en-GB"/>
            </w:rPr>
            <w:id w:val="1325699978"/>
            <w:placeholder>
              <w:docPart w:val="B820622160A846DE8177B684DFA86CE0"/>
            </w:placeholder>
            <w15:repeatingSectionItem/>
          </w:sdtPr>
          <w:sdtEndPr/>
          <w:sdtContent>
            <w:p w14:paraId="78A8803E" w14:textId="77777777" w:rsidR="00AF6E5D" w:rsidRPr="005578B3" w:rsidRDefault="00E10EE1" w:rsidP="00AF6E5D">
              <w:pPr>
                <w:pStyle w:val="ZPSeznamzkratek"/>
                <w:rPr>
                  <w:lang w:val="en-GB"/>
                </w:rPr>
              </w:pPr>
              <w:sdt>
                <w:sdtPr>
                  <w:rPr>
                    <w:lang w:val="en-GB"/>
                  </w:rPr>
                  <w:id w:val="1875734455"/>
                  <w:placeholder>
                    <w:docPart w:val="723D5163D7C0464A930ECCB5A500C1CC"/>
                  </w:placeholder>
                  <w:text/>
                </w:sdtPr>
                <w:sdtEndPr/>
                <w:sdtContent>
                  <w:r w:rsidR="00AF6E5D">
                    <w:rPr>
                      <w:lang w:val="en-GB"/>
                    </w:rPr>
                    <w:t>PI3K</w:t>
                  </w:r>
                </w:sdtContent>
              </w:sdt>
              <w:r w:rsidR="00AF6E5D" w:rsidRPr="005578B3">
                <w:rPr>
                  <w:lang w:val="en-GB"/>
                </w:rPr>
                <w:tab/>
                <w:t>–</w:t>
              </w:r>
              <w:r w:rsidR="00AF6E5D" w:rsidRPr="005578B3">
                <w:rPr>
                  <w:lang w:val="en-GB"/>
                </w:rPr>
                <w:tab/>
              </w:r>
              <w:sdt>
                <w:sdtPr>
                  <w:rPr>
                    <w:lang w:val="en-GB"/>
                  </w:rPr>
                  <w:id w:val="216321784"/>
                  <w:placeholder>
                    <w:docPart w:val="9FADA8916CA249B2B39836B62BAE7F5B"/>
                  </w:placeholder>
                  <w:text/>
                </w:sdtPr>
                <w:sdtEndPr/>
                <w:sdtContent>
                  <w:r w:rsidR="00AF6E5D">
                    <w:rPr>
                      <w:lang w:val="en-GB"/>
                    </w:rPr>
                    <w:t>phosphoinositide 3-kinase</w:t>
                  </w:r>
                </w:sdtContent>
              </w:sdt>
            </w:p>
          </w:sdtContent>
        </w:sdt>
        <w:sdt>
          <w:sdtPr>
            <w:rPr>
              <w:lang w:val="en-GB"/>
            </w:rPr>
            <w:id w:val="589814683"/>
            <w:placeholder>
              <w:docPart w:val="2C78F7312DA34842BD2DD6ADF30F1E23"/>
            </w:placeholder>
            <w15:repeatingSectionItem/>
          </w:sdtPr>
          <w:sdtEndPr/>
          <w:sdtContent>
            <w:p w14:paraId="734CC0C2" w14:textId="77777777" w:rsidR="00AF6E5D" w:rsidRPr="005578B3" w:rsidRDefault="00E10EE1" w:rsidP="00AF6E5D">
              <w:pPr>
                <w:pStyle w:val="ZPSeznamzkratek"/>
                <w:rPr>
                  <w:lang w:val="en-GB"/>
                </w:rPr>
              </w:pPr>
              <w:sdt>
                <w:sdtPr>
                  <w:rPr>
                    <w:lang w:val="en-GB"/>
                  </w:rPr>
                  <w:id w:val="778378498"/>
                  <w:placeholder>
                    <w:docPart w:val="A75403B03868475E9A8C11CF71B64F71"/>
                  </w:placeholder>
                  <w:text/>
                </w:sdtPr>
                <w:sdtEndPr/>
                <w:sdtContent>
                  <w:r w:rsidR="00AF6E5D">
                    <w:rPr>
                      <w:lang w:val="en-GB"/>
                    </w:rPr>
                    <w:t>PIP2</w:t>
                  </w:r>
                </w:sdtContent>
              </w:sdt>
              <w:r w:rsidR="00AF6E5D" w:rsidRPr="005578B3">
                <w:rPr>
                  <w:lang w:val="en-GB"/>
                </w:rPr>
                <w:tab/>
                <w:t>–</w:t>
              </w:r>
              <w:r w:rsidR="00AF6E5D" w:rsidRPr="005578B3">
                <w:rPr>
                  <w:lang w:val="en-GB"/>
                </w:rPr>
                <w:tab/>
              </w:r>
              <w:sdt>
                <w:sdtPr>
                  <w:rPr>
                    <w:lang w:val="en-GB"/>
                  </w:rPr>
                  <w:id w:val="883523675"/>
                  <w:placeholder>
                    <w:docPart w:val="B5CD8912DC6C442E90833E4D707928C1"/>
                  </w:placeholder>
                  <w:text/>
                </w:sdtPr>
                <w:sdtEndPr/>
                <w:sdtContent>
                  <w:r w:rsidR="00AF6E5D">
                    <w:rPr>
                      <w:lang w:val="en-GB"/>
                    </w:rPr>
                    <w:t>phosphatidylinositol 4,5-bisphosphate</w:t>
                  </w:r>
                </w:sdtContent>
              </w:sdt>
            </w:p>
          </w:sdtContent>
        </w:sdt>
        <w:sdt>
          <w:sdtPr>
            <w:rPr>
              <w:lang w:val="en-GB"/>
            </w:rPr>
            <w:id w:val="-1331130689"/>
            <w:placeholder>
              <w:docPart w:val="00423DCA956A479185752E1BD90235DA"/>
            </w:placeholder>
            <w15:repeatingSectionItem/>
          </w:sdtPr>
          <w:sdtEndPr/>
          <w:sdtContent>
            <w:p w14:paraId="628BC497" w14:textId="77777777" w:rsidR="00AF6E5D" w:rsidRPr="005578B3" w:rsidRDefault="00E10EE1" w:rsidP="00AF6E5D">
              <w:pPr>
                <w:pStyle w:val="ZPSeznamzkratek"/>
                <w:rPr>
                  <w:lang w:val="en-GB"/>
                </w:rPr>
              </w:pPr>
              <w:sdt>
                <w:sdtPr>
                  <w:rPr>
                    <w:lang w:val="en-GB"/>
                  </w:rPr>
                  <w:id w:val="-2065632793"/>
                  <w:placeholder>
                    <w:docPart w:val="E95E1E9EA28144D286C3CAE5E0EC97AD"/>
                  </w:placeholder>
                  <w:text/>
                </w:sdtPr>
                <w:sdtEndPr/>
                <w:sdtContent>
                  <w:r w:rsidR="00AF6E5D">
                    <w:rPr>
                      <w:lang w:val="en-GB"/>
                    </w:rPr>
                    <w:t>PIP3</w:t>
                  </w:r>
                </w:sdtContent>
              </w:sdt>
              <w:r w:rsidR="00AF6E5D" w:rsidRPr="005578B3">
                <w:rPr>
                  <w:lang w:val="en-GB"/>
                </w:rPr>
                <w:tab/>
                <w:t>–</w:t>
              </w:r>
              <w:r w:rsidR="00AF6E5D" w:rsidRPr="005578B3">
                <w:rPr>
                  <w:lang w:val="en-GB"/>
                </w:rPr>
                <w:tab/>
              </w:r>
              <w:sdt>
                <w:sdtPr>
                  <w:rPr>
                    <w:lang w:val="en-GB"/>
                  </w:rPr>
                  <w:id w:val="-1680420407"/>
                  <w:placeholder>
                    <w:docPart w:val="BC238ECB475E4D60A75C477440C19479"/>
                  </w:placeholder>
                  <w:text/>
                </w:sdtPr>
                <w:sdtEndPr/>
                <w:sdtContent>
                  <w:r w:rsidR="00AF6E5D">
                    <w:rPr>
                      <w:lang w:val="en-GB"/>
                    </w:rPr>
                    <w:t>phosphatidylinositol 3,4,5 trisphosphate</w:t>
                  </w:r>
                </w:sdtContent>
              </w:sdt>
            </w:p>
          </w:sdtContent>
        </w:sdt>
        <w:sdt>
          <w:sdtPr>
            <w:rPr>
              <w:lang w:val="en-GB"/>
            </w:rPr>
            <w:id w:val="2062352311"/>
            <w:placeholder>
              <w:docPart w:val="0307E029F985439AB0E96B8E6B8C4DBE"/>
            </w:placeholder>
            <w15:repeatingSectionItem/>
          </w:sdtPr>
          <w:sdtEndPr/>
          <w:sdtContent>
            <w:p w14:paraId="2701C746" w14:textId="77777777" w:rsidR="00AF6E5D" w:rsidRPr="005578B3" w:rsidRDefault="00E10EE1" w:rsidP="00AF6E5D">
              <w:pPr>
                <w:pStyle w:val="ZPSeznamzkratek"/>
                <w:rPr>
                  <w:lang w:val="en-GB"/>
                </w:rPr>
              </w:pPr>
              <w:sdt>
                <w:sdtPr>
                  <w:rPr>
                    <w:lang w:val="en-GB"/>
                  </w:rPr>
                  <w:id w:val="-1897816311"/>
                  <w:placeholder>
                    <w:docPart w:val="9C99D4D03A4C41D884E99FF3B873C580"/>
                  </w:placeholder>
                  <w:text/>
                </w:sdtPr>
                <w:sdtEndPr/>
                <w:sdtContent>
                  <w:proofErr w:type="spellStart"/>
                  <w:r w:rsidR="00AF6E5D">
                    <w:rPr>
                      <w:lang w:val="en-GB"/>
                    </w:rPr>
                    <w:t>pri</w:t>
                  </w:r>
                  <w:proofErr w:type="spellEnd"/>
                  <w:r w:rsidR="00AF6E5D">
                    <w:rPr>
                      <w:lang w:val="en-GB"/>
                    </w:rPr>
                    <w:t>‑miRNA</w:t>
                  </w:r>
                </w:sdtContent>
              </w:sdt>
              <w:r w:rsidR="00AF6E5D" w:rsidRPr="005578B3">
                <w:rPr>
                  <w:lang w:val="en-GB"/>
                </w:rPr>
                <w:tab/>
                <w:t>–</w:t>
              </w:r>
              <w:r w:rsidR="00AF6E5D" w:rsidRPr="005578B3">
                <w:rPr>
                  <w:lang w:val="en-GB"/>
                </w:rPr>
                <w:tab/>
              </w:r>
              <w:sdt>
                <w:sdtPr>
                  <w:rPr>
                    <w:lang w:val="en-GB"/>
                  </w:rPr>
                  <w:id w:val="2138826525"/>
                  <w:placeholder>
                    <w:docPart w:val="C3232D4DDA554CD1B53EA78B2E8454B0"/>
                  </w:placeholder>
                  <w:text/>
                </w:sdtPr>
                <w:sdtEndPr/>
                <w:sdtContent>
                  <w:r w:rsidR="00AF6E5D">
                    <w:rPr>
                      <w:lang w:val="en-GB"/>
                    </w:rPr>
                    <w:t xml:space="preserve">primary transcript of </w:t>
                  </w:r>
                  <w:proofErr w:type="spellStart"/>
                  <w:r w:rsidR="00AF6E5D">
                    <w:rPr>
                      <w:lang w:val="en-GB"/>
                    </w:rPr>
                    <w:t>mikroRNA</w:t>
                  </w:r>
                  <w:proofErr w:type="spellEnd"/>
                </w:sdtContent>
              </w:sdt>
            </w:p>
          </w:sdtContent>
        </w:sdt>
        <w:sdt>
          <w:sdtPr>
            <w:rPr>
              <w:lang w:val="en-GB"/>
            </w:rPr>
            <w:id w:val="369729818"/>
            <w:placeholder>
              <w:docPart w:val="D28C6CB98970400496B86AA0B20244F8"/>
            </w:placeholder>
            <w15:repeatingSectionItem/>
          </w:sdtPr>
          <w:sdtEndPr/>
          <w:sdtContent>
            <w:p w14:paraId="0A4689EC" w14:textId="77777777" w:rsidR="00AF6E5D" w:rsidRPr="005578B3" w:rsidRDefault="00E10EE1" w:rsidP="00AF6E5D">
              <w:pPr>
                <w:pStyle w:val="ZPSeznamzkratek"/>
                <w:rPr>
                  <w:lang w:val="en-GB"/>
                </w:rPr>
              </w:pPr>
              <w:sdt>
                <w:sdtPr>
                  <w:rPr>
                    <w:lang w:val="en-GB"/>
                  </w:rPr>
                  <w:id w:val="-959026384"/>
                  <w:placeholder>
                    <w:docPart w:val="BFEDAAB539C442CFB6C6F720A2184091"/>
                  </w:placeholder>
                  <w:text/>
                </w:sdtPr>
                <w:sdtEndPr/>
                <w:sdtContent>
                  <w:r w:rsidR="00AF6E5D">
                    <w:rPr>
                      <w:lang w:val="en-GB"/>
                    </w:rPr>
                    <w:t>PSA</w:t>
                  </w:r>
                </w:sdtContent>
              </w:sdt>
              <w:r w:rsidR="00AF6E5D" w:rsidRPr="005578B3">
                <w:rPr>
                  <w:lang w:val="en-GB"/>
                </w:rPr>
                <w:tab/>
                <w:t>–</w:t>
              </w:r>
              <w:r w:rsidR="00AF6E5D" w:rsidRPr="005578B3">
                <w:rPr>
                  <w:lang w:val="en-GB"/>
                </w:rPr>
                <w:tab/>
              </w:r>
              <w:sdt>
                <w:sdtPr>
                  <w:rPr>
                    <w:lang w:val="en-GB"/>
                  </w:rPr>
                  <w:id w:val="2008006819"/>
                  <w:placeholder>
                    <w:docPart w:val="199733DFC4C84EFB81AF4D04D55DB2C6"/>
                  </w:placeholder>
                  <w:text/>
                </w:sdtPr>
                <w:sdtEndPr/>
                <w:sdtContent>
                  <w:r w:rsidR="00AF6E5D">
                    <w:rPr>
                      <w:lang w:val="en-GB"/>
                    </w:rPr>
                    <w:t>prostate specific antigen</w:t>
                  </w:r>
                </w:sdtContent>
              </w:sdt>
            </w:p>
          </w:sdtContent>
        </w:sdt>
        <w:sdt>
          <w:sdtPr>
            <w:rPr>
              <w:lang w:val="en-GB"/>
            </w:rPr>
            <w:id w:val="1900090089"/>
            <w:placeholder>
              <w:docPart w:val="1062448F807543EF8CABBD7FFD44A815"/>
            </w:placeholder>
            <w15:repeatingSectionItem/>
          </w:sdtPr>
          <w:sdtEndPr/>
          <w:sdtContent>
            <w:p w14:paraId="4F25CCC5" w14:textId="77777777" w:rsidR="00AF6E5D" w:rsidRPr="005578B3" w:rsidRDefault="00E10EE1" w:rsidP="00AF6E5D">
              <w:pPr>
                <w:pStyle w:val="ZPSeznamzkratek"/>
                <w:rPr>
                  <w:lang w:val="en-GB"/>
                </w:rPr>
              </w:pPr>
              <w:sdt>
                <w:sdtPr>
                  <w:rPr>
                    <w:lang w:val="en-GB"/>
                  </w:rPr>
                  <w:id w:val="-750573238"/>
                  <w:placeholder>
                    <w:docPart w:val="9CE4F49074D34A308838B87582031A84"/>
                  </w:placeholder>
                  <w:text/>
                </w:sdtPr>
                <w:sdtEndPr/>
                <w:sdtContent>
                  <w:r w:rsidR="00AF6E5D">
                    <w:rPr>
                      <w:lang w:val="en-GB"/>
                    </w:rPr>
                    <w:t>PSADT</w:t>
                  </w:r>
                </w:sdtContent>
              </w:sdt>
              <w:r w:rsidR="00AF6E5D" w:rsidRPr="005578B3">
                <w:rPr>
                  <w:lang w:val="en-GB"/>
                </w:rPr>
                <w:tab/>
                <w:t>–</w:t>
              </w:r>
              <w:r w:rsidR="00AF6E5D" w:rsidRPr="005578B3">
                <w:rPr>
                  <w:lang w:val="en-GB"/>
                </w:rPr>
                <w:tab/>
              </w:r>
              <w:sdt>
                <w:sdtPr>
                  <w:rPr>
                    <w:lang w:val="en-GB"/>
                  </w:rPr>
                  <w:id w:val="1153797501"/>
                  <w:placeholder>
                    <w:docPart w:val="AED2AEED8C0E412DBCDF2E05B033976E"/>
                  </w:placeholder>
                  <w:text/>
                </w:sdtPr>
                <w:sdtEndPr/>
                <w:sdtContent>
                  <w:r w:rsidR="00AF6E5D">
                    <w:rPr>
                      <w:lang w:val="en-GB"/>
                    </w:rPr>
                    <w:t>PSA doubling time</w:t>
                  </w:r>
                </w:sdtContent>
              </w:sdt>
            </w:p>
          </w:sdtContent>
        </w:sdt>
        <w:sdt>
          <w:sdtPr>
            <w:rPr>
              <w:lang w:val="en-GB"/>
            </w:rPr>
            <w:id w:val="-674335279"/>
            <w:placeholder>
              <w:docPart w:val="9D11E4006400494D9FC2DF3182222D78"/>
            </w:placeholder>
            <w15:repeatingSectionItem/>
          </w:sdtPr>
          <w:sdtEndPr/>
          <w:sdtContent>
            <w:p w14:paraId="782D7795" w14:textId="77777777" w:rsidR="00AF6E5D" w:rsidRPr="005578B3" w:rsidRDefault="00E10EE1" w:rsidP="00AF6E5D">
              <w:pPr>
                <w:pStyle w:val="ZPSeznamzkratek"/>
                <w:rPr>
                  <w:lang w:val="en-GB"/>
                </w:rPr>
              </w:pPr>
              <w:sdt>
                <w:sdtPr>
                  <w:rPr>
                    <w:lang w:val="en-GB"/>
                  </w:rPr>
                  <w:id w:val="1083175757"/>
                  <w:placeholder>
                    <w:docPart w:val="EA53C30F38774BAC820D3F4159242011"/>
                  </w:placeholder>
                  <w:text/>
                </w:sdtPr>
                <w:sdtEndPr/>
                <w:sdtContent>
                  <w:r w:rsidR="00AF6E5D">
                    <w:rPr>
                      <w:lang w:val="en-GB"/>
                    </w:rPr>
                    <w:t>PSAV</w:t>
                  </w:r>
                </w:sdtContent>
              </w:sdt>
              <w:r w:rsidR="00AF6E5D" w:rsidRPr="005578B3">
                <w:rPr>
                  <w:lang w:val="en-GB"/>
                </w:rPr>
                <w:tab/>
                <w:t>–</w:t>
              </w:r>
              <w:r w:rsidR="00AF6E5D" w:rsidRPr="005578B3">
                <w:rPr>
                  <w:lang w:val="en-GB"/>
                </w:rPr>
                <w:tab/>
              </w:r>
              <w:sdt>
                <w:sdtPr>
                  <w:rPr>
                    <w:lang w:val="en-GB"/>
                  </w:rPr>
                  <w:id w:val="1270739451"/>
                  <w:placeholder>
                    <w:docPart w:val="C517FA01E71D46BB8EBF70B7A827B918"/>
                  </w:placeholder>
                  <w:text/>
                </w:sdtPr>
                <w:sdtEndPr/>
                <w:sdtContent>
                  <w:r w:rsidR="00AF6E5D">
                    <w:rPr>
                      <w:lang w:val="en-GB"/>
                    </w:rPr>
                    <w:t>PSA velocity</w:t>
                  </w:r>
                </w:sdtContent>
              </w:sdt>
            </w:p>
          </w:sdtContent>
        </w:sdt>
        <w:sdt>
          <w:sdtPr>
            <w:rPr>
              <w:lang w:val="en-GB"/>
            </w:rPr>
            <w:id w:val="-409936719"/>
            <w:placeholder>
              <w:docPart w:val="42314FFE38174F72818A49B9CB4A8E6C"/>
            </w:placeholder>
            <w15:repeatingSectionItem/>
          </w:sdtPr>
          <w:sdtEndPr/>
          <w:sdtContent>
            <w:p w14:paraId="03517D0E" w14:textId="77777777" w:rsidR="00AF6E5D" w:rsidRPr="005578B3" w:rsidRDefault="00E10EE1" w:rsidP="00AF6E5D">
              <w:pPr>
                <w:pStyle w:val="ZPSeznamzkratek"/>
                <w:rPr>
                  <w:lang w:val="en-GB"/>
                </w:rPr>
              </w:pPr>
              <w:sdt>
                <w:sdtPr>
                  <w:rPr>
                    <w:lang w:val="en-GB"/>
                  </w:rPr>
                  <w:id w:val="-349097108"/>
                  <w:placeholder>
                    <w:docPart w:val="EB89B63F41A54F61A47B4D5EECB50EBE"/>
                  </w:placeholder>
                  <w:text/>
                </w:sdtPr>
                <w:sdtEndPr/>
                <w:sdtContent>
                  <w:r w:rsidR="00AF6E5D">
                    <w:rPr>
                      <w:lang w:val="en-GB"/>
                    </w:rPr>
                    <w:t xml:space="preserve">PSMA </w:t>
                  </w:r>
                </w:sdtContent>
              </w:sdt>
              <w:r w:rsidR="00AF6E5D" w:rsidRPr="005578B3">
                <w:rPr>
                  <w:lang w:val="en-GB"/>
                </w:rPr>
                <w:tab/>
                <w:t>–</w:t>
              </w:r>
              <w:r w:rsidR="00AF6E5D" w:rsidRPr="005578B3">
                <w:rPr>
                  <w:lang w:val="en-GB"/>
                </w:rPr>
                <w:tab/>
              </w:r>
              <w:sdt>
                <w:sdtPr>
                  <w:rPr>
                    <w:lang w:val="en-GB"/>
                  </w:rPr>
                  <w:id w:val="-17394993"/>
                  <w:placeholder>
                    <w:docPart w:val="749C95A751BA43098B1122D0CF04280C"/>
                  </w:placeholder>
                  <w:text/>
                </w:sdtPr>
                <w:sdtEndPr/>
                <w:sdtContent>
                  <w:r w:rsidR="00AF6E5D">
                    <w:rPr>
                      <w:lang w:val="en-GB"/>
                    </w:rPr>
                    <w:t xml:space="preserve">prostate-specific membrane antigen </w:t>
                  </w:r>
                </w:sdtContent>
              </w:sdt>
            </w:p>
          </w:sdtContent>
        </w:sdt>
        <w:sdt>
          <w:sdtPr>
            <w:rPr>
              <w:lang w:val="en-GB"/>
            </w:rPr>
            <w:id w:val="-1173952887"/>
            <w:placeholder>
              <w:docPart w:val="DFA975BD0D08471EBEEE9F68FD08C1CB"/>
            </w:placeholder>
            <w15:repeatingSectionItem/>
          </w:sdtPr>
          <w:sdtEndPr/>
          <w:sdtContent>
            <w:p w14:paraId="6837212E" w14:textId="77777777" w:rsidR="00AF6E5D" w:rsidRPr="005578B3" w:rsidRDefault="00E10EE1" w:rsidP="00AF6E5D">
              <w:pPr>
                <w:pStyle w:val="ZPSeznamzkratek"/>
                <w:rPr>
                  <w:lang w:val="en-GB"/>
                </w:rPr>
              </w:pPr>
              <w:sdt>
                <w:sdtPr>
                  <w:rPr>
                    <w:i/>
                    <w:iCs/>
                    <w:lang w:val="en-GB"/>
                  </w:rPr>
                  <w:id w:val="-2067792490"/>
                  <w:placeholder>
                    <w:docPart w:val="142EC234E94F4557ABDB7842D48F62CF"/>
                  </w:placeholder>
                  <w:text/>
                </w:sdtPr>
                <w:sdtEndPr/>
                <w:sdtContent>
                  <w:r w:rsidR="00AF6E5D">
                    <w:rPr>
                      <w:i/>
                      <w:iCs/>
                      <w:lang w:val="en-GB"/>
                    </w:rPr>
                    <w:t>PTEN</w:t>
                  </w:r>
                </w:sdtContent>
              </w:sdt>
              <w:r w:rsidR="00AF6E5D" w:rsidRPr="005578B3">
                <w:rPr>
                  <w:lang w:val="en-GB"/>
                </w:rPr>
                <w:tab/>
                <w:t>–</w:t>
              </w:r>
              <w:r w:rsidR="00AF6E5D" w:rsidRPr="005578B3">
                <w:rPr>
                  <w:lang w:val="en-GB"/>
                </w:rPr>
                <w:tab/>
              </w:r>
              <w:sdt>
                <w:sdtPr>
                  <w:rPr>
                    <w:lang w:val="en-GB"/>
                  </w:rPr>
                  <w:id w:val="-823204453"/>
                  <w:placeholder>
                    <w:docPart w:val="B70C0E4164B24980AF19D5B7F8ADFBA7"/>
                  </w:placeholder>
                  <w:text/>
                </w:sdtPr>
                <w:sdtEndPr/>
                <w:sdtContent>
                  <w:r w:rsidR="00AF6E5D">
                    <w:rPr>
                      <w:lang w:val="en-GB"/>
                    </w:rPr>
                    <w:t xml:space="preserve">gene encoding phosphatase and </w:t>
                  </w:r>
                  <w:proofErr w:type="spellStart"/>
                  <w:r w:rsidR="00AF6E5D">
                    <w:rPr>
                      <w:lang w:val="en-GB"/>
                    </w:rPr>
                    <w:t>tensin</w:t>
                  </w:r>
                  <w:proofErr w:type="spellEnd"/>
                  <w:r w:rsidR="00AF6E5D">
                    <w:rPr>
                      <w:lang w:val="en-GB"/>
                    </w:rPr>
                    <w:t xml:space="preserve"> homolog</w:t>
                  </w:r>
                </w:sdtContent>
              </w:sdt>
            </w:p>
          </w:sdtContent>
        </w:sdt>
        <w:sdt>
          <w:sdtPr>
            <w:rPr>
              <w:lang w:val="en-GB"/>
            </w:rPr>
            <w:id w:val="-983462744"/>
            <w:placeholder>
              <w:docPart w:val="9AF3A2CEAAF7484184714137D6FDEDCC"/>
            </w:placeholder>
            <w15:repeatingSectionItem/>
          </w:sdtPr>
          <w:sdtEndPr/>
          <w:sdtContent>
            <w:p w14:paraId="2600CA2A" w14:textId="77777777" w:rsidR="00AF6E5D" w:rsidRPr="005578B3" w:rsidRDefault="00E10EE1" w:rsidP="00AF6E5D">
              <w:pPr>
                <w:pStyle w:val="ZPSeznamzkratek"/>
                <w:rPr>
                  <w:lang w:val="en-GB"/>
                </w:rPr>
              </w:pPr>
              <w:sdt>
                <w:sdtPr>
                  <w:rPr>
                    <w:lang w:val="en-GB"/>
                  </w:rPr>
                  <w:id w:val="1802416938"/>
                  <w:placeholder>
                    <w:docPart w:val="E254DF4CE14446C8BE4EFDA7E848F6C3"/>
                  </w:placeholder>
                  <w:text/>
                </w:sdtPr>
                <w:sdtEndPr/>
                <w:sdtContent>
                  <w:proofErr w:type="spellStart"/>
                  <w:r w:rsidR="00AF6E5D">
                    <w:rPr>
                      <w:lang w:val="en-GB"/>
                    </w:rPr>
                    <w:t>qRT</w:t>
                  </w:r>
                  <w:proofErr w:type="spellEnd"/>
                  <w:r w:rsidR="00AF6E5D">
                    <w:rPr>
                      <w:lang w:val="en-GB"/>
                    </w:rPr>
                    <w:t>-PCR</w:t>
                  </w:r>
                </w:sdtContent>
              </w:sdt>
              <w:r w:rsidR="00AF6E5D" w:rsidRPr="005578B3">
                <w:rPr>
                  <w:lang w:val="en-GB"/>
                </w:rPr>
                <w:tab/>
                <w:t>–</w:t>
              </w:r>
              <w:r w:rsidR="00AF6E5D" w:rsidRPr="005578B3">
                <w:rPr>
                  <w:lang w:val="en-GB"/>
                </w:rPr>
                <w:tab/>
              </w:r>
              <w:sdt>
                <w:sdtPr>
                  <w:rPr>
                    <w:lang w:val="en-GB"/>
                  </w:rPr>
                  <w:id w:val="-1425108068"/>
                  <w:placeholder>
                    <w:docPart w:val="A3578BD131A84B9488D3D73BFA3B1A7C"/>
                  </w:placeholder>
                  <w:text/>
                </w:sdtPr>
                <w:sdtEndPr/>
                <w:sdtContent>
                  <w:r w:rsidR="00AF6E5D">
                    <w:rPr>
                      <w:lang w:val="en-GB"/>
                    </w:rPr>
                    <w:t>real-time polymerase chain reaction</w:t>
                  </w:r>
                </w:sdtContent>
              </w:sdt>
            </w:p>
          </w:sdtContent>
        </w:sdt>
        <w:sdt>
          <w:sdtPr>
            <w:rPr>
              <w:lang w:val="en-GB"/>
            </w:rPr>
            <w:id w:val="1365327199"/>
            <w:placeholder>
              <w:docPart w:val="4F124B2F503E496C9922AA755B646323"/>
            </w:placeholder>
            <w15:repeatingSectionItem/>
          </w:sdtPr>
          <w:sdtEndPr/>
          <w:sdtContent>
            <w:p w14:paraId="07587FAF" w14:textId="77777777" w:rsidR="00AF6E5D" w:rsidRPr="005578B3" w:rsidRDefault="00E10EE1" w:rsidP="00AF6E5D">
              <w:pPr>
                <w:pStyle w:val="ZPSeznamzkratek"/>
                <w:rPr>
                  <w:lang w:val="en-GB"/>
                </w:rPr>
              </w:pPr>
              <w:sdt>
                <w:sdtPr>
                  <w:rPr>
                    <w:lang w:val="en-GB"/>
                  </w:rPr>
                  <w:id w:val="-1400590638"/>
                  <w:placeholder>
                    <w:docPart w:val="C33B65C4DDC245149AE156740059234E"/>
                  </w:placeholder>
                  <w:text/>
                </w:sdtPr>
                <w:sdtEndPr/>
                <w:sdtContent>
                  <w:r w:rsidR="00AF6E5D">
                    <w:rPr>
                      <w:lang w:val="en-GB"/>
                    </w:rPr>
                    <w:t>Ran</w:t>
                  </w:r>
                </w:sdtContent>
              </w:sdt>
              <w:r w:rsidR="00AF6E5D" w:rsidRPr="005578B3">
                <w:rPr>
                  <w:lang w:val="en-GB"/>
                </w:rPr>
                <w:tab/>
                <w:t>–</w:t>
              </w:r>
              <w:r w:rsidR="00AF6E5D" w:rsidRPr="005578B3">
                <w:rPr>
                  <w:lang w:val="en-GB"/>
                </w:rPr>
                <w:tab/>
              </w:r>
              <w:sdt>
                <w:sdtPr>
                  <w:rPr>
                    <w:lang w:val="en-GB"/>
                  </w:rPr>
                  <w:id w:val="161054220"/>
                  <w:placeholder>
                    <w:docPart w:val="0E641DFFDEBF4C838F34751FDA5A6A8A"/>
                  </w:placeholder>
                  <w:text/>
                </w:sdtPr>
                <w:sdtEndPr/>
                <w:sdtContent>
                  <w:r w:rsidR="00AF6E5D">
                    <w:rPr>
                      <w:lang w:val="en-GB"/>
                    </w:rPr>
                    <w:t>RAS-related nuclear protein</w:t>
                  </w:r>
                </w:sdtContent>
              </w:sdt>
            </w:p>
          </w:sdtContent>
        </w:sdt>
        <w:sdt>
          <w:sdtPr>
            <w:rPr>
              <w:lang w:val="en-GB"/>
            </w:rPr>
            <w:id w:val="-484392984"/>
            <w:placeholder>
              <w:docPart w:val="D88B9DB9BA894FBCB8F8FD4D7F81C173"/>
            </w:placeholder>
            <w15:repeatingSectionItem/>
          </w:sdtPr>
          <w:sdtEndPr/>
          <w:sdtContent>
            <w:p w14:paraId="6927088E" w14:textId="77777777" w:rsidR="00AF6E5D" w:rsidRPr="005578B3" w:rsidRDefault="00E10EE1" w:rsidP="00AF6E5D">
              <w:pPr>
                <w:pStyle w:val="ZPSeznamzkratek"/>
                <w:rPr>
                  <w:lang w:val="en-GB"/>
                </w:rPr>
              </w:pPr>
              <w:sdt>
                <w:sdtPr>
                  <w:rPr>
                    <w:lang w:val="en-GB"/>
                  </w:rPr>
                  <w:id w:val="-1983842733"/>
                  <w:placeholder>
                    <w:docPart w:val="DEB0D935CF8048B08D59C3A48E0206D7"/>
                  </w:placeholder>
                  <w:text/>
                </w:sdtPr>
                <w:sdtEndPr/>
                <w:sdtContent>
                  <w:r w:rsidR="00AF6E5D">
                    <w:rPr>
                      <w:lang w:val="en-GB"/>
                    </w:rPr>
                    <w:t>RISC</w:t>
                  </w:r>
                </w:sdtContent>
              </w:sdt>
              <w:r w:rsidR="00AF6E5D" w:rsidRPr="005578B3">
                <w:rPr>
                  <w:lang w:val="en-GB"/>
                </w:rPr>
                <w:tab/>
                <w:t>–</w:t>
              </w:r>
              <w:r w:rsidR="00AF6E5D" w:rsidRPr="005578B3">
                <w:rPr>
                  <w:lang w:val="en-GB"/>
                </w:rPr>
                <w:tab/>
              </w:r>
              <w:sdt>
                <w:sdtPr>
                  <w:rPr>
                    <w:lang w:val="en-GB"/>
                  </w:rPr>
                  <w:id w:val="692498907"/>
                  <w:placeholder>
                    <w:docPart w:val="8FEADF61227644D0A37CC73F88474670"/>
                  </w:placeholder>
                  <w:text/>
                </w:sdtPr>
                <w:sdtEndPr/>
                <w:sdtContent>
                  <w:r w:rsidR="00AF6E5D">
                    <w:rPr>
                      <w:lang w:val="en-GB"/>
                    </w:rPr>
                    <w:t>RNA-induced silencing complex</w:t>
                  </w:r>
                </w:sdtContent>
              </w:sdt>
            </w:p>
          </w:sdtContent>
        </w:sdt>
        <w:sdt>
          <w:sdtPr>
            <w:rPr>
              <w:lang w:val="en-GB"/>
            </w:rPr>
            <w:id w:val="-197697140"/>
            <w:placeholder>
              <w:docPart w:val="1C949DD9C6344BB1BAD350EAE4D6AF7E"/>
            </w:placeholder>
            <w15:repeatingSectionItem/>
          </w:sdtPr>
          <w:sdtEndPr/>
          <w:sdtContent>
            <w:p w14:paraId="19802154" w14:textId="77777777" w:rsidR="00AF6E5D" w:rsidRPr="005578B3" w:rsidRDefault="00E10EE1" w:rsidP="00AF6E5D">
              <w:pPr>
                <w:pStyle w:val="ZPSeznamzkratek"/>
                <w:ind w:left="0" w:firstLine="0"/>
                <w:rPr>
                  <w:lang w:val="en-GB"/>
                </w:rPr>
              </w:pPr>
              <w:sdt>
                <w:sdtPr>
                  <w:rPr>
                    <w:lang w:val="en-GB"/>
                  </w:rPr>
                  <w:id w:val="-1648663789"/>
                  <w:placeholder>
                    <w:docPart w:val="E7AE964AF92143F5A75D147113848869"/>
                  </w:placeholder>
                  <w:text/>
                </w:sdtPr>
                <w:sdtEndPr/>
                <w:sdtContent>
                  <w:r w:rsidR="00AF6E5D">
                    <w:rPr>
                      <w:lang w:val="en-GB"/>
                    </w:rPr>
                    <w:t>ROC</w:t>
                  </w:r>
                </w:sdtContent>
              </w:sdt>
              <w:r w:rsidR="00AF6E5D" w:rsidRPr="005578B3">
                <w:rPr>
                  <w:lang w:val="en-GB"/>
                </w:rPr>
                <w:tab/>
                <w:t>–</w:t>
              </w:r>
              <w:r w:rsidR="00AF6E5D" w:rsidRPr="005578B3">
                <w:rPr>
                  <w:lang w:val="en-GB"/>
                </w:rPr>
                <w:tab/>
              </w:r>
              <w:sdt>
                <w:sdtPr>
                  <w:rPr>
                    <w:lang w:val="en-GB"/>
                  </w:rPr>
                  <w:id w:val="858478235"/>
                  <w:placeholder>
                    <w:docPart w:val="E97CC45E9B5F4F04A323EA9A62AF5E5E"/>
                  </w:placeholder>
                  <w:text/>
                </w:sdtPr>
                <w:sdtEndPr/>
                <w:sdtContent>
                  <w:r w:rsidR="00AF6E5D">
                    <w:rPr>
                      <w:lang w:val="en-GB"/>
                    </w:rPr>
                    <w:t>receiver operating characteristics</w:t>
                  </w:r>
                </w:sdtContent>
              </w:sdt>
            </w:p>
          </w:sdtContent>
        </w:sdt>
        <w:sdt>
          <w:sdtPr>
            <w:rPr>
              <w:lang w:val="en-GB"/>
            </w:rPr>
            <w:id w:val="52203688"/>
            <w:placeholder>
              <w:docPart w:val="18686B9B78CE476D92021B08287CF879"/>
            </w:placeholder>
            <w15:repeatingSectionItem/>
          </w:sdtPr>
          <w:sdtEndPr/>
          <w:sdtContent>
            <w:p w14:paraId="638B6303" w14:textId="77777777" w:rsidR="00AF6E5D" w:rsidRPr="005578B3" w:rsidRDefault="00E10EE1" w:rsidP="00AF6E5D">
              <w:pPr>
                <w:pStyle w:val="ZPSeznamzkratek"/>
                <w:rPr>
                  <w:lang w:val="en-GB"/>
                </w:rPr>
              </w:pPr>
              <w:sdt>
                <w:sdtPr>
                  <w:rPr>
                    <w:lang w:val="en-GB"/>
                  </w:rPr>
                  <w:id w:val="-529732599"/>
                  <w:placeholder>
                    <w:docPart w:val="EDD97D10BC2943E6B7E3D60D695AC4CA"/>
                  </w:placeholder>
                  <w:text/>
                </w:sdtPr>
                <w:sdtEndPr/>
                <w:sdtContent>
                  <w:r w:rsidR="00AF6E5D">
                    <w:rPr>
                      <w:lang w:val="en-GB"/>
                    </w:rPr>
                    <w:t>SNP</w:t>
                  </w:r>
                </w:sdtContent>
              </w:sdt>
              <w:r w:rsidR="00AF6E5D" w:rsidRPr="005578B3">
                <w:rPr>
                  <w:lang w:val="en-GB"/>
                </w:rPr>
                <w:tab/>
                <w:t>–</w:t>
              </w:r>
              <w:r w:rsidR="00AF6E5D" w:rsidRPr="005578B3">
                <w:rPr>
                  <w:lang w:val="en-GB"/>
                </w:rPr>
                <w:tab/>
              </w:r>
              <w:sdt>
                <w:sdtPr>
                  <w:rPr>
                    <w:lang w:val="en-GB"/>
                  </w:rPr>
                  <w:id w:val="1994600167"/>
                  <w:placeholder>
                    <w:docPart w:val="D6C70D90604847BA89DF4B74048195E4"/>
                  </w:placeholder>
                  <w:text/>
                </w:sdtPr>
                <w:sdtEndPr/>
                <w:sdtContent>
                  <w:r w:rsidR="00AF6E5D">
                    <w:rPr>
                      <w:lang w:val="en-GB"/>
                    </w:rPr>
                    <w:t>single nucleotide polymorphism</w:t>
                  </w:r>
                </w:sdtContent>
              </w:sdt>
            </w:p>
          </w:sdtContent>
        </w:sdt>
        <w:sdt>
          <w:sdtPr>
            <w:rPr>
              <w:lang w:val="en-GB"/>
            </w:rPr>
            <w:id w:val="2041621730"/>
            <w:placeholder>
              <w:docPart w:val="15B2549E8BD74CACBAEF40A0BB2CFB9B"/>
            </w:placeholder>
            <w15:repeatingSectionItem/>
          </w:sdtPr>
          <w:sdtEndPr/>
          <w:sdtContent>
            <w:p w14:paraId="75625F93" w14:textId="77777777" w:rsidR="00AF6E5D" w:rsidRPr="005578B3" w:rsidRDefault="00E10EE1" w:rsidP="00AF6E5D">
              <w:pPr>
                <w:pStyle w:val="ZPSeznamzkratek"/>
                <w:rPr>
                  <w:lang w:val="en-GB"/>
                </w:rPr>
              </w:pPr>
              <w:sdt>
                <w:sdtPr>
                  <w:rPr>
                    <w:i/>
                    <w:iCs/>
                    <w:lang w:val="en-GB"/>
                  </w:rPr>
                  <w:id w:val="-1347861434"/>
                  <w:placeholder>
                    <w:docPart w:val="3BF4CDD5319045EBBAC725A566454717"/>
                  </w:placeholder>
                  <w:text/>
                </w:sdtPr>
                <w:sdtEndPr/>
                <w:sdtContent>
                  <w:r w:rsidR="00AF6E5D">
                    <w:rPr>
                      <w:i/>
                      <w:iCs/>
                      <w:lang w:val="en-GB"/>
                    </w:rPr>
                    <w:t>SPOP</w:t>
                  </w:r>
                </w:sdtContent>
              </w:sdt>
              <w:r w:rsidR="00AF6E5D" w:rsidRPr="005578B3">
                <w:rPr>
                  <w:lang w:val="en-GB"/>
                </w:rPr>
                <w:tab/>
                <w:t>–</w:t>
              </w:r>
              <w:r w:rsidR="00AF6E5D" w:rsidRPr="005578B3">
                <w:rPr>
                  <w:lang w:val="en-GB"/>
                </w:rPr>
                <w:tab/>
              </w:r>
              <w:sdt>
                <w:sdtPr>
                  <w:rPr>
                    <w:lang w:val="en-GB"/>
                  </w:rPr>
                  <w:id w:val="2056041780"/>
                  <w:placeholder>
                    <w:docPart w:val="2F84A49903B0475788D07BE9925F06B0"/>
                  </w:placeholder>
                  <w:text/>
                </w:sdtPr>
                <w:sdtEndPr/>
                <w:sdtContent>
                  <w:r w:rsidR="00AF6E5D">
                    <w:rPr>
                      <w:lang w:val="en-GB"/>
                    </w:rPr>
                    <w:t>gene encoding speckle type BTB/POZ protein</w:t>
                  </w:r>
                </w:sdtContent>
              </w:sdt>
            </w:p>
          </w:sdtContent>
        </w:sdt>
        <w:sdt>
          <w:sdtPr>
            <w:rPr>
              <w:lang w:val="en-GB"/>
            </w:rPr>
            <w:id w:val="-703791616"/>
            <w:placeholder>
              <w:docPart w:val="41CEC81C9AB44B0EA5A452C1F0C08EC3"/>
            </w:placeholder>
            <w15:repeatingSectionItem/>
          </w:sdtPr>
          <w:sdtEndPr/>
          <w:sdtContent>
            <w:p w14:paraId="59F98369" w14:textId="77777777" w:rsidR="00AF6E5D" w:rsidRPr="005578B3" w:rsidRDefault="00E10EE1" w:rsidP="00AF6E5D">
              <w:pPr>
                <w:pStyle w:val="ZPSeznamzkratek"/>
                <w:rPr>
                  <w:lang w:val="en-GB"/>
                </w:rPr>
              </w:pPr>
              <w:sdt>
                <w:sdtPr>
                  <w:rPr>
                    <w:i/>
                    <w:iCs/>
                    <w:lang w:val="en-GB"/>
                  </w:rPr>
                  <w:id w:val="-1195833519"/>
                  <w:placeholder>
                    <w:docPart w:val="67CDD69804C047708E16AED9EB4D7EE4"/>
                  </w:placeholder>
                  <w:text/>
                </w:sdtPr>
                <w:sdtEndPr/>
                <w:sdtContent>
                  <w:r w:rsidR="00AF6E5D">
                    <w:rPr>
                      <w:i/>
                      <w:iCs/>
                      <w:lang w:val="en-GB"/>
                    </w:rPr>
                    <w:t>SPOPL</w:t>
                  </w:r>
                </w:sdtContent>
              </w:sdt>
              <w:r w:rsidR="00AF6E5D" w:rsidRPr="005578B3">
                <w:rPr>
                  <w:lang w:val="en-GB"/>
                </w:rPr>
                <w:tab/>
                <w:t>–</w:t>
              </w:r>
              <w:r w:rsidR="00AF6E5D" w:rsidRPr="005578B3">
                <w:rPr>
                  <w:lang w:val="en-GB"/>
                </w:rPr>
                <w:tab/>
              </w:r>
              <w:sdt>
                <w:sdtPr>
                  <w:rPr>
                    <w:lang w:val="en-GB"/>
                  </w:rPr>
                  <w:id w:val="-380328598"/>
                  <w:placeholder>
                    <w:docPart w:val="B1FB1D985EA6471781F0B1C1D569F48F"/>
                  </w:placeholder>
                  <w:text/>
                </w:sdtPr>
                <w:sdtEndPr/>
                <w:sdtContent>
                  <w:r w:rsidR="00AF6E5D">
                    <w:rPr>
                      <w:lang w:val="en-GB"/>
                    </w:rPr>
                    <w:t>gene encoding speckle type BTB/POZ protein like</w:t>
                  </w:r>
                </w:sdtContent>
              </w:sdt>
            </w:p>
          </w:sdtContent>
        </w:sdt>
        <w:sdt>
          <w:sdtPr>
            <w:rPr>
              <w:lang w:val="en-GB"/>
            </w:rPr>
            <w:id w:val="1850291632"/>
            <w:placeholder>
              <w:docPart w:val="B2D79ADF5B3247689991E95B63993ED2"/>
            </w:placeholder>
            <w15:repeatingSectionItem/>
          </w:sdtPr>
          <w:sdtEndPr/>
          <w:sdtContent>
            <w:p w14:paraId="54333A78" w14:textId="77777777" w:rsidR="00AF6E5D" w:rsidRPr="005578B3" w:rsidRDefault="00E10EE1" w:rsidP="00AF6E5D">
              <w:pPr>
                <w:pStyle w:val="ZPSeznamzkratek"/>
                <w:rPr>
                  <w:lang w:val="en-GB"/>
                </w:rPr>
              </w:pPr>
              <w:sdt>
                <w:sdtPr>
                  <w:rPr>
                    <w:lang w:val="en-GB"/>
                  </w:rPr>
                  <w:id w:val="-129482049"/>
                  <w:placeholder>
                    <w:docPart w:val="FE1C6AA9525C43E5B9BBC40F1E7BD977"/>
                  </w:placeholder>
                  <w:text/>
                </w:sdtPr>
                <w:sdtEndPr/>
                <w:sdtContent>
                  <w:r w:rsidR="00AF6E5D">
                    <w:rPr>
                      <w:lang w:val="en-GB"/>
                    </w:rPr>
                    <w:t>TCGA</w:t>
                  </w:r>
                </w:sdtContent>
              </w:sdt>
              <w:r w:rsidR="00AF6E5D" w:rsidRPr="005578B3">
                <w:rPr>
                  <w:lang w:val="en-GB"/>
                </w:rPr>
                <w:tab/>
                <w:t>–</w:t>
              </w:r>
              <w:r w:rsidR="00AF6E5D" w:rsidRPr="005578B3">
                <w:rPr>
                  <w:lang w:val="en-GB"/>
                </w:rPr>
                <w:tab/>
              </w:r>
              <w:sdt>
                <w:sdtPr>
                  <w:rPr>
                    <w:lang w:val="en-GB"/>
                  </w:rPr>
                  <w:id w:val="-109966629"/>
                  <w:placeholder>
                    <w:docPart w:val="3FC8B8AF47F34681A3302FE3AE1869C1"/>
                  </w:placeholder>
                  <w:text/>
                </w:sdtPr>
                <w:sdtEndPr/>
                <w:sdtContent>
                  <w:r w:rsidR="00AF6E5D">
                    <w:rPr>
                      <w:lang w:val="en-GB"/>
                    </w:rPr>
                    <w:t>The Cancer Genome Atlas</w:t>
                  </w:r>
                </w:sdtContent>
              </w:sdt>
            </w:p>
          </w:sdtContent>
        </w:sdt>
        <w:sdt>
          <w:sdtPr>
            <w:rPr>
              <w:lang w:val="en-GB"/>
            </w:rPr>
            <w:id w:val="-910851912"/>
            <w:placeholder>
              <w:docPart w:val="2ACD2767E5FC4D1C9E950B7E885F49B4"/>
            </w:placeholder>
            <w15:repeatingSectionItem/>
          </w:sdtPr>
          <w:sdtEndPr/>
          <w:sdtContent>
            <w:p w14:paraId="4C56F9F1" w14:textId="77777777" w:rsidR="00AF6E5D" w:rsidRPr="005578B3" w:rsidRDefault="00E10EE1" w:rsidP="00AF6E5D">
              <w:pPr>
                <w:pStyle w:val="ZPSeznamzkratek"/>
                <w:rPr>
                  <w:lang w:val="en-GB"/>
                </w:rPr>
              </w:pPr>
              <w:sdt>
                <w:sdtPr>
                  <w:rPr>
                    <w:i/>
                    <w:iCs/>
                    <w:lang w:val="en-GB"/>
                  </w:rPr>
                  <w:id w:val="1987510411"/>
                  <w:placeholder>
                    <w:docPart w:val="6368E672A0DD45E285BDCCAA6FB317BB"/>
                  </w:placeholder>
                  <w:text/>
                </w:sdtPr>
                <w:sdtEndPr/>
                <w:sdtContent>
                  <w:r w:rsidR="00AF6E5D">
                    <w:rPr>
                      <w:i/>
                      <w:iCs/>
                      <w:lang w:val="en-GB"/>
                    </w:rPr>
                    <w:t>TMPRSS2</w:t>
                  </w:r>
                </w:sdtContent>
              </w:sdt>
              <w:r w:rsidR="00AF6E5D" w:rsidRPr="005578B3">
                <w:rPr>
                  <w:lang w:val="en-GB"/>
                </w:rPr>
                <w:tab/>
                <w:t>–</w:t>
              </w:r>
              <w:r w:rsidR="00AF6E5D" w:rsidRPr="005578B3">
                <w:rPr>
                  <w:lang w:val="en-GB"/>
                </w:rPr>
                <w:tab/>
              </w:r>
              <w:sdt>
                <w:sdtPr>
                  <w:rPr>
                    <w:lang w:val="en-GB"/>
                  </w:rPr>
                  <w:id w:val="762118958"/>
                  <w:placeholder>
                    <w:docPart w:val="56273C8C1C3945A494A8D893725ED9BF"/>
                  </w:placeholder>
                  <w:text/>
                </w:sdtPr>
                <w:sdtEndPr/>
                <w:sdtContent>
                  <w:r w:rsidR="00AF6E5D">
                    <w:rPr>
                      <w:lang w:val="en-GB"/>
                    </w:rPr>
                    <w:t>gene encoding transmembrane serine protease 2</w:t>
                  </w:r>
                </w:sdtContent>
              </w:sdt>
            </w:p>
          </w:sdtContent>
        </w:sdt>
        <w:sdt>
          <w:sdtPr>
            <w:rPr>
              <w:lang w:val="en-GB"/>
            </w:rPr>
            <w:id w:val="788319637"/>
            <w:placeholder>
              <w:docPart w:val="475F83B89651473DB7FFC66F800BAD28"/>
            </w:placeholder>
            <w15:repeatingSectionItem/>
          </w:sdtPr>
          <w:sdtEndPr/>
          <w:sdtContent>
            <w:p w14:paraId="3FBF5F0E" w14:textId="77777777" w:rsidR="00AF6E5D" w:rsidRPr="005578B3" w:rsidRDefault="00E10EE1" w:rsidP="00AF6E5D">
              <w:pPr>
                <w:pStyle w:val="ZPSeznamzkratek"/>
                <w:rPr>
                  <w:lang w:val="en-GB"/>
                </w:rPr>
              </w:pPr>
              <w:sdt>
                <w:sdtPr>
                  <w:rPr>
                    <w:i/>
                    <w:iCs/>
                    <w:lang w:val="en-GB"/>
                  </w:rPr>
                  <w:id w:val="910737379"/>
                  <w:placeholder>
                    <w:docPart w:val="2CD3FAFD29C6465D810FE7C2F06830D5"/>
                  </w:placeholder>
                  <w:text/>
                </w:sdtPr>
                <w:sdtEndPr/>
                <w:sdtContent>
                  <w:r w:rsidR="00AF6E5D">
                    <w:rPr>
                      <w:i/>
                      <w:iCs/>
                      <w:lang w:val="en-GB"/>
                    </w:rPr>
                    <w:t>TP53</w:t>
                  </w:r>
                </w:sdtContent>
              </w:sdt>
              <w:r w:rsidR="00AF6E5D" w:rsidRPr="005578B3">
                <w:rPr>
                  <w:lang w:val="en-GB"/>
                </w:rPr>
                <w:tab/>
                <w:t>–</w:t>
              </w:r>
              <w:r w:rsidR="00AF6E5D" w:rsidRPr="005578B3">
                <w:rPr>
                  <w:lang w:val="en-GB"/>
                </w:rPr>
                <w:tab/>
              </w:r>
              <w:sdt>
                <w:sdtPr>
                  <w:rPr>
                    <w:lang w:val="en-GB"/>
                  </w:rPr>
                  <w:id w:val="-892119245"/>
                  <w:placeholder>
                    <w:docPart w:val="D3BCC7D00E6D433C97E1A44BB3AB4EE4"/>
                  </w:placeholder>
                  <w:text/>
                </w:sdtPr>
                <w:sdtEndPr/>
                <w:sdtContent>
                  <w:r w:rsidR="00AF6E5D">
                    <w:rPr>
                      <w:lang w:val="en-GB"/>
                    </w:rPr>
                    <w:t>gene encoding tumour protein 53</w:t>
                  </w:r>
                </w:sdtContent>
              </w:sdt>
            </w:p>
          </w:sdtContent>
        </w:sdt>
        <w:sdt>
          <w:sdtPr>
            <w:rPr>
              <w:lang w:val="en-GB"/>
            </w:rPr>
            <w:id w:val="661504993"/>
            <w:placeholder>
              <w:docPart w:val="F7E27AD184FA40E59F35755EAE01226D"/>
            </w:placeholder>
            <w15:repeatingSectionItem/>
          </w:sdtPr>
          <w:sdtEndPr/>
          <w:sdtContent>
            <w:p w14:paraId="2BAE6106" w14:textId="77777777" w:rsidR="00AF6E5D" w:rsidRPr="005578B3" w:rsidRDefault="00E10EE1" w:rsidP="00AF6E5D">
              <w:pPr>
                <w:pStyle w:val="ZPSeznamzkratek"/>
                <w:rPr>
                  <w:lang w:val="en-GB"/>
                </w:rPr>
              </w:pPr>
              <w:sdt>
                <w:sdtPr>
                  <w:rPr>
                    <w:i/>
                    <w:iCs/>
                    <w:lang w:val="en-GB"/>
                  </w:rPr>
                  <w:id w:val="-213188003"/>
                  <w:placeholder>
                    <w:docPart w:val="A7FC1F47CBD742C297D6A0BDF61A22F7"/>
                  </w:placeholder>
                  <w:text/>
                </w:sdtPr>
                <w:sdtEndPr/>
                <w:sdtContent>
                  <w:r w:rsidR="00AF6E5D">
                    <w:rPr>
                      <w:i/>
                      <w:iCs/>
                      <w:lang w:val="en-GB"/>
                    </w:rPr>
                    <w:t>TPD52</w:t>
                  </w:r>
                </w:sdtContent>
              </w:sdt>
              <w:r w:rsidR="00AF6E5D" w:rsidRPr="005578B3">
                <w:rPr>
                  <w:lang w:val="en-GB"/>
                </w:rPr>
                <w:tab/>
                <w:t>–</w:t>
              </w:r>
              <w:r w:rsidR="00AF6E5D" w:rsidRPr="005578B3">
                <w:rPr>
                  <w:lang w:val="en-GB"/>
                </w:rPr>
                <w:tab/>
              </w:r>
              <w:sdt>
                <w:sdtPr>
                  <w:rPr>
                    <w:lang w:val="en-GB"/>
                  </w:rPr>
                  <w:id w:val="72177184"/>
                  <w:placeholder>
                    <w:docPart w:val="22EFDC4D2D02458A932D60963DA7E05B"/>
                  </w:placeholder>
                  <w:text/>
                </w:sdtPr>
                <w:sdtEndPr/>
                <w:sdtContent>
                  <w:r w:rsidR="00AF6E5D">
                    <w:rPr>
                      <w:lang w:val="en-GB"/>
                    </w:rPr>
                    <w:t>gene encoding tumour protein D52</w:t>
                  </w:r>
                </w:sdtContent>
              </w:sdt>
            </w:p>
          </w:sdtContent>
        </w:sdt>
        <w:sdt>
          <w:sdtPr>
            <w:rPr>
              <w:lang w:val="en-GB"/>
            </w:rPr>
            <w:id w:val="1624886511"/>
            <w:placeholder>
              <w:docPart w:val="2552DFD31B244BE9B523B5EE988D8F9B"/>
            </w:placeholder>
            <w15:repeatingSectionItem/>
          </w:sdtPr>
          <w:sdtEndPr/>
          <w:sdtContent>
            <w:p w14:paraId="5BCCDADA" w14:textId="77777777" w:rsidR="00AF6E5D" w:rsidRPr="005578B3" w:rsidRDefault="00E10EE1" w:rsidP="00AF6E5D">
              <w:pPr>
                <w:pStyle w:val="ZPSeznamzkratek"/>
                <w:rPr>
                  <w:lang w:val="en-GB"/>
                </w:rPr>
              </w:pPr>
              <w:sdt>
                <w:sdtPr>
                  <w:rPr>
                    <w:lang w:val="en-GB"/>
                  </w:rPr>
                  <w:id w:val="1425918394"/>
                  <w:placeholder>
                    <w:docPart w:val="418892C22F734BE286EDDDC65D01F6AA"/>
                  </w:placeholder>
                  <w:text/>
                </w:sdtPr>
                <w:sdtEndPr/>
                <w:sdtContent>
                  <w:r w:rsidR="00AF6E5D">
                    <w:rPr>
                      <w:lang w:val="en-GB"/>
                    </w:rPr>
                    <w:t>TRBP</w:t>
                  </w:r>
                </w:sdtContent>
              </w:sdt>
              <w:r w:rsidR="00AF6E5D" w:rsidRPr="005578B3">
                <w:rPr>
                  <w:lang w:val="en-GB"/>
                </w:rPr>
                <w:tab/>
                <w:t>–</w:t>
              </w:r>
              <w:r w:rsidR="00AF6E5D" w:rsidRPr="005578B3">
                <w:rPr>
                  <w:lang w:val="en-GB"/>
                </w:rPr>
                <w:tab/>
              </w:r>
              <w:sdt>
                <w:sdtPr>
                  <w:rPr>
                    <w:lang w:val="en-GB"/>
                  </w:rPr>
                  <w:id w:val="1202289045"/>
                  <w:placeholder>
                    <w:docPart w:val="5D67AAF588A04F6491160ADD875A34D4"/>
                  </w:placeholder>
                  <w:text/>
                </w:sdtPr>
                <w:sdtEndPr/>
                <w:sdtContent>
                  <w:r w:rsidR="00AF6E5D">
                    <w:rPr>
                      <w:lang w:val="en-GB"/>
                    </w:rPr>
                    <w:t>TAR RNA binding protein 2</w:t>
                  </w:r>
                </w:sdtContent>
              </w:sdt>
            </w:p>
          </w:sdtContent>
        </w:sdt>
        <w:sdt>
          <w:sdtPr>
            <w:rPr>
              <w:lang w:val="en-GB"/>
            </w:rPr>
            <w:id w:val="528229578"/>
            <w:placeholder>
              <w:docPart w:val="1DCEBAE010A449BAA100ACA3C3358632"/>
            </w:placeholder>
            <w15:repeatingSectionItem/>
          </w:sdtPr>
          <w:sdtEndPr/>
          <w:sdtContent>
            <w:p w14:paraId="5CF4B576" w14:textId="77777777" w:rsidR="00AF6E5D" w:rsidRPr="00C83EDC" w:rsidRDefault="00E10EE1" w:rsidP="00AF6E5D">
              <w:pPr>
                <w:pStyle w:val="ZPSeznamzkratek"/>
                <w:tabs>
                  <w:tab w:val="left" w:pos="5685"/>
                </w:tabs>
                <w:rPr>
                  <w:lang w:val="en-GB"/>
                </w:rPr>
              </w:pPr>
              <w:sdt>
                <w:sdtPr>
                  <w:rPr>
                    <w:lang w:val="en-GB"/>
                  </w:rPr>
                  <w:id w:val="-1270307452"/>
                  <w:placeholder>
                    <w:docPart w:val="25FAFC61EF1340B2A87EF9DFA128C093"/>
                  </w:placeholder>
                  <w:text/>
                </w:sdtPr>
                <w:sdtEndPr/>
                <w:sdtContent>
                  <w:r w:rsidR="00AF6E5D">
                    <w:rPr>
                      <w:lang w:val="en-GB"/>
                    </w:rPr>
                    <w:t>TRUS</w:t>
                  </w:r>
                </w:sdtContent>
              </w:sdt>
              <w:r w:rsidR="00AF6E5D" w:rsidRPr="005578B3">
                <w:rPr>
                  <w:lang w:val="en-GB"/>
                </w:rPr>
                <w:tab/>
                <w:t>–</w:t>
              </w:r>
              <w:r w:rsidR="00AF6E5D" w:rsidRPr="005578B3">
                <w:rPr>
                  <w:lang w:val="en-GB"/>
                </w:rPr>
                <w:tab/>
              </w:r>
              <w:sdt>
                <w:sdtPr>
                  <w:rPr>
                    <w:lang w:val="en-GB"/>
                  </w:rPr>
                  <w:id w:val="142938199"/>
                  <w:placeholder>
                    <w:docPart w:val="756F031B13C24154A15CAE1603EC502F"/>
                  </w:placeholder>
                  <w:text/>
                </w:sdtPr>
                <w:sdtEndPr/>
                <w:sdtContent>
                  <w:r w:rsidR="00AF6E5D">
                    <w:rPr>
                      <w:lang w:val="en-GB"/>
                    </w:rPr>
                    <w:t>transrectal ultrasound</w:t>
                  </w:r>
                </w:sdtContent>
              </w:sdt>
              <w:r w:rsidR="00AF6E5D">
                <w:rPr>
                  <w:lang w:val="en-GB"/>
                </w:rPr>
                <w:tab/>
              </w:r>
            </w:p>
          </w:sdtContent>
        </w:sdt>
      </w:sdtContent>
    </w:sdt>
    <w:p w14:paraId="32E248A9" w14:textId="77777777" w:rsidR="00AF6E5D" w:rsidRDefault="00AF6E5D" w:rsidP="00AF6E5D">
      <w:pPr>
        <w:pStyle w:val="Odstavec1"/>
        <w:rPr>
          <w:lang w:val="en-GB"/>
        </w:rPr>
      </w:pPr>
    </w:p>
    <w:p w14:paraId="394874FD" w14:textId="0646F086" w:rsidR="003F666A" w:rsidRPr="00746487" w:rsidRDefault="003F666A" w:rsidP="003F666A">
      <w:pPr>
        <w:pStyle w:val="ZPSeznamzkratek"/>
      </w:pPr>
    </w:p>
    <w:p w14:paraId="2BBCE128" w14:textId="77777777" w:rsidR="002D5F86" w:rsidRPr="00746487" w:rsidRDefault="002D5F86" w:rsidP="002C0686">
      <w:pPr>
        <w:pStyle w:val="ZPSeznamzkratek"/>
        <w:sectPr w:rsidR="002D5F86" w:rsidRPr="00746487" w:rsidSect="00F71F22">
          <w:headerReference w:type="even" r:id="rId27"/>
          <w:headerReference w:type="default" r:id="rId28"/>
          <w:pgSz w:w="11906" w:h="16838" w:code="9"/>
          <w:pgMar w:top="1134" w:right="1134" w:bottom="1134" w:left="1701" w:header="1899" w:footer="1281" w:gutter="0"/>
          <w:cols w:space="708"/>
          <w:docGrid w:linePitch="360"/>
        </w:sectPr>
      </w:pPr>
    </w:p>
    <w:p w14:paraId="08168DCE" w14:textId="18B37283" w:rsidR="00DD38C5" w:rsidRPr="00746487" w:rsidRDefault="00AF6E5D" w:rsidP="00AF6E5D">
      <w:pPr>
        <w:pStyle w:val="Nadpis1"/>
        <w:numPr>
          <w:ilvl w:val="0"/>
          <w:numId w:val="0"/>
        </w:numPr>
        <w:ind w:left="360" w:hanging="360"/>
      </w:pPr>
      <w:bookmarkStart w:id="12" w:name="ZN_TEXT"/>
      <w:bookmarkStart w:id="13" w:name="_Toc48160981"/>
      <w:bookmarkEnd w:id="12"/>
      <w:proofErr w:type="spellStart"/>
      <w:r>
        <w:lastRenderedPageBreak/>
        <w:t>Introduction</w:t>
      </w:r>
      <w:bookmarkEnd w:id="13"/>
      <w:proofErr w:type="spellEnd"/>
    </w:p>
    <w:p w14:paraId="6A2DD0C4" w14:textId="77777777" w:rsidR="00AF6E5D" w:rsidRPr="00B24870" w:rsidRDefault="00AF6E5D" w:rsidP="00AF6E5D">
      <w:pPr>
        <w:pStyle w:val="Odstavec1"/>
      </w:pPr>
      <w:r w:rsidRPr="0019695A">
        <w:rPr>
          <w:lang w:val="en-GB"/>
        </w:rPr>
        <w:t>Prostate cancer</w:t>
      </w:r>
      <w:r>
        <w:rPr>
          <w:lang w:val="en-GB"/>
        </w:rPr>
        <w:t xml:space="preserve"> (</w:t>
      </w:r>
      <w:proofErr w:type="spellStart"/>
      <w:r>
        <w:rPr>
          <w:lang w:val="en-GB"/>
        </w:rPr>
        <w:t>PCa</w:t>
      </w:r>
      <w:proofErr w:type="spellEnd"/>
      <w:r>
        <w:rPr>
          <w:lang w:val="en-GB"/>
        </w:rPr>
        <w:t>)</w:t>
      </w:r>
      <w:r w:rsidRPr="0019695A">
        <w:rPr>
          <w:lang w:val="en-GB"/>
        </w:rPr>
        <w:t xml:space="preserve"> is the second most </w:t>
      </w:r>
      <w:r>
        <w:rPr>
          <w:lang w:val="en-GB"/>
        </w:rPr>
        <w:t>common</w:t>
      </w:r>
      <w:r w:rsidRPr="0019695A">
        <w:rPr>
          <w:lang w:val="en-GB"/>
        </w:rPr>
        <w:t xml:space="preserve"> malign</w:t>
      </w:r>
      <w:r>
        <w:rPr>
          <w:lang w:val="en-GB"/>
        </w:rPr>
        <w:t>ancy among</w:t>
      </w:r>
      <w:r w:rsidRPr="0019695A">
        <w:rPr>
          <w:lang w:val="en-GB"/>
        </w:rPr>
        <w:t xml:space="preserve"> men worldwide. </w:t>
      </w:r>
      <w:r>
        <w:rPr>
          <w:lang w:val="en-GB"/>
        </w:rPr>
        <w:t xml:space="preserve">Regarding </w:t>
      </w:r>
      <w:r w:rsidRPr="0019695A">
        <w:rPr>
          <w:lang w:val="en-GB"/>
        </w:rPr>
        <w:t>the risk</w:t>
      </w:r>
      <w:r>
        <w:rPr>
          <w:lang w:val="en-GB"/>
        </w:rPr>
        <w:t xml:space="preserve"> of progression</w:t>
      </w:r>
      <w:r w:rsidRPr="0019695A">
        <w:rPr>
          <w:lang w:val="en-GB"/>
        </w:rPr>
        <w:t>,</w:t>
      </w:r>
      <w:r>
        <w:rPr>
          <w:lang w:val="en-GB"/>
        </w:rPr>
        <w:t xml:space="preserve"> indolent prostate</w:t>
      </w:r>
      <w:r w:rsidRPr="00296453">
        <w:rPr>
          <w:lang w:val="en-GB"/>
        </w:rPr>
        <w:t xml:space="preserve"> </w:t>
      </w:r>
      <w:r>
        <w:rPr>
          <w:lang w:val="en-GB"/>
        </w:rPr>
        <w:t>tumours</w:t>
      </w:r>
      <w:r w:rsidRPr="00296453">
        <w:rPr>
          <w:lang w:val="en-GB"/>
        </w:rPr>
        <w:t xml:space="preserve"> are classified as</w:t>
      </w:r>
      <w:r>
        <w:rPr>
          <w:lang w:val="en-GB"/>
        </w:rPr>
        <w:t xml:space="preserve"> those that are </w:t>
      </w:r>
      <w:r w:rsidRPr="0019695A">
        <w:rPr>
          <w:lang w:val="en-GB"/>
        </w:rPr>
        <w:t>slow growing</w:t>
      </w:r>
      <w:r>
        <w:rPr>
          <w:lang w:val="en-GB"/>
        </w:rPr>
        <w:t>,</w:t>
      </w:r>
      <w:r w:rsidRPr="0019695A">
        <w:rPr>
          <w:lang w:val="en-GB"/>
        </w:rPr>
        <w:t xml:space="preserve"> localized </w:t>
      </w:r>
      <w:r>
        <w:rPr>
          <w:lang w:val="en-GB"/>
        </w:rPr>
        <w:t>and are not</w:t>
      </w:r>
      <w:r w:rsidRPr="0019695A">
        <w:rPr>
          <w:lang w:val="en-GB"/>
        </w:rPr>
        <w:t xml:space="preserve"> life-threatening </w:t>
      </w:r>
      <w:r>
        <w:rPr>
          <w:lang w:val="en-GB"/>
        </w:rPr>
        <w:t>for</w:t>
      </w:r>
      <w:r w:rsidRPr="0019695A">
        <w:rPr>
          <w:lang w:val="en-GB"/>
        </w:rPr>
        <w:t xml:space="preserve"> the patie</w:t>
      </w:r>
      <w:r>
        <w:rPr>
          <w:lang w:val="en-GB"/>
        </w:rPr>
        <w:t xml:space="preserve">nt. </w:t>
      </w:r>
      <w:r w:rsidRPr="00296453">
        <w:rPr>
          <w:lang w:val="en-GB"/>
        </w:rPr>
        <w:t>However</w:t>
      </w:r>
      <w:r>
        <w:rPr>
          <w:lang w:val="en-GB"/>
        </w:rPr>
        <w:t>,</w:t>
      </w:r>
      <w:r w:rsidRPr="00296453">
        <w:rPr>
          <w:lang w:val="en-GB"/>
        </w:rPr>
        <w:t xml:space="preserve"> </w:t>
      </w:r>
      <w:r>
        <w:rPr>
          <w:lang w:val="en-GB"/>
        </w:rPr>
        <w:t>some tumours manifest</w:t>
      </w:r>
      <w:r w:rsidRPr="00296453">
        <w:rPr>
          <w:lang w:val="en-GB"/>
        </w:rPr>
        <w:t xml:space="preserve"> aggressive</w:t>
      </w:r>
      <w:r>
        <w:rPr>
          <w:lang w:val="en-GB"/>
        </w:rPr>
        <w:t xml:space="preserve"> behaviour that includes </w:t>
      </w:r>
      <w:r w:rsidRPr="009819AC">
        <w:rPr>
          <w:lang w:val="en-GB"/>
        </w:rPr>
        <w:t>local invasion of the seminal vesicles, followed by metastasis</w:t>
      </w:r>
      <w:r>
        <w:rPr>
          <w:lang w:val="en-GB"/>
        </w:rPr>
        <w:t xml:space="preserve">, which often leads to the patient’s death. </w:t>
      </w:r>
    </w:p>
    <w:p w14:paraId="7AAEEBE1" w14:textId="77777777" w:rsidR="00AF6E5D" w:rsidRDefault="00AF6E5D" w:rsidP="00AF6E5D">
      <w:pPr>
        <w:pStyle w:val="Odstavec1"/>
        <w:ind w:firstLine="709"/>
        <w:rPr>
          <w:lang w:val="en-GB"/>
        </w:rPr>
      </w:pPr>
      <w:r w:rsidRPr="0019695A">
        <w:rPr>
          <w:lang w:val="en-GB"/>
        </w:rPr>
        <w:t>Current</w:t>
      </w:r>
      <w:r>
        <w:rPr>
          <w:lang w:val="en-GB"/>
        </w:rPr>
        <w:t xml:space="preserve">ly, </w:t>
      </w:r>
      <w:r w:rsidRPr="0019695A">
        <w:rPr>
          <w:lang w:val="en-GB"/>
        </w:rPr>
        <w:t>molecular diagnosi</w:t>
      </w:r>
      <w:r>
        <w:rPr>
          <w:lang w:val="en-GB"/>
        </w:rPr>
        <w:t>s</w:t>
      </w:r>
      <w:r w:rsidRPr="0019695A">
        <w:rPr>
          <w:lang w:val="en-GB"/>
        </w:rPr>
        <w:t xml:space="preserve"> of prostate cancer is based on</w:t>
      </w:r>
      <w:r>
        <w:rPr>
          <w:lang w:val="en-GB"/>
        </w:rPr>
        <w:t xml:space="preserve"> digital rectal examination (DRE) and </w:t>
      </w:r>
      <w:r w:rsidRPr="0019695A">
        <w:rPr>
          <w:lang w:val="en-GB"/>
        </w:rPr>
        <w:t xml:space="preserve">the detection of prostate specific antigen (PSA) in </w:t>
      </w:r>
      <w:r>
        <w:rPr>
          <w:lang w:val="en-GB"/>
        </w:rPr>
        <w:t xml:space="preserve">blood </w:t>
      </w:r>
      <w:r w:rsidRPr="0019695A">
        <w:rPr>
          <w:lang w:val="en-GB"/>
        </w:rPr>
        <w:t xml:space="preserve">serum. In patients with elevated PSA levels, prostate biopsy is indicated to confirm the presence of </w:t>
      </w:r>
      <w:r>
        <w:rPr>
          <w:lang w:val="en-GB"/>
        </w:rPr>
        <w:t>cancerous growth</w:t>
      </w:r>
      <w:r w:rsidRPr="0019695A">
        <w:rPr>
          <w:lang w:val="en-GB"/>
        </w:rPr>
        <w:t xml:space="preserve">. Although routine PSA testing has increased detection, PSA </w:t>
      </w:r>
      <w:r>
        <w:rPr>
          <w:lang w:val="en-GB"/>
        </w:rPr>
        <w:t>levels</w:t>
      </w:r>
      <w:r w:rsidRPr="0019695A">
        <w:rPr>
          <w:lang w:val="en-GB"/>
        </w:rPr>
        <w:t xml:space="preserve"> show very low specificity</w:t>
      </w:r>
      <w:r>
        <w:rPr>
          <w:lang w:val="en-GB"/>
        </w:rPr>
        <w:t xml:space="preserve"> for prostate cancer</w:t>
      </w:r>
      <w:r w:rsidRPr="0019695A">
        <w:rPr>
          <w:lang w:val="en-GB"/>
        </w:rPr>
        <w:t xml:space="preserve">. </w:t>
      </w:r>
      <w:r>
        <w:rPr>
          <w:lang w:val="en-GB"/>
        </w:rPr>
        <w:t xml:space="preserve">Because PSA is an organ specific biomarker, it can also be elevated in </w:t>
      </w:r>
      <w:r w:rsidRPr="009819AC">
        <w:rPr>
          <w:lang w:val="en-GB"/>
        </w:rPr>
        <w:t>men with benign prostatic hyperplasia (BPH) and prostatitis</w:t>
      </w:r>
      <w:r>
        <w:rPr>
          <w:lang w:val="en-GB"/>
        </w:rPr>
        <w:t xml:space="preserve">. Resulting false positive results may lead to unnecessary biopsies and side-effects associated with the procedures or overtreatment. </w:t>
      </w:r>
    </w:p>
    <w:p w14:paraId="239C2089" w14:textId="034D4DA6" w:rsidR="00AF6E5D" w:rsidRDefault="00AF6E5D" w:rsidP="00EE7EB3">
      <w:pPr>
        <w:pStyle w:val="Dalodstavce"/>
        <w:rPr>
          <w:lang w:val="en-GB"/>
        </w:rPr>
      </w:pPr>
      <w:r w:rsidRPr="00EE7EB3">
        <w:t>In</w:t>
      </w:r>
      <w:r w:rsidRPr="0019695A">
        <w:rPr>
          <w:lang w:val="en-GB"/>
        </w:rPr>
        <w:t xml:space="preserve"> recent years,</w:t>
      </w:r>
      <w:r>
        <w:rPr>
          <w:lang w:val="en-GB"/>
        </w:rPr>
        <w:t xml:space="preserve"> short</w:t>
      </w:r>
      <w:r w:rsidRPr="0019695A">
        <w:rPr>
          <w:lang w:val="en-GB"/>
        </w:rPr>
        <w:t xml:space="preserve"> non-coding RNAs</w:t>
      </w:r>
      <w:r>
        <w:rPr>
          <w:lang w:val="en-GB"/>
        </w:rPr>
        <w:t xml:space="preserve"> have</w:t>
      </w:r>
      <w:r w:rsidRPr="0019695A">
        <w:rPr>
          <w:lang w:val="en-GB"/>
        </w:rPr>
        <w:t xml:space="preserve"> </w:t>
      </w:r>
      <w:r>
        <w:rPr>
          <w:lang w:val="en-GB"/>
        </w:rPr>
        <w:t xml:space="preserve">attracted attention </w:t>
      </w:r>
      <w:r w:rsidRPr="0019695A">
        <w:rPr>
          <w:lang w:val="en-GB"/>
        </w:rPr>
        <w:t xml:space="preserve">as a group of potential biomarkers. microRNA (miRNA) </w:t>
      </w:r>
      <w:r>
        <w:rPr>
          <w:lang w:val="en-GB"/>
        </w:rPr>
        <w:t>are involved in the post-transcriptional regulation of many genes and their a</w:t>
      </w:r>
      <w:r w:rsidRPr="0019695A">
        <w:rPr>
          <w:lang w:val="en-GB"/>
        </w:rPr>
        <w:t xml:space="preserve">ltered expression profiles have been associated with the development of </w:t>
      </w:r>
      <w:r w:rsidR="0048503A">
        <w:rPr>
          <w:lang w:val="en-GB"/>
        </w:rPr>
        <w:br/>
      </w:r>
      <w:proofErr w:type="gramStart"/>
      <w:r>
        <w:rPr>
          <w:lang w:val="en-GB"/>
        </w:rPr>
        <w:t>a number</w:t>
      </w:r>
      <w:r w:rsidRPr="0019695A">
        <w:rPr>
          <w:lang w:val="en-GB"/>
        </w:rPr>
        <w:t xml:space="preserve"> </w:t>
      </w:r>
      <w:r>
        <w:rPr>
          <w:lang w:val="en-GB"/>
        </w:rPr>
        <w:t>of</w:t>
      </w:r>
      <w:proofErr w:type="gramEnd"/>
      <w:r>
        <w:rPr>
          <w:lang w:val="en-GB"/>
        </w:rPr>
        <w:t xml:space="preserve"> </w:t>
      </w:r>
      <w:r w:rsidRPr="0019695A">
        <w:rPr>
          <w:lang w:val="en-GB"/>
        </w:rPr>
        <w:t>diseases, including cancer</w:t>
      </w:r>
      <w:r>
        <w:rPr>
          <w:lang w:val="en-GB"/>
        </w:rPr>
        <w:t>. Apart from</w:t>
      </w:r>
      <w:r w:rsidRPr="00B24870">
        <w:rPr>
          <w:lang w:val="en-GB"/>
        </w:rPr>
        <w:t xml:space="preserve"> tissue, they also occur in body fluids, where they are very stable,</w:t>
      </w:r>
      <w:r>
        <w:rPr>
          <w:lang w:val="en-GB"/>
        </w:rPr>
        <w:t xml:space="preserve"> and the d</w:t>
      </w:r>
      <w:r w:rsidRPr="0019695A">
        <w:rPr>
          <w:lang w:val="en-GB"/>
        </w:rPr>
        <w:t>etection of their levels suggests possible use in prostate cancer</w:t>
      </w:r>
      <w:r>
        <w:rPr>
          <w:lang w:val="en-GB"/>
        </w:rPr>
        <w:t xml:space="preserve"> diagnosis</w:t>
      </w:r>
      <w:r w:rsidRPr="0019695A">
        <w:rPr>
          <w:lang w:val="en-GB"/>
        </w:rPr>
        <w:t>.</w:t>
      </w:r>
      <w:r>
        <w:rPr>
          <w:lang w:val="en-GB"/>
        </w:rPr>
        <w:t xml:space="preserve"> Additionally, their specific expression levels often reflect disease progression which could be useful for prognostic purposes. </w:t>
      </w:r>
    </w:p>
    <w:p w14:paraId="6781B9F9" w14:textId="1278DD7C" w:rsidR="00DD38C5" w:rsidRDefault="00AF6E5D" w:rsidP="00EE7EB3">
      <w:pPr>
        <w:pStyle w:val="Dalodstavce"/>
        <w:rPr>
          <w:lang w:val="en-GB"/>
        </w:rPr>
      </w:pPr>
      <w:r>
        <w:rPr>
          <w:lang w:val="en-GB"/>
        </w:rPr>
        <w:t xml:space="preserve">The aim of this diploma project is to explore the potential of miRNAs to improve prostate cancer diagnostics using high-throughput methods. </w:t>
      </w:r>
      <w:bookmarkStart w:id="14" w:name="_Hlk48164496"/>
      <w:r>
        <w:rPr>
          <w:lang w:val="en-GB"/>
        </w:rPr>
        <w:t xml:space="preserve">The discovered miRNAs with significantly changed expression levels between the investigated groups could refine </w:t>
      </w:r>
      <w:proofErr w:type="spellStart"/>
      <w:r>
        <w:rPr>
          <w:lang w:val="en-GB"/>
        </w:rPr>
        <w:t>PCa</w:t>
      </w:r>
      <w:proofErr w:type="spellEnd"/>
      <w:r>
        <w:rPr>
          <w:lang w:val="en-GB"/>
        </w:rPr>
        <w:t xml:space="preserve"> identification by discriminating between indolent and aggressive types of tumour</w:t>
      </w:r>
      <w:bookmarkEnd w:id="14"/>
      <w:r>
        <w:rPr>
          <w:lang w:val="en-GB"/>
        </w:rPr>
        <w:t>. In addition, the non-invasive nature of obtaining circulating miRNAs might be a valuable diagnostic tool in clinical practice</w:t>
      </w:r>
    </w:p>
    <w:p w14:paraId="41D5A0A9" w14:textId="36B6E129" w:rsidR="00EE7EB3" w:rsidRDefault="00EE7EB3" w:rsidP="00EE7EB3">
      <w:pPr>
        <w:pStyle w:val="Dalodstavce"/>
        <w:rPr>
          <w:lang w:val="en-GB"/>
        </w:rPr>
      </w:pPr>
    </w:p>
    <w:p w14:paraId="20E8BD89" w14:textId="77777777" w:rsidR="00EE7EB3" w:rsidRPr="00EE7EB3" w:rsidRDefault="00EE7EB3" w:rsidP="00EE7EB3">
      <w:pPr>
        <w:pStyle w:val="Dalodstavce"/>
        <w:rPr>
          <w:lang w:val="en-GB"/>
        </w:rPr>
      </w:pPr>
    </w:p>
    <w:p w14:paraId="76C881FC" w14:textId="56BC66FD" w:rsidR="00DD38C5" w:rsidRDefault="00DD38C5" w:rsidP="00EE7EB3">
      <w:pPr>
        <w:pStyle w:val="Dalodstavce"/>
      </w:pPr>
    </w:p>
    <w:p w14:paraId="14C7CD08" w14:textId="63CBE3E2" w:rsidR="00EE7EB3" w:rsidRDefault="00EE7EB3" w:rsidP="00EE7EB3">
      <w:pPr>
        <w:pStyle w:val="Dalodstavce"/>
      </w:pPr>
    </w:p>
    <w:p w14:paraId="314B4791" w14:textId="3F2E5324" w:rsidR="00EE7EB3" w:rsidRPr="00C83EDC" w:rsidRDefault="00EE7EB3" w:rsidP="00EE7EB3">
      <w:pPr>
        <w:pStyle w:val="Nadpis10"/>
        <w:rPr>
          <w:b w:val="0"/>
          <w:bCs w:val="0"/>
        </w:rPr>
      </w:pPr>
      <w:bookmarkStart w:id="15" w:name="_Toc47889311"/>
      <w:bookmarkStart w:id="16" w:name="_Toc48160982"/>
      <w:r w:rsidRPr="00C83EDC">
        <w:rPr>
          <w:b w:val="0"/>
          <w:bCs w:val="0"/>
        </w:rPr>
        <w:lastRenderedPageBreak/>
        <w:t>THEORETICAL PART</w:t>
      </w:r>
      <w:bookmarkEnd w:id="15"/>
      <w:bookmarkEnd w:id="16"/>
    </w:p>
    <w:p w14:paraId="3005484A" w14:textId="77777777" w:rsidR="00EE7EB3" w:rsidRPr="00C83EDC" w:rsidRDefault="00EE7EB3" w:rsidP="00EE7EB3">
      <w:pPr>
        <w:pStyle w:val="Nadpis1"/>
        <w:rPr>
          <w:lang w:val="en-GB"/>
        </w:rPr>
      </w:pPr>
      <w:bookmarkStart w:id="17" w:name="_Toc47889312"/>
      <w:bookmarkStart w:id="18" w:name="_Toc48160983"/>
      <w:r w:rsidRPr="00C83EDC">
        <w:rPr>
          <w:lang w:val="en-GB"/>
        </w:rPr>
        <w:t xml:space="preserve">Prostate </w:t>
      </w:r>
      <w:bookmarkEnd w:id="17"/>
      <w:r>
        <w:rPr>
          <w:lang w:val="en-GB"/>
        </w:rPr>
        <w:t>cancer</w:t>
      </w:r>
      <w:bookmarkEnd w:id="18"/>
    </w:p>
    <w:bookmarkStart w:id="19" w:name="_Toc48160984" w:displacedByCustomXml="next"/>
    <w:bookmarkStart w:id="20" w:name="_Toc47889313" w:displacedByCustomXml="next"/>
    <w:sdt>
      <w:sdtPr>
        <w:rPr>
          <w:lang w:val="en-GB"/>
        </w:rPr>
        <w:id w:val="-634411808"/>
        <w:placeholder>
          <w:docPart w:val="99DB6736DE7E4D9B964ACA1957AA0D82"/>
        </w:placeholder>
        <w:text/>
      </w:sdtPr>
      <w:sdtEndPr/>
      <w:sdtContent>
        <w:p w14:paraId="55B304B7" w14:textId="77777777" w:rsidR="00EE7EB3" w:rsidRPr="00C83EDC" w:rsidRDefault="00EE7EB3" w:rsidP="00EE7EB3">
          <w:pPr>
            <w:pStyle w:val="Nadpis2"/>
            <w:numPr>
              <w:ilvl w:val="1"/>
              <w:numId w:val="22"/>
            </w:numPr>
            <w:rPr>
              <w:lang w:val="en-GB"/>
            </w:rPr>
          </w:pPr>
          <w:r>
            <w:rPr>
              <w:lang w:val="en-GB"/>
            </w:rPr>
            <w:t>Epidemiology</w:t>
          </w:r>
        </w:p>
      </w:sdtContent>
    </w:sdt>
    <w:bookmarkEnd w:id="19" w:displacedByCustomXml="prev"/>
    <w:bookmarkEnd w:id="20" w:displacedByCustomXml="prev"/>
    <w:p w14:paraId="4FC8C569" w14:textId="241ADA83" w:rsidR="00EE7EB3" w:rsidRPr="001552A4" w:rsidRDefault="00EE7EB3" w:rsidP="00EE7EB3">
      <w:pPr>
        <w:pStyle w:val="Odstavec1"/>
        <w:rPr>
          <w:lang w:val="en-GB"/>
        </w:rPr>
      </w:pPr>
      <w:r w:rsidRPr="00C83EDC">
        <w:rPr>
          <w:lang w:val="en-GB"/>
        </w:rPr>
        <w:t>Prostate cancer is estimated to be the second most often diagnosed cancer globally and the fifth most common cause of cancer-related death in men</w:t>
      </w:r>
      <w:r w:rsidRPr="00C83EDC">
        <w:rPr>
          <w:lang w:val="en-GB"/>
        </w:rPr>
        <w:fldChar w:fldCharType="begin" w:fldLock="1"/>
      </w:r>
      <w:r w:rsidR="000C069C">
        <w:rPr>
          <w:lang w:val="en-GB"/>
        </w:rPr>
        <w:instrText>ADDIN CSL_CITATION {"citationItems":[{"id":"ITEM-1","itemData":{"DOI":"10.3322/caac.21492","ISSN":"1542-4863","PMID":"30207593","abstract":"This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Clinicians","id":"ITEM-1","issue":"6","issued":{"date-parts":[["2018"]]},"page":"394-424","title":"Global cancer statistics 2018: GLOBOCAN estimates of incidence and mortality worldwide for 36 cancers in 185 countries","type":"article-journal","volume":"68"},"uris":["http://www.mendeley.com/documents/?uuid=d86ec10c-a344-4094-950e-9cda29579c76"]}],"mendeley":{"formattedCitation":"&lt;sup&gt;1&lt;/sup&gt;","plainTextFormattedCitation":"1","previouslyFormattedCitation":"[1]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w:t>
      </w:r>
      <w:r w:rsidRPr="00C83EDC">
        <w:rPr>
          <w:lang w:val="en-GB"/>
        </w:rPr>
        <w:fldChar w:fldCharType="end"/>
      </w:r>
      <w:r w:rsidRPr="00C83EDC">
        <w:rPr>
          <w:lang w:val="en-GB"/>
        </w:rPr>
        <w:t>. In the Czech Republic, prostate cancer was the most frequently detected cancer among men (excluding skin cancer) in</w:t>
      </w:r>
      <w:r>
        <w:rPr>
          <w:lang w:val="en-GB"/>
        </w:rPr>
        <w:t xml:space="preserve"> the </w:t>
      </w:r>
      <w:r w:rsidRPr="00C83EDC">
        <w:rPr>
          <w:lang w:val="en-GB"/>
        </w:rPr>
        <w:t xml:space="preserve">year 2017, with the crude incidence of 151 cases per 100,000 men. </w:t>
      </w:r>
      <w:r>
        <w:rPr>
          <w:lang w:val="en-GB"/>
        </w:rPr>
        <w:t>A</w:t>
      </w:r>
      <w:r w:rsidRPr="00C83EDC">
        <w:rPr>
          <w:lang w:val="en-GB"/>
        </w:rPr>
        <w:t xml:space="preserve"> mortality rate of 30 cases per 100,000 men made it the third leading cause of cancer death</w:t>
      </w:r>
      <w:r w:rsidRPr="00C83EDC">
        <w:rPr>
          <w:lang w:val="en-GB"/>
        </w:rPr>
        <w:fldChar w:fldCharType="begin" w:fldLock="1"/>
      </w:r>
      <w:r w:rsidR="000C069C">
        <w:rPr>
          <w:lang w:val="en-GB"/>
        </w:rPr>
        <w:instrText>ADDIN CSL_CITATION {"citationItems":[{"id":"ITEM-1","itemData":{"author":[{"dropping-particle":"","family":"Dušek","given":"Ladislav","non-dropping-particle":"","parse-names":false,"suffix":""},{"dropping-particle":"","family":"Mužík","given":"Jan","non-dropping-particle":"","parse-names":false,"suffix":""},{"dropping-particle":"","family":"Kubásek","given":"Miroslav","non-dropping-particle":"","parse-names":false,"suffix":""},{"dropping-particle":"","family":"Koptíková","given":"Jana","non-dropping-particle":"","parse-names":false,"suffix":""},{"dropping-particle":"","family":"Žaloudík","given":"Jan","non-dropping-particle":"","parse-names":false,"suffix":""},{"dropping-particle":"","family":"Vyzula","given":"Rostislav","non-dropping-particle":"","parse-names":false,"suffix":""}],"container-title":"Masarykova univerzita","id":"ITEM-1","issued":{"date-parts":[["2005"]]},"title":"Epidemiologie zhoubných nádorů v České republice [online]","type":"article"},"uris":["http://www.mendeley.com/documents/?uuid=dec3f90c-aabf-4a1f-93eb-89e69239e1cb"]}],"mendeley":{"formattedCitation":"&lt;sup&gt;2&lt;/sup&gt;","plainTextFormattedCitation":"2","previouslyFormattedCitation":"[2]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w:t>
      </w:r>
      <w:r w:rsidRPr="00C83EDC">
        <w:rPr>
          <w:lang w:val="en-GB"/>
        </w:rPr>
        <w:fldChar w:fldCharType="end"/>
      </w:r>
      <w:r w:rsidRPr="00C83EDC">
        <w:rPr>
          <w:lang w:val="en-GB"/>
        </w:rPr>
        <w:t>.</w:t>
      </w:r>
      <w:r>
        <w:rPr>
          <w:lang w:val="en-GB"/>
        </w:rPr>
        <w:t xml:space="preserve"> Prostate cancer is typically slow growing with 40% of men showing no clinical symptoms at the point of diagnosis. Over 99% of patients have a s</w:t>
      </w:r>
      <w:r w:rsidRPr="00DB32DE">
        <w:rPr>
          <w:lang w:val="en-GB"/>
        </w:rPr>
        <w:t>urvival</w:t>
      </w:r>
      <w:r>
        <w:rPr>
          <w:lang w:val="en-GB"/>
        </w:rPr>
        <w:t xml:space="preserve"> rate of at least five-years in the case of localized disease, however the rate drops to 30% if they are diagnosed at the advanced, metastatic stage</w:t>
      </w:r>
      <w:r>
        <w:rPr>
          <w:lang w:val="en-GB"/>
        </w:rPr>
        <w:fldChar w:fldCharType="begin" w:fldLock="1"/>
      </w:r>
      <w:r w:rsidR="000C069C">
        <w:rPr>
          <w:lang w:val="en-GB"/>
        </w:rPr>
        <w:instrText>ADDIN CSL_CITATION {"citationItems":[{"id":"ITEM-1","itemData":{"DOI":"10.3390/cancers12020513","ISSN":"20726694","abstract":"Prostate cancer (PCa) is the second most common cancer of men and is typically slow-growing and asymptomatic. The use of blood PSA as a screening method has greatly improved PCa diagnosis, but high levels of false positives has raised much interest in alternative biomarkers. We used next-generation sequencing (NGS) to elucidate the urinary transcriptome of whole urine collected from high-stage and low-stage PCa patients as well as from patients with the confounding diagnosis of benign hyperplasia (BPH). We identified and validated five differentially expressed protein-coding genes (FTH1 BRPF1, OSBP, PHC3, and UACA) in an independent validation cohort of small-volume (1 mL) centrifuged urine (n = 94) and non-centrifuged urine (n = 84) by droplet digital (dd)PCR. These biomarkers were able to discriminate between BPH and PCa patients and healthy controls using either centrifuged or non-centrifuged whole urine samples, suggesting that the urinary transcriptome is a valuable source of non-invasive biomarkers for PCa that warrants further investigation.","author":[{"dropping-particle":"","family":"Solé","given":"Carla","non-dropping-particle":"","parse-names":false,"suffix":""},{"dropping-particle":"","family":"Goicoechea","given":"Ibai","non-dropping-particle":"","parse-names":false,"suffix":""},{"dropping-particle":"","family":"Goñi","given":"Alai","non-dropping-particle":"","parse-names":false,"suffix":""},{"dropping-particle":"","family":"Schramm","given":"Maike","non-dropping-particle":"","parse-names":false,"suffix":""},{"dropping-particle":"","family":"Armesto","given":"María","non-dropping-particle":"","parse-names":false,"suffix":""},{"dropping-particle":"","family":"Arestin","given":"María","non-dropping-particle":"","parse-names":false,"suffix":""},{"dropping-particle":"","family":"Manterola","given":"Lorea","non-dropping-particle":"","parse-names":false,"suffix":""},{"dropping-particle":"","family":"Tellaetxe","given":"Maitena","non-dropping-particle":"","parse-names":false,"suffix":""},{"dropping-particle":"","family":"Alberdi","given":"Aitor","non-dropping-particle":"","parse-names":false,"suffix":""},{"dropping-particle":"","family":"Nogueira","given":"Leonor","non-dropping-particle":"","parse-names":false,"suffix":""},{"dropping-particle":"","family":"Roumiguie","given":"Mathieu","non-dropping-particle":"","parse-names":false,"suffix":""},{"dropping-particle":"","family":"López","given":"Jose Ignacio","non-dropping-particle":"","parse-names":false,"suffix":""},{"dropping-particle":"","family":"Jaka","given":"Juan Pablo Sanz","non-dropping-particle":"","parse-names":false,"suffix":""},{"dropping-particle":"","family":"Urruticoechea","given":"Ander","non-dropping-particle":"","parse-names":false,"suffix":""},{"dropping-particle":"","family":"Vergara","given":"Itziar","non-dropping-particle":"","parse-names":false,"suffix":""},{"dropping-particle":"","family":"Loizaga-Iriarte","given":"Ana","non-dropping-particle":"","parse-names":false,"suffix":""},{"dropping-particle":"","family":"Unda","given":"Miguel","non-dropping-particle":"","parse-names":false,"suffix":""},{"dropping-particle":"","family":"Carracedo","given":"Arkaitz","non-dropping-particle":"","parse-names":false,"suffix":""},{"dropping-particle":"","family":"Malavaud","given":"Bernard","non-dropping-particle":"","parse-names":false,"suffix":""},{"dropping-particle":"","family":"Lawrie","given":"Charles H.","non-dropping-particle":"","parse-names":false,"suffix":""}],"container-title":"Cancers","id":"ITEM-1","issue":"2","issued":{"date-parts":[["2020"]]},"page":"1-14","title":"The urinary transcriptome as a source of biomarkers for prostate cancer","type":"article-journal","volume":"12"},"uris":["http://www.mendeley.com/documents/?uuid=25e3d5ca-3ea1-4b05-93a6-605d7c7e4987"]}],"mendeley":{"formattedCitation":"&lt;sup&gt;3&lt;/sup&gt;","plainTextFormattedCitation":"3","previouslyFormattedCitation":"[3]"},"properties":{"noteIndex":0},"schema":"https://github.com/citation-style-language/schema/raw/master/csl-citation.json"}</w:instrText>
      </w:r>
      <w:r>
        <w:rPr>
          <w:lang w:val="en-GB"/>
        </w:rPr>
        <w:fldChar w:fldCharType="separate"/>
      </w:r>
      <w:r w:rsidR="000C069C" w:rsidRPr="000C069C">
        <w:rPr>
          <w:noProof/>
          <w:vertAlign w:val="superscript"/>
          <w:lang w:val="en-GB"/>
        </w:rPr>
        <w:t>3</w:t>
      </w:r>
      <w:r>
        <w:rPr>
          <w:lang w:val="en-GB"/>
        </w:rPr>
        <w:fldChar w:fldCharType="end"/>
      </w:r>
      <w:r>
        <w:rPr>
          <w:lang w:val="en-GB"/>
        </w:rPr>
        <w:t xml:space="preserve">. </w:t>
      </w:r>
      <w:r w:rsidRPr="004C6BED">
        <w:rPr>
          <w:lang w:val="en-GB"/>
        </w:rPr>
        <w:t xml:space="preserve">The risk of clinically significant prostate cancer is related to age, ethnicity, family history, PSA level, free/total PSA ratio and findings on </w:t>
      </w:r>
      <w:r>
        <w:rPr>
          <w:lang w:val="en-GB"/>
        </w:rPr>
        <w:t xml:space="preserve">DRE. These clinical parameters are important for </w:t>
      </w:r>
      <w:proofErr w:type="spellStart"/>
      <w:r>
        <w:rPr>
          <w:lang w:val="en-GB"/>
        </w:rPr>
        <w:t>PCa</w:t>
      </w:r>
      <w:proofErr w:type="spellEnd"/>
      <w:r>
        <w:rPr>
          <w:lang w:val="en-GB"/>
        </w:rPr>
        <w:t xml:space="preserve"> diagnosis, with</w:t>
      </w:r>
      <w:r w:rsidRPr="004C6BED">
        <w:rPr>
          <w:lang w:val="en-GB"/>
        </w:rPr>
        <w:t xml:space="preserve"> </w:t>
      </w:r>
      <w:r>
        <w:rPr>
          <w:lang w:val="en-GB"/>
        </w:rPr>
        <w:t>DRE being the main method of clinical T stage evaluation</w:t>
      </w:r>
      <w:r>
        <w:rPr>
          <w:lang w:val="en-GB"/>
        </w:rPr>
        <w:fldChar w:fldCharType="begin" w:fldLock="1"/>
      </w:r>
      <w:r w:rsidR="000C069C">
        <w:rPr>
          <w:lang w:val="en-GB"/>
        </w:rPr>
        <w:instrText>ADDIN CSL_CITATION {"citationItems":[{"id":"ITEM-1","itemData":{"DOI":"10.1093/annonc/mdv222","ISSN":"15698041","author":[{"dropping-particle":"","family":"Parker","given":"C.","non-dropping-particle":"","parse-names":false,"suffix":""},{"dropping-particle":"","family":"Gillessen","given":"S.","non-dropping-particle":"","parse-names":false,"suffix":""},{"dropping-particle":"","family":"Heidenreich","given":"A.","non-dropping-particle":"","parse-names":false,"suffix":""},{"dropping-particle":"","family":"Horwich","given":"A.","non-dropping-particle":"","parse-names":false,"suffix":""}],"container-title":"Annals of Oncology","id":"ITEM-1","issue":"February 2002","issued":{"date-parts":[["2015"]]},"page":"v69-v77","publisher":"Elsevier Masson SAS","title":"Cancer of the prostate: ESMO Clinical Practice Guidelines for diagnosis, treatment and follow-up","type":"article-journal","volume":"26"},"uris":["http://www.mendeley.com/documents/?uuid=d937c859-3f5b-4ecb-bfbe-11574b3d4021"]}],"mendeley":{"formattedCitation":"&lt;sup&gt;4&lt;/sup&gt;","plainTextFormattedCitation":"4","previouslyFormattedCitation":"[4]"},"properties":{"noteIndex":0},"schema":"https://github.com/citation-style-language/schema/raw/master/csl-citation.json"}</w:instrText>
      </w:r>
      <w:r>
        <w:rPr>
          <w:lang w:val="en-GB"/>
        </w:rPr>
        <w:fldChar w:fldCharType="separate"/>
      </w:r>
      <w:r w:rsidR="000C069C" w:rsidRPr="000C069C">
        <w:rPr>
          <w:noProof/>
          <w:vertAlign w:val="superscript"/>
          <w:lang w:val="en-GB"/>
        </w:rPr>
        <w:t>4</w:t>
      </w:r>
      <w:r>
        <w:rPr>
          <w:lang w:val="en-GB"/>
        </w:rPr>
        <w:fldChar w:fldCharType="end"/>
      </w:r>
      <w:r>
        <w:rPr>
          <w:lang w:val="en-GB"/>
        </w:rPr>
        <w:t>.</w:t>
      </w:r>
    </w:p>
    <w:p w14:paraId="644A1A52" w14:textId="77777777" w:rsidR="00EE7EB3" w:rsidRPr="00C83EDC" w:rsidRDefault="00EE7EB3" w:rsidP="00EE7EB3">
      <w:pPr>
        <w:pStyle w:val="Nadpis2"/>
        <w:rPr>
          <w:lang w:val="en-GB"/>
        </w:rPr>
      </w:pPr>
      <w:bookmarkStart w:id="21" w:name="_Toc47889314"/>
      <w:bookmarkStart w:id="22" w:name="_Toc48160985"/>
      <w:bookmarkStart w:id="23" w:name="_Hlk43386061"/>
      <w:r w:rsidRPr="00C83EDC">
        <w:rPr>
          <w:lang w:val="en-GB"/>
        </w:rPr>
        <w:t>Tumour staging</w:t>
      </w:r>
      <w:bookmarkEnd w:id="21"/>
      <w:bookmarkEnd w:id="22"/>
    </w:p>
    <w:p w14:paraId="09E09914" w14:textId="7C79090B" w:rsidR="00EE7EB3" w:rsidRPr="00C83EDC" w:rsidRDefault="00EE7EB3" w:rsidP="00EE7EB3">
      <w:pPr>
        <w:pStyle w:val="Odstavec1"/>
        <w:rPr>
          <w:lang w:val="en-GB"/>
        </w:rPr>
      </w:pPr>
      <w:r w:rsidRPr="00C83EDC">
        <w:rPr>
          <w:lang w:val="en-GB"/>
        </w:rPr>
        <w:t>The purpose of staging is to accurately assess the extent of cancer at the time of diagnosis. The cancer stage is also used as a prognostic tool and is essential in finding</w:t>
      </w:r>
      <w:r>
        <w:rPr>
          <w:lang w:val="en-GB"/>
        </w:rPr>
        <w:t xml:space="preserve"> a</w:t>
      </w:r>
      <w:r w:rsidRPr="00C83EDC">
        <w:rPr>
          <w:lang w:val="en-GB"/>
        </w:rPr>
        <w:t xml:space="preserve"> suitable treatment that is based on clinical outcomes of prior patients with </w:t>
      </w:r>
      <w:r>
        <w:rPr>
          <w:lang w:val="en-GB"/>
        </w:rPr>
        <w:t xml:space="preserve">a </w:t>
      </w:r>
      <w:r w:rsidRPr="00C83EDC">
        <w:rPr>
          <w:lang w:val="en-GB"/>
        </w:rPr>
        <w:t>similar stage. Staging is needed for evaluation of employed cancer intervention and clinical trials results, and lastly, it is a useful way of communication among clinicians, treatment facilities, cancer registrars and researchers so they can share information without ambiguity. The American Joint Committee on Cancer defines cancer stage using TNM categories, which comprises the size and extent of primary tumour (T category), the presence of metastasis in regional lymphatic nodes (N category), and metastatic invasion of distant sites (M category)</w:t>
      </w:r>
      <w:r w:rsidRPr="00C83EDC">
        <w:rPr>
          <w:rFonts w:cstheme="minorHAnsi"/>
          <w:lang w:val="en-GB"/>
        </w:rPr>
        <w:fldChar w:fldCharType="begin" w:fldLock="1"/>
      </w:r>
      <w:r w:rsidR="000C069C">
        <w:rPr>
          <w:rFonts w:cstheme="minorHAnsi"/>
          <w:lang w:val="en-GB"/>
        </w:rPr>
        <w:instrText>ADDIN CSL_CITATION {"citationItems":[{"id":"ITEM-1","itemData":{"ISBN":"978-0-387-88442-4","abstract":"Results on lymphomas trend analysis carried out in the database of the Italian Network of Cancer Registries (pool AIRT) in the period 1986-1997 are presented. Hodgkin lymphoma (2,959 cases and 911 deaths included in the analysis) shows a decreasing incidence trend, statistically significant among males. Standardised mortality rates decrease significantly in both sexes, on an average of 7-9%/year. As regards non-Hodgkin lymphomas (16, 470 incident cases and 7,193 deaths), there is a significant increasing trend, in both sexes, both for incidence (more than 3 %/years) and mortality (about 2%/year).","author":[{"dropping-particle":"","family":"Edge SB, Byrd DR, Compton CC, Fritz AG, Greene FL","given":"Trotti A","non-dropping-particle":"","parse-names":false,"suffix":""}],"container-title":"New York, NY: Springer","id":"ITEM-1","issue":"2","issued":{"date-parts":[["2010","2","16"]]},"page":"408-408","title":"AJCC cancer staging manual (7th ed)","type":"article-journal","volume":"38"},"uris":["http://www.mendeley.com/documents/?uuid=cab0de74-c3b5-4c57-a7aa-18ed881e2b34"]}],"mendeley":{"formattedCitation":"&lt;sup&gt;5&lt;/sup&gt;","plainTextFormattedCitation":"5","previouslyFormattedCitation":"[5]"},"properties":{"noteIndex":0},"schema":"https://github.com/citation-style-language/schema/raw/master/csl-citation.json"}</w:instrText>
      </w:r>
      <w:r w:rsidRPr="00C83EDC">
        <w:rPr>
          <w:rFonts w:cstheme="minorHAnsi"/>
          <w:lang w:val="en-GB"/>
        </w:rPr>
        <w:fldChar w:fldCharType="separate"/>
      </w:r>
      <w:r w:rsidR="000C069C" w:rsidRPr="000C069C">
        <w:rPr>
          <w:rFonts w:cstheme="minorHAnsi"/>
          <w:noProof/>
          <w:vertAlign w:val="superscript"/>
          <w:lang w:val="en-GB"/>
        </w:rPr>
        <w:t>5</w:t>
      </w:r>
      <w:r w:rsidRPr="00C83EDC">
        <w:rPr>
          <w:rFonts w:cstheme="minorHAnsi"/>
          <w:lang w:val="en-GB"/>
        </w:rPr>
        <w:fldChar w:fldCharType="end"/>
      </w:r>
      <w:r w:rsidRPr="00C83EDC">
        <w:rPr>
          <w:lang w:val="en-GB"/>
        </w:rPr>
        <w:t xml:space="preserve">. </w:t>
      </w:r>
    </w:p>
    <w:p w14:paraId="085D4D37" w14:textId="1DD4FE26" w:rsidR="00EE7EB3" w:rsidRPr="00C83EDC" w:rsidRDefault="00EE7EB3" w:rsidP="00EE7EB3">
      <w:pPr>
        <w:pStyle w:val="Dalodstavce"/>
        <w:rPr>
          <w:lang w:val="en-GB"/>
        </w:rPr>
      </w:pPr>
      <w:r w:rsidRPr="00C83EDC">
        <w:rPr>
          <w:lang w:val="en-GB"/>
        </w:rPr>
        <w:t xml:space="preserve">In prostate cancer, the definition of primary tumour (T) is related to its size and location that can range from clinically inapparent and impalpable tumour in category T1 to palpable and confined one within prostate in category T2. If tumour progresses further, it is classified either as category T3, that describes its extension past the boundary of the prostate, or as category T4, </w:t>
      </w:r>
      <w:r w:rsidRPr="00C83EDC">
        <w:rPr>
          <w:lang w:val="en-GB"/>
        </w:rPr>
        <w:lastRenderedPageBreak/>
        <w:t xml:space="preserve">if it affects adjacent sites such as rectum, bladder, or pelvis wall. For the definition of regional lymphatic nodes (N), the presence of lymph nodes metastases located in the true pelvis is assessed. The occurrence of metastases in non-regional lymphatic nodes or at other distant sites such as bones is recorded in </w:t>
      </w:r>
      <w:r>
        <w:rPr>
          <w:lang w:val="en-GB"/>
        </w:rPr>
        <w:t xml:space="preserve">M </w:t>
      </w:r>
      <w:r w:rsidRPr="00C83EDC">
        <w:rPr>
          <w:lang w:val="en-GB"/>
        </w:rPr>
        <w:t xml:space="preserve">category. For prognostic stage grouping of patients </w:t>
      </w:r>
      <w:r w:rsidRPr="00B77386">
        <w:rPr>
          <w:lang w:val="en-GB"/>
        </w:rPr>
        <w:t>(Table</w:t>
      </w:r>
      <w:r>
        <w:rPr>
          <w:lang w:val="en-GB"/>
        </w:rPr>
        <w:t xml:space="preserve"> I</w:t>
      </w:r>
      <w:r w:rsidRPr="00C83EDC">
        <w:rPr>
          <w:lang w:val="en-GB"/>
        </w:rPr>
        <w:t>), the TNM system is used in combination with PSA and grade group</w:t>
      </w:r>
      <w:r w:rsidRPr="00C83EDC">
        <w:rPr>
          <w:rFonts w:cstheme="minorHAnsi"/>
          <w:lang w:val="en-GB"/>
        </w:rPr>
        <w:fldChar w:fldCharType="begin" w:fldLock="1"/>
      </w:r>
      <w:r w:rsidR="000C069C">
        <w:rPr>
          <w:rFonts w:cstheme="minorHAnsi"/>
          <w:lang w:val="en-GB"/>
        </w:rPr>
        <w:instrText>ADDIN CSL_CITATION {"citationItems":[{"id":"ITEM-1","itemData":{"DOI":"10.3322/caac.21391","ISSN":"1542-4863","PMID":"28222223","abstract":"Answer questions and earn CME/CNE The eighth edition of the American Joint Committee on Cancer (AJCC) tumor-node-metastasis (TNM) Staging Manual has been updated and improved to ensure the highest degree of clinical relevance and to improve its utility for patient evaluation and clinical research. Major changes include: 1) pathologically organ-confined disease is now considered pT2 and is no longer subclassified by extent of involvement or laterality, 2) tumor grading now includes both the Gleason score (as in the seventh edition criteria) and the grade group (introduced in the eighth edition criteria), 3) prognostic stage group III includes select, organ-confined disease based on prostate-specific antigen and Gleason/grade group status, and 4) 2 statistical prediction models are included in the staging manual. The AJCC will continue to critically analyze emerging prostate cancer biomarkers and tools for their ability to prognosticate and guide treatment decision making with the highest level of accuracy and confidence for patients and physicians. CA Cancer J Clin 2017;67:245-253. © 2017 American Cancer Society.","author":[{"dropping-particle":"","family":"Buyyounouski","given":"Mark K.","non-dropping-particle":"","parse-names":false,"suffix":""},{"dropping-particle":"","family":"Choyke","given":"Peter L.","non-dropping-particle":"","parse-names":false,"suffix":""},{"dropping-particle":"","family":"McKenney","given":"Jesse K.","non-dropping-particle":"","parse-names":false,"suffix":""},{"dropping-particle":"","family":"Sartor","given":"Oliver","non-dropping-particle":"","parse-names":false,"suffix":""},{"dropping-particle":"","family":"Sandler","given":"Howard M.","non-dropping-particle":"","parse-names":false,"suffix":""},{"dropping-particle":"","family":"Amin","given":"Mahul B.","non-dropping-particle":"","parse-names":false,"suffix":""},{"dropping-particle":"","family":"Kattan","given":"Michael W.","non-dropping-particle":"","parse-names":false,"suffix":""},{"dropping-particle":"","family":"Lin","given":"Daniel W.","non-dropping-particle":"","parse-names":false,"suffix":""}],"container-title":"CA: A Cancer Journal for Clinicians","id":"ITEM-1","issue":"3","issued":{"date-parts":[["2017"]]},"page":"245-253","title":"Prostate cancer - major changes in the American Joint Committee on Cancer eighth edition cancer staging manual","type":"article-journal","volume":"67"},"uris":["http://www.mendeley.com/documents/?uuid=bf060318-a8b9-448e-bc7f-82e93cb06aeb"]}],"mendeley":{"formattedCitation":"&lt;sup&gt;6&lt;/sup&gt;","plainTextFormattedCitation":"6","previouslyFormattedCitation":"[6]"},"properties":{"noteIndex":0},"schema":"https://github.com/citation-style-language/schema/raw/master/csl-citation.json"}</w:instrText>
      </w:r>
      <w:r w:rsidRPr="00C83EDC">
        <w:rPr>
          <w:rFonts w:cstheme="minorHAnsi"/>
          <w:lang w:val="en-GB"/>
        </w:rPr>
        <w:fldChar w:fldCharType="separate"/>
      </w:r>
      <w:r w:rsidR="000C069C" w:rsidRPr="000C069C">
        <w:rPr>
          <w:rFonts w:cstheme="minorHAnsi"/>
          <w:noProof/>
          <w:vertAlign w:val="superscript"/>
          <w:lang w:val="en-GB"/>
        </w:rPr>
        <w:t>6</w:t>
      </w:r>
      <w:r w:rsidRPr="00C83EDC">
        <w:rPr>
          <w:rFonts w:cstheme="minorHAnsi"/>
          <w:lang w:val="en-GB"/>
        </w:rPr>
        <w:fldChar w:fldCharType="end"/>
      </w:r>
      <w:r w:rsidRPr="00C83EDC">
        <w:rPr>
          <w:lang w:val="en-GB"/>
        </w:rPr>
        <w:t xml:space="preserve"> which is based on Gleason score </w:t>
      </w:r>
      <w:r>
        <w:rPr>
          <w:lang w:val="en-GB"/>
        </w:rPr>
        <w:t>(GS).</w:t>
      </w:r>
      <w:r w:rsidRPr="00C83EDC">
        <w:rPr>
          <w:lang w:val="en-GB"/>
        </w:rPr>
        <w:t xml:space="preserve"> </w:t>
      </w:r>
    </w:p>
    <w:p w14:paraId="7E67EC40" w14:textId="3461CF7D" w:rsidR="00EE7EB3" w:rsidRPr="00C83EDC" w:rsidRDefault="00EE7EB3" w:rsidP="00EE7EB3">
      <w:pPr>
        <w:pStyle w:val="Titulektabulky"/>
        <w:jc w:val="left"/>
        <w:rPr>
          <w:lang w:val="en-GB"/>
        </w:rPr>
      </w:pPr>
      <w:bookmarkStart w:id="24" w:name="_Toc47541134"/>
      <w:r w:rsidRPr="00C83EDC">
        <w:rPr>
          <w:lang w:val="en-GB"/>
        </w:rPr>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I</w:t>
      </w:r>
      <w:r>
        <w:rPr>
          <w:noProof/>
          <w:lang w:val="en-GB"/>
        </w:rPr>
        <w:fldChar w:fldCharType="end"/>
      </w:r>
      <w:r w:rsidRPr="00C83EDC">
        <w:rPr>
          <w:noProof/>
          <w:lang w:val="en-GB"/>
        </w:rPr>
        <w:t>.</w:t>
      </w:r>
      <w:r w:rsidRPr="00C83EDC">
        <w:rPr>
          <w:lang w:val="en-GB"/>
        </w:rPr>
        <w:t xml:space="preserve"> </w:t>
      </w:r>
      <w:r w:rsidRPr="00DF41F6">
        <w:rPr>
          <w:b w:val="0"/>
          <w:bCs w:val="0"/>
          <w:lang w:val="en-GB"/>
        </w:rPr>
        <w:t>Cancer prognostic stage grouping.</w:t>
      </w:r>
      <w:r>
        <w:rPr>
          <w:lang w:val="en-GB"/>
        </w:rPr>
        <w:t xml:space="preserve"> </w:t>
      </w:r>
      <w:bookmarkEnd w:id="24"/>
    </w:p>
    <w:tbl>
      <w:tblPr>
        <w:tblStyle w:val="Tabulkasmkou4zvraznn3"/>
        <w:tblW w:w="8926" w:type="dxa"/>
        <w:tblLook w:val="0720" w:firstRow="1" w:lastRow="0" w:firstColumn="0" w:lastColumn="1" w:noHBand="1" w:noVBand="1"/>
      </w:tblPr>
      <w:tblGrid>
        <w:gridCol w:w="1244"/>
        <w:gridCol w:w="1161"/>
        <w:gridCol w:w="1313"/>
        <w:gridCol w:w="1522"/>
        <w:gridCol w:w="1418"/>
        <w:gridCol w:w="2268"/>
      </w:tblGrid>
      <w:tr w:rsidR="00EE7EB3" w:rsidRPr="00784B41" w14:paraId="62361757"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themeFill="background2"/>
            <w:vAlign w:val="center"/>
          </w:tcPr>
          <w:p w14:paraId="73DF5912"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When</w:t>
            </w:r>
            <w:r w:rsidRPr="00784B41">
              <w:rPr>
                <w:rFonts w:ascii="Cambria" w:hAnsi="Cambria" w:cstheme="minorHAnsi"/>
                <w:color w:val="3B3838" w:themeColor="background2" w:themeShade="40"/>
                <w:sz w:val="20"/>
                <w:szCs w:val="20"/>
              </w:rPr>
              <w:t xml:space="preserve"> T </w:t>
            </w:r>
            <w:r>
              <w:rPr>
                <w:rFonts w:ascii="Cambria" w:hAnsi="Cambria" w:cstheme="minorHAnsi"/>
                <w:color w:val="3B3838" w:themeColor="background2" w:themeShade="40"/>
                <w:sz w:val="20"/>
                <w:szCs w:val="20"/>
              </w:rPr>
              <w:t>is</w:t>
            </w:r>
          </w:p>
        </w:tc>
        <w:tc>
          <w:tcPr>
            <w:tcW w:w="1161" w:type="dxa"/>
            <w:shd w:val="clear" w:color="auto" w:fill="E7E6E6" w:themeFill="background2"/>
            <w:vAlign w:val="center"/>
          </w:tcPr>
          <w:p w14:paraId="5A68F143"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And</w:t>
            </w:r>
            <w:r w:rsidRPr="00784B41">
              <w:rPr>
                <w:rFonts w:ascii="Cambria" w:hAnsi="Cambria" w:cstheme="minorHAnsi"/>
                <w:color w:val="3B3838" w:themeColor="background2" w:themeShade="40"/>
                <w:sz w:val="20"/>
                <w:szCs w:val="20"/>
              </w:rPr>
              <w:t xml:space="preserve"> N </w:t>
            </w:r>
            <w:r>
              <w:rPr>
                <w:rFonts w:ascii="Cambria" w:hAnsi="Cambria" w:cstheme="minorHAnsi"/>
                <w:color w:val="3B3838" w:themeColor="background2" w:themeShade="40"/>
                <w:sz w:val="20"/>
                <w:szCs w:val="20"/>
              </w:rPr>
              <w:t>is</w:t>
            </w:r>
          </w:p>
        </w:tc>
        <w:tc>
          <w:tcPr>
            <w:tcW w:w="1313" w:type="dxa"/>
            <w:shd w:val="clear" w:color="auto" w:fill="E7E6E6" w:themeFill="background2"/>
            <w:vAlign w:val="center"/>
          </w:tcPr>
          <w:p w14:paraId="06FC7C92"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And</w:t>
            </w:r>
            <w:r w:rsidRPr="00784B41">
              <w:rPr>
                <w:rFonts w:ascii="Cambria" w:hAnsi="Cambria" w:cstheme="minorHAnsi"/>
                <w:color w:val="3B3838" w:themeColor="background2" w:themeShade="40"/>
                <w:sz w:val="20"/>
                <w:szCs w:val="20"/>
              </w:rPr>
              <w:t xml:space="preserve"> M </w:t>
            </w:r>
            <w:r>
              <w:rPr>
                <w:rFonts w:ascii="Cambria" w:hAnsi="Cambria" w:cstheme="minorHAnsi"/>
                <w:color w:val="3B3838" w:themeColor="background2" w:themeShade="40"/>
                <w:sz w:val="20"/>
                <w:szCs w:val="20"/>
              </w:rPr>
              <w:t>is</w:t>
            </w:r>
          </w:p>
        </w:tc>
        <w:tc>
          <w:tcPr>
            <w:tcW w:w="1522" w:type="dxa"/>
            <w:shd w:val="clear" w:color="auto" w:fill="E7E6E6" w:themeFill="background2"/>
            <w:vAlign w:val="center"/>
          </w:tcPr>
          <w:p w14:paraId="1F43AFBA"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And</w:t>
            </w:r>
            <w:r w:rsidRPr="00784B41">
              <w:rPr>
                <w:rFonts w:ascii="Cambria" w:hAnsi="Cambria" w:cstheme="minorHAnsi"/>
                <w:color w:val="3B3838" w:themeColor="background2" w:themeShade="40"/>
                <w:sz w:val="20"/>
                <w:szCs w:val="20"/>
              </w:rPr>
              <w:t xml:space="preserve"> PSA </w:t>
            </w:r>
            <w:r>
              <w:rPr>
                <w:rFonts w:ascii="Cambria" w:hAnsi="Cambria" w:cstheme="minorHAnsi"/>
                <w:color w:val="3B3838" w:themeColor="background2" w:themeShade="40"/>
                <w:sz w:val="20"/>
                <w:szCs w:val="20"/>
              </w:rPr>
              <w:t>is</w:t>
            </w:r>
          </w:p>
        </w:tc>
        <w:tc>
          <w:tcPr>
            <w:tcW w:w="1418" w:type="dxa"/>
            <w:shd w:val="clear" w:color="auto" w:fill="E7E6E6" w:themeFill="background2"/>
            <w:vAlign w:val="center"/>
          </w:tcPr>
          <w:p w14:paraId="02B93F60"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And</w:t>
            </w:r>
            <w:r w:rsidRPr="00784B41">
              <w:rPr>
                <w:rFonts w:ascii="Cambria" w:hAnsi="Cambria" w:cstheme="minorHAnsi"/>
                <w:color w:val="3B3838" w:themeColor="background2" w:themeShade="40"/>
                <w:sz w:val="20"/>
                <w:szCs w:val="20"/>
              </w:rPr>
              <w:t xml:space="preserve"> </w:t>
            </w:r>
            <w:r>
              <w:rPr>
                <w:rFonts w:ascii="Cambria" w:hAnsi="Cambria" w:cstheme="minorHAnsi"/>
                <w:color w:val="3B3838" w:themeColor="background2" w:themeShade="40"/>
                <w:sz w:val="20"/>
                <w:szCs w:val="20"/>
              </w:rPr>
              <w:t>grade group is</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E7E6E6" w:themeFill="background2"/>
            <w:vAlign w:val="center"/>
          </w:tcPr>
          <w:p w14:paraId="17C10052"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Then the stage group is</w:t>
            </w:r>
          </w:p>
        </w:tc>
      </w:tr>
      <w:tr w:rsidR="00EE7EB3" w:rsidRPr="00784B41" w14:paraId="79286D13" w14:textId="77777777" w:rsidTr="00F233D4">
        <w:trPr>
          <w:trHeight w:val="340"/>
        </w:trPr>
        <w:tc>
          <w:tcPr>
            <w:tcW w:w="0" w:type="auto"/>
            <w:vAlign w:val="center"/>
          </w:tcPr>
          <w:p w14:paraId="502A555F"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rPr>
              <w:t>cT1a–c, cT2a</w:t>
            </w:r>
          </w:p>
        </w:tc>
        <w:tc>
          <w:tcPr>
            <w:tcW w:w="1161" w:type="dxa"/>
            <w:vAlign w:val="center"/>
          </w:tcPr>
          <w:p w14:paraId="031A0584"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rPr>
              <w:t>N0</w:t>
            </w:r>
          </w:p>
        </w:tc>
        <w:tc>
          <w:tcPr>
            <w:tcW w:w="1313" w:type="dxa"/>
            <w:vAlign w:val="center"/>
          </w:tcPr>
          <w:p w14:paraId="185250ED"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rPr>
              <w:t>M0</w:t>
            </w:r>
          </w:p>
        </w:tc>
        <w:tc>
          <w:tcPr>
            <w:tcW w:w="1522" w:type="dxa"/>
            <w:vAlign w:val="center"/>
          </w:tcPr>
          <w:p w14:paraId="28F761E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&lt; 10 ng·</w:t>
            </w:r>
            <w:proofErr w:type="gramStart"/>
            <w:r w:rsidRPr="00784B41">
              <w:rPr>
                <w:rFonts w:ascii="Cambria" w:hAnsi="Cambria" w:cstheme="minorHAnsi"/>
                <w:color w:val="3B3838" w:themeColor="background2" w:themeShade="40"/>
                <w:sz w:val="20"/>
                <w:szCs w:val="20"/>
              </w:rPr>
              <w:t>ml</w:t>
            </w:r>
            <w:r w:rsidRPr="00784B41">
              <w:rPr>
                <w:rFonts w:ascii="Cambria" w:hAnsi="Cambria" w:cstheme="minorHAnsi"/>
                <w:color w:val="3B3838" w:themeColor="background2" w:themeShade="40"/>
                <w:sz w:val="20"/>
                <w:szCs w:val="20"/>
                <w:vertAlign w:val="superscript"/>
              </w:rPr>
              <w:t>−1</w:t>
            </w:r>
            <w:proofErr w:type="gramEnd"/>
          </w:p>
        </w:tc>
        <w:tc>
          <w:tcPr>
            <w:tcW w:w="1418" w:type="dxa"/>
            <w:vAlign w:val="center"/>
          </w:tcPr>
          <w:p w14:paraId="3572ADA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0B7DEE37"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w:t>
            </w:r>
          </w:p>
        </w:tc>
      </w:tr>
      <w:tr w:rsidR="00EE7EB3" w:rsidRPr="00784B41" w14:paraId="6DF21B2E" w14:textId="77777777" w:rsidTr="00F233D4">
        <w:trPr>
          <w:trHeight w:val="340"/>
        </w:trPr>
        <w:tc>
          <w:tcPr>
            <w:tcW w:w="0" w:type="auto"/>
            <w:vAlign w:val="center"/>
          </w:tcPr>
          <w:p w14:paraId="1EED5B7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pT2</w:t>
            </w:r>
          </w:p>
        </w:tc>
        <w:tc>
          <w:tcPr>
            <w:tcW w:w="1161" w:type="dxa"/>
            <w:vAlign w:val="center"/>
          </w:tcPr>
          <w:p w14:paraId="12DB2E9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7D9807F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4C765AC8"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rPr>
              <w:t>&lt; 10 ng·</w:t>
            </w:r>
            <w:proofErr w:type="gramStart"/>
            <w:r w:rsidRPr="00784B41">
              <w:rPr>
                <w:rFonts w:ascii="Cambria" w:hAnsi="Cambria" w:cstheme="minorHAnsi"/>
                <w:color w:val="3B3838" w:themeColor="background2" w:themeShade="40"/>
                <w:sz w:val="20"/>
                <w:szCs w:val="20"/>
              </w:rPr>
              <w:t>ml</w:t>
            </w:r>
            <w:r w:rsidRPr="00784B41">
              <w:rPr>
                <w:rFonts w:ascii="Cambria" w:hAnsi="Cambria" w:cstheme="minorHAnsi"/>
                <w:color w:val="3B3838" w:themeColor="background2" w:themeShade="40"/>
                <w:sz w:val="20"/>
                <w:szCs w:val="20"/>
                <w:vertAlign w:val="superscript"/>
              </w:rPr>
              <w:t>−1</w:t>
            </w:r>
            <w:proofErr w:type="gramEnd"/>
          </w:p>
        </w:tc>
        <w:tc>
          <w:tcPr>
            <w:tcW w:w="1418" w:type="dxa"/>
            <w:vAlign w:val="center"/>
          </w:tcPr>
          <w:p w14:paraId="73859294"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6655357E"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w:t>
            </w:r>
          </w:p>
        </w:tc>
      </w:tr>
      <w:tr w:rsidR="00EE7EB3" w:rsidRPr="00784B41" w14:paraId="37A74F18" w14:textId="77777777" w:rsidTr="00F233D4">
        <w:trPr>
          <w:trHeight w:val="340"/>
        </w:trPr>
        <w:tc>
          <w:tcPr>
            <w:tcW w:w="0" w:type="auto"/>
            <w:vAlign w:val="center"/>
          </w:tcPr>
          <w:p w14:paraId="7C09AFF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cT1a–c, cT2a</w:t>
            </w:r>
          </w:p>
        </w:tc>
        <w:tc>
          <w:tcPr>
            <w:tcW w:w="1161" w:type="dxa"/>
            <w:vAlign w:val="center"/>
          </w:tcPr>
          <w:p w14:paraId="1AAF90B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5C4E653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468DA81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10 ng·ml</w:t>
            </w:r>
            <w:r w:rsidRPr="00784B41">
              <w:rPr>
                <w:rFonts w:ascii="Cambria" w:hAnsi="Cambria" w:cstheme="minorHAnsi"/>
                <w:color w:val="3B3838" w:themeColor="background2" w:themeShade="40"/>
                <w:sz w:val="20"/>
                <w:szCs w:val="20"/>
                <w:vertAlign w:val="superscript"/>
              </w:rPr>
              <w:t>−1</w:t>
            </w:r>
            <w:r w:rsidRPr="00784B41">
              <w:rPr>
                <w:rFonts w:ascii="Cambria" w:hAnsi="Cambria" w:cstheme="minorHAnsi"/>
                <w:color w:val="3B3838" w:themeColor="background2" w:themeShade="40"/>
                <w:sz w:val="20"/>
                <w:szCs w:val="20"/>
              </w:rPr>
              <w:t>,</w:t>
            </w:r>
            <w:r w:rsidRPr="00784B41">
              <w:rPr>
                <w:rFonts w:ascii="Cambria" w:hAnsi="Cambria" w:cstheme="minorHAnsi"/>
                <w:color w:val="3B3838" w:themeColor="background2" w:themeShade="40"/>
                <w:sz w:val="20"/>
                <w:szCs w:val="20"/>
                <w:vertAlign w:val="superscript"/>
              </w:rPr>
              <w:t xml:space="preserve"> </w:t>
            </w:r>
            <w:r w:rsidRPr="00784B41">
              <w:rPr>
                <w:rFonts w:ascii="Cambria" w:hAnsi="Cambria" w:cstheme="minorHAnsi"/>
                <w:color w:val="3B3838" w:themeColor="background2" w:themeShade="40"/>
                <w:sz w:val="20"/>
                <w:szCs w:val="20"/>
                <w:vertAlign w:val="superscript"/>
              </w:rPr>
              <w:br/>
            </w:r>
            <w:r w:rsidRPr="00784B41">
              <w:rPr>
                <w:rFonts w:ascii="Cambria" w:hAnsi="Cambria" w:cstheme="minorHAnsi"/>
                <w:color w:val="3B3838" w:themeColor="background2" w:themeShade="40"/>
                <w:sz w:val="20"/>
                <w:szCs w:val="20"/>
              </w:rPr>
              <w:t>&lt; 20 ng·ml</w:t>
            </w:r>
            <w:r w:rsidRPr="00784B41">
              <w:rPr>
                <w:rFonts w:ascii="Cambria" w:hAnsi="Cambria" w:cstheme="minorHAnsi"/>
                <w:color w:val="3B3838" w:themeColor="background2" w:themeShade="40"/>
                <w:sz w:val="20"/>
                <w:szCs w:val="20"/>
                <w:vertAlign w:val="superscript"/>
              </w:rPr>
              <w:t>−1</w:t>
            </w:r>
          </w:p>
        </w:tc>
        <w:tc>
          <w:tcPr>
            <w:tcW w:w="1418" w:type="dxa"/>
            <w:vAlign w:val="center"/>
          </w:tcPr>
          <w:p w14:paraId="4375CA7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18E5818A"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rPr>
              <w:t>IIA</w:t>
            </w:r>
          </w:p>
        </w:tc>
      </w:tr>
      <w:tr w:rsidR="00EE7EB3" w:rsidRPr="00784B41" w14:paraId="52730F49" w14:textId="77777777" w:rsidTr="00F233D4">
        <w:trPr>
          <w:trHeight w:val="340"/>
        </w:trPr>
        <w:tc>
          <w:tcPr>
            <w:tcW w:w="0" w:type="auto"/>
            <w:vAlign w:val="center"/>
          </w:tcPr>
          <w:p w14:paraId="28921BE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pT2</w:t>
            </w:r>
          </w:p>
        </w:tc>
        <w:tc>
          <w:tcPr>
            <w:tcW w:w="1161" w:type="dxa"/>
            <w:vAlign w:val="center"/>
          </w:tcPr>
          <w:p w14:paraId="0844E14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5584414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4DC8453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10 ng·ml</w:t>
            </w:r>
            <w:r w:rsidRPr="00784B41">
              <w:rPr>
                <w:rFonts w:ascii="Cambria" w:hAnsi="Cambria" w:cstheme="minorHAnsi"/>
                <w:color w:val="3B3838" w:themeColor="background2" w:themeShade="40"/>
                <w:sz w:val="20"/>
                <w:szCs w:val="20"/>
                <w:vertAlign w:val="superscript"/>
              </w:rPr>
              <w:t>−1</w:t>
            </w:r>
            <w:r w:rsidRPr="00784B41">
              <w:rPr>
                <w:rFonts w:ascii="Cambria" w:hAnsi="Cambria" w:cstheme="minorHAnsi"/>
                <w:color w:val="3B3838" w:themeColor="background2" w:themeShade="40"/>
                <w:sz w:val="20"/>
                <w:szCs w:val="20"/>
              </w:rPr>
              <w:t>,</w:t>
            </w:r>
            <w:r w:rsidRPr="00784B41">
              <w:rPr>
                <w:rFonts w:ascii="Cambria" w:hAnsi="Cambria" w:cstheme="minorHAnsi"/>
                <w:color w:val="3B3838" w:themeColor="background2" w:themeShade="40"/>
                <w:sz w:val="20"/>
                <w:szCs w:val="20"/>
              </w:rPr>
              <w:br/>
            </w:r>
            <w:r w:rsidRPr="00784B41">
              <w:rPr>
                <w:rFonts w:ascii="Cambria" w:hAnsi="Cambria" w:cstheme="minorHAnsi"/>
                <w:color w:val="3B3838" w:themeColor="background2" w:themeShade="40"/>
                <w:sz w:val="20"/>
                <w:szCs w:val="20"/>
                <w:vertAlign w:val="superscript"/>
              </w:rPr>
              <w:t xml:space="preserve"> </w:t>
            </w:r>
            <w:r w:rsidRPr="00784B41">
              <w:rPr>
                <w:rFonts w:ascii="Cambria" w:hAnsi="Cambria" w:cstheme="minorHAnsi"/>
                <w:color w:val="3B3838" w:themeColor="background2" w:themeShade="40"/>
                <w:sz w:val="20"/>
                <w:szCs w:val="20"/>
              </w:rPr>
              <w:t>&lt; 20 ng·ml</w:t>
            </w:r>
            <w:r w:rsidRPr="00784B41">
              <w:rPr>
                <w:rFonts w:ascii="Cambria" w:hAnsi="Cambria" w:cstheme="minorHAnsi"/>
                <w:color w:val="3B3838" w:themeColor="background2" w:themeShade="40"/>
                <w:sz w:val="20"/>
                <w:szCs w:val="20"/>
                <w:vertAlign w:val="superscript"/>
              </w:rPr>
              <w:t>−1</w:t>
            </w:r>
          </w:p>
        </w:tc>
        <w:tc>
          <w:tcPr>
            <w:tcW w:w="1418" w:type="dxa"/>
            <w:vAlign w:val="center"/>
          </w:tcPr>
          <w:p w14:paraId="1714FAD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1AE80777"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IIA</w:t>
            </w:r>
          </w:p>
        </w:tc>
      </w:tr>
      <w:tr w:rsidR="00EE7EB3" w:rsidRPr="00784B41" w14:paraId="2B5BABAA" w14:textId="77777777" w:rsidTr="00F233D4">
        <w:trPr>
          <w:trHeight w:val="340"/>
        </w:trPr>
        <w:tc>
          <w:tcPr>
            <w:tcW w:w="0" w:type="auto"/>
            <w:vAlign w:val="center"/>
          </w:tcPr>
          <w:p w14:paraId="231E400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cT2b–c</w:t>
            </w:r>
          </w:p>
        </w:tc>
        <w:tc>
          <w:tcPr>
            <w:tcW w:w="1161" w:type="dxa"/>
            <w:vAlign w:val="center"/>
          </w:tcPr>
          <w:p w14:paraId="5A8C3F7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516A8A2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7F4395B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&lt; 20 ng·</w:t>
            </w:r>
            <w:proofErr w:type="gramStart"/>
            <w:r w:rsidRPr="00784B41">
              <w:rPr>
                <w:rFonts w:ascii="Cambria" w:hAnsi="Cambria" w:cstheme="minorHAnsi"/>
                <w:color w:val="3B3838" w:themeColor="background2" w:themeShade="40"/>
                <w:sz w:val="20"/>
                <w:szCs w:val="20"/>
              </w:rPr>
              <w:t>ml</w:t>
            </w:r>
            <w:r w:rsidRPr="00784B41">
              <w:rPr>
                <w:rFonts w:ascii="Cambria" w:hAnsi="Cambria" w:cstheme="minorHAnsi"/>
                <w:color w:val="3B3838" w:themeColor="background2" w:themeShade="40"/>
                <w:sz w:val="20"/>
                <w:szCs w:val="20"/>
                <w:vertAlign w:val="superscript"/>
              </w:rPr>
              <w:t>−1</w:t>
            </w:r>
            <w:proofErr w:type="gramEnd"/>
          </w:p>
        </w:tc>
        <w:tc>
          <w:tcPr>
            <w:tcW w:w="1418" w:type="dxa"/>
            <w:vAlign w:val="center"/>
          </w:tcPr>
          <w:p w14:paraId="5ED2B417"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5453BBE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IIA</w:t>
            </w:r>
          </w:p>
        </w:tc>
      </w:tr>
      <w:tr w:rsidR="00EE7EB3" w:rsidRPr="00784B41" w14:paraId="2CEA664C" w14:textId="77777777" w:rsidTr="00F233D4">
        <w:trPr>
          <w:trHeight w:val="340"/>
        </w:trPr>
        <w:tc>
          <w:tcPr>
            <w:tcW w:w="0" w:type="auto"/>
            <w:vAlign w:val="center"/>
          </w:tcPr>
          <w:p w14:paraId="76D5551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T1–2</w:t>
            </w:r>
          </w:p>
        </w:tc>
        <w:tc>
          <w:tcPr>
            <w:tcW w:w="1161" w:type="dxa"/>
            <w:vAlign w:val="center"/>
          </w:tcPr>
          <w:p w14:paraId="712D9C3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7DCE8314"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768790C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&lt; 20 ng·</w:t>
            </w:r>
            <w:proofErr w:type="gramStart"/>
            <w:r w:rsidRPr="00784B41">
              <w:rPr>
                <w:rFonts w:ascii="Cambria" w:hAnsi="Cambria" w:cstheme="minorHAnsi"/>
                <w:color w:val="3B3838" w:themeColor="background2" w:themeShade="40"/>
                <w:sz w:val="20"/>
                <w:szCs w:val="20"/>
              </w:rPr>
              <w:t>ml</w:t>
            </w:r>
            <w:r w:rsidRPr="00784B41">
              <w:rPr>
                <w:rFonts w:ascii="Cambria" w:hAnsi="Cambria" w:cstheme="minorHAnsi"/>
                <w:color w:val="3B3838" w:themeColor="background2" w:themeShade="40"/>
                <w:sz w:val="20"/>
                <w:szCs w:val="20"/>
                <w:vertAlign w:val="superscript"/>
              </w:rPr>
              <w:t>−1</w:t>
            </w:r>
            <w:proofErr w:type="gramEnd"/>
          </w:p>
        </w:tc>
        <w:tc>
          <w:tcPr>
            <w:tcW w:w="1418" w:type="dxa"/>
            <w:vAlign w:val="center"/>
          </w:tcPr>
          <w:p w14:paraId="49C9D52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5F03B95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IIB</w:t>
            </w:r>
          </w:p>
        </w:tc>
      </w:tr>
      <w:tr w:rsidR="00EE7EB3" w:rsidRPr="00784B41" w14:paraId="57E0E9F4" w14:textId="77777777" w:rsidTr="00F233D4">
        <w:trPr>
          <w:trHeight w:val="340"/>
        </w:trPr>
        <w:tc>
          <w:tcPr>
            <w:tcW w:w="0" w:type="auto"/>
            <w:vAlign w:val="center"/>
          </w:tcPr>
          <w:p w14:paraId="376338B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T1–2</w:t>
            </w:r>
          </w:p>
        </w:tc>
        <w:tc>
          <w:tcPr>
            <w:tcW w:w="1161" w:type="dxa"/>
            <w:vAlign w:val="center"/>
          </w:tcPr>
          <w:p w14:paraId="7483ACC7"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7A88487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59523A3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&lt; 20 ng·</w:t>
            </w:r>
            <w:proofErr w:type="gramStart"/>
            <w:r w:rsidRPr="00784B41">
              <w:rPr>
                <w:rFonts w:ascii="Cambria" w:hAnsi="Cambria" w:cstheme="minorHAnsi"/>
                <w:color w:val="3B3838" w:themeColor="background2" w:themeShade="40"/>
                <w:sz w:val="20"/>
                <w:szCs w:val="20"/>
              </w:rPr>
              <w:t>ml</w:t>
            </w:r>
            <w:r w:rsidRPr="00784B41">
              <w:rPr>
                <w:rFonts w:ascii="Cambria" w:hAnsi="Cambria" w:cstheme="minorHAnsi"/>
                <w:color w:val="3B3838" w:themeColor="background2" w:themeShade="40"/>
                <w:sz w:val="20"/>
                <w:szCs w:val="20"/>
                <w:vertAlign w:val="superscript"/>
              </w:rPr>
              <w:t>−1</w:t>
            </w:r>
            <w:proofErr w:type="gramEnd"/>
          </w:p>
        </w:tc>
        <w:tc>
          <w:tcPr>
            <w:tcW w:w="1418" w:type="dxa"/>
            <w:vAlign w:val="center"/>
          </w:tcPr>
          <w:p w14:paraId="4290BA4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4547359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IIC</w:t>
            </w:r>
          </w:p>
        </w:tc>
      </w:tr>
      <w:tr w:rsidR="00EE7EB3" w:rsidRPr="00784B41" w14:paraId="423964CE" w14:textId="77777777" w:rsidTr="00F233D4">
        <w:trPr>
          <w:trHeight w:val="340"/>
        </w:trPr>
        <w:tc>
          <w:tcPr>
            <w:tcW w:w="0" w:type="auto"/>
            <w:vAlign w:val="center"/>
          </w:tcPr>
          <w:p w14:paraId="6A7C23A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T1–2</w:t>
            </w:r>
          </w:p>
        </w:tc>
        <w:tc>
          <w:tcPr>
            <w:tcW w:w="1161" w:type="dxa"/>
            <w:vAlign w:val="center"/>
          </w:tcPr>
          <w:p w14:paraId="376FF09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5C6CC80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5442E78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&lt; 20 ng·</w:t>
            </w:r>
            <w:proofErr w:type="gramStart"/>
            <w:r w:rsidRPr="00784B41">
              <w:rPr>
                <w:rFonts w:ascii="Cambria" w:hAnsi="Cambria" w:cstheme="minorHAnsi"/>
                <w:color w:val="3B3838" w:themeColor="background2" w:themeShade="40"/>
                <w:sz w:val="20"/>
                <w:szCs w:val="20"/>
              </w:rPr>
              <w:t>ml</w:t>
            </w:r>
            <w:r w:rsidRPr="00784B41">
              <w:rPr>
                <w:rFonts w:ascii="Cambria" w:hAnsi="Cambria" w:cstheme="minorHAnsi"/>
                <w:color w:val="3B3838" w:themeColor="background2" w:themeShade="40"/>
                <w:sz w:val="20"/>
                <w:szCs w:val="20"/>
                <w:vertAlign w:val="superscript"/>
              </w:rPr>
              <w:t>−1</w:t>
            </w:r>
            <w:proofErr w:type="gramEnd"/>
          </w:p>
        </w:tc>
        <w:tc>
          <w:tcPr>
            <w:tcW w:w="1418" w:type="dxa"/>
            <w:vAlign w:val="center"/>
          </w:tcPr>
          <w:p w14:paraId="25B9BD6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4</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61A2EBB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IIC</w:t>
            </w:r>
          </w:p>
        </w:tc>
      </w:tr>
      <w:tr w:rsidR="00EE7EB3" w:rsidRPr="00784B41" w14:paraId="6D42C48A" w14:textId="77777777" w:rsidTr="00F233D4">
        <w:trPr>
          <w:trHeight w:val="340"/>
        </w:trPr>
        <w:tc>
          <w:tcPr>
            <w:tcW w:w="0" w:type="auto"/>
            <w:vAlign w:val="center"/>
          </w:tcPr>
          <w:p w14:paraId="2EDD1BD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T1–2</w:t>
            </w:r>
          </w:p>
        </w:tc>
        <w:tc>
          <w:tcPr>
            <w:tcW w:w="1161" w:type="dxa"/>
            <w:vAlign w:val="center"/>
          </w:tcPr>
          <w:p w14:paraId="7380C06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2D61C79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1B33EC04"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20 ng·</w:t>
            </w:r>
            <w:proofErr w:type="gramStart"/>
            <w:r w:rsidRPr="00784B41">
              <w:rPr>
                <w:rFonts w:ascii="Cambria" w:hAnsi="Cambria" w:cstheme="minorHAnsi"/>
                <w:color w:val="3B3838" w:themeColor="background2" w:themeShade="40"/>
                <w:sz w:val="20"/>
                <w:szCs w:val="20"/>
              </w:rPr>
              <w:t>ml</w:t>
            </w:r>
            <w:r w:rsidRPr="00784B41">
              <w:rPr>
                <w:rFonts w:ascii="Cambria" w:hAnsi="Cambria" w:cstheme="minorHAnsi"/>
                <w:color w:val="3B3838" w:themeColor="background2" w:themeShade="40"/>
                <w:sz w:val="20"/>
                <w:szCs w:val="20"/>
                <w:vertAlign w:val="superscript"/>
              </w:rPr>
              <w:t>−1</w:t>
            </w:r>
            <w:proofErr w:type="gramEnd"/>
          </w:p>
        </w:tc>
        <w:tc>
          <w:tcPr>
            <w:tcW w:w="1418" w:type="dxa"/>
            <w:vAlign w:val="center"/>
          </w:tcPr>
          <w:p w14:paraId="31F2135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1–4</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2EDCF22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IIIA</w:t>
            </w:r>
          </w:p>
        </w:tc>
      </w:tr>
      <w:tr w:rsidR="00EE7EB3" w:rsidRPr="00784B41" w14:paraId="1A1249F4" w14:textId="77777777" w:rsidTr="00F233D4">
        <w:trPr>
          <w:trHeight w:val="340"/>
        </w:trPr>
        <w:tc>
          <w:tcPr>
            <w:tcW w:w="0" w:type="auto"/>
            <w:vAlign w:val="center"/>
          </w:tcPr>
          <w:p w14:paraId="357AE46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T3–4</w:t>
            </w:r>
          </w:p>
        </w:tc>
        <w:tc>
          <w:tcPr>
            <w:tcW w:w="1161" w:type="dxa"/>
            <w:vAlign w:val="center"/>
          </w:tcPr>
          <w:p w14:paraId="469A4B5E"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284A353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41E806D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w:t>
            </w:r>
          </w:p>
        </w:tc>
        <w:tc>
          <w:tcPr>
            <w:tcW w:w="1418" w:type="dxa"/>
            <w:vAlign w:val="center"/>
          </w:tcPr>
          <w:p w14:paraId="7D5B8F7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1–4</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3C9ACF5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IIIB</w:t>
            </w:r>
          </w:p>
        </w:tc>
      </w:tr>
      <w:tr w:rsidR="00EE7EB3" w:rsidRPr="00784B41" w14:paraId="11905F2D" w14:textId="77777777" w:rsidTr="00F233D4">
        <w:trPr>
          <w:trHeight w:val="340"/>
        </w:trPr>
        <w:tc>
          <w:tcPr>
            <w:tcW w:w="0" w:type="auto"/>
            <w:vAlign w:val="center"/>
          </w:tcPr>
          <w:p w14:paraId="4AABD25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 T</w:t>
            </w:r>
          </w:p>
        </w:tc>
        <w:tc>
          <w:tcPr>
            <w:tcW w:w="1161" w:type="dxa"/>
            <w:vAlign w:val="center"/>
          </w:tcPr>
          <w:p w14:paraId="3CB0E5A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N0</w:t>
            </w:r>
          </w:p>
        </w:tc>
        <w:tc>
          <w:tcPr>
            <w:tcW w:w="1313" w:type="dxa"/>
            <w:vAlign w:val="center"/>
          </w:tcPr>
          <w:p w14:paraId="69677BF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420C222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w:t>
            </w:r>
          </w:p>
        </w:tc>
        <w:tc>
          <w:tcPr>
            <w:tcW w:w="1418" w:type="dxa"/>
            <w:vAlign w:val="center"/>
          </w:tcPr>
          <w:p w14:paraId="66860C9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5</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3F9D534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IIIC</w:t>
            </w:r>
          </w:p>
        </w:tc>
      </w:tr>
      <w:tr w:rsidR="00EE7EB3" w:rsidRPr="00784B41" w14:paraId="62D880FA" w14:textId="77777777" w:rsidTr="00F233D4">
        <w:trPr>
          <w:trHeight w:val="340"/>
        </w:trPr>
        <w:tc>
          <w:tcPr>
            <w:tcW w:w="0" w:type="auto"/>
            <w:vAlign w:val="center"/>
          </w:tcPr>
          <w:p w14:paraId="6AA0046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 T</w:t>
            </w:r>
          </w:p>
        </w:tc>
        <w:tc>
          <w:tcPr>
            <w:tcW w:w="1161" w:type="dxa"/>
            <w:vAlign w:val="center"/>
          </w:tcPr>
          <w:p w14:paraId="17D5F96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N1</w:t>
            </w:r>
          </w:p>
        </w:tc>
        <w:tc>
          <w:tcPr>
            <w:tcW w:w="1313" w:type="dxa"/>
            <w:vAlign w:val="center"/>
          </w:tcPr>
          <w:p w14:paraId="06CE96CE"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M0</w:t>
            </w:r>
          </w:p>
        </w:tc>
        <w:tc>
          <w:tcPr>
            <w:tcW w:w="1522" w:type="dxa"/>
            <w:vAlign w:val="center"/>
          </w:tcPr>
          <w:p w14:paraId="3E7C05E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w:t>
            </w:r>
          </w:p>
        </w:tc>
        <w:tc>
          <w:tcPr>
            <w:tcW w:w="1418" w:type="dxa"/>
            <w:vAlign w:val="center"/>
          </w:tcPr>
          <w:p w14:paraId="36FB10B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58BCECE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IVA</w:t>
            </w:r>
          </w:p>
        </w:tc>
      </w:tr>
      <w:tr w:rsidR="00EE7EB3" w:rsidRPr="00784B41" w14:paraId="45E9E18F" w14:textId="77777777" w:rsidTr="00F233D4">
        <w:trPr>
          <w:trHeight w:val="340"/>
        </w:trPr>
        <w:tc>
          <w:tcPr>
            <w:tcW w:w="0" w:type="auto"/>
            <w:vAlign w:val="center"/>
          </w:tcPr>
          <w:p w14:paraId="26D8DFB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 T</w:t>
            </w:r>
          </w:p>
        </w:tc>
        <w:tc>
          <w:tcPr>
            <w:tcW w:w="1161" w:type="dxa"/>
            <w:vAlign w:val="center"/>
          </w:tcPr>
          <w:p w14:paraId="690B7B1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w:t>
            </w:r>
          </w:p>
        </w:tc>
        <w:tc>
          <w:tcPr>
            <w:tcW w:w="1313" w:type="dxa"/>
            <w:vAlign w:val="center"/>
          </w:tcPr>
          <w:p w14:paraId="787D4A9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M1</w:t>
            </w:r>
          </w:p>
        </w:tc>
        <w:tc>
          <w:tcPr>
            <w:tcW w:w="1522" w:type="dxa"/>
            <w:vAlign w:val="center"/>
          </w:tcPr>
          <w:p w14:paraId="79A34FA7"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w:t>
            </w:r>
          </w:p>
        </w:tc>
        <w:tc>
          <w:tcPr>
            <w:tcW w:w="1418" w:type="dxa"/>
            <w:vAlign w:val="center"/>
          </w:tcPr>
          <w:p w14:paraId="0933C0E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Any</w:t>
            </w:r>
          </w:p>
        </w:tc>
        <w:tc>
          <w:tcPr>
            <w:cnfStyle w:val="000100000000" w:firstRow="0" w:lastRow="0" w:firstColumn="0" w:lastColumn="1" w:oddVBand="0" w:evenVBand="0" w:oddHBand="0" w:evenHBand="0" w:firstRowFirstColumn="0" w:firstRowLastColumn="0" w:lastRowFirstColumn="0" w:lastRowLastColumn="0"/>
            <w:tcW w:w="2268" w:type="dxa"/>
            <w:vAlign w:val="center"/>
          </w:tcPr>
          <w:p w14:paraId="217CA59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IVB</w:t>
            </w:r>
          </w:p>
        </w:tc>
      </w:tr>
    </w:tbl>
    <w:p w14:paraId="387EF1E8" w14:textId="6B27F021" w:rsidR="00EE7EB3" w:rsidRDefault="00EE7EB3" w:rsidP="00EE7EB3">
      <w:pPr>
        <w:pStyle w:val="Popisobrzku"/>
        <w:rPr>
          <w:i/>
          <w:iCs/>
          <w:lang w:val="en-GB"/>
        </w:rPr>
      </w:pPr>
      <w:bookmarkStart w:id="25" w:name="_Toc47889315"/>
      <w:proofErr w:type="spellStart"/>
      <w:r w:rsidRPr="0046153D">
        <w:rPr>
          <w:i/>
          <w:iCs/>
        </w:rPr>
        <w:t>Note</w:t>
      </w:r>
      <w:proofErr w:type="spellEnd"/>
      <w:r w:rsidRPr="0046153D">
        <w:rPr>
          <w:i/>
          <w:iCs/>
        </w:rPr>
        <w:t xml:space="preserve">: </w:t>
      </w:r>
      <w:proofErr w:type="spellStart"/>
      <w:r w:rsidRPr="0046153D">
        <w:rPr>
          <w:i/>
          <w:iCs/>
        </w:rPr>
        <w:t>Reproduced</w:t>
      </w:r>
      <w:proofErr w:type="spellEnd"/>
      <w:r w:rsidRPr="0046153D">
        <w:rPr>
          <w:i/>
          <w:iCs/>
        </w:rPr>
        <w:t xml:space="preserve"> </w:t>
      </w:r>
      <w:proofErr w:type="spellStart"/>
      <w:r w:rsidRPr="0046153D">
        <w:rPr>
          <w:i/>
          <w:iCs/>
        </w:rPr>
        <w:t>from</w:t>
      </w:r>
      <w:proofErr w:type="spellEnd"/>
      <w:r w:rsidRPr="0046153D">
        <w:rPr>
          <w:i/>
          <w:iCs/>
        </w:rPr>
        <w:t xml:space="preserve"> </w:t>
      </w:r>
      <w:r w:rsidRPr="0046153D">
        <w:rPr>
          <w:i/>
          <w:iCs/>
          <w:noProof/>
        </w:rPr>
        <w:t>Buyyounouski et al</w:t>
      </w:r>
      <w:r>
        <w:rPr>
          <w:i/>
          <w:iCs/>
          <w:noProof/>
        </w:rPr>
        <w:t>.</w:t>
      </w:r>
      <w:r w:rsidRPr="0046153D">
        <w:rPr>
          <w:i/>
          <w:iCs/>
        </w:rPr>
        <w:t xml:space="preserve"> </w:t>
      </w:r>
      <w:r w:rsidRPr="0046153D">
        <w:rPr>
          <w:i/>
          <w:iCs/>
          <w:lang w:val="en-GB"/>
        </w:rPr>
        <w:fldChar w:fldCharType="begin" w:fldLock="1"/>
      </w:r>
      <w:r w:rsidR="000C069C">
        <w:rPr>
          <w:i/>
          <w:iCs/>
          <w:lang w:val="en-GB"/>
        </w:rPr>
        <w:instrText>ADDIN CSL_CITATION {"citationItems":[{"id":"ITEM-1","itemData":{"DOI":"10.3322/caac.21391","ISSN":"1542-4863","PMID":"28222223","abstract":"Answer questions and earn CME/CNE The eighth edition of the American Joint Committee on Cancer (AJCC) tumor-node-metastasis (TNM) Staging Manual has been updated and improved to ensure the highest degree of clinical relevance and to improve its utility for patient evaluation and clinical research. Major changes include: 1) pathologically organ-confined disease is now considered pT2 and is no longer subclassified by extent of involvement or laterality, 2) tumor grading now includes both the Gleason score (as in the seventh edition criteria) and the grade group (introduced in the eighth edition criteria), 3) prognostic stage group III includes select, organ-confined disease based on prostate-specific antigen and Gleason/grade group status, and 4) 2 statistical prediction models are included in the staging manual. The AJCC will continue to critically analyze emerging prostate cancer biomarkers and tools for their ability to prognosticate and guide treatment decision making with the highest level of accuracy and confidence for patients and physicians. CA Cancer J Clin 2017;67:245-253. © 2017 American Cancer Society.","author":[{"dropping-particle":"","family":"Buyyounouski","given":"Mark K.","non-dropping-particle":"","parse-names":false,"suffix":""},{"dropping-particle":"","family":"Choyke","given":"Peter L.","non-dropping-particle":"","parse-names":false,"suffix":""},{"dropping-particle":"","family":"McKenney","given":"Jesse K.","non-dropping-particle":"","parse-names":false,"suffix":""},{"dropping-particle":"","family":"Sartor","given":"Oliver","non-dropping-particle":"","parse-names":false,"suffix":""},{"dropping-particle":"","family":"Sandler","given":"Howard M.","non-dropping-particle":"","parse-names":false,"suffix":""},{"dropping-particle":"","family":"Amin","given":"Mahul B.","non-dropping-particle":"","parse-names":false,"suffix":""},{"dropping-particle":"","family":"Kattan","given":"Michael W.","non-dropping-particle":"","parse-names":false,"suffix":""},{"dropping-particle":"","family":"Lin","given":"Daniel W.","non-dropping-particle":"","parse-names":false,"suffix":""}],"container-title":"CA: A Cancer Journal for Clinicians","id":"ITEM-1","issue":"3","issued":{"date-parts":[["2017"]]},"page":"245-253","title":"Prostate cancer - major changes in the American Joint Committee on Cancer eighth edition cancer staging manual","type":"article-journal","volume":"67"},"uris":["http://www.mendeley.com/documents/?uuid=bf060318-a8b9-448e-bc7f-82e93cb06aeb"]}],"mendeley":{"formattedCitation":"&lt;sup&gt;6&lt;/sup&gt;","plainTextFormattedCitation":"6","previouslyFormattedCitation":"[6]"},"properties":{"noteIndex":0},"schema":"https://github.com/citation-style-language/schema/raw/master/csl-citation.json"}</w:instrText>
      </w:r>
      <w:r w:rsidRPr="0046153D">
        <w:rPr>
          <w:i/>
          <w:iCs/>
          <w:lang w:val="en-GB"/>
        </w:rPr>
        <w:fldChar w:fldCharType="separate"/>
      </w:r>
      <w:r w:rsidR="000C069C" w:rsidRPr="000C069C">
        <w:rPr>
          <w:iCs/>
          <w:noProof/>
          <w:vertAlign w:val="superscript"/>
          <w:lang w:val="en-GB"/>
        </w:rPr>
        <w:t>6</w:t>
      </w:r>
      <w:r w:rsidRPr="0046153D">
        <w:rPr>
          <w:i/>
          <w:iCs/>
          <w:lang w:val="en-GB"/>
        </w:rPr>
        <w:fldChar w:fldCharType="end"/>
      </w:r>
    </w:p>
    <w:p w14:paraId="79132BA4" w14:textId="77777777" w:rsidR="00EE7EB3" w:rsidRPr="00C83EDC" w:rsidRDefault="00EE7EB3" w:rsidP="00EE7EB3">
      <w:pPr>
        <w:pStyle w:val="Nadpis2"/>
        <w:rPr>
          <w:lang w:val="en-GB"/>
        </w:rPr>
      </w:pPr>
      <w:bookmarkStart w:id="26" w:name="_Toc48160986"/>
      <w:r w:rsidRPr="00C83EDC">
        <w:rPr>
          <w:lang w:val="en-GB"/>
        </w:rPr>
        <w:t>Tumour grading</w:t>
      </w:r>
      <w:bookmarkEnd w:id="25"/>
      <w:bookmarkEnd w:id="26"/>
    </w:p>
    <w:p w14:paraId="6F7E3507" w14:textId="5197CF85" w:rsidR="00EE7EB3" w:rsidRPr="00C83EDC" w:rsidRDefault="00EE7EB3" w:rsidP="00EE7EB3">
      <w:pPr>
        <w:pStyle w:val="Odstavec1"/>
        <w:rPr>
          <w:lang w:val="en-GB"/>
        </w:rPr>
      </w:pPr>
      <w:r w:rsidRPr="00C83EDC">
        <w:rPr>
          <w:lang w:val="en-GB"/>
        </w:rPr>
        <w:t xml:space="preserve">Prostate cancer grading is based on the Gleason system, which describes the architectural organization of cancer cells in </w:t>
      </w:r>
      <w:proofErr w:type="spellStart"/>
      <w:r>
        <w:rPr>
          <w:lang w:val="en-GB"/>
        </w:rPr>
        <w:t>h</w:t>
      </w:r>
      <w:r w:rsidRPr="00573552">
        <w:rPr>
          <w:lang w:val="en-GB"/>
        </w:rPr>
        <w:t>ematoxylin</w:t>
      </w:r>
      <w:proofErr w:type="spellEnd"/>
      <w:r w:rsidRPr="00573552">
        <w:rPr>
          <w:lang w:val="en-GB"/>
        </w:rPr>
        <w:t xml:space="preserve"> and eosin stai</w:t>
      </w:r>
      <w:r w:rsidRPr="00C83EDC">
        <w:rPr>
          <w:lang w:val="en-GB"/>
        </w:rPr>
        <w:t>ned samples of prostatic tissue. The decreasing level of differentiation in glandular structure of the prostate is described by growth patterns classified into five grades, with patterns 4 and 5 being associated with high-risk disease</w:t>
      </w:r>
      <w:r w:rsidRPr="00C83EDC">
        <w:rPr>
          <w:lang w:val="en-GB"/>
        </w:rPr>
        <w:fldChar w:fldCharType="begin" w:fldLock="1"/>
      </w:r>
      <w:r w:rsidR="000C069C">
        <w:rPr>
          <w:lang w:val="en-GB"/>
        </w:rPr>
        <w:instrText>ADDIN CSL_CITATION {"citationItems":[{"id":"ITEM-1","itemData":{"DOI":"10.1038/modpathol.3800054","ISSN":"08933952","abstract":"Gleason grade of adenocarcinoma of the prostate is an established prognostic indicator that has stood the test of time. The Gleason grading method was devised in the 1960s and 1970s by Dr Donald F Gleason and members of the Veterans Administration Cooperative Urological Research Group. This grading system is based entirely on the histologic pattern of arrangement of carcinoma cells in H&amp;E-stained sections. Five basic grade patterns are used to generate a histologic score, which can range from 2 to 10. These patterns are illustrated in a standard drawing that can be employed as a guide for recognition of the specific Gleason grades. Increasing Gleason grade is directly related to a number of histopathologic end points, including tumor size, margin status, and pathologic stage. Indeed, models have been developed that allow for pretreatment prediction of pathologic stage based upon needle biopsy Gleason grade, total serum prostate-specific antigen level, and clinical stage. Gleason grade has been linked to a number of clinical end points, including clinical stage, progression to metastatic disease, and survival. Gleason grade is often incorporated into nomograms used to predict response to a specific therapy, such as radiotherapy or surgery. Needle biopsy Gleason grade is routinely used to plan patient management and is also often one of the criteria for eligibility for clinical trials testing new therapies. Gleason grade should be routinely reported for adenocarcinoma of the prostate in all types of tissue samples. Experimental approaches that could be of importance in the future include determination of percentage of high-grade Gleason pattern 4 or 5, and utilization of markers discovered by gene expression profiling or by genetic testing for DNA abnormalities. Such markers would be of prognostic usefulness if they provided added value beyond the established indicators of Gleason grade, serum prostate-specific antigen, and stage. Currently, established prognostic factors for prostatic carcinoma recommended for routine reporting are TNM stage, surgical margin status, serum prostate-specific antigen, and Gleason grade. © 2004 USCAP, Inc. All rights reserved.","author":[{"dropping-particle":"","family":"Humphrey","given":"Peter A.","non-dropping-particle":"","parse-names":false,"suffix":""}],"container-title":"Modern Pathology","id":"ITEM-1","issue":"3","issued":{"date-parts":[["2004"]]},"page":"292-306","title":"Gleason grading and prognostic factors in carcinoma of the prostate","type":"article-journal","volume":"17"},"uris":["http://www.mendeley.com/documents/?uuid=d61530af-6ba9-48d1-b83c-986ca8a32d6f"]}],"mendeley":{"formattedCitation":"&lt;sup&gt;7&lt;/sup&gt;","plainTextFormattedCitation":"7","previouslyFormattedCitation":"[7]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7</w:t>
      </w:r>
      <w:r w:rsidRPr="00C83EDC">
        <w:rPr>
          <w:lang w:val="en-GB"/>
        </w:rPr>
        <w:fldChar w:fldCharType="end"/>
      </w:r>
      <w:r w:rsidRPr="00C83EDC">
        <w:rPr>
          <w:lang w:val="en-GB"/>
        </w:rPr>
        <w:t xml:space="preserve">. The Gleason score consists of two numbers that represent patterns found in the biopsy specimen – the first number describes the most prevalent pattern and the second number is assigned depending on the type of biopsy. Gleason score for needle biopsies consists of the most frequent and the highest patterns identified, whilst specimens from radical prostatectomy </w:t>
      </w:r>
      <w:r w:rsidRPr="00C83EDC">
        <w:rPr>
          <w:lang w:val="en-GB"/>
        </w:rPr>
        <w:lastRenderedPageBreak/>
        <w:t>or transurethral resections require the two most frequent patterns observed</w:t>
      </w:r>
      <w:r w:rsidRPr="00C83EDC">
        <w:rPr>
          <w:rFonts w:cstheme="minorHAnsi"/>
          <w:lang w:val="en-GB"/>
        </w:rPr>
        <w:fldChar w:fldCharType="begin" w:fldLock="1"/>
      </w:r>
      <w:r w:rsidR="000C069C">
        <w:rPr>
          <w:rFonts w:cstheme="minorHAnsi"/>
          <w:lang w:val="en-GB"/>
        </w:rPr>
        <w:instrText>ADDIN CSL_CITATION {"citationItems":[{"id":"ITEM-1","itemData":{"DOI":"10.1016/j.eururo.2015.10.029","ISSN":"18737560","abstract":"Background Gleason grading is the strongest prognostic parameter in prostate cancer. Gleason grading is categorized as Gleason ≤6, 3 + 4, 4 + 3, 8, and 9-10, but there is variability within these subgroups. For example, Gleason 4 components may range from 5-45% in a Gleason 3 + 4 = 7 cancer. Objective To assess the clinical relevance of the fractions of Gleason patterns. Design, setting, and participants Prostatectomy specimens from 12 823 consecutive patients and of 2971 matched preoperative biopsies for which clinical data with an annual follow-up between 2005 and 2014 were available from the Martini-Klinik database. Outcome measurements and statistical analysis To evaluate the utility of quantitative grading, the fraction of Gleason 3, 4, and 5 patterns seen in biopsies and prostatectomies were recorded. Gleason grade fractions were compared with prostatectomy findings and prostate-specific antigen recurrence. Results and limitations Our data suggest a striking utility of quantitative Gleason grading. In prostatectomy specimens, there was a continuous increase of the risk of prostate-specific antigen recurrence with increasing percentage of Gleason 4 fractions with remarkably small differences in outcome at clinically important thresholds (0% vs 5%; 40% vs 60% Gleason 4), distinguishing traditionally established prognostic groups. Also, in biopsies, the quantitative Gleason scoring identified various intermediate risk groups with respect to Gleason findings in corresponding prostatectomies. Quantitative grading may also reduce the clinical impact of interobserver variability because borderline findings such as tumors with 5%, 40%, or 60% Gleason 4 fractions and very small Gleason 5 fractions (with pivotal impact on the Gleason score) are disclaimed. Conclusions Quantitative Gleason pattern data should routinely be provided in addition to Gleason score categories, both in biopsies and in prostatectomy specimens. Patient summary Gleason score is the most important prognostic parameter in prostate cancer, but prone to interobserver variation. The results of our study show that morphological aspects that define the Gleason grade in prostate cancer represent a continuum. Quantitation of Gleason patterns provides clinically relevant information beyond the traditional Gleason grading categories ≤3 + 3, 3 + 4, 4 + 3, 8, 9-10. Quantitative Gleason scoring can help to minimize variations between different pathologists and substantially aid in optimized therapy…","author":[{"dropping-particle":"","family":"Sauter","given":"Guido","non-dropping-particle":"","parse-names":false,"suffix":""},{"dropping-particle":"","family":"Steurer","given":"Stefan","non-dropping-particle":"","parse-names":false,"suffix":""},{"dropping-particle":"","family":"Clauditz","given":"Till Sebastian","non-dropping-particle":"","parse-names":false,"suffix":""},{"dropping-particle":"","family":"Krech","given":"Till","non-dropping-particle":"","parse-names":false,"suffix":""},{"dropping-particle":"","family":"Wittmer","given":"Corinna","non-dropping-particle":"","parse-names":false,"suffix":""},{"dropping-particle":"","family":"Lutz","given":"Florian","non-dropping-particle":"","parse-names":false,"suffix":""},{"dropping-particle":"","family":"Lennartz","given":"Maximilian","non-dropping-particle":"","parse-names":false,"suffix":""},{"dropping-particle":"","family":"Janssen","given":"Tim","non-dropping-particle":"","parse-names":false,"suffix":""},{"dropping-particle":"","family":"Hakimi","given":"Nayira","non-dropping-particle":"","parse-names":false,"suffix":""},{"dropping-particle":"","family":"Simon","given":"Ronald","non-dropping-particle":"","parse-names":false,"suffix":""},{"dropping-particle":"","family":"Petersdorff-Campen","given":"Mareike","non-dropping-particle":"Von","parse-names":false,"suffix":""},{"dropping-particle":"","family":"Jacobsen","given":"Frank","non-dropping-particle":"","parse-names":false,"suffix":""},{"dropping-particle":"","family":"Loga","given":"Katharina","non-dropping-particle":"Von","parse-names":false,"suffix":""},{"dropping-particle":"","family":"Wilczak","given":"Waldemar","non-dropping-particle":"","parse-names":false,"suffix":""},{"dropping-particle":"","family":"Minner","given":"Sarah","non-dropping-particle":"","parse-names":false,"suffix":""},{"dropping-particle":"","family":"Tsourlakis","given":"Maria Christina","non-dropping-particle":"","parse-names":false,"suffix":""},{"dropping-particle":"","family":"Chirico","given":"Viktoria","non-dropping-particle":"","parse-names":false,"suffix":""},{"dropping-particle":"","family":"Haese","given":"Alexander","non-dropping-particle":"","parse-names":false,"suffix":""},{"dropping-particle":"","family":"Heinzer","given":"Hans","non-dropping-particle":"","parse-names":false,"suffix":""},{"dropping-particle":"","family":"Beyer","given":"Burkhard","non-dropping-particle":"","parse-names":false,"suffix":""},{"dropping-particle":"","family":"Graefen","given":"Markus","non-dropping-particle":"","parse-names":false,"suffix":""},{"dropping-particle":"","family":"Michl","given":"Uwe","non-dropping-particle":"","parse-names":false,"suffix":""},{"dropping-particle":"","family":"Salomon","given":"Georg","non-dropping-particle":"","parse-names":false,"suffix":""},{"dropping-particle":"","family":"Steuber","given":"Thomas","non-dropping-particle":"","parse-names":false,"suffix":""},{"dropping-particle":"","family":"Budäus","given":"Lars Henrik","non-dropping-particle":"","parse-names":false,"suffix":""},{"dropping-particle":"","family":"Hekeler","given":"Elena","non-dropping-particle":"","parse-names":false,"suffix":""},{"dropping-particle":"","family":"Malsy-Mink","given":"Julia","non-dropping-particle":"","parse-names":false,"suffix":""},{"dropping-particle":"","family":"Kutzera","given":"Sven","non-dropping-particle":"","parse-names":false,"suffix":""},{"dropping-particle":"","family":"Fraune","given":"Christoph","non-dropping-particle":"","parse-names":false,"suffix":""},{"dropping-particle":"","family":"Göbel","given":"Cosima","non-dropping-particle":"","parse-names":false,"suffix":""},{"dropping-particle":"","family":"Huland","given":"Hartwig","non-dropping-particle":"","parse-names":false,"suffix":""},{"dropping-particle":"","family":"Schlomm","given":"Thorsten","non-dropping-particle":"","parse-names":false,"suffix":""}],"container-title":"European Urology","id":"ITEM-1","issue":"4","issued":{"date-parts":[["2016"]]},"page":"592-598","title":"Clinical utility of quantitative gleason grading in prostate biopsies and prostatectomy specimens","type":"article-journal","volume":"69"},"uris":["http://www.mendeley.com/documents/?uuid=1886188d-71bb-46eb-8e18-149e8fedefdd"]}],"mendeley":{"formattedCitation":"&lt;sup&gt;8&lt;/sup&gt;","plainTextFormattedCitation":"8","previouslyFormattedCitation":"[8]"},"properties":{"noteIndex":0},"schema":"https://github.com/citation-style-language/schema/raw/master/csl-citation.json"}</w:instrText>
      </w:r>
      <w:r w:rsidRPr="00C83EDC">
        <w:rPr>
          <w:rFonts w:cstheme="minorHAnsi"/>
          <w:lang w:val="en-GB"/>
        </w:rPr>
        <w:fldChar w:fldCharType="separate"/>
      </w:r>
      <w:r w:rsidR="000C069C" w:rsidRPr="000C069C">
        <w:rPr>
          <w:rFonts w:cstheme="minorHAnsi"/>
          <w:noProof/>
          <w:vertAlign w:val="superscript"/>
          <w:lang w:val="en-GB"/>
        </w:rPr>
        <w:t>8</w:t>
      </w:r>
      <w:r w:rsidRPr="00C83EDC">
        <w:rPr>
          <w:rFonts w:cstheme="minorHAnsi"/>
          <w:lang w:val="en-GB"/>
        </w:rPr>
        <w:fldChar w:fldCharType="end"/>
      </w:r>
      <w:r w:rsidRPr="00C83EDC">
        <w:rPr>
          <w:rFonts w:cstheme="minorHAnsi"/>
          <w:lang w:val="en-GB"/>
        </w:rPr>
        <w:t xml:space="preserve">. </w:t>
      </w:r>
      <w:r w:rsidRPr="00C83EDC">
        <w:rPr>
          <w:lang w:val="en-GB"/>
        </w:rPr>
        <w:t>Although the Gleason system ranges from 2 to 10, scores 2–4 are practically never present on biopsy samples. Moreover, single score 7 could represent both 3 + 4 and 4 + 3 patterns, with the latter having worse prognosis. In 2014, the International Society of Urological Pathology (ISUP) consensus conference decided to adopt a new system of grade groups 1–5 (</w:t>
      </w:r>
      <w:r w:rsidRPr="00B77386">
        <w:rPr>
          <w:lang w:val="en-GB"/>
        </w:rPr>
        <w:t xml:space="preserve">Table </w:t>
      </w:r>
      <w:r>
        <w:rPr>
          <w:lang w:val="en-GB"/>
        </w:rPr>
        <w:t>II</w:t>
      </w:r>
      <w:r w:rsidRPr="00C83EDC">
        <w:rPr>
          <w:lang w:val="en-GB"/>
        </w:rPr>
        <w:t>) that is based on the modification of the original Gleason scores</w:t>
      </w:r>
      <w:r w:rsidRPr="00C83EDC">
        <w:rPr>
          <w:lang w:val="en-GB"/>
        </w:rPr>
        <w:fldChar w:fldCharType="begin" w:fldLock="1"/>
      </w:r>
      <w:r w:rsidR="000C069C">
        <w:rPr>
          <w:lang w:val="en-GB"/>
        </w:rPr>
        <w:instrText>ADDIN CSL_CITATION {"citationItems":[{"id":"ITEM-1","itemData":{"DOI":"10.1097/PAS.0000000000000530","ISSN":"15320979","PMID":"26492179","abstract":"In November, 2014, 65 prostate cancer pathology experts, along with 17 clinicians including urologists, radiation oncologists, and medical oncologists from 19 different countries gathered in a consensus conference to update the grading of prostate cancer, last revised in 2005. The major conclusions were: (1) Cribriform glands should be assigned a Gleason pattern 4, regardless of morphology; (2) Glomeruloid glands should be assigned a Gleason pattern 4, regardless of morphology; (3) Grading of mucinous carcinoma of the prostate should be based on its underlying growth pattern rather than grading them all as pattern 4; and (4) Intraductal carcinoma of the prostate without invasive carcinoma should not be assigned a Gleason grade and a comment as to its invariable association with aggressive prostate cancer should be made. Regarding morphologies of Gleason patterns, there was clear consensus on: (1) Gleason pattern 4 includes cribriform, fused, and poorly formed glands; (2) The term hypernephromatoid cancer should not be used; (3) For a diagnosis of Gleason pattern 4, it needs to be seen at 10x lens magnification; (4) Occasional/seemingly poorly formed or fused glands between well-formed glands is insufficient for a diagnosis of pattern 4; (5) In cases with borderline morphology between Gleason pattern 3 and pattern 4 and crush artifacts, the lower grade should be favored; (6) Branched glands are allowed in Gleason pattern 3; (7) Small solid cylinders represent Gleason pattern 5; (8) Solid medium to large nests with rosette-like spaces should be considered to represent Gleason pattern 5; and (9) Presence of unequivocal comedonecrosis, even if focal is indicative of Gleason pattern 5. It was recognized by both pathologists and clinicians that despite the above changes, there were deficiencies with the Gleason system. The Gleason grading system ranges from 2 to 10, yet 6 is the lowest score currently assigned. When patients are told that they have a Gleason score 6 out of 10, it implies that their prognosis is intermediate and contributes to their fear of having a more aggressive cancer. Also, in the literature and for therapeutic purposes, various scores have been incorrectly grouped together with the assumption that they have a similar prognosis. For example, many classification systems consider Gleason score 7 as a single score without distinguishing 3+4 versus 4+3, despite studies showing significantly worse prognosis for the latter. The basis for a new …","author":[{"dropping-particle":"","family":"Epstein","given":"Jonathan I.","non-dropping-particle":"","parse-names":false,"suffix":""},{"dropping-particle":"","family":"Egevad","given":"Lars","non-dropping-particle":"","parse-names":false,"suffix":""},{"dropping-particle":"","family":"Amin","given":"Mahul B.","non-dropping-particle":"","parse-names":false,"suffix":""},{"dropping-particle":"","family":"Delahunt","given":"Brett","non-dropping-particle":"","parse-names":false,"suffix":""},{"dropping-particle":"","family":"Srigley","given":"John R.","non-dropping-particle":"","parse-names":false,"suffix":""},{"dropping-particle":"","family":"Humphrey","given":"Peter A.","non-dropping-particle":"","parse-names":false,"suffix":""}],"container-title":"American Journal of Surgical Pathology","id":"ITEM-1","issue":"2","issued":{"date-parts":[["2016"]]},"page":"244-252","title":"The 2014 international society of urological pathology (ISUP) consensus conference on gleason grading of prostatic carcinoma definition of grading patterns and proposal for a new grading system","type":"article-journal","volume":"40"},"uris":["http://www.mendeley.com/documents/?uuid=c984b68b-1ef6-4a04-8448-9581bba5c688"]}],"mendeley":{"formattedCitation":"&lt;sup&gt;9&lt;/sup&gt;","plainTextFormattedCitation":"9","previouslyFormattedCitation":"[9]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w:t>
      </w:r>
      <w:r w:rsidRPr="00C83EDC">
        <w:rPr>
          <w:lang w:val="en-GB"/>
        </w:rPr>
        <w:fldChar w:fldCharType="end"/>
      </w:r>
      <w:r w:rsidRPr="00C83EDC">
        <w:rPr>
          <w:lang w:val="en-GB"/>
        </w:rPr>
        <w:t xml:space="preserve">. </w:t>
      </w:r>
    </w:p>
    <w:p w14:paraId="57C53086" w14:textId="6FA6C2A9" w:rsidR="00EE7EB3" w:rsidRPr="00C83EDC" w:rsidRDefault="00EE7EB3" w:rsidP="00EE7EB3">
      <w:pPr>
        <w:pStyle w:val="Titulektabulky"/>
        <w:jc w:val="left"/>
        <w:rPr>
          <w:lang w:val="en-GB"/>
        </w:rPr>
      </w:pPr>
      <w:bookmarkStart w:id="27" w:name="_Toc47541135"/>
      <w:r w:rsidRPr="00C83EDC">
        <w:rPr>
          <w:lang w:val="en-GB"/>
        </w:rPr>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II</w:t>
      </w:r>
      <w:r>
        <w:rPr>
          <w:noProof/>
          <w:lang w:val="en-GB"/>
        </w:rPr>
        <w:fldChar w:fldCharType="end"/>
      </w:r>
      <w:r w:rsidRPr="00C83EDC">
        <w:rPr>
          <w:noProof/>
          <w:lang w:val="en-GB"/>
        </w:rPr>
        <w:t>.</w:t>
      </w:r>
      <w:r w:rsidRPr="00C83EDC">
        <w:rPr>
          <w:lang w:val="en-GB"/>
        </w:rPr>
        <w:t xml:space="preserve"> </w:t>
      </w:r>
      <w:r w:rsidRPr="00C83EDC">
        <w:rPr>
          <w:b w:val="0"/>
          <w:bCs w:val="0"/>
          <w:lang w:val="en-GB"/>
        </w:rPr>
        <w:t>Histological definition of new grading system by ISUP</w:t>
      </w:r>
      <w:r>
        <w:rPr>
          <w:b w:val="0"/>
          <w:bCs w:val="0"/>
          <w:lang w:val="en-GB"/>
        </w:rPr>
        <w:t>.</w:t>
      </w:r>
      <w:r w:rsidRPr="00C83EDC">
        <w:rPr>
          <w:b w:val="0"/>
          <w:bCs w:val="0"/>
          <w:lang w:val="en-GB"/>
        </w:rPr>
        <w:t xml:space="preserve"> </w:t>
      </w:r>
      <w:bookmarkEnd w:id="27"/>
    </w:p>
    <w:tbl>
      <w:tblPr>
        <w:tblStyle w:val="Tabulkasmkou4zvraznn3"/>
        <w:tblW w:w="9067" w:type="dxa"/>
        <w:tblLook w:val="0720" w:firstRow="1" w:lastRow="0" w:firstColumn="0" w:lastColumn="1" w:noHBand="1" w:noVBand="1"/>
      </w:tblPr>
      <w:tblGrid>
        <w:gridCol w:w="1217"/>
        <w:gridCol w:w="2133"/>
        <w:gridCol w:w="5717"/>
      </w:tblGrid>
      <w:tr w:rsidR="00EE7EB3" w:rsidRPr="00784B41" w14:paraId="1454D6EE"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themeFill="background2"/>
            <w:vAlign w:val="center"/>
          </w:tcPr>
          <w:p w14:paraId="42E35C92" w14:textId="77777777" w:rsidR="00EE7EB3" w:rsidRPr="00784B41" w:rsidRDefault="00EE7EB3" w:rsidP="00F233D4">
            <w:pPr>
              <w:jc w:val="center"/>
              <w:rPr>
                <w:rFonts w:cstheme="minorHAnsi"/>
                <w:color w:val="3B3838" w:themeColor="background2" w:themeShade="40"/>
                <w:sz w:val="20"/>
                <w:szCs w:val="20"/>
              </w:rPr>
            </w:pPr>
            <w:r>
              <w:rPr>
                <w:rFonts w:cstheme="minorHAnsi"/>
                <w:color w:val="3B3838" w:themeColor="background2" w:themeShade="40"/>
                <w:sz w:val="20"/>
                <w:szCs w:val="20"/>
              </w:rPr>
              <w:t>Grade group</w:t>
            </w:r>
          </w:p>
        </w:tc>
        <w:tc>
          <w:tcPr>
            <w:tcW w:w="2133" w:type="dxa"/>
            <w:shd w:val="clear" w:color="auto" w:fill="E7E6E6" w:themeFill="background2"/>
            <w:vAlign w:val="center"/>
          </w:tcPr>
          <w:p w14:paraId="2763295A" w14:textId="77777777" w:rsidR="00EE7EB3" w:rsidRPr="00784B41" w:rsidRDefault="00EE7EB3" w:rsidP="00F233D4">
            <w:pPr>
              <w:jc w:val="center"/>
              <w:rPr>
                <w:rFonts w:cstheme="minorHAnsi"/>
                <w:color w:val="3B3838" w:themeColor="background2" w:themeShade="40"/>
                <w:sz w:val="20"/>
                <w:szCs w:val="20"/>
              </w:rPr>
            </w:pPr>
            <w:r>
              <w:rPr>
                <w:rFonts w:cstheme="minorHAnsi"/>
                <w:color w:val="3B3838" w:themeColor="background2" w:themeShade="40"/>
                <w:sz w:val="20"/>
                <w:szCs w:val="20"/>
              </w:rPr>
              <w:t>Original Gleason score</w:t>
            </w:r>
          </w:p>
        </w:tc>
        <w:tc>
          <w:tcPr>
            <w:cnfStyle w:val="000100000000" w:firstRow="0" w:lastRow="0" w:firstColumn="0" w:lastColumn="1" w:oddVBand="0" w:evenVBand="0" w:oddHBand="0" w:evenHBand="0" w:firstRowFirstColumn="0" w:firstRowLastColumn="0" w:lastRowFirstColumn="0" w:lastRowLastColumn="0"/>
            <w:tcW w:w="5717" w:type="dxa"/>
            <w:shd w:val="clear" w:color="auto" w:fill="E7E6E6" w:themeFill="background2"/>
            <w:vAlign w:val="center"/>
          </w:tcPr>
          <w:p w14:paraId="22363325" w14:textId="77777777" w:rsidR="00EE7EB3" w:rsidRPr="00784B41" w:rsidRDefault="00EE7EB3" w:rsidP="00F233D4">
            <w:pPr>
              <w:jc w:val="center"/>
              <w:rPr>
                <w:rFonts w:cstheme="minorHAnsi"/>
                <w:color w:val="3B3838" w:themeColor="background2" w:themeShade="40"/>
                <w:sz w:val="20"/>
                <w:szCs w:val="20"/>
              </w:rPr>
            </w:pPr>
            <w:r>
              <w:rPr>
                <w:rFonts w:cstheme="minorHAnsi"/>
                <w:color w:val="3B3838" w:themeColor="background2" w:themeShade="40"/>
                <w:sz w:val="20"/>
                <w:szCs w:val="20"/>
              </w:rPr>
              <w:t>Definition</w:t>
            </w:r>
          </w:p>
        </w:tc>
      </w:tr>
      <w:tr w:rsidR="00EE7EB3" w:rsidRPr="00784B41" w14:paraId="70AA6963" w14:textId="77777777" w:rsidTr="00F233D4">
        <w:trPr>
          <w:trHeight w:val="340"/>
        </w:trPr>
        <w:tc>
          <w:tcPr>
            <w:tcW w:w="0" w:type="auto"/>
            <w:vAlign w:val="center"/>
          </w:tcPr>
          <w:p w14:paraId="15C61CB0" w14:textId="77777777" w:rsidR="00EE7EB3" w:rsidRPr="00784B41" w:rsidRDefault="00EE7EB3" w:rsidP="00F233D4">
            <w:pPr>
              <w:jc w:val="center"/>
              <w:rPr>
                <w:rFonts w:cstheme="minorHAnsi"/>
                <w:color w:val="3B3838" w:themeColor="background2" w:themeShade="40"/>
                <w:sz w:val="20"/>
                <w:szCs w:val="20"/>
                <w:lang w:eastAsia="en-GB"/>
              </w:rPr>
            </w:pPr>
            <w:r w:rsidRPr="00784B41">
              <w:rPr>
                <w:rFonts w:cstheme="minorHAnsi"/>
                <w:color w:val="3B3838" w:themeColor="background2" w:themeShade="40"/>
                <w:sz w:val="20"/>
                <w:szCs w:val="20"/>
                <w:lang w:eastAsia="en-GB"/>
              </w:rPr>
              <w:t>1</w:t>
            </w:r>
          </w:p>
        </w:tc>
        <w:tc>
          <w:tcPr>
            <w:tcW w:w="2133" w:type="dxa"/>
            <w:vAlign w:val="center"/>
          </w:tcPr>
          <w:p w14:paraId="6C475690"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 6</w:t>
            </w:r>
          </w:p>
        </w:tc>
        <w:tc>
          <w:tcPr>
            <w:cnfStyle w:val="000100000000" w:firstRow="0" w:lastRow="0" w:firstColumn="0" w:lastColumn="1" w:oddVBand="0" w:evenVBand="0" w:oddHBand="0" w:evenHBand="0" w:firstRowFirstColumn="0" w:firstRowLastColumn="0" w:lastRowFirstColumn="0" w:lastRowLastColumn="0"/>
            <w:tcW w:w="5717" w:type="dxa"/>
            <w:vAlign w:val="center"/>
          </w:tcPr>
          <w:p w14:paraId="07D0CF39"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Only individual discrete well- formed glands</w:t>
            </w:r>
          </w:p>
        </w:tc>
      </w:tr>
      <w:tr w:rsidR="00EE7EB3" w:rsidRPr="00784B41" w14:paraId="7F99F479" w14:textId="77777777" w:rsidTr="00F233D4">
        <w:trPr>
          <w:trHeight w:val="340"/>
        </w:trPr>
        <w:tc>
          <w:tcPr>
            <w:tcW w:w="0" w:type="auto"/>
            <w:vAlign w:val="center"/>
          </w:tcPr>
          <w:p w14:paraId="5499F732"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2</w:t>
            </w:r>
          </w:p>
        </w:tc>
        <w:tc>
          <w:tcPr>
            <w:tcW w:w="2133" w:type="dxa"/>
            <w:vAlign w:val="center"/>
          </w:tcPr>
          <w:p w14:paraId="31AD194C" w14:textId="77777777" w:rsidR="00EE7EB3" w:rsidRPr="00784B41" w:rsidRDefault="00EE7EB3" w:rsidP="00F233D4">
            <w:pPr>
              <w:jc w:val="center"/>
              <w:rPr>
                <w:rFonts w:cstheme="minorHAnsi"/>
                <w:color w:val="3B3838" w:themeColor="background2" w:themeShade="40"/>
                <w:sz w:val="20"/>
                <w:szCs w:val="20"/>
                <w:lang w:eastAsia="en-GB"/>
              </w:rPr>
            </w:pPr>
            <w:r w:rsidRPr="00784B41">
              <w:rPr>
                <w:rFonts w:cstheme="minorHAnsi"/>
                <w:color w:val="3B3838" w:themeColor="background2" w:themeShade="40"/>
                <w:sz w:val="20"/>
                <w:szCs w:val="20"/>
                <w:lang w:eastAsia="en-GB"/>
              </w:rPr>
              <w:t>3 + 4 = 7</w:t>
            </w:r>
          </w:p>
        </w:tc>
        <w:tc>
          <w:tcPr>
            <w:cnfStyle w:val="000100000000" w:firstRow="0" w:lastRow="0" w:firstColumn="0" w:lastColumn="1" w:oddVBand="0" w:evenVBand="0" w:oddHBand="0" w:evenHBand="0" w:firstRowFirstColumn="0" w:firstRowLastColumn="0" w:lastRowFirstColumn="0" w:lastRowLastColumn="0"/>
            <w:tcW w:w="5717" w:type="dxa"/>
            <w:vAlign w:val="center"/>
          </w:tcPr>
          <w:p w14:paraId="58B0542C"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Predominantly well-formed glands with lesser component of poorly- formed/fused/cribriform glands</w:t>
            </w:r>
          </w:p>
        </w:tc>
      </w:tr>
      <w:tr w:rsidR="00EE7EB3" w:rsidRPr="00784B41" w14:paraId="337EC078" w14:textId="77777777" w:rsidTr="00F233D4">
        <w:trPr>
          <w:trHeight w:val="340"/>
        </w:trPr>
        <w:tc>
          <w:tcPr>
            <w:tcW w:w="0" w:type="auto"/>
            <w:vAlign w:val="center"/>
          </w:tcPr>
          <w:p w14:paraId="5044B3A7"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3</w:t>
            </w:r>
          </w:p>
        </w:tc>
        <w:tc>
          <w:tcPr>
            <w:tcW w:w="2133" w:type="dxa"/>
            <w:vAlign w:val="center"/>
          </w:tcPr>
          <w:p w14:paraId="76ACE482"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4 + 3 = 7</w:t>
            </w:r>
          </w:p>
        </w:tc>
        <w:tc>
          <w:tcPr>
            <w:cnfStyle w:val="000100000000" w:firstRow="0" w:lastRow="0" w:firstColumn="0" w:lastColumn="1" w:oddVBand="0" w:evenVBand="0" w:oddHBand="0" w:evenHBand="0" w:firstRowFirstColumn="0" w:firstRowLastColumn="0" w:lastRowFirstColumn="0" w:lastRowLastColumn="0"/>
            <w:tcW w:w="5717" w:type="dxa"/>
            <w:vAlign w:val="center"/>
          </w:tcPr>
          <w:p w14:paraId="61C73D12"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Predominantly poorly- formed/fused/cribriform glands with lesser component of well-formed glands</w:t>
            </w:r>
          </w:p>
        </w:tc>
      </w:tr>
      <w:tr w:rsidR="00EE7EB3" w:rsidRPr="00784B41" w14:paraId="79BF5C49" w14:textId="77777777" w:rsidTr="00F233D4">
        <w:trPr>
          <w:trHeight w:val="340"/>
        </w:trPr>
        <w:tc>
          <w:tcPr>
            <w:tcW w:w="0" w:type="auto"/>
            <w:vAlign w:val="center"/>
          </w:tcPr>
          <w:p w14:paraId="20AA88C6"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4</w:t>
            </w:r>
          </w:p>
        </w:tc>
        <w:tc>
          <w:tcPr>
            <w:tcW w:w="2133" w:type="dxa"/>
            <w:vAlign w:val="center"/>
          </w:tcPr>
          <w:p w14:paraId="494DCADA"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4 + 4 = 8</w:t>
            </w:r>
          </w:p>
          <w:p w14:paraId="486BEC81"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3 + 5 = 8</w:t>
            </w:r>
          </w:p>
          <w:p w14:paraId="6F5CEC7F"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5 + 3 = 8</w:t>
            </w:r>
          </w:p>
        </w:tc>
        <w:tc>
          <w:tcPr>
            <w:cnfStyle w:val="000100000000" w:firstRow="0" w:lastRow="0" w:firstColumn="0" w:lastColumn="1" w:oddVBand="0" w:evenVBand="0" w:oddHBand="0" w:evenHBand="0" w:firstRowFirstColumn="0" w:firstRowLastColumn="0" w:lastRowFirstColumn="0" w:lastRowLastColumn="0"/>
            <w:tcW w:w="5717" w:type="dxa"/>
            <w:vAlign w:val="center"/>
          </w:tcPr>
          <w:p w14:paraId="5AE9C9F5"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 xml:space="preserve">Only </w:t>
            </w:r>
            <w:proofErr w:type="gramStart"/>
            <w:r w:rsidRPr="00784B41">
              <w:rPr>
                <w:rFonts w:cstheme="minorHAnsi"/>
                <w:b w:val="0"/>
                <w:bCs w:val="0"/>
                <w:color w:val="3B3838" w:themeColor="background2" w:themeShade="40"/>
                <w:sz w:val="20"/>
                <w:szCs w:val="20"/>
              </w:rPr>
              <w:t>poorly-formed</w:t>
            </w:r>
            <w:proofErr w:type="gramEnd"/>
            <w:r w:rsidRPr="00784B41">
              <w:rPr>
                <w:rFonts w:cstheme="minorHAnsi"/>
                <w:b w:val="0"/>
                <w:bCs w:val="0"/>
                <w:color w:val="3B3838" w:themeColor="background2" w:themeShade="40"/>
                <w:sz w:val="20"/>
                <w:szCs w:val="20"/>
              </w:rPr>
              <w:t xml:space="preserve">/fused/cribriform glands </w:t>
            </w:r>
            <w:r w:rsidRPr="00784B41">
              <w:rPr>
                <w:rFonts w:cstheme="minorHAnsi"/>
                <w:b w:val="0"/>
                <w:bCs w:val="0"/>
                <w:i/>
                <w:iCs/>
                <w:color w:val="3B3838" w:themeColor="background2" w:themeShade="40"/>
                <w:sz w:val="20"/>
                <w:szCs w:val="20"/>
              </w:rPr>
              <w:t>or</w:t>
            </w:r>
          </w:p>
          <w:p w14:paraId="55F5A5BA"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 xml:space="preserve">Predominantly well-formed glands and lesser component lacking glands </w:t>
            </w:r>
            <w:r w:rsidRPr="00784B41">
              <w:rPr>
                <w:rFonts w:cstheme="minorHAnsi"/>
                <w:b w:val="0"/>
                <w:bCs w:val="0"/>
                <w:i/>
                <w:iCs/>
                <w:color w:val="3B3838" w:themeColor="background2" w:themeShade="40"/>
                <w:sz w:val="20"/>
                <w:szCs w:val="20"/>
              </w:rPr>
              <w:t>or</w:t>
            </w:r>
          </w:p>
          <w:p w14:paraId="4BE3B5B9"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Predominantly lacking glands and lesser component of well-formed glands</w:t>
            </w:r>
          </w:p>
        </w:tc>
      </w:tr>
      <w:tr w:rsidR="00EE7EB3" w:rsidRPr="00784B41" w14:paraId="00F54B17" w14:textId="77777777" w:rsidTr="00F233D4">
        <w:trPr>
          <w:trHeight w:val="340"/>
        </w:trPr>
        <w:tc>
          <w:tcPr>
            <w:tcW w:w="0" w:type="auto"/>
            <w:vAlign w:val="center"/>
          </w:tcPr>
          <w:p w14:paraId="3D4453CE"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5</w:t>
            </w:r>
          </w:p>
        </w:tc>
        <w:tc>
          <w:tcPr>
            <w:tcW w:w="2133" w:type="dxa"/>
            <w:vAlign w:val="center"/>
          </w:tcPr>
          <w:p w14:paraId="014FE646"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9–10</w:t>
            </w:r>
          </w:p>
        </w:tc>
        <w:tc>
          <w:tcPr>
            <w:cnfStyle w:val="000100000000" w:firstRow="0" w:lastRow="0" w:firstColumn="0" w:lastColumn="1" w:oddVBand="0" w:evenVBand="0" w:oddHBand="0" w:evenHBand="0" w:firstRowFirstColumn="0" w:firstRowLastColumn="0" w:lastRowFirstColumn="0" w:lastRowLastColumn="0"/>
            <w:tcW w:w="5717" w:type="dxa"/>
            <w:vAlign w:val="center"/>
          </w:tcPr>
          <w:p w14:paraId="7141B623"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Lacks gland formation (or with necrosis) with or without poorly formed/fused/cribriform glands</w:t>
            </w:r>
          </w:p>
        </w:tc>
      </w:tr>
    </w:tbl>
    <w:p w14:paraId="5D4E5F6F" w14:textId="3A6FA01D" w:rsidR="00EE7EB3" w:rsidRDefault="00EE7EB3" w:rsidP="00EE7EB3">
      <w:pPr>
        <w:pStyle w:val="Popisobrzku"/>
        <w:rPr>
          <w:rFonts w:ascii="Cambria" w:hAnsi="Cambria"/>
          <w:sz w:val="24"/>
          <w:szCs w:val="24"/>
          <w:lang w:eastAsia="cs-CZ"/>
        </w:rPr>
      </w:pPr>
      <w:bookmarkStart w:id="28" w:name="_Hlk48034110"/>
      <w:proofErr w:type="spellStart"/>
      <w:r w:rsidRPr="00E84635">
        <w:rPr>
          <w:i/>
          <w:iCs/>
        </w:rPr>
        <w:t>Note</w:t>
      </w:r>
      <w:proofErr w:type="spellEnd"/>
      <w:r w:rsidRPr="00E84635">
        <w:rPr>
          <w:i/>
          <w:iCs/>
        </w:rPr>
        <w:t xml:space="preserve">: </w:t>
      </w:r>
      <w:proofErr w:type="spellStart"/>
      <w:r w:rsidRPr="00E84635">
        <w:rPr>
          <w:i/>
          <w:iCs/>
        </w:rPr>
        <w:t>Reproduced</w:t>
      </w:r>
      <w:proofErr w:type="spellEnd"/>
      <w:r w:rsidRPr="00E84635">
        <w:rPr>
          <w:i/>
          <w:iCs/>
        </w:rPr>
        <w:t xml:space="preserve"> </w:t>
      </w:r>
      <w:proofErr w:type="spellStart"/>
      <w:r w:rsidRPr="00E84635">
        <w:rPr>
          <w:i/>
          <w:iCs/>
        </w:rPr>
        <w:t>from</w:t>
      </w:r>
      <w:bookmarkEnd w:id="28"/>
      <w:proofErr w:type="spellEnd"/>
      <w:r w:rsidRPr="00E84635">
        <w:rPr>
          <w:i/>
          <w:iCs/>
        </w:rPr>
        <w:t xml:space="preserve"> </w:t>
      </w:r>
      <w:r w:rsidRPr="00E84635">
        <w:rPr>
          <w:i/>
          <w:iCs/>
          <w:noProof/>
        </w:rPr>
        <w:t>Epstein et al</w:t>
      </w:r>
      <w:r>
        <w:rPr>
          <w:noProof/>
        </w:rPr>
        <w:t>.</w:t>
      </w:r>
      <w:r w:rsidRPr="00E84635">
        <w:rPr>
          <w:b/>
          <w:bCs/>
          <w:lang w:val="en-GB"/>
        </w:rPr>
        <w:t xml:space="preserve"> </w:t>
      </w:r>
      <w:r w:rsidRPr="00C83EDC">
        <w:rPr>
          <w:b/>
          <w:bCs/>
          <w:lang w:val="en-GB"/>
        </w:rPr>
        <w:fldChar w:fldCharType="begin" w:fldLock="1"/>
      </w:r>
      <w:r w:rsidR="000C069C">
        <w:rPr>
          <w:b/>
          <w:bCs/>
          <w:lang w:val="en-GB"/>
        </w:rPr>
        <w:instrText>ADDIN CSL_CITATION {"citationItems":[{"id":"ITEM-1","itemData":{"DOI":"10.1097/PAS.0000000000000530","ISSN":"15320979","PMID":"26492179","abstract":"In November, 2014, 65 prostate cancer pathology experts, along with 17 clinicians including urologists, radiation oncologists, and medical oncologists from 19 different countries gathered in a consensus conference to update the grading of prostate cancer, last revised in 2005. The major conclusions were: (1) Cribriform glands should be assigned a Gleason pattern 4, regardless of morphology; (2) Glomeruloid glands should be assigned a Gleason pattern 4, regardless of morphology; (3) Grading of mucinous carcinoma of the prostate should be based on its underlying growth pattern rather than grading them all as pattern 4; and (4) Intraductal carcinoma of the prostate without invasive carcinoma should not be assigned a Gleason grade and a comment as to its invariable association with aggressive prostate cancer should be made. Regarding morphologies of Gleason patterns, there was clear consensus on: (1) Gleason pattern 4 includes cribriform, fused, and poorly formed glands; (2) The term hypernephromatoid cancer should not be used; (3) For a diagnosis of Gleason pattern 4, it needs to be seen at 10x lens magnification; (4) Occasional/seemingly poorly formed or fused glands between well-formed glands is insufficient for a diagnosis of pattern 4; (5) In cases with borderline morphology between Gleason pattern 3 and pattern 4 and crush artifacts, the lower grade should be favored; (6) Branched glands are allowed in Gleason pattern 3; (7) Small solid cylinders represent Gleason pattern 5; (8) Solid medium to large nests with rosette-like spaces should be considered to represent Gleason pattern 5; and (9) Presence of unequivocal comedonecrosis, even if focal is indicative of Gleason pattern 5. It was recognized by both pathologists and clinicians that despite the above changes, there were deficiencies with the Gleason system. The Gleason grading system ranges from 2 to 10, yet 6 is the lowest score currently assigned. When patients are told that they have a Gleason score 6 out of 10, it implies that their prognosis is intermediate and contributes to their fear of having a more aggressive cancer. Also, in the literature and for therapeutic purposes, various scores have been incorrectly grouped together with the assumption that they have a similar prognosis. For example, many classification systems consider Gleason score 7 as a single score without distinguishing 3+4 versus 4+3, despite studies showing significantly worse prognosis for the latter. The basis for a new …","author":[{"dropping-particle":"","family":"Epstein","given":"Jonathan I.","non-dropping-particle":"","parse-names":false,"suffix":""},{"dropping-particle":"","family":"Egevad","given":"Lars","non-dropping-particle":"","parse-names":false,"suffix":""},{"dropping-particle":"","family":"Amin","given":"Mahul B.","non-dropping-particle":"","parse-names":false,"suffix":""},{"dropping-particle":"","family":"Delahunt","given":"Brett","non-dropping-particle":"","parse-names":false,"suffix":""},{"dropping-particle":"","family":"Srigley","given":"John R.","non-dropping-particle":"","parse-names":false,"suffix":""},{"dropping-particle":"","family":"Humphrey","given":"Peter A.","non-dropping-particle":"","parse-names":false,"suffix":""}],"container-title":"American Journal of Surgical Pathology","id":"ITEM-1","issue":"2","issued":{"date-parts":[["2016"]]},"page":"244-252","title":"The 2014 international society of urological pathology (ISUP) consensus conference on gleason grading of prostatic carcinoma definition of grading patterns and proposal for a new grading system","type":"article-journal","volume":"40"},"uris":["http://www.mendeley.com/documents/?uuid=c984b68b-1ef6-4a04-8448-9581bba5c688"]}],"mendeley":{"formattedCitation":"&lt;sup&gt;9&lt;/sup&gt;","plainTextFormattedCitation":"9","previouslyFormattedCitation":"[9]"},"properties":{"noteIndex":0},"schema":"https://github.com/citation-style-language/schema/raw/master/csl-citation.json"}</w:instrText>
      </w:r>
      <w:r w:rsidRPr="00C83EDC">
        <w:rPr>
          <w:b/>
          <w:bCs/>
          <w:lang w:val="en-GB"/>
        </w:rPr>
        <w:fldChar w:fldCharType="separate"/>
      </w:r>
      <w:r w:rsidR="000C069C" w:rsidRPr="000C069C">
        <w:rPr>
          <w:bCs/>
          <w:noProof/>
          <w:vertAlign w:val="superscript"/>
          <w:lang w:val="en-GB"/>
        </w:rPr>
        <w:t>9</w:t>
      </w:r>
      <w:r w:rsidRPr="00C83EDC">
        <w:rPr>
          <w:b/>
          <w:bCs/>
          <w:lang w:val="en-GB"/>
        </w:rPr>
        <w:fldChar w:fldCharType="end"/>
      </w:r>
    </w:p>
    <w:p w14:paraId="22B01A5E" w14:textId="1F5C79B5" w:rsidR="00EE7EB3" w:rsidRPr="00C83EDC" w:rsidRDefault="00EE7EB3" w:rsidP="00EE7EB3">
      <w:pPr>
        <w:pStyle w:val="Dalodstavce"/>
        <w:rPr>
          <w:lang w:val="en-GB"/>
        </w:rPr>
      </w:pPr>
      <w:r w:rsidRPr="00C83EDC">
        <w:rPr>
          <w:lang w:val="en-GB"/>
        </w:rPr>
        <w:t xml:space="preserve">The grading system is also included in the stratification of patients according to their risk for biochemical recurrence </w:t>
      </w:r>
      <w:r>
        <w:rPr>
          <w:lang w:val="en-GB"/>
        </w:rPr>
        <w:t>(BCR) with</w:t>
      </w:r>
      <w:r w:rsidRPr="00C83EDC">
        <w:rPr>
          <w:lang w:val="en-GB"/>
        </w:rPr>
        <w:t xml:space="preserve"> localised or locally advanced </w:t>
      </w:r>
      <w:r w:rsidRPr="00B77386">
        <w:rPr>
          <w:lang w:val="en-GB"/>
        </w:rPr>
        <w:t>cancer</w:t>
      </w:r>
      <w:r>
        <w:rPr>
          <w:lang w:val="en-GB"/>
        </w:rPr>
        <w:t xml:space="preserve"> (Table III).</w:t>
      </w:r>
      <w:r w:rsidRPr="00C83EDC">
        <w:rPr>
          <w:lang w:val="en-GB"/>
        </w:rPr>
        <w:t xml:space="preserve"> Low-risk (indolent) cancer is defined as ISUP grade 1 (</w:t>
      </w:r>
      <w:r>
        <w:rPr>
          <w:lang w:val="en-GB"/>
        </w:rPr>
        <w:t>GS</w:t>
      </w:r>
      <w:r w:rsidRPr="00C83EDC">
        <w:rPr>
          <w:lang w:val="en-GB"/>
        </w:rPr>
        <w:t xml:space="preserve"> ≤ 6) and is considered clinically insignificant. In practice, indolent cancers do not pose threat to the patient as their metastatic potential approximates zero</w:t>
      </w:r>
      <w:r w:rsidRPr="00C83EDC">
        <w:rPr>
          <w:lang w:val="en-GB"/>
        </w:rPr>
        <w:fldChar w:fldCharType="begin" w:fldLock="1"/>
      </w:r>
      <w:r w:rsidR="000C069C">
        <w:rPr>
          <w:lang w:val="en-GB"/>
        </w:rPr>
        <w:instrText>ADDIN CSL_CITATION {"citationItems":[{"id":"ITEM-1","itemData":{"DOI":"10.1097/MOU.0000000000000393","ISBN":"0000000000000","ISSN":"14736586","abstract":"Purpose of review The approach of active surveillance for low-risk prostate cancer has evolved in many ways since its introduction 20 years ago. There is a great deal of ongoing research addressing the molecular genetics and clinical outcome of low-risk disease, the use of MRI and biomarkers, and the role of lifestyle and dietary modifications. The major developments in the field are reviewed in this article. Recent findings Low risk and many cases of low-intermediate risk prostate cancer are indolent, have little or no metastatic potential, and do not pose a threat to the patient in his lifetime. These are termed clinically insignificant. Studies over the last 20 years have advanced our understanding of who these patients are, and promoted the use of conservative management in such individuals. A key component of this approach is the early identification of those patients who have been misattributed as having low-risk disease, who in fact harbor higher risk disease and are likely to benefit from definitive therapy. This represents about 30% of newly diagnosed low-risk patients. A further small proportion of patients with low-risk disease demonstrate biological progression to higher grade disease. Extent of Gleason 6 on biopsy, Prostate Specific Antigen density, and race are predictors for the likelihood of coexistent higher grade cancer. Summary The results of active surveillance, embodying conservative management with selective, delayed intervention for the subset who are reclassified as higher risk over time based on repeat biopsy, imaging, or biomarker results, have shown that this approach is safe in the intermediate to long term, with a 0.5-3% cancer-specific mortality at 10-15 years. Further refinement incorporating MRI and targeted biopsies is the subject of intensive research at the moment, and promises to improve the safety and precision of conservative management.","author":[{"dropping-particle":"","family":"Klotz","given":"Laurence","non-dropping-particle":"","parse-names":false,"suffix":""}],"container-title":"Current Opinion in Urology","id":"ITEM-1","issue":"3","issued":{"date-parts":[["2017"]]},"page":"225-230","title":"Active surveillance for low-risk prostate cancer","type":"article-journal","volume":"27"},"uris":["http://www.mendeley.com/documents/?uuid=31d1b8c5-0763-4178-8cd5-17fa015115d7"]},{"id":"ITEM-2","itemData":{"DOI":"10.1016/j.eururo.2016.08.003","ISSN":"03022838","PMID":"27568654","abstract":"Objective To present a summary of the 2016 version of the European Association of Urology (EAU) - European Society for Radiotherapy &amp; Oncology (ESTRO) - International Society of Geriatric Oncology (SIOG) Guidelines on screening, diagnosis, and local treatment with curative intent of clinically localised prostate cancer (PCa). Evidence acquisition The working panel performed a literature review of the new data (2013–2015). The guidelines were updated and the levels of evidence and/or grades of recommendation were added based on a systematic review of the evidence. Evidence synthesis BRCA2 mutations have been added as risk factors for early and aggressive disease. In addition to the Gleason score, the five-tier 2014 International Society of Urological Pathology grading system should now be provided. Systematic screening is still not recommended. Instead, an individual risk-adapted strategy following a detailed discussion and taking into account the patient's wishes and life expectancy must be considered. An early prostate-specific antigen test, the use of a risk calculator, or one of the promising biomarker tools are being investigated and might be able to limit the overdetection of insignificant PCa. Breaking the link between diagnosis and treatment may lower the overtreatment risk. Multiparametric magnetic resonance imaging using standardised reporting cannot replace systematic biopsy, but robustly nested within the diagnostic work-up, it has a key role in local staging. Active surveillance always needs to be discussed with very low-risk patients. The place of surgery in high-risk disease and the role of lymph node dissection have been clarified, as well as the management of node-positive patients. Radiation therapy using dose-escalated intensity-modulated technology is a key treatment modality with recent improvement in the outcome based on increased doses as well as combination with hormonal treatment. Moderate hypofractionation is safe and effective, but longer-term data are still lacking. Brachytherapy represents an effective way to increase the delivered dose. Focal therapy remains experimental while cryosurgery and HIFU are still lacking long-term convincing results. Conclusions The knowledge in the field of diagnosis, staging, and treatment of localised PCa is evolving rapidly. The 2016 EAU-ESTRO-SIOG Guidelines on PCa summarise the most recent findings and advice for the use in clinical practice. These are the first PCa guidelines endorsed by th…","author":[{"dropping-particle":"","family":"Mottet","given":"Nicolas","non-dropping-particle":"","parse-names":false,"suffix":""},{"dropping-particle":"","family":"Bellmunt","given":"Joaquim","non-dropping-particle":"","parse-names":false,"suffix":""},{"dropping-particle":"","family":"Bolla","given":"Michel","non-dropping-particle":"","parse-names":false,"suffix":""},{"dropping-particle":"","family":"Briers","given":"Erik","non-dropping-particle":"","parse-names":false,"suffix":""},{"dropping-particle":"","family":"Cumberbatch","given":"Marcus G.","non-dropping-particle":"","parse-names":false,"suffix":""},{"dropping-particle":"","family":"Santis","given":"Maria","non-dropping-particle":"De","parse-names":false,"suffix":""},{"dropping-particle":"","family":"Fossati","given":"Nicola","non-dropping-particle":"","parse-names":false,"suffix":""},{"dropping-particle":"","family":"Gross","given":"Tobias","non-dropping-particle":"","parse-names":false,"suffix":""},{"dropping-particle":"","family":"Henry","given":"Ann M.","non-dropping-particle":"","parse-names":false,"suffix":""},{"dropping-particle":"","family":"Joniau","given":"Steven","non-dropping-particle":"","parse-names":false,"suffix":""},{"dropping-particle":"","family":"Lam","given":"Thomas B.","non-dropping-particle":"","parse-names":false,"suffix":""},{"dropping-particle":"","family":"Mason","given":"Malcolm D.","non-dropping-particle":"","parse-names":false,"suffix":""},{"dropping-particle":"","family":"Matveev","given":"Vsevolod B.","non-dropping-particle":"","parse-names":false,"suffix":""},{"dropping-particle":"","family":"Moldovan","given":"Paul C.","non-dropping-particle":"","parse-names":false,"suffix":""},{"dropping-particle":"","family":"Bergh","given":"Roderick C.N.","non-dropping-particle":"van den","parse-names":false,"suffix":""},{"dropping-particle":"","family":"Broeck","given":"Thomas","non-dropping-particle":"Van den","parse-names":false,"suffix":""},{"dropping-particle":"","family":"Poel","given":"Henk G.","non-dropping-particle":"van der","parse-names":false,"suffix":""},{"dropping-particle":"","family":"Kwast","given":"Theo H.","non-dropping-particle":"van der","parse-names":false,"suffix":""},{"dropping-particle":"","family":"Rouvière","given":"Olivier","non-dropping-particle":"","parse-names":false,"suffix":""},{"dropping-particle":"","family":"Schoots","given":"Ivo G.","non-dropping-particle":"","parse-names":false,"suffix":""},{"dropping-particle":"","family":"Wiegel","given":"Thomas","non-dropping-particle":"","parse-names":false,"suffix":""},{"dropping-particle":"","family":"Cornford","given":"Philip","non-dropping-particle":"","parse-names":false,"suffix":""}],"container-title":"European Urology","id":"ITEM-2","issue":"4","issued":{"date-parts":[["2017","4"]]},"page":"618-629","title":"EAU-ESTRO-SIOG Guidelines on Prostate Cancer. Part 1: Screening, Diagnosis, and Local Treatment with Curative Intent","type":"article-journal","volume":"71"},"uris":["http://www.mendeley.com/documents/?uuid=1473aaaa-79c5-40d3-8a6c-2ee792cf5579"]}],"mendeley":{"formattedCitation":"&lt;sup&gt;10,11&lt;/sup&gt;","plainTextFormattedCitation":"10,11","previouslyFormattedCitation":"[10], [11]"},"properties":{"noteIndex":0},"schema":"https://github.com/citation-style-language/schema/raw/master/csl-citation.json"}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10,11</w:t>
      </w:r>
      <w:r w:rsidRPr="00C83EDC">
        <w:rPr>
          <w:lang w:val="en-GB"/>
        </w:rPr>
        <w:fldChar w:fldCharType="end"/>
      </w:r>
      <w:r w:rsidRPr="00C83EDC">
        <w:rPr>
          <w:lang w:val="en-GB"/>
        </w:rPr>
        <w:t>. Gleason patterns that have been associated with more aggressive form of cancer are placed in the intermediate-risk (ISUP grade 2–3) and high-risk (ISUP grade 4–5) categories</w:t>
      </w:r>
      <w:r w:rsidRPr="00C83EDC">
        <w:rPr>
          <w:lang w:val="en-GB"/>
        </w:rPr>
        <w:fldChar w:fldCharType="begin" w:fldLock="1"/>
      </w:r>
      <w:r w:rsidR="000C069C">
        <w:rPr>
          <w:lang w:val="en-GB"/>
        </w:rPr>
        <w:instrText>ADDIN CSL_CITATION {"citationItems":[{"id":"ITEM-1","itemData":{"DOI":"10.1016/j.eururo.2015.06.046","ISSN":"18737560","PMID":"26166626","abstract":"Background Despite revisions in 2005 and 2014, the Gleason prostate cancer (PCa) grading system still has major deficiencies. Combining of Gleason scores into a three-tiered grouping (6, 7, 8-10) is used most frequently for prognostic and therapeutic purposes. The lowest score, assigned 6, may be misunderstood as a cancer in the middle of the grading scale, and 3 + 4 = 7 and 4 + 3 = 7 are often considered the same prognostic group. Objective To verify that a new grading system accurately produces a smaller number of grades with the most significant prognostic differences, using multi-institutional and multimodal therapy data. Design, setting, and participants Between 2005 and 2014, 20 845 consecutive men were treated by radical prostatectomy at five academic institutions; 5501 men were treated with radiotherapy at two academic institutions. Outcome measurements and statistical analysis Outcome was based on biochemical recurrence (BCR). The log-rank test assessed univariable differences in BCR by Gleason score. Separate univariable and multivariable Cox proportional hazards used four possible categorizations of Gleason scores. Results and limitations In the surgery cohort, we found large differences in recurrence rates between both Gleason 3 + 4 versus 4 + 3 and Gleason 8 versus 9. The hazard ratios relative to Gleason score 6 were 1.9, 5.1, 8.0, and 11.7 for Gleason scores 3 + 4, 4 + 3, 8, and 9-10, respectively. These differences were attenuated in the radiotherapy cohort as a whole due to increased adjuvant or neoadjuvant hormones for patients with high-grade disease but were clearly seen in patients undergoing radiotherapy only. A five-grade group system had the highest prognostic discrimination for all cohorts on both univariable and multivariable analysis. The major limitation was the unavoidable use of prostate-specific antigen BCR as an end point as opposed to cancer-related death. Conclusions The new PCa grading system has these benefits: more accurate grade stratification than current systems, simplified grading system of five grades, and lowest grade is 1, as opposed to 6, with the potential to reduce overtreatment of PCa. Patient summary We looked at outcomes for prostate cancer (PCa) treated with radical prostatectomy or radiation therapy and validated a new grading system with more accurate grade stratification than current systems, including a simplified grading system of five grades and a lowest grade is 1, as opposed to 6, with the poten…","author":[{"dropping-particle":"","family":"Epstein","given":"Jonathan I.","non-dropping-particle":"","parse-names":false,"suffix":""},{"dropping-particle":"","family":"Zelefsky","given":"Michael J.","non-dropping-particle":"","parse-names":false,"suffix":""},{"dropping-particle":"","family":"Sjoberg","given":"Daniel D.","non-dropping-particle":"","parse-names":false,"suffix":""},{"dropping-particle":"","family":"Nelson","given":"Joel B.","non-dropping-particle":"","parse-names":false,"suffix":""},{"dropping-particle":"","family":"Egevad","given":"Lars","non-dropping-particle":"","parse-names":false,"suffix":""},{"dropping-particle":"","family":"Magi-Galluzzi","given":"Cristina","non-dropping-particle":"","parse-names":false,"suffix":""},{"dropping-particle":"","family":"Vickers","given":"Andrew J.","non-dropping-particle":"","parse-names":false,"suffix":""},{"dropping-particle":"V.","family":"Parwani","given":"Anil","non-dropping-particle":"","parse-names":false,"suffix":""},{"dropping-particle":"","family":"Reuter","given":"Victor E.","non-dropping-particle":"","parse-names":false,"suffix":""},{"dropping-particle":"","family":"Fine","given":"Samson W.","non-dropping-particle":"","parse-names":false,"suffix":""},{"dropping-particle":"","family":"Eastham","given":"James A.","non-dropping-particle":"","parse-names":false,"suffix":""},{"dropping-particle":"","family":"Wiklund","given":"Peter","non-dropping-particle":"","parse-names":false,"suffix":""},{"dropping-particle":"","family":"Han","given":"Misop","non-dropping-particle":"","parse-names":false,"suffix":""},{"dropping-particle":"","family":"Reddy","given":"Chandana A.","non-dropping-particle":"","parse-names":false,"suffix":""},{"dropping-particle":"","family":"Ciezki","given":"Jay P.","non-dropping-particle":"","parse-names":false,"suffix":""},{"dropping-particle":"","family":"Nyberg","given":"Tommy","non-dropping-particle":"","parse-names":false,"suffix":""},{"dropping-particle":"","family":"Klein","given":"Eric A.","non-dropping-particle":"","parse-names":false,"suffix":""}],"container-title":"European Urology","id":"ITEM-1","issue":"3","issued":{"date-parts":[["2016"]]},"page":"428-435","publisher":"European Association of Urology","title":"A Contemporary Prostate Cancer Grading System: A Validated Alternative to the Gleason Score","type":"article-journal","volume":"69"},"uris":["http://www.mendeley.com/documents/?uuid=2b93205d-90eb-440d-a8a7-ae7665c8f23c"]}],"mendeley":{"formattedCitation":"&lt;sup&gt;12&lt;/sup&gt;","plainTextFormattedCitation":"12","previouslyFormattedCitation":"[12]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12</w:t>
      </w:r>
      <w:r w:rsidRPr="00C83EDC">
        <w:rPr>
          <w:lang w:val="en-GB"/>
        </w:rPr>
        <w:fldChar w:fldCharType="end"/>
      </w:r>
      <w:r w:rsidRPr="00C83EDC">
        <w:rPr>
          <w:lang w:val="en-GB"/>
        </w:rPr>
        <w:t xml:space="preserve">. </w:t>
      </w:r>
    </w:p>
    <w:p w14:paraId="58F03C72" w14:textId="6A594848" w:rsidR="00EE7EB3" w:rsidRDefault="00EE7EB3" w:rsidP="00EE7EB3">
      <w:pPr>
        <w:pStyle w:val="Titulektabulky"/>
        <w:jc w:val="left"/>
        <w:rPr>
          <w:b w:val="0"/>
          <w:bCs w:val="0"/>
          <w:lang w:val="en-GB"/>
        </w:rPr>
      </w:pPr>
      <w:bookmarkStart w:id="29" w:name="_Toc47541136"/>
      <w:r w:rsidRPr="00C83EDC">
        <w:rPr>
          <w:lang w:val="en-GB"/>
        </w:rPr>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III</w:t>
      </w:r>
      <w:r>
        <w:rPr>
          <w:noProof/>
          <w:lang w:val="en-GB"/>
        </w:rPr>
        <w:fldChar w:fldCharType="end"/>
      </w:r>
      <w:r w:rsidRPr="00C83EDC">
        <w:rPr>
          <w:noProof/>
          <w:lang w:val="en-GB"/>
        </w:rPr>
        <w:t>.</w:t>
      </w:r>
      <w:r w:rsidRPr="00C83EDC">
        <w:rPr>
          <w:lang w:val="en-GB"/>
        </w:rPr>
        <w:t xml:space="preserve"> </w:t>
      </w:r>
      <w:r w:rsidRPr="00C83EDC">
        <w:rPr>
          <w:b w:val="0"/>
          <w:bCs w:val="0"/>
          <w:lang w:val="en-GB"/>
        </w:rPr>
        <w:t xml:space="preserve">Risk groups </w:t>
      </w:r>
      <w:r>
        <w:rPr>
          <w:b w:val="0"/>
          <w:bCs w:val="0"/>
          <w:lang w:val="en-GB"/>
        </w:rPr>
        <w:t>for BCR</w:t>
      </w:r>
      <w:r w:rsidRPr="00C83EDC">
        <w:rPr>
          <w:b w:val="0"/>
          <w:bCs w:val="0"/>
          <w:lang w:val="en-GB"/>
        </w:rPr>
        <w:t xml:space="preserve"> of localised and locally advanced prostate cancer</w:t>
      </w:r>
      <w:r>
        <w:rPr>
          <w:b w:val="0"/>
          <w:bCs w:val="0"/>
          <w:lang w:val="en-GB"/>
        </w:rPr>
        <w:t>.</w:t>
      </w:r>
      <w:r w:rsidRPr="00C83EDC">
        <w:rPr>
          <w:b w:val="0"/>
          <w:bCs w:val="0"/>
          <w:lang w:val="en-GB"/>
        </w:rPr>
        <w:t xml:space="preserve"> </w:t>
      </w:r>
      <w:bookmarkEnd w:id="29"/>
    </w:p>
    <w:tbl>
      <w:tblPr>
        <w:tblStyle w:val="Tabulkasmkou4zvraznn3"/>
        <w:tblW w:w="9036" w:type="dxa"/>
        <w:tblLayout w:type="fixed"/>
        <w:tblLook w:val="0760" w:firstRow="1" w:lastRow="1" w:firstColumn="0" w:lastColumn="1" w:noHBand="1" w:noVBand="1"/>
      </w:tblPr>
      <w:tblGrid>
        <w:gridCol w:w="2257"/>
        <w:gridCol w:w="2176"/>
        <w:gridCol w:w="82"/>
        <w:gridCol w:w="2258"/>
        <w:gridCol w:w="2263"/>
      </w:tblGrid>
      <w:tr w:rsidR="00EE7EB3" w:rsidRPr="00784B41" w14:paraId="715B9D61" w14:textId="77777777" w:rsidTr="00F233D4">
        <w:trPr>
          <w:cnfStyle w:val="100000000000" w:firstRow="1" w:lastRow="0" w:firstColumn="0" w:lastColumn="0" w:oddVBand="0" w:evenVBand="0" w:oddHBand="0" w:evenHBand="0" w:firstRowFirstColumn="0" w:firstRowLastColumn="0" w:lastRowFirstColumn="0" w:lastRowLastColumn="0"/>
          <w:trHeight w:val="392"/>
        </w:trPr>
        <w:tc>
          <w:tcPr>
            <w:tcW w:w="2258" w:type="dxa"/>
            <w:shd w:val="clear" w:color="auto" w:fill="E7E6E6" w:themeFill="background2"/>
            <w:vAlign w:val="center"/>
          </w:tcPr>
          <w:p w14:paraId="134BD961" w14:textId="77777777" w:rsidR="00EE7EB3" w:rsidRPr="00784B41" w:rsidRDefault="00EE7EB3" w:rsidP="00F233D4">
            <w:pPr>
              <w:jc w:val="center"/>
              <w:rPr>
                <w:rFonts w:cstheme="minorHAnsi"/>
                <w:b w:val="0"/>
                <w:bCs w:val="0"/>
                <w:color w:val="3B3838" w:themeColor="background2" w:themeShade="40"/>
                <w:sz w:val="20"/>
                <w:szCs w:val="20"/>
              </w:rPr>
            </w:pPr>
            <w:proofErr w:type="gramStart"/>
            <w:r>
              <w:rPr>
                <w:rFonts w:cstheme="minorHAnsi"/>
                <w:color w:val="3B3838" w:themeColor="background2" w:themeShade="40"/>
                <w:sz w:val="20"/>
                <w:szCs w:val="20"/>
              </w:rPr>
              <w:t>Low-risk</w:t>
            </w:r>
            <w:proofErr w:type="gramEnd"/>
          </w:p>
        </w:tc>
        <w:tc>
          <w:tcPr>
            <w:tcW w:w="2177" w:type="dxa"/>
            <w:shd w:val="clear" w:color="auto" w:fill="E7E6E6" w:themeFill="background2"/>
            <w:vAlign w:val="center"/>
          </w:tcPr>
          <w:p w14:paraId="5FDF0A4B" w14:textId="77777777" w:rsidR="00EE7EB3" w:rsidRPr="00784B41" w:rsidRDefault="00EE7EB3" w:rsidP="00F233D4">
            <w:pPr>
              <w:jc w:val="center"/>
              <w:rPr>
                <w:rFonts w:cstheme="minorHAnsi"/>
                <w:color w:val="3B3838" w:themeColor="background2" w:themeShade="40"/>
                <w:sz w:val="20"/>
                <w:szCs w:val="20"/>
              </w:rPr>
            </w:pPr>
            <w:proofErr w:type="gramStart"/>
            <w:r>
              <w:rPr>
                <w:rFonts w:cstheme="minorHAnsi"/>
                <w:color w:val="3B3838" w:themeColor="background2" w:themeShade="40"/>
                <w:sz w:val="20"/>
                <w:szCs w:val="20"/>
              </w:rPr>
              <w:t>Intermediate-risk</w:t>
            </w:r>
            <w:proofErr w:type="gramEnd"/>
          </w:p>
        </w:tc>
        <w:tc>
          <w:tcPr>
            <w:cnfStyle w:val="000100000000" w:firstRow="0" w:lastRow="0" w:firstColumn="0" w:lastColumn="1" w:oddVBand="0" w:evenVBand="0" w:oddHBand="0" w:evenHBand="0" w:firstRowFirstColumn="0" w:firstRowLastColumn="0" w:lastRowFirstColumn="0" w:lastRowLastColumn="0"/>
            <w:tcW w:w="4601" w:type="dxa"/>
            <w:gridSpan w:val="3"/>
            <w:shd w:val="clear" w:color="auto" w:fill="E7E6E6" w:themeFill="background2"/>
            <w:vAlign w:val="center"/>
          </w:tcPr>
          <w:p w14:paraId="0A9AD7F6" w14:textId="77777777" w:rsidR="00EE7EB3" w:rsidRPr="00784B41" w:rsidRDefault="00EE7EB3" w:rsidP="00F233D4">
            <w:pPr>
              <w:jc w:val="center"/>
              <w:rPr>
                <w:rFonts w:cstheme="minorHAnsi"/>
                <w:color w:val="3B3838" w:themeColor="background2" w:themeShade="40"/>
                <w:sz w:val="20"/>
                <w:szCs w:val="20"/>
              </w:rPr>
            </w:pPr>
            <w:r>
              <w:rPr>
                <w:rFonts w:cstheme="minorHAnsi"/>
                <w:color w:val="3B3838" w:themeColor="background2" w:themeShade="40"/>
                <w:sz w:val="20"/>
                <w:szCs w:val="20"/>
              </w:rPr>
              <w:t>High-risk</w:t>
            </w:r>
          </w:p>
        </w:tc>
      </w:tr>
      <w:tr w:rsidR="00EE7EB3" w:rsidRPr="00784B41" w14:paraId="34708B4F" w14:textId="77777777" w:rsidTr="00F233D4">
        <w:trPr>
          <w:trHeight w:val="392"/>
        </w:trPr>
        <w:tc>
          <w:tcPr>
            <w:tcW w:w="2259" w:type="dxa"/>
            <w:vAlign w:val="center"/>
          </w:tcPr>
          <w:p w14:paraId="62B18819"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PSA &lt; 10 ng·</w:t>
            </w:r>
            <w:proofErr w:type="gramStart"/>
            <w:r w:rsidRPr="00784B41">
              <w:rPr>
                <w:rFonts w:cstheme="minorHAnsi"/>
                <w:color w:val="3B3838" w:themeColor="background2" w:themeShade="40"/>
                <w:sz w:val="20"/>
                <w:szCs w:val="20"/>
              </w:rPr>
              <w:t>ml</w:t>
            </w:r>
            <w:r w:rsidRPr="00784B41">
              <w:rPr>
                <w:rFonts w:cstheme="minorHAnsi"/>
                <w:color w:val="3B3838" w:themeColor="background2" w:themeShade="40"/>
                <w:sz w:val="20"/>
                <w:szCs w:val="20"/>
                <w:vertAlign w:val="superscript"/>
              </w:rPr>
              <w:t>−1</w:t>
            </w:r>
            <w:proofErr w:type="gramEnd"/>
          </w:p>
        </w:tc>
        <w:tc>
          <w:tcPr>
            <w:tcW w:w="2259" w:type="dxa"/>
            <w:gridSpan w:val="2"/>
            <w:vAlign w:val="center"/>
          </w:tcPr>
          <w:p w14:paraId="4FBF1CA5"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PSA 10–20 ng·ml</w:t>
            </w:r>
            <w:r w:rsidRPr="00784B41">
              <w:rPr>
                <w:rFonts w:cstheme="minorHAnsi"/>
                <w:color w:val="3B3838" w:themeColor="background2" w:themeShade="40"/>
                <w:sz w:val="20"/>
                <w:szCs w:val="20"/>
                <w:vertAlign w:val="superscript"/>
              </w:rPr>
              <w:t>−1</w:t>
            </w:r>
          </w:p>
        </w:tc>
        <w:tc>
          <w:tcPr>
            <w:tcW w:w="2259" w:type="dxa"/>
            <w:vAlign w:val="center"/>
          </w:tcPr>
          <w:p w14:paraId="71BABF8E" w14:textId="77777777" w:rsidR="00EE7EB3" w:rsidRPr="00784B41" w:rsidRDefault="00EE7EB3" w:rsidP="00F233D4">
            <w:pPr>
              <w:jc w:val="center"/>
              <w:rPr>
                <w:rFonts w:cstheme="minorHAnsi"/>
                <w:b/>
                <w:bCs/>
                <w:color w:val="3B3838" w:themeColor="background2" w:themeShade="40"/>
                <w:sz w:val="20"/>
                <w:szCs w:val="20"/>
              </w:rPr>
            </w:pPr>
            <w:r w:rsidRPr="00784B41">
              <w:rPr>
                <w:rFonts w:cstheme="minorHAnsi"/>
                <w:color w:val="3B3838" w:themeColor="background2" w:themeShade="40"/>
                <w:sz w:val="20"/>
                <w:szCs w:val="20"/>
              </w:rPr>
              <w:t>PSA &gt; 20 ng·</w:t>
            </w:r>
            <w:proofErr w:type="gramStart"/>
            <w:r w:rsidRPr="00784B41">
              <w:rPr>
                <w:rFonts w:cstheme="minorHAnsi"/>
                <w:color w:val="3B3838" w:themeColor="background2" w:themeShade="40"/>
                <w:sz w:val="20"/>
                <w:szCs w:val="20"/>
              </w:rPr>
              <w:t>ml</w:t>
            </w:r>
            <w:r w:rsidRPr="00784B41">
              <w:rPr>
                <w:rFonts w:cstheme="minorHAnsi"/>
                <w:color w:val="3B3838" w:themeColor="background2" w:themeShade="40"/>
                <w:sz w:val="20"/>
                <w:szCs w:val="20"/>
                <w:vertAlign w:val="superscript"/>
              </w:rPr>
              <w:t>−1</w:t>
            </w:r>
            <w:proofErr w:type="gramEnd"/>
          </w:p>
        </w:tc>
        <w:tc>
          <w:tcPr>
            <w:cnfStyle w:val="000100000000" w:firstRow="0" w:lastRow="0" w:firstColumn="0" w:lastColumn="1" w:oddVBand="0" w:evenVBand="0" w:oddHBand="0" w:evenHBand="0" w:firstRowFirstColumn="0" w:firstRowLastColumn="0" w:lastRowFirstColumn="0" w:lastRowLastColumn="0"/>
            <w:tcW w:w="2259" w:type="dxa"/>
            <w:vAlign w:val="center"/>
          </w:tcPr>
          <w:p w14:paraId="24538DB8"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Any PSA</w:t>
            </w:r>
          </w:p>
        </w:tc>
      </w:tr>
      <w:tr w:rsidR="00EE7EB3" w:rsidRPr="00784B41" w14:paraId="22A7DCF4" w14:textId="77777777" w:rsidTr="00F233D4">
        <w:trPr>
          <w:trHeight w:val="392"/>
        </w:trPr>
        <w:tc>
          <w:tcPr>
            <w:tcW w:w="2259" w:type="dxa"/>
            <w:vAlign w:val="center"/>
          </w:tcPr>
          <w:p w14:paraId="5C9D29C4" w14:textId="77777777" w:rsidR="00EE7EB3" w:rsidRPr="00784B41" w:rsidRDefault="00EE7EB3" w:rsidP="00F233D4">
            <w:pPr>
              <w:jc w:val="center"/>
              <w:rPr>
                <w:rFonts w:cstheme="minorHAnsi"/>
                <w:color w:val="3B3838" w:themeColor="background2" w:themeShade="40"/>
                <w:sz w:val="20"/>
                <w:szCs w:val="20"/>
                <w:lang w:eastAsia="en-GB"/>
              </w:rPr>
            </w:pPr>
            <w:r w:rsidRPr="00784B41">
              <w:rPr>
                <w:rFonts w:cstheme="minorHAnsi"/>
                <w:i/>
                <w:iCs/>
                <w:color w:val="3B3838" w:themeColor="background2" w:themeShade="40"/>
                <w:sz w:val="20"/>
                <w:szCs w:val="20"/>
                <w:lang w:eastAsia="en-GB"/>
              </w:rPr>
              <w:t xml:space="preserve">and </w:t>
            </w:r>
            <w:r w:rsidRPr="00784B41">
              <w:rPr>
                <w:rFonts w:cstheme="minorHAnsi"/>
                <w:color w:val="3B3838" w:themeColor="background2" w:themeShade="40"/>
                <w:sz w:val="20"/>
                <w:szCs w:val="20"/>
                <w:lang w:eastAsia="en-GB"/>
              </w:rPr>
              <w:t>ISUP grade 1</w:t>
            </w:r>
          </w:p>
        </w:tc>
        <w:tc>
          <w:tcPr>
            <w:tcW w:w="2259" w:type="dxa"/>
            <w:gridSpan w:val="2"/>
            <w:vAlign w:val="center"/>
          </w:tcPr>
          <w:p w14:paraId="14583CC4" w14:textId="77777777" w:rsidR="00EE7EB3" w:rsidRPr="00784B41" w:rsidRDefault="00EE7EB3" w:rsidP="00F233D4">
            <w:pPr>
              <w:jc w:val="center"/>
              <w:rPr>
                <w:rFonts w:cstheme="minorHAnsi"/>
                <w:color w:val="3B3838" w:themeColor="background2" w:themeShade="40"/>
                <w:sz w:val="20"/>
                <w:szCs w:val="20"/>
                <w:lang w:eastAsia="en-GB"/>
              </w:rPr>
            </w:pPr>
            <w:r w:rsidRPr="00784B41">
              <w:rPr>
                <w:rFonts w:cstheme="minorHAnsi"/>
                <w:i/>
                <w:iCs/>
                <w:color w:val="3B3838" w:themeColor="background2" w:themeShade="40"/>
                <w:sz w:val="20"/>
                <w:szCs w:val="20"/>
                <w:lang w:eastAsia="en-GB"/>
              </w:rPr>
              <w:t xml:space="preserve">or </w:t>
            </w:r>
            <w:r w:rsidRPr="00784B41">
              <w:rPr>
                <w:rFonts w:cstheme="minorHAnsi"/>
                <w:color w:val="3B3838" w:themeColor="background2" w:themeShade="40"/>
                <w:sz w:val="20"/>
                <w:szCs w:val="20"/>
                <w:lang w:eastAsia="en-GB"/>
              </w:rPr>
              <w:t>ISUP grade 2/3</w:t>
            </w:r>
          </w:p>
        </w:tc>
        <w:tc>
          <w:tcPr>
            <w:tcW w:w="2259" w:type="dxa"/>
            <w:vAlign w:val="center"/>
          </w:tcPr>
          <w:p w14:paraId="181FE8A6" w14:textId="77777777" w:rsidR="00EE7EB3" w:rsidRPr="00784B41" w:rsidRDefault="00EE7EB3" w:rsidP="00F233D4">
            <w:pPr>
              <w:jc w:val="center"/>
              <w:rPr>
                <w:rFonts w:cstheme="minorHAnsi"/>
                <w:color w:val="3B3838" w:themeColor="background2" w:themeShade="40"/>
                <w:sz w:val="20"/>
                <w:szCs w:val="20"/>
                <w:lang w:eastAsia="en-GB"/>
              </w:rPr>
            </w:pPr>
            <w:r w:rsidRPr="00784B41">
              <w:rPr>
                <w:rFonts w:cstheme="minorHAnsi"/>
                <w:i/>
                <w:iCs/>
                <w:color w:val="3B3838" w:themeColor="background2" w:themeShade="40"/>
                <w:sz w:val="20"/>
                <w:szCs w:val="20"/>
                <w:lang w:eastAsia="en-GB"/>
              </w:rPr>
              <w:t xml:space="preserve">or </w:t>
            </w:r>
            <w:r w:rsidRPr="00784B41">
              <w:rPr>
                <w:rFonts w:cstheme="minorHAnsi"/>
                <w:color w:val="3B3838" w:themeColor="background2" w:themeShade="40"/>
                <w:sz w:val="20"/>
                <w:szCs w:val="20"/>
                <w:lang w:eastAsia="en-GB"/>
              </w:rPr>
              <w:t>ISUP grade 4/5</w:t>
            </w:r>
          </w:p>
        </w:tc>
        <w:tc>
          <w:tcPr>
            <w:cnfStyle w:val="000100000000" w:firstRow="0" w:lastRow="0" w:firstColumn="0" w:lastColumn="1" w:oddVBand="0" w:evenVBand="0" w:oddHBand="0" w:evenHBand="0" w:firstRowFirstColumn="0" w:firstRowLastColumn="0" w:lastRowFirstColumn="0" w:lastRowLastColumn="0"/>
            <w:tcW w:w="2259" w:type="dxa"/>
            <w:vAlign w:val="center"/>
          </w:tcPr>
          <w:p w14:paraId="1B2CD9AF"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Any ISUP grade</w:t>
            </w:r>
          </w:p>
        </w:tc>
      </w:tr>
      <w:tr w:rsidR="00EE7EB3" w:rsidRPr="00784B41" w14:paraId="5E69FA73" w14:textId="77777777" w:rsidTr="00F233D4">
        <w:trPr>
          <w:trHeight w:val="392"/>
        </w:trPr>
        <w:tc>
          <w:tcPr>
            <w:tcW w:w="2259" w:type="dxa"/>
            <w:vAlign w:val="center"/>
          </w:tcPr>
          <w:p w14:paraId="1CD42FF8"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i/>
                <w:iCs/>
                <w:color w:val="3B3838" w:themeColor="background2" w:themeShade="40"/>
                <w:sz w:val="20"/>
                <w:szCs w:val="20"/>
              </w:rPr>
              <w:t>and</w:t>
            </w:r>
            <w:r w:rsidRPr="00784B41">
              <w:rPr>
                <w:rFonts w:cstheme="minorHAnsi"/>
                <w:color w:val="3B3838" w:themeColor="background2" w:themeShade="40"/>
                <w:sz w:val="20"/>
                <w:szCs w:val="20"/>
              </w:rPr>
              <w:t xml:space="preserve"> cT1–cT2a</w:t>
            </w:r>
          </w:p>
        </w:tc>
        <w:tc>
          <w:tcPr>
            <w:tcW w:w="2259" w:type="dxa"/>
            <w:gridSpan w:val="2"/>
            <w:vAlign w:val="center"/>
          </w:tcPr>
          <w:p w14:paraId="134100D5"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i/>
                <w:iCs/>
                <w:color w:val="3B3838" w:themeColor="background2" w:themeShade="40"/>
                <w:sz w:val="20"/>
                <w:szCs w:val="20"/>
                <w:lang w:eastAsia="en-GB"/>
              </w:rPr>
              <w:t>or</w:t>
            </w:r>
            <w:r w:rsidRPr="00784B41">
              <w:rPr>
                <w:rFonts w:cstheme="minorHAnsi"/>
                <w:color w:val="3B3838" w:themeColor="background2" w:themeShade="40"/>
                <w:sz w:val="20"/>
                <w:szCs w:val="20"/>
              </w:rPr>
              <w:t xml:space="preserve"> cT2b</w:t>
            </w:r>
          </w:p>
        </w:tc>
        <w:tc>
          <w:tcPr>
            <w:tcW w:w="2259" w:type="dxa"/>
            <w:vAlign w:val="center"/>
          </w:tcPr>
          <w:p w14:paraId="3FC9A6A6"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i/>
                <w:iCs/>
                <w:color w:val="3B3838" w:themeColor="background2" w:themeShade="40"/>
                <w:sz w:val="20"/>
                <w:szCs w:val="20"/>
                <w:lang w:eastAsia="en-GB"/>
              </w:rPr>
              <w:t>or</w:t>
            </w:r>
            <w:r w:rsidRPr="00784B41">
              <w:rPr>
                <w:rFonts w:cstheme="minorHAnsi"/>
                <w:color w:val="3B3838" w:themeColor="background2" w:themeShade="40"/>
                <w:sz w:val="20"/>
                <w:szCs w:val="20"/>
              </w:rPr>
              <w:t xml:space="preserve"> cT2c</w:t>
            </w:r>
          </w:p>
        </w:tc>
        <w:tc>
          <w:tcPr>
            <w:cnfStyle w:val="000100000000" w:firstRow="0" w:lastRow="0" w:firstColumn="0" w:lastColumn="1" w:oddVBand="0" w:evenVBand="0" w:oddHBand="0" w:evenHBand="0" w:firstRowFirstColumn="0" w:firstRowLastColumn="0" w:lastRowFirstColumn="0" w:lastRowLastColumn="0"/>
            <w:tcW w:w="2259" w:type="dxa"/>
            <w:vAlign w:val="center"/>
          </w:tcPr>
          <w:p w14:paraId="360AFBC8" w14:textId="77777777" w:rsidR="00EE7EB3" w:rsidRPr="00784B41" w:rsidRDefault="00EE7EB3" w:rsidP="00F233D4">
            <w:pPr>
              <w:jc w:val="center"/>
              <w:rPr>
                <w:rFonts w:cstheme="minorHAnsi"/>
                <w:b w:val="0"/>
                <w:bCs w:val="0"/>
                <w:color w:val="3B3838" w:themeColor="background2" w:themeShade="40"/>
                <w:sz w:val="20"/>
                <w:szCs w:val="20"/>
              </w:rPr>
            </w:pPr>
            <w:r w:rsidRPr="00784B41">
              <w:rPr>
                <w:rFonts w:cstheme="minorHAnsi"/>
                <w:b w:val="0"/>
                <w:bCs w:val="0"/>
                <w:color w:val="3B3838" w:themeColor="background2" w:themeShade="40"/>
                <w:sz w:val="20"/>
                <w:szCs w:val="20"/>
              </w:rPr>
              <w:t xml:space="preserve">cT3–4 or </w:t>
            </w:r>
            <w:proofErr w:type="spellStart"/>
            <w:r w:rsidRPr="00784B41">
              <w:rPr>
                <w:rFonts w:cstheme="minorHAnsi"/>
                <w:b w:val="0"/>
                <w:bCs w:val="0"/>
                <w:color w:val="3B3838" w:themeColor="background2" w:themeShade="40"/>
                <w:sz w:val="20"/>
                <w:szCs w:val="20"/>
              </w:rPr>
              <w:t>cN</w:t>
            </w:r>
            <w:proofErr w:type="spellEnd"/>
            <w:r w:rsidRPr="00784B41">
              <w:rPr>
                <w:rFonts w:cstheme="minorHAnsi"/>
                <w:b w:val="0"/>
                <w:bCs w:val="0"/>
                <w:color w:val="3B3838" w:themeColor="background2" w:themeShade="40"/>
                <w:sz w:val="20"/>
                <w:szCs w:val="20"/>
              </w:rPr>
              <w:t>+</w:t>
            </w:r>
          </w:p>
        </w:tc>
      </w:tr>
      <w:tr w:rsidR="00EE7EB3" w:rsidRPr="00784B41" w14:paraId="79120804" w14:textId="77777777" w:rsidTr="00F233D4">
        <w:trPr>
          <w:cnfStyle w:val="010000000000" w:firstRow="0" w:lastRow="1" w:firstColumn="0" w:lastColumn="0" w:oddVBand="0" w:evenVBand="0" w:oddHBand="0" w:evenHBand="0" w:firstRowFirstColumn="0" w:firstRowLastColumn="0" w:lastRowFirstColumn="0" w:lastRowLastColumn="0"/>
          <w:trHeight w:val="392"/>
        </w:trPr>
        <w:tc>
          <w:tcPr>
            <w:tcW w:w="6772" w:type="dxa"/>
            <w:gridSpan w:val="4"/>
            <w:vAlign w:val="center"/>
          </w:tcPr>
          <w:p w14:paraId="22BA02F8"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Localized</w:t>
            </w:r>
          </w:p>
        </w:tc>
        <w:tc>
          <w:tcPr>
            <w:cnfStyle w:val="000100000000" w:firstRow="0" w:lastRow="0" w:firstColumn="0" w:lastColumn="1" w:oddVBand="0" w:evenVBand="0" w:oddHBand="0" w:evenHBand="0" w:firstRowFirstColumn="0" w:firstRowLastColumn="0" w:lastRowFirstColumn="0" w:lastRowLastColumn="0"/>
            <w:tcW w:w="2264" w:type="dxa"/>
            <w:vAlign w:val="center"/>
          </w:tcPr>
          <w:p w14:paraId="55109ADE" w14:textId="77777777" w:rsidR="00EE7EB3" w:rsidRPr="00784B41" w:rsidRDefault="00EE7EB3" w:rsidP="00F233D4">
            <w:pPr>
              <w:jc w:val="center"/>
              <w:rPr>
                <w:rFonts w:cstheme="minorHAnsi"/>
                <w:color w:val="3B3838" w:themeColor="background2" w:themeShade="40"/>
                <w:sz w:val="20"/>
                <w:szCs w:val="20"/>
              </w:rPr>
            </w:pPr>
            <w:r w:rsidRPr="00784B41">
              <w:rPr>
                <w:rFonts w:cstheme="minorHAnsi"/>
                <w:color w:val="3B3838" w:themeColor="background2" w:themeShade="40"/>
                <w:sz w:val="20"/>
                <w:szCs w:val="20"/>
              </w:rPr>
              <w:t>Locally advanced</w:t>
            </w:r>
          </w:p>
        </w:tc>
      </w:tr>
    </w:tbl>
    <w:p w14:paraId="43CA8BB2" w14:textId="411CF8AB" w:rsidR="00EE7EB3" w:rsidRDefault="00EE7EB3" w:rsidP="00EE7EB3">
      <w:pPr>
        <w:pStyle w:val="Popisobrzku"/>
        <w:rPr>
          <w:rFonts w:ascii="Cambria" w:hAnsi="Cambria"/>
          <w:sz w:val="24"/>
          <w:szCs w:val="24"/>
          <w:lang w:eastAsia="cs-CZ"/>
        </w:rPr>
      </w:pPr>
      <w:proofErr w:type="spellStart"/>
      <w:r w:rsidRPr="00817952">
        <w:rPr>
          <w:i/>
          <w:iCs/>
        </w:rPr>
        <w:t>Note</w:t>
      </w:r>
      <w:proofErr w:type="spellEnd"/>
      <w:r w:rsidRPr="00817952">
        <w:rPr>
          <w:i/>
          <w:iCs/>
        </w:rPr>
        <w:t xml:space="preserve">: </w:t>
      </w:r>
      <w:proofErr w:type="spellStart"/>
      <w:r w:rsidRPr="00817952">
        <w:rPr>
          <w:i/>
          <w:iCs/>
        </w:rPr>
        <w:t>Reproduced</w:t>
      </w:r>
      <w:proofErr w:type="spellEnd"/>
      <w:r w:rsidRPr="00817952">
        <w:rPr>
          <w:i/>
          <w:iCs/>
        </w:rPr>
        <w:t xml:space="preserve"> </w:t>
      </w:r>
      <w:proofErr w:type="spellStart"/>
      <w:r w:rsidRPr="00817952">
        <w:rPr>
          <w:i/>
          <w:iCs/>
        </w:rPr>
        <w:t>from</w:t>
      </w:r>
      <w:proofErr w:type="spellEnd"/>
      <w:r w:rsidRPr="00817952">
        <w:rPr>
          <w:i/>
          <w:iCs/>
        </w:rPr>
        <w:t xml:space="preserve"> </w:t>
      </w:r>
      <w:r w:rsidRPr="00817952">
        <w:rPr>
          <w:i/>
          <w:iCs/>
          <w:noProof/>
        </w:rPr>
        <w:t>Mottet</w:t>
      </w:r>
      <w:r w:rsidRPr="00817952">
        <w:rPr>
          <w:i/>
          <w:iCs/>
        </w:rPr>
        <w:t xml:space="preserve"> </w:t>
      </w:r>
      <w:r>
        <w:rPr>
          <w:i/>
          <w:iCs/>
        </w:rPr>
        <w:t>et al.</w:t>
      </w:r>
      <w:r w:rsidRPr="00817952">
        <w:rPr>
          <w:b/>
          <w:bCs/>
          <w:lang w:val="en-GB"/>
        </w:rPr>
        <w:t xml:space="preserve"> </w:t>
      </w:r>
      <w:r w:rsidRPr="00817952">
        <w:rPr>
          <w:lang w:val="en-GB"/>
        </w:rPr>
        <w:fldChar w:fldCharType="begin" w:fldLock="1"/>
      </w:r>
      <w:r w:rsidR="000C069C">
        <w:rPr>
          <w:lang w:val="en-GB"/>
        </w:rPr>
        <w:instrText>ADDIN CSL_CITATION {"citationItems":[{"id":"ITEM-1","itemData":{"DOI":"10.1016/j.eururo.2016.08.003","ISSN":"03022838","PMID":"27568654","abstract":"Objective To present a summary of the 2016 version of the European Association of Urology (EAU) - European Society for Radiotherapy &amp; Oncology (ESTRO) - International Society of Geriatric Oncology (SIOG) Guidelines on screening, diagnosis, and local treatment with curative intent of clinically localised prostate cancer (PCa). Evidence acquisition The working panel performed a literature review of the new data (2013–2015). The guidelines were updated and the levels of evidence and/or grades of recommendation were added based on a systematic review of the evidence. Evidence synthesis BRCA2 mutations have been added as risk factors for early and aggressive disease. In addition to the Gleason score, the five-tier 2014 International Society of Urological Pathology grading system should now be provided. Systematic screening is still not recommended. Instead, an individual risk-adapted strategy following a detailed discussion and taking into account the patient's wishes and life expectancy must be considered. An early prostate-specific antigen test, the use of a risk calculator, or one of the promising biomarker tools are being investigated and might be able to limit the overdetection of insignificant PCa. Breaking the link between diagnosis and treatment may lower the overtreatment risk. Multiparametric magnetic resonance imaging using standardised reporting cannot replace systematic biopsy, but robustly nested within the diagnostic work-up, it has a key role in local staging. Active surveillance always needs to be discussed with very low-risk patients. The place of surgery in high-risk disease and the role of lymph node dissection have been clarified, as well as the management of node-positive patients. Radiation therapy using dose-escalated intensity-modulated technology is a key treatment modality with recent improvement in the outcome based on increased doses as well as combination with hormonal treatment. Moderate hypofractionation is safe and effective, but longer-term data are still lacking. Brachytherapy represents an effective way to increase the delivered dose. Focal therapy remains experimental while cryosurgery and HIFU are still lacking long-term convincing results. Conclusions The knowledge in the field of diagnosis, staging, and treatment of localised PCa is evolving rapidly. The 2016 EAU-ESTRO-SIOG Guidelines on PCa summarise the most recent findings and advice for the use in clinical practice. These are the first PCa guidelines endorsed by th…","author":[{"dropping-particle":"","family":"Mottet","given":"Nicolas","non-dropping-particle":"","parse-names":false,"suffix":""},{"dropping-particle":"","family":"Bellmunt","given":"Joaquim","non-dropping-particle":"","parse-names":false,"suffix":""},{"dropping-particle":"","family":"Bolla","given":"Michel","non-dropping-particle":"","parse-names":false,"suffix":""},{"dropping-particle":"","family":"Briers","given":"Erik","non-dropping-particle":"","parse-names":false,"suffix":""},{"dropping-particle":"","family":"Cumberbatch","given":"Marcus G.","non-dropping-particle":"","parse-names":false,"suffix":""},{"dropping-particle":"","family":"Santis","given":"Maria","non-dropping-particle":"De","parse-names":false,"suffix":""},{"dropping-particle":"","family":"Fossati","given":"Nicola","non-dropping-particle":"","parse-names":false,"suffix":""},{"dropping-particle":"","family":"Gross","given":"Tobias","non-dropping-particle":"","parse-names":false,"suffix":""},{"dropping-particle":"","family":"Henry","given":"Ann M.","non-dropping-particle":"","parse-names":false,"suffix":""},{"dropping-particle":"","family":"Joniau","given":"Steven","non-dropping-particle":"","parse-names":false,"suffix":""},{"dropping-particle":"","family":"Lam","given":"Thomas B.","non-dropping-particle":"","parse-names":false,"suffix":""},{"dropping-particle":"","family":"Mason","given":"Malcolm D.","non-dropping-particle":"","parse-names":false,"suffix":""},{"dropping-particle":"","family":"Matveev","given":"Vsevolod B.","non-dropping-particle":"","parse-names":false,"suffix":""},{"dropping-particle":"","family":"Moldovan","given":"Paul C.","non-dropping-particle":"","parse-names":false,"suffix":""},{"dropping-particle":"","family":"Bergh","given":"Roderick C.N.","non-dropping-particle":"van den","parse-names":false,"suffix":""},{"dropping-particle":"","family":"Broeck","given":"Thomas","non-dropping-particle":"Van den","parse-names":false,"suffix":""},{"dropping-particle":"","family":"Poel","given":"Henk G.","non-dropping-particle":"van der","parse-names":false,"suffix":""},{"dropping-particle":"","family":"Kwast","given":"Theo H.","non-dropping-particle":"van der","parse-names":false,"suffix":""},{"dropping-particle":"","family":"Rouvière","given":"Olivier","non-dropping-particle":"","parse-names":false,"suffix":""},{"dropping-particle":"","family":"Schoots","given":"Ivo G.","non-dropping-particle":"","parse-names":false,"suffix":""},{"dropping-particle":"","family":"Wiegel","given":"Thomas","non-dropping-particle":"","parse-names":false,"suffix":""},{"dropping-particle":"","family":"Cornford","given":"Philip","non-dropping-particle":"","parse-names":false,"suffix":""}],"container-title":"European Urology","id":"ITEM-1","issue":"4","issued":{"date-parts":[["2017","4"]]},"page":"618-629","title":"EAU-ESTRO-SIOG Guidelines on Prostate Cancer. Part 1: Screening, Diagnosis, and Local Treatment with Curative Intent","type":"article-journal","volume":"71"},"uris":["http://www.mendeley.com/documents/?uuid=1473aaaa-79c5-40d3-8a6c-2ee792cf5579"]}],"mendeley":{"formattedCitation":"&lt;sup&gt;11&lt;/sup&gt;","plainTextFormattedCitation":"11","previouslyFormattedCitation":"[11]"},"properties":{"noteIndex":0},"schema":"https://github.com/citation-style-language/schema/raw/master/csl-citation.json"}</w:instrText>
      </w:r>
      <w:r w:rsidRPr="00817952">
        <w:rPr>
          <w:lang w:val="en-GB"/>
        </w:rPr>
        <w:fldChar w:fldCharType="separate"/>
      </w:r>
      <w:r w:rsidR="000C069C" w:rsidRPr="000C069C">
        <w:rPr>
          <w:noProof/>
          <w:vertAlign w:val="superscript"/>
          <w:lang w:val="en-GB"/>
        </w:rPr>
        <w:t>11</w:t>
      </w:r>
      <w:r w:rsidRPr="00817952">
        <w:rPr>
          <w:lang w:val="en-GB"/>
        </w:rPr>
        <w:fldChar w:fldCharType="end"/>
      </w:r>
      <w:r>
        <w:rPr>
          <w:i/>
          <w:iCs/>
        </w:rPr>
        <w:t xml:space="preserve"> </w:t>
      </w:r>
    </w:p>
    <w:p w14:paraId="4C5E0A73" w14:textId="77777777" w:rsidR="00EE7EB3" w:rsidRPr="00C83EDC" w:rsidRDefault="00EE7EB3" w:rsidP="00EE7EB3">
      <w:pPr>
        <w:pStyle w:val="Nadpis2"/>
        <w:rPr>
          <w:lang w:val="en-GB"/>
        </w:rPr>
      </w:pPr>
      <w:bookmarkStart w:id="30" w:name="_Toc47889316"/>
      <w:bookmarkStart w:id="31" w:name="_Toc48160987"/>
      <w:bookmarkEnd w:id="23"/>
      <w:r w:rsidRPr="00C83EDC">
        <w:rPr>
          <w:lang w:val="en-GB"/>
        </w:rPr>
        <w:lastRenderedPageBreak/>
        <w:t>Molecular pathogenesis</w:t>
      </w:r>
      <w:bookmarkEnd w:id="30"/>
      <w:bookmarkEnd w:id="31"/>
    </w:p>
    <w:p w14:paraId="4EC3AF00" w14:textId="2F89F1AC" w:rsidR="00EE7EB3" w:rsidRPr="00C83EDC" w:rsidRDefault="00EE7EB3" w:rsidP="00EE7EB3">
      <w:pPr>
        <w:pStyle w:val="Odstavec1"/>
        <w:rPr>
          <w:lang w:val="en-GB"/>
        </w:rPr>
      </w:pPr>
      <w:r w:rsidRPr="00C83EDC">
        <w:rPr>
          <w:lang w:val="en-GB"/>
        </w:rPr>
        <w:t xml:space="preserve">The expansion of sequencing technologies led to an improved molecular classification of prostate cancer and a better description of its genomic landscape. It has become obvious that </w:t>
      </w:r>
      <w:r>
        <w:rPr>
          <w:lang w:val="en-GB"/>
        </w:rPr>
        <w:br/>
        <w:t xml:space="preserve">a </w:t>
      </w:r>
      <w:r w:rsidRPr="00C83EDC">
        <w:rPr>
          <w:lang w:val="en-GB"/>
        </w:rPr>
        <w:t>variety of clinical manifestations of the disease mirror its molecular heterogeneity</w:t>
      </w:r>
      <w:r w:rsidRPr="00C83EDC">
        <w:rPr>
          <w:lang w:val="en-GB"/>
        </w:rPr>
        <w:fldChar w:fldCharType="begin" w:fldLock="1"/>
      </w:r>
      <w:r w:rsidR="000C069C">
        <w:rPr>
          <w:lang w:val="en-GB"/>
        </w:rPr>
        <w:instrText>ADDIN CSL_CITATION {"citationItems":[{"id":"ITEM-1","itemData":{"DOI":"10.1097/PAP.0000000000000245","ISSN":"15334031","abstract":"Prostate cancer (PCa) is the most common noncutaneous malignancy affecting American men and the second most common cause of cancer death. The traditional risk classification schemes for PCa are limited due to the vast clinical and molecular heterogeneity of the disease. Fortunately, recent advancements in sequencing technologies have provided us with valuable insight into the genomics of PCa. To date, a wide array of recurrent genomic alterations in PCa have been identified. Incorporating these distinct molecular subtypes of PCa into prediction models provides opportunities for improved risk stratification and ultimately better patient outcomes. In this review, we summarize the key molecular subtypes of PCa and focus on those genomic alterations that have clinical implications for diagnosis, prognosis, and therapeutic response.","author":[{"dropping-particle":"","family":"Faisal","given":"Farzana A.","non-dropping-particle":"","parse-names":false,"suffix":""},{"dropping-particle":"","family":"Lotan","given":"Tamara L.","non-dropping-particle":"","parse-names":false,"suffix":""}],"container-title":"Advances in Anatomic Pathology","id":"ITEM-1","issue":"1","issued":{"date-parts":[["2020"]]},"note":"mention of four kallikrein and prostate health index \ngermiline variants\n\nearly detection assays\nScreening:\nurine biomarker PCA3 - long noc-coding RNA\ntissue based assay\n\ntreatments of various stages ofPCa","page":"11-19","title":"The Genomic and Molecular Pathology of Prostate Cancer: Clinical Implications for Diagnosis, Prognosis, and Therapy","type":"article-journal","volume":"27"},"uris":["http://www.mendeley.com/documents/?uuid=34f5af8a-f340-48aa-add3-3a6375b39ef9"]}],"mendeley":{"formattedCitation":"&lt;sup&gt;13&lt;/sup&gt;","plainTextFormattedCitation":"13","previouslyFormattedCitation":"[13]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13</w:t>
      </w:r>
      <w:r w:rsidRPr="00C83EDC">
        <w:rPr>
          <w:lang w:val="en-GB"/>
        </w:rPr>
        <w:fldChar w:fldCharType="end"/>
      </w:r>
      <w:r w:rsidRPr="00C83EDC">
        <w:rPr>
          <w:lang w:val="en-GB"/>
        </w:rPr>
        <w:t xml:space="preserve">. The genomic profile of prostate </w:t>
      </w:r>
      <w:r>
        <w:rPr>
          <w:lang w:val="en-GB"/>
        </w:rPr>
        <w:t xml:space="preserve">cancer </w:t>
      </w:r>
      <w:r w:rsidRPr="00C83EDC">
        <w:rPr>
          <w:lang w:val="en-GB"/>
        </w:rPr>
        <w:t>is shaped by many effectors that include age, environmental impact, family history and germline predispositions</w:t>
      </w:r>
      <w:r w:rsidRPr="00C83EDC">
        <w:rPr>
          <w:lang w:val="en-GB"/>
        </w:rPr>
        <w:fldChar w:fldCharType="begin" w:fldLock="1"/>
      </w:r>
      <w:r w:rsidR="000C069C">
        <w:rPr>
          <w:lang w:val="en-GB"/>
        </w:rPr>
        <w:instrText>ADDIN CSL_CITATION {"citationItems":[{"id":"ITEM-1","itemData":{"DOI":"10.1097/MOU.0000000000000422","ISBN":"0000000000000","ISSN":"14736586","abstract":"Purpose of review Prostate cancer is a disease of the elderly but a clinically relevant subset occurs early in life. In the current review, we discuss recent findings and the current understanding of the molecular underpinnings associated with early-onset prostate cancer (PCa) and the evidence supporting age-specific differences in the cancer genomes. Recent findings Recent surveys of PCa patient cohorts have provided novel age-dependent links between germline and somatic aberrations which points to differences in the molecular cause and treatment options. Summary Identifying the earliest molecular alterations in PCa can provide insight into the cause of the disease and biomarkers for patient risk stratification. Genomic aberrations of early-onset PCas display several patterns distinct from late-onset PCa genomes, suggesting age-dependent pathomechanisms involving alterations in the androgen receptor pathway.","author":[{"dropping-particle":"","family":"Weischenfeldt","given":"Joachim","non-dropping-particle":"","parse-names":false,"suffix":""},{"dropping-particle":"","family":"Korbel","given":"Jan O.","non-dropping-particle":"","parse-names":false,"suffix":""}],"container-title":"Current Opinion in Urology","id":"ITEM-1","issue":"5","issued":{"date-parts":[["2017"]]},"page":"481-487","title":"Genomes of early onset prostate cancer","type":"article-journal","volume":"27"},"uris":["http://www.mendeley.com/documents/?uuid=a7e14ca6-e652-4762-b5c9-e3633db1ac62"]}],"mendeley":{"formattedCitation":"&lt;sup&gt;14&lt;/sup&gt;","plainTextFormattedCitation":"14","previouslyFormattedCitation":"[14]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w:t>
      </w:r>
      <w:r w:rsidRPr="00C83EDC">
        <w:rPr>
          <w:lang w:val="en-GB"/>
        </w:rPr>
        <w:fldChar w:fldCharType="end"/>
      </w:r>
      <w:r w:rsidRPr="00C83EDC">
        <w:rPr>
          <w:lang w:val="en-GB"/>
        </w:rPr>
        <w:t>.</w:t>
      </w:r>
    </w:p>
    <w:p w14:paraId="441D68F1" w14:textId="77777777" w:rsidR="00EE7EB3" w:rsidRPr="00C83EDC" w:rsidRDefault="00EE7EB3" w:rsidP="00EE7EB3">
      <w:pPr>
        <w:pStyle w:val="Nadpis3"/>
        <w:rPr>
          <w:lang w:val="en-GB"/>
        </w:rPr>
      </w:pPr>
      <w:r w:rsidRPr="00C83EDC">
        <w:rPr>
          <w:lang w:val="en-GB"/>
        </w:rPr>
        <w:t>Germline variants</w:t>
      </w:r>
    </w:p>
    <w:p w14:paraId="374FCC81" w14:textId="0BA1A539" w:rsidR="00EE7EB3" w:rsidRPr="00C83EDC" w:rsidRDefault="00EE7EB3" w:rsidP="00EE7EB3">
      <w:pPr>
        <w:pStyle w:val="Odstavec1"/>
        <w:rPr>
          <w:rFonts w:cstheme="minorHAnsi"/>
          <w:lang w:val="en-GB"/>
        </w:rPr>
      </w:pPr>
      <w:r w:rsidRPr="00C83EDC">
        <w:rPr>
          <w:rFonts w:cstheme="minorHAnsi"/>
          <w:lang w:val="en-GB"/>
        </w:rPr>
        <w:t>Prostate cancer is known to have many genetic variants which are heritable and can range from the common ones that carry weak risks to the rare variants linked to stronger risks for malignant growth. Genome-wide association studies have identified over 280 SNPs (single nucleotide polymorphisms) with low-to-moderate penetrance that are associated with a risk of prostate cancer development</w:t>
      </w:r>
      <w:r w:rsidRPr="00C83EDC">
        <w:rPr>
          <w:rFonts w:cstheme="minorHAnsi"/>
          <w:lang w:val="en-GB"/>
        </w:rPr>
        <w:fldChar w:fldCharType="begin" w:fldLock="1"/>
      </w:r>
      <w:r w:rsidR="000C069C">
        <w:rPr>
          <w:rFonts w:cstheme="minorHAnsi"/>
          <w:lang w:val="en-GB"/>
        </w:rPr>
        <w:instrText>ADDIN CSL_CITATION {"citationItems":[{"id":"ITEM-1","itemData":{"DOI":"10.1016/j.eursup.2017.10.001","ISSN":"18781500","abstract":"Recent advances in sequencing technologies, proteomics, and metabolomics have led to the identification of numerous molecular alterations across solid tumors including prostate cancer. The delineation of various genetic and epigenetic events involved in tumor progression have facilitated the development of novel diagnostic tests and the successful therapeutic targeting of key oncogenic events in prostate cancer. The most common genomic aberrations in prostate cancer include gene fusions, amplification, deletion, and mutations. In addition, up and down regulation of gene expression in critical cellular pathways is also at play. A series of long noncoding RNA expression changes have been also unveiled from transcriptome sequencing data. They play a regulatory role in prostate cancer and are promising diagnostic and potentially prognostic markers. In this review, we summarize recent advances in molecular pathology of prostate cancer and their emerging clinical utility. Recent advances in molecular pathology of prostate cancer and their emerging clinical utility are discussed.","author":[{"dropping-particle":"","family":"Netto","given":"George J.","non-dropping-particle":"","parse-names":false,"suffix":""},{"dropping-particle":"","family":"Eich","given":"Marie Lisa","non-dropping-particle":"","parse-names":false,"suffix":""},{"dropping-particle":"","family":"Varambally","given":"Sooryanarayana","non-dropping-particle":"","parse-names":false,"suffix":""}],"container-title":"European Urology, Supplements","id":"ITEM-1","issue":"12","issued":{"date-parts":[["2017"]]},"note":"environmental risk factors of PCA\nclassifier assays\nearly detection assays\nnajít ref 112, TGCA (cancer atlas) molecular subtypes\nchromoplexy\nepigenetic modulation in pca","page":"253-271","publisher":"European Association of Urology","title":"Prostate Cancer: An Update on Molecular Pathology with Clinical Implications","type":"article-journal","volume":"16"},"uris":["http://www.mendeley.com/documents/?uuid=ba6c387a-c8a5-4e05-a744-8cb02cfe2cc0"]}],"mendeley":{"formattedCitation":"&lt;sup&gt;15&lt;/sup&gt;","plainTextFormattedCitation":"15","previouslyFormattedCitation":"[15]"},"properties":{"noteIndex":0},"schema":"https://github.com/citation-style-language/schema/raw/master/csl-citation.json"}</w:instrText>
      </w:r>
      <w:r w:rsidRPr="00C83EDC">
        <w:rPr>
          <w:rFonts w:cstheme="minorHAnsi"/>
          <w:lang w:val="en-GB"/>
        </w:rPr>
        <w:fldChar w:fldCharType="separate"/>
      </w:r>
      <w:r w:rsidR="000C069C" w:rsidRPr="000C069C">
        <w:rPr>
          <w:rFonts w:cstheme="minorHAnsi"/>
          <w:noProof/>
          <w:vertAlign w:val="superscript"/>
          <w:lang w:val="en-GB"/>
        </w:rPr>
        <w:t>15</w:t>
      </w:r>
      <w:r w:rsidRPr="00C83EDC">
        <w:rPr>
          <w:rFonts w:cstheme="minorHAnsi"/>
          <w:lang w:val="en-GB"/>
        </w:rPr>
        <w:fldChar w:fldCharType="end"/>
      </w:r>
      <w:r w:rsidRPr="00C83EDC">
        <w:rPr>
          <w:rFonts w:cstheme="minorHAnsi"/>
          <w:lang w:val="en-GB"/>
        </w:rPr>
        <w:t xml:space="preserve">. First discovered and one of clinically relevant regions with </w:t>
      </w:r>
      <w:r>
        <w:rPr>
          <w:rFonts w:cstheme="minorHAnsi"/>
          <w:lang w:val="en-GB"/>
        </w:rPr>
        <w:t xml:space="preserve">a </w:t>
      </w:r>
      <w:r w:rsidRPr="00C83EDC">
        <w:rPr>
          <w:rFonts w:cstheme="minorHAnsi"/>
          <w:lang w:val="en-GB"/>
        </w:rPr>
        <w:t>high number of SNPs is the 8q24 locus</w:t>
      </w:r>
      <w:r w:rsidRPr="00C83EDC">
        <w:rPr>
          <w:rFonts w:cstheme="minorHAnsi"/>
          <w:lang w:val="en-GB"/>
        </w:rPr>
        <w:fldChar w:fldCharType="begin" w:fldLock="1"/>
      </w:r>
      <w:r w:rsidR="000C069C">
        <w:rPr>
          <w:rFonts w:cstheme="minorHAnsi"/>
          <w:lang w:val="en-GB"/>
        </w:rPr>
        <w:instrText>ADDIN CSL_CITATION {"citationItems":[{"id":"ITEM-1","itemData":{"DOI":"10.1093/hmg/ddn287","ISSN":"09646906","abstract":"Genome-wide association studies (GWAS) provide a powerful approach to identify common, low-penetrance disease loci without prior knowledge of location or function. GWAS have been conducted in five of the commonest cancer types: breast, prostate, colorectal and lung, and melanoma, and have identified more than 20 novel disease loci, confirming that susceptibility to these diseases is polygenic. Many of these loci were detected at low power, indicating that many further loci will probably be detected with larger studies. For the most part, the loci were not previously suspected to be related to carcinogenesis, and point to new disease mechanisms. The risks conferred by the susceptibility alleles are low, generally 1.3-fold or less. The combined effects may, however, be sufficiently large to be useful for risk prediction, and targeted screening and prevention, particularly as more loci are identified. © The Author 2008. Published by Oxford University Press. All rights reserved.","author":[{"dropping-particle":"","family":"Easton","given":"Douglas F.","non-dropping-particle":"","parse-names":false,"suffix":""},{"dropping-particle":"","family":"Eeles","given":"Rosalind A.","non-dropping-particle":"","parse-names":false,"suffix":""}],"container-title":"Human Molecular Genetics","id":"ITEM-1","issue":"R2","issued":{"date-parts":[["2008"]]},"page":"109-115","title":"Genome-wide association studies in cancer","type":"article-journal","volume":"17"},"uris":["http://www.mendeley.com/documents/?uuid=d8d0541b-be44-4266-a1f7-473cd88c1896"]},{"id":"ITEM-2","itemData":{"DOI":"10.1038/nrurol.2013.266","ISSN":"17594812","abstract":"Worldwide, familial and epidemiological studies have generated considerable evidence of an inherited component to prostate cancer. Indeed, rare highly penetrant genetic mutations have been implicated. Genome-wide association studies (GWAS) have also identified 76 susceptibility loci associated with prostate cancer risk, which occur commonly but are of low penetrance. However, these mutations interact multiplicatively, which can result in substantially increased risk. Currently, approximately 30% of the familial risk is due to such variants. Evaluating the functional aspects of these variants would contribute to our understanding of prostate cancer aetiology and would enable population risk stratification for screening. Furthermore, understanding the genetic risks of prostate cancer might inform predictions of treatment responses and toxicities, with the goal of personalized therapy. However, risk modelling and clinical translational research are needed before we can translate risk profiles generated from these variants into use in the clinical setting for targeted screening and treatment. © 2014 Macmillan Publishers Limited. All rights reserved.","author":[{"dropping-particle":"","family":"Eeles","given":"Rosalind","non-dropping-particle":"","parse-names":false,"suffix":""},{"dropping-particle":"","family":"Goh","given":"Chee","non-dropping-particle":"","parse-names":false,"suffix":""},{"dropping-particle":"","family":"Castro","given":"Elena","non-dropping-particle":"","parse-names":false,"suffix":""},{"dropping-particle":"","family":"Bancroft","given":"Elizabeth","non-dropping-particle":"","parse-names":false,"suffix":""},{"dropping-particle":"","family":"Guy","given":"Michelle","non-dropping-particle":"","parse-names":false,"suffix":""},{"dropping-particle":"Al","family":"Olama","given":"Ali Amin","non-dropping-particle":"","parse-names":false,"suffix":""},{"dropping-particle":"","family":"Easton","given":"Douglas","non-dropping-particle":"","parse-names":false,"suffix":""},{"dropping-particle":"","family":"Kote-Jarai","given":"Zsofia","non-dropping-particle":"","parse-names":false,"suffix":""}],"container-title":"Nature Reviews Urology","id":"ITEM-2","issue":"1","issued":{"date-parts":[["2014"]]},"note":"great article","page":"18-31","publisher":"Nature Publishing Group","title":"The genetic epidemiology of prostate cancer and its clinical implications","type":"article-journal","volume":"11"},"uris":["http://www.mendeley.com/documents/?uuid=c07f4935-da19-46e6-85a1-1bbff58bbd05"]}],"mendeley":{"formattedCitation":"&lt;sup&gt;16,17&lt;/sup&gt;","plainTextFormattedCitation":"16,17","previouslyFormattedCitation":"[16], [17]"},"properties":{"noteIndex":0},"schema":"https://github.com/citation-style-language/schema/raw/master/csl-citation.json"}</w:instrText>
      </w:r>
      <w:r w:rsidRPr="00C83EDC">
        <w:rPr>
          <w:rFonts w:cstheme="minorHAnsi"/>
          <w:lang w:val="en-GB"/>
        </w:rPr>
        <w:fldChar w:fldCharType="separate"/>
      </w:r>
      <w:r w:rsidR="000C069C" w:rsidRPr="000C069C">
        <w:rPr>
          <w:rFonts w:cstheme="minorHAnsi"/>
          <w:noProof/>
          <w:vertAlign w:val="superscript"/>
          <w:lang w:val="en-GB"/>
        </w:rPr>
        <w:t>16,17</w:t>
      </w:r>
      <w:r w:rsidRPr="00C83EDC">
        <w:rPr>
          <w:rFonts w:cstheme="minorHAnsi"/>
          <w:lang w:val="en-GB"/>
        </w:rPr>
        <w:fldChar w:fldCharType="end"/>
      </w:r>
      <w:r w:rsidRPr="00C83EDC">
        <w:rPr>
          <w:rFonts w:cstheme="minorHAnsi"/>
          <w:lang w:val="en-GB"/>
        </w:rPr>
        <w:t xml:space="preserve">. Interestingly, it has been demonstrated that SNPs of that region have a long-range tissue-specific control on the expression of </w:t>
      </w:r>
      <w:r w:rsidRPr="00C83EDC">
        <w:rPr>
          <w:rFonts w:cstheme="minorHAnsi"/>
          <w:i/>
          <w:lang w:val="en-GB"/>
        </w:rPr>
        <w:t>MYC</w:t>
      </w:r>
      <w:r w:rsidRPr="00C83EDC">
        <w:rPr>
          <w:rFonts w:cstheme="minorHAnsi"/>
          <w:lang w:val="en-GB"/>
        </w:rPr>
        <w:t xml:space="preserve"> oncogene that lies in the 8q24 neighbourhood. Also SNPs located on chromosome 19 are associated with prostate cancer, specifically variants of the 19q13 locus which contains the genes encoding the serine proteases KLK2 and KLK3, also known as PSA</w:t>
      </w:r>
      <w:r w:rsidRPr="00C83EDC">
        <w:rPr>
          <w:rFonts w:cstheme="minorHAnsi"/>
          <w:lang w:val="en-GB"/>
        </w:rPr>
        <w:fldChar w:fldCharType="begin" w:fldLock="1"/>
      </w:r>
      <w:r w:rsidR="000C069C">
        <w:rPr>
          <w:rFonts w:cstheme="minorHAnsi"/>
          <w:lang w:val="en-GB"/>
        </w:rPr>
        <w:instrText>ADDIN CSL_CITATION {"citationItems":[{"id":"ITEM-1","itemData":{"DOI":"10.1038/nrurol.2013.266","ISSN":"17594812","abstract":"Worldwide, familial and epidemiological studies have generated considerable evidence of an inherited component to prostate cancer. Indeed, rare highly penetrant genetic mutations have been implicated. Genome-wide association studies (GWAS) have also identified 76 susceptibility loci associated with prostate cancer risk, which occur commonly but are of low penetrance. However, these mutations interact multiplicatively, which can result in substantially increased risk. Currently, approximately 30% of the familial risk is due to such variants. Evaluating the functional aspects of these variants would contribute to our understanding of prostate cancer aetiology and would enable population risk stratification for screening. Furthermore, understanding the genetic risks of prostate cancer might inform predictions of treatment responses and toxicities, with the goal of personalized therapy. However, risk modelling and clinical translational research are needed before we can translate risk profiles generated from these variants into use in the clinical setting for targeted screening and treatment. © 2014 Macmillan Publishers Limited. All rights reserved.","author":[{"dropping-particle":"","family":"Eeles","given":"Rosalind","non-dropping-particle":"","parse-names":false,"suffix":""},{"dropping-particle":"","family":"Goh","given":"Chee","non-dropping-particle":"","parse-names":false,"suffix":""},{"dropping-particle":"","family":"Castro","given":"Elena","non-dropping-particle":"","parse-names":false,"suffix":""},{"dropping-particle":"","family":"Bancroft","given":"Elizabeth","non-dropping-particle":"","parse-names":false,"suffix":""},{"dropping-particle":"","family":"Guy","given":"Michelle","non-dropping-particle":"","parse-names":false,"suffix":""},{"dropping-particle":"Al","family":"Olama","given":"Ali Amin","non-dropping-particle":"","parse-names":false,"suffix":""},{"dropping-particle":"","family":"Easton","given":"Douglas","non-dropping-particle":"","parse-names":false,"suffix":""},{"dropping-particle":"","family":"Kote-Jarai","given":"Zsofia","non-dropping-particle":"","parse-names":false,"suffix":""}],"container-title":"Nature Reviews Urology","id":"ITEM-1","issue":"1","issued":{"date-parts":[["2014"]]},"note":"great article","page":"18-31","publisher":"Nature Publishing Group","title":"The genetic epidemiology of prostate cancer and its clinical implications","type":"article-journal","volume":"11"},"uris":["http://www.mendeley.com/documents/?uuid=c07f4935-da19-46e6-85a1-1bbff58bbd05"]}],"mendeley":{"formattedCitation":"&lt;sup&gt;17&lt;/sup&gt;","plainTextFormattedCitation":"17","previouslyFormattedCitation":"[17]"},"properties":{"noteIndex":0},"schema":"https://github.com/citation-style-language/schema/raw/master/csl-citation.json"}</w:instrText>
      </w:r>
      <w:r w:rsidRPr="00C83EDC">
        <w:rPr>
          <w:rFonts w:cstheme="minorHAnsi"/>
          <w:lang w:val="en-GB"/>
        </w:rPr>
        <w:fldChar w:fldCharType="separate"/>
      </w:r>
      <w:r w:rsidR="000C069C" w:rsidRPr="000C069C">
        <w:rPr>
          <w:rFonts w:cstheme="minorHAnsi"/>
          <w:noProof/>
          <w:vertAlign w:val="superscript"/>
          <w:lang w:val="en-GB"/>
        </w:rPr>
        <w:t>17</w:t>
      </w:r>
      <w:r w:rsidRPr="00C83EDC">
        <w:rPr>
          <w:rFonts w:cstheme="minorHAnsi"/>
          <w:lang w:val="en-GB"/>
        </w:rPr>
        <w:fldChar w:fldCharType="end"/>
      </w:r>
      <w:r w:rsidRPr="00C83EDC">
        <w:rPr>
          <w:rFonts w:cstheme="minorHAnsi"/>
          <w:lang w:val="en-GB"/>
        </w:rPr>
        <w:t>.</w:t>
      </w:r>
    </w:p>
    <w:p w14:paraId="0B653A5F" w14:textId="3554B001" w:rsidR="00EE7EB3" w:rsidRPr="00C83EDC" w:rsidRDefault="00EE7EB3" w:rsidP="00EE7EB3">
      <w:pPr>
        <w:pStyle w:val="Dalodstavce"/>
        <w:rPr>
          <w:lang w:val="en-GB"/>
        </w:rPr>
      </w:pPr>
      <w:r w:rsidRPr="00C83EDC">
        <w:rPr>
          <w:lang w:val="en-GB"/>
        </w:rPr>
        <w:t xml:space="preserve">Germline mutations in </w:t>
      </w:r>
      <w:r w:rsidRPr="00C83EDC">
        <w:rPr>
          <w:i/>
          <w:lang w:val="en-GB"/>
        </w:rPr>
        <w:t>BRCA2</w:t>
      </w:r>
      <w:r w:rsidRPr="00C83EDC">
        <w:rPr>
          <w:lang w:val="en-GB"/>
        </w:rPr>
        <w:t xml:space="preserve"> gene carry 8.6 times higher risk of developing prostate cancer in men younger than 65 years, whilst </w:t>
      </w:r>
      <w:r w:rsidRPr="00C83EDC">
        <w:rPr>
          <w:i/>
          <w:lang w:val="en-GB"/>
        </w:rPr>
        <w:t>BRCA1</w:t>
      </w:r>
      <w:r w:rsidRPr="00C83EDC">
        <w:rPr>
          <w:lang w:val="en-GB"/>
        </w:rPr>
        <w:t xml:space="preserve"> mutations increase the risk by 3.4-fold. </w:t>
      </w:r>
      <w:r w:rsidRPr="00C83EDC">
        <w:rPr>
          <w:noProof/>
          <w:lang w:val="en-GB"/>
        </w:rPr>
        <w:t xml:space="preserve">Castro </w:t>
      </w:r>
      <w:r w:rsidRPr="00C83EDC">
        <w:rPr>
          <w:i/>
          <w:iCs/>
          <w:noProof/>
          <w:lang w:val="en-GB"/>
        </w:rPr>
        <w:t xml:space="preserve">et al. </w:t>
      </w:r>
      <w:r w:rsidRPr="00C83EDC">
        <w:rPr>
          <w:lang w:val="en-GB"/>
        </w:rPr>
        <w:t xml:space="preserve">showed that that metastasis in lymph nodes and distant sites occur more often in </w:t>
      </w:r>
      <w:proofErr w:type="spellStart"/>
      <w:r w:rsidRPr="00C83EDC">
        <w:rPr>
          <w:lang w:val="en-GB"/>
        </w:rPr>
        <w:t>PCa</w:t>
      </w:r>
      <w:proofErr w:type="spellEnd"/>
      <w:r w:rsidRPr="00C83EDC">
        <w:rPr>
          <w:lang w:val="en-GB"/>
        </w:rPr>
        <w:t xml:space="preserve"> patients with </w:t>
      </w:r>
      <w:r w:rsidRPr="00C83EDC">
        <w:rPr>
          <w:i/>
          <w:lang w:val="en-GB"/>
        </w:rPr>
        <w:t>BRCA1/2</w:t>
      </w:r>
      <w:r w:rsidRPr="00C83EDC">
        <w:rPr>
          <w:lang w:val="en-GB"/>
        </w:rPr>
        <w:t xml:space="preserve"> mutations carriers than in non-carriers. Moreover, localized </w:t>
      </w:r>
      <w:proofErr w:type="spellStart"/>
      <w:r>
        <w:rPr>
          <w:lang w:val="en-GB"/>
        </w:rPr>
        <w:t>PCa</w:t>
      </w:r>
      <w:proofErr w:type="spellEnd"/>
      <w:r w:rsidRPr="00C83EDC">
        <w:rPr>
          <w:lang w:val="en-GB"/>
        </w:rPr>
        <w:t xml:space="preserve"> progressed in the metastatic form sooner in </w:t>
      </w:r>
      <w:r w:rsidRPr="00C83EDC">
        <w:rPr>
          <w:i/>
          <w:lang w:val="en-GB"/>
        </w:rPr>
        <w:t>BRCA1/2</w:t>
      </w:r>
      <w:r w:rsidRPr="00C83EDC">
        <w:rPr>
          <w:lang w:val="en-GB"/>
        </w:rPr>
        <w:t xml:space="preserve"> carriers, and patients both with metastatic disease and </w:t>
      </w:r>
      <w:r w:rsidRPr="00C83EDC">
        <w:rPr>
          <w:i/>
          <w:lang w:val="en-GB"/>
        </w:rPr>
        <w:t>BRCA1/2</w:t>
      </w:r>
      <w:r w:rsidRPr="00C83EDC">
        <w:rPr>
          <w:lang w:val="en-GB"/>
        </w:rPr>
        <w:t xml:space="preserve"> mutations were treated with chemotherapy more often because of the frequent development of castration-resistant </w:t>
      </w:r>
      <w:proofErr w:type="spellStart"/>
      <w:r w:rsidRPr="00C83EDC">
        <w:rPr>
          <w:lang w:val="en-GB"/>
        </w:rPr>
        <w:t>PCa</w:t>
      </w:r>
      <w:proofErr w:type="spellEnd"/>
      <w:r>
        <w:rPr>
          <w:lang w:val="en-GB"/>
        </w:rPr>
        <w:t xml:space="preserve"> (CRPC)</w:t>
      </w:r>
      <w:r w:rsidRPr="00C83EDC">
        <w:rPr>
          <w:lang w:val="en-GB"/>
        </w:rPr>
        <w:fldChar w:fldCharType="begin" w:fldLock="1"/>
      </w:r>
      <w:r w:rsidR="000C069C">
        <w:rPr>
          <w:lang w:val="en-GB"/>
        </w:rPr>
        <w:instrText>ADDIN CSL_CITATION {"citationItems":[{"id":"ITEM-1","itemData":{"DOI":"10.1200/JCO.2012.43.1882","ISSN":"15277755","abstract":"Purpose: To analyze the baseline clinicopathologic characteristics of prostate tumors with germline BRCA1 and BRCA2 (BRCA1/2) mutations and the prognostic value of those mutations on prostate cancer (PCa) outcomes. Patients and Methods: This study analyzed the tumor features and outcomes of 2,019 patients with PCa (18 BRCA1 carriers, 61 BRCA2 carriers, and 1,940 noncarriers). The Kaplan-Meier method and Cox regression analysis were used to evaluate the associations between BRCA1/2 status and other PCa prognostic factors with overall survival (OS), cause-specific OS (CSS), CSS in localized PCa (CSS_M0), metastasis-free survival (MFS), and CSS from metastasis (CSS_M1). Results: PCa with germline BRCA1/2 mutations were more frequently associated with Gleason 8 (P .00003), T3/T4 stage (P .003), nodal involvement (P .00005), and metastases at diagnosis (P .005) than PCa in noncarriers. CSS was significantly longer in noncarriers than in carriers (15.7 v 8.6 years, multivariable analyses [MVA] P .015; hazard ratio [HR] 1.8). For localized PCa, 5-year CSS and MFS were significantly higher in noncarriers (96% v 82%; MVA P .01; HR 2.6%; and 93% v 77%; MVA P .009; HR 2.7, respectively). Subgroup analyses confirmed the poor outcomes in BRCA2 patients, whereas the role of BRCA1 was not well defined due to the limited size and follow-up in this subgroup. Conclusion: Our results confirm that BRCA1/2 mutations confer a more aggressive PCa phenotype with a higher probability of nodal involvement and distant metastasis. BRCA mutations are associated with poor survival outcomes and this should be considered for tailoring clinical management of these patients.","author":[{"dropping-particle":"","family":"Castro","given":"Elena","non-dropping-particle":"","parse-names":false,"suffix":""},{"dropping-particle":"","family":"Goh","given":"Chee","non-dropping-particle":"","parse-names":false,"suffix":""},{"dropping-particle":"","family":"Olmos","given":"David","non-dropping-particle":"","parse-names":false,"suffix":""},{"dropping-particle":"","family":"Saunders","given":"Ed","non-dropping-particle":"","parse-names":false,"suffix":""},{"dropping-particle":"","family":"Leongamornlert","given":"Daniel","non-dropping-particle":"","parse-names":false,"suffix":""},{"dropping-particle":"","family":"Tymrakiewicz","given":"Malgorzata","non-dropping-particle":"","parse-names":false,"suffix":""},{"dropping-particle":"","family":"Mahmud","given":"Nadiya","non-dropping-particle":"","parse-names":false,"suffix":""},{"dropping-particle":"","family":"Dadaev","given":"Tokhir","non-dropping-particle":"","parse-names":false,"suffix":""},{"dropping-particle":"","family":"Govindasami","given":"Koveela","non-dropping-particle":"","parse-names":false,"suffix":""},{"dropping-particle":"","family":"Guy","given":"Michelle","non-dropping-particle":"","parse-names":false,"suffix":""},{"dropping-particle":"","family":"Sawyer","given":"Emma","non-dropping-particle":"","parse-names":false,"suffix":""},{"dropping-particle":"","family":"Wilkinson","given":"Rosemary","non-dropping-particle":"","parse-names":false,"suffix":""},{"dropping-particle":"","family":"Ardern-Jones","given":"Audrey","non-dropping-particle":"","parse-names":false,"suffix":""},{"dropping-particle":"","family":"Ellis","given":"Steve","non-dropping-particle":"","parse-names":false,"suffix":""},{"dropping-particle":"","family":"Frost","given":"Debra","non-dropping-particle":"","parse-names":false,"suffix":""},{"dropping-particle":"","family":"Peock","given":"Susan","non-dropping-particle":"","parse-names":false,"suffix":""},{"dropping-particle":"","family":"Evans","given":"D. Gareth","non-dropping-particle":"","parse-names":false,"suffix":""},{"dropping-particle":"","family":"Tischkowitz","given":"Marc","non-dropping-particle":"","parse-names":false,"suffix":""},{"dropping-particle":"","family":"Cole","given":"Trevor","non-dropping-particle":"","parse-names":false,"suffix":""},{"dropping-particle":"","family":"Davidson","given":"Rosemarie","non-dropping-particle":"","parse-names":false,"suffix":""},{"dropping-particle":"","family":"Eccles","given":"Diana","non-dropping-particle":"","parse-names":false,"suffix":""},{"dropping-particle":"","family":"Brewer","given":"Carole","non-dropping-particle":"","parse-names":false,"suffix":""},{"dropping-particle":"","family":"Douglas","given":"Fiona","non-dropping-particle":"","parse-names":false,"suffix":""},{"dropping-particle":"","family":"Porteous","given":"Mary E.","non-dropping-particle":"","parse-names":false,"suffix":""},{"dropping-particle":"","family":"Donaldson","given":"Alan","non-dropping-particle":"","parse-names":false,"suffix":""},{"dropping-particle":"","family":"Dorkins","given":"Huw","non-dropping-particle":"","parse-names":false,"suffix":""},{"dropping-particle":"","family":"Izatt","given":"Louise","non-dropping-particle":"","parse-names":false,"suffix":""},{"dropping-particle":"","family":"Cook","given":"Jackie","non-dropping-particle":"","parse-names":false,"suffix":""},{"dropping-particle":"","family":"Hodgson","given":"Shirley","non-dropping-particle":"","parse-names":false,"suffix":""},{"dropping-particle":"","family":"Kennedy","given":"M. John","non-dropping-particle":"","parse-names":false,"suffix":""},{"dropping-particle":"","family":"Side","given":"Lucy E.","non-dropping-particle":"","parse-names":false,"suffix":""},{"dropping-particle":"","family":"Eason","given":"Jacqueline","non-dropping-particle":"","parse-names":false,"suffix":""},{"dropping-particle":"","family":"Murray","given":"Alex","non-dropping-particle":"","parse-names":false,"suffix":""},{"dropping-particle":"","family":"Antoniou","given":"Antonis C.","non-dropping-particle":"","parse-names":false,"suffix":""},{"dropping-particle":"","family":"Easton","given":"Douglas F.","non-dropping-particle":"","parse-names":false,"suffix":""},{"dropping-particle":"","family":"Kote-Jarai","given":"Zsofia","non-dropping-particle":"","parse-names":false,"suffix":""},{"dropping-particle":"","family":"Eeles","given":"Rosalind","non-dropping-particle":"","parse-names":false,"suffix":""}],"container-title":"Journal of Clinical Oncology","id":"ITEM-1","issue":"14","issued":{"date-parts":[["2013"]]},"page":"1748-1757","title":"Germline BRCA mutations are associated with higher risk of nodal involvement, distant metastasis, and poor survival outcomes in prostate cancer","type":"article-journal","volume":"31"},"uris":["http://www.mendeley.com/documents/?uuid=c5d347ce-6d23-465c-ab12-37b8b0303f75"]}],"mendeley":{"formattedCitation":"&lt;sup&gt;18&lt;/sup&gt;","plainTextFormattedCitation":"18","previouslyFormattedCitation":"[18]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18</w:t>
      </w:r>
      <w:r w:rsidRPr="00C83EDC">
        <w:rPr>
          <w:lang w:val="en-GB"/>
        </w:rPr>
        <w:fldChar w:fldCharType="end"/>
      </w:r>
      <w:r w:rsidRPr="00C83EDC">
        <w:rPr>
          <w:lang w:val="en-GB"/>
        </w:rPr>
        <w:t xml:space="preserve">. </w:t>
      </w:r>
    </w:p>
    <w:p w14:paraId="457D0941" w14:textId="50819C1D" w:rsidR="00EE7EB3" w:rsidRPr="00C83EDC" w:rsidRDefault="00EE7EB3" w:rsidP="00EE7EB3">
      <w:pPr>
        <w:pStyle w:val="Dalodstavce"/>
        <w:rPr>
          <w:lang w:val="en-GB"/>
        </w:rPr>
      </w:pPr>
      <w:r w:rsidRPr="00C83EDC">
        <w:rPr>
          <w:lang w:val="en-GB"/>
        </w:rPr>
        <w:t xml:space="preserve">Another gene associated with a significantly increased prostate cancer risk is </w:t>
      </w:r>
      <w:r w:rsidRPr="00C83EDC">
        <w:rPr>
          <w:i/>
          <w:lang w:val="en-GB"/>
        </w:rPr>
        <w:t>HOXB13</w:t>
      </w:r>
      <w:r w:rsidRPr="00C83EDC">
        <w:rPr>
          <w:lang w:val="en-GB"/>
        </w:rPr>
        <w:t xml:space="preserve"> that encompasses an infrequent, recurrent G84E mutation. In the study of J</w:t>
      </w:r>
      <w:r w:rsidRPr="00C83EDC">
        <w:rPr>
          <w:noProof/>
          <w:lang w:val="en-GB"/>
        </w:rPr>
        <w:t xml:space="preserve">. Xu </w:t>
      </w:r>
      <w:r w:rsidRPr="00C83EDC">
        <w:rPr>
          <w:i/>
          <w:iCs/>
          <w:noProof/>
          <w:lang w:val="en-GB"/>
        </w:rPr>
        <w:t>et al.</w:t>
      </w:r>
      <w:r w:rsidRPr="00C83EDC">
        <w:rPr>
          <w:noProof/>
          <w:lang w:val="en-GB"/>
        </w:rPr>
        <w:t xml:space="preserve">, </w:t>
      </w:r>
      <w:r w:rsidRPr="00C83EDC">
        <w:rPr>
          <w:lang w:val="en-GB"/>
        </w:rPr>
        <w:t>carriers of the mutations showed a range of clinical disease manifestations including high risk prostate cancers</w:t>
      </w:r>
      <w:r>
        <w:rPr>
          <w:lang w:val="en-GB"/>
        </w:rPr>
        <w:t xml:space="preserve"> (GS ≥ </w:t>
      </w:r>
      <w:r w:rsidRPr="00C83EDC">
        <w:rPr>
          <w:lang w:val="en-GB"/>
        </w:rPr>
        <w:t>7</w:t>
      </w:r>
      <w:r>
        <w:rPr>
          <w:lang w:val="en-GB"/>
        </w:rPr>
        <w:t>)</w:t>
      </w:r>
      <w:r w:rsidRPr="00C83EDC">
        <w:rPr>
          <w:lang w:val="en-GB"/>
        </w:rPr>
        <w:t xml:space="preserve"> which were represented by 37% of patients and 27% patients</w:t>
      </w:r>
      <w:r>
        <w:rPr>
          <w:lang w:val="en-GB"/>
        </w:rPr>
        <w:t xml:space="preserve"> had</w:t>
      </w:r>
      <w:r w:rsidRPr="00C83EDC">
        <w:rPr>
          <w:lang w:val="en-GB"/>
        </w:rPr>
        <w:t xml:space="preserve"> non-organ confined disease. In another study the gene variant was also significantly more common in the carriers with an early-onset, familial prostate cancer (3,1%) compared to the patients with late-onset, nonfamilial </w:t>
      </w:r>
      <w:proofErr w:type="spellStart"/>
      <w:r w:rsidRPr="00C83EDC">
        <w:rPr>
          <w:lang w:val="en-GB"/>
        </w:rPr>
        <w:t>PCa</w:t>
      </w:r>
      <w:proofErr w:type="spellEnd"/>
      <w:r w:rsidRPr="00C83EDC">
        <w:rPr>
          <w:lang w:val="en-GB"/>
        </w:rPr>
        <w:t xml:space="preserve"> (0,6%)</w:t>
      </w:r>
      <w:r w:rsidRPr="00C83EDC">
        <w:rPr>
          <w:lang w:val="en-GB"/>
        </w:rPr>
        <w:fldChar w:fldCharType="begin" w:fldLock="1"/>
      </w:r>
      <w:r w:rsidR="000C069C">
        <w:rPr>
          <w:lang w:val="en-GB"/>
        </w:rPr>
        <w:instrText>ADDIN CSL_CITATION {"citationItems":[{"id":"ITEM-1","itemData":{"DOI":"10.1007/s00439-012-1229-4","ISBN":"0043901212","ISSN":"03406717","abstract":"Prostate cancer has a strong familial component but uncovering the molecular basis for inherited susceptibility for this disease has been challenging. Recently, a rare, recurrent mutation (G84E) in HOXB13 was reported to be associated with prostate cancer risk. Confirmation and characterization of this finding is necessary to potentially translate this information to the clinic. To examine this finding in a large international sample of prostate cancer families, we genotyped this mutation and 14 other SNPs in or flanking HOXB13 in 2,443 prostate cancer families recruited by the International Consortium for Prostate Cancer Genetics (ICPCG). At least one mutation carrier was found in 112 prostate cancer families (4.6 %), all of European descent. Within carrier families, the G84E mutation was more common in men with a diagnosis of prostate cancer (194 of 382, 51 %) than those without (42 of 137, 30 %), P = 9.9 × 10-8 [odds ratio 4.42 (95 % confidence interval 2.56-7.64)]. A family-based association test found G84E to be significantly over-transmitted from parents to affected offspring (P = 6.5 × 10-6). Analysis of markers flanking the G84E mutation indicates that it resides in the same haplotype in 95 % of carriers, consistent with a founder effect. Clinical characteristics of cancers in mutation carriers included features of high-risk disease. These findings demonstrate that the HOXB13 G84E mutation is present in ~5 % of prostate cancer families, predominantly of European descent, and confirm its association with prostate cancer risk. While future studies are needed to more fully define the clinical utility of this observation, this allele and others like it could form the basis for early, targeted screening of men at elevated risk for this common, clinically heterogeneous cancer. © 2012 The Author(s).","author":[{"dropping-particle":"","family":"Xu","given":"Jianfeng","non-dropping-particle":"","parse-names":false,"suffix":""},{"dropping-particle":"","family":"Lange","given":"Ethan M.","non-dropping-particle":"","parse-names":false,"suffix":""},{"dropping-particle":"","family":"Lu","given":"Lingyi","non-dropping-particle":"","parse-names":false,"suffix":""},{"dropping-particle":"","family":"Zheng","given":"Siqun L.","non-dropping-particle":"","parse-names":false,"suffix":""},{"dropping-particle":"","family":"Wang","given":"Zhong","non-dropping-particle":"","parse-names":false,"suffix":""},{"dropping-particle":"","family":"Thibodeau","given":"Stephen N.","non-dropping-particle":"","parse-names":false,"suffix":""},{"dropping-particle":"","family":"Cannon-Albright","given":"Lisa A.","non-dropping-particle":"","parse-names":false,"suffix":""},{"dropping-particle":"","family":"Teerlink","given":"Craig C.","non-dropping-particle":"","parse-names":false,"suffix":""},{"dropping-particle":"","family":"Camp","given":"Nicola J.","non-dropping-particle":"","parse-names":false,"suffix":""},{"dropping-particle":"","family":"Johnson","given":"Anna M.","non-dropping-particle":"","parse-names":false,"suffix":""},{"dropping-particle":"","family":"Zuhlke","given":"Kimberly A.","non-dropping-particle":"","parse-names":false,"suffix":""},{"dropping-particle":"","family":"Stanford","given":"Janet L.","non-dropping-particle":"","parse-names":false,"suffix":""},{"dropping-particle":"","family":"Ostrander","given":"Elaine A.","non-dropping-particle":"","parse-names":false,"suffix":""},{"dropping-particle":"","family":"Wiley","given":"Kathleen E.","non-dropping-particle":"","parse-names":false,"suffix":""},{"dropping-particle":"","family":"Isaacs","given":"Sarah D.","non-dropping-particle":"","parse-names":false,"suffix":""},{"dropping-particle":"","family":"Walsh","given":"Patrick C.","non-dropping-particle":"","parse-names":false,"suffix":""},{"dropping-particle":"","family":"Maier","given":"Christiane","non-dropping-particle":"","parse-names":false,"suffix":""},{"dropping-particle":"","family":"Luedeke","given":"Manuel","non-dropping-particle":"","parse-names":false,"suffix":""},{"dropping-particle":"","family":"Vogel","given":"Walther","non-dropping-particle":"","parse-names":false,"suffix":""},{"dropping-particle":"","family":"Schleutker","given":"Johanna","non-dropping-particle":"","parse-names":false,"suffix":""},{"dropping-particle":"","family":"Wahlfors","given":"Tiina","non-dropping-particle":"","parse-names":false,"suffix":""},{"dropping-particle":"","family":"Tammela","given":"Teuvo","non-dropping-particle":"","parse-names":false,"suffix":""},{"dropping-particle":"","family":"Schaid","given":"Daniel","non-dropping-particle":"","parse-names":false,"suffix":""},{"dropping-particle":"","family":"McDonnell","given":"Shannon K.","non-dropping-particle":"","parse-names":false,"suffix":""},{"dropping-particle":"","family":"Derycke","given":"Melissa S.","non-dropping-particle":"","parse-names":false,"suffix":""},{"dropping-particle":"","family":"Cancel-Tassin","given":"Geraldine","non-dropping-particle":"","parse-names":false,"suffix":""},{"dropping-particle":"","family":"Cussenot","given":"Olivier","non-dropping-particle":"","parse-names":false,"suffix":""},{"dropping-particle":"","family":"Wiklund","given":"Fredrik","non-dropping-particle":"","parse-names":false,"suffix":""},{"dropping-particle":"","family":"Grönberg","given":"Henrik","non-dropping-particle":"","parse-names":false,"suffix":""},{"dropping-particle":"","family":"Eeles","given":"Ros","non-dropping-particle":"","parse-names":false,"suffix":""},{"dropping-particle":"","family":"Easton","given":"Doug","non-dropping-particle":"","parse-names":false,"suffix":""},{"dropping-particle":"","family":"Kote-Jarai","given":"Zsofia","non-dropping-particle":"","parse-names":false,"suffix":""},{"dropping-particle":"","family":"Whittemore","given":"Alice S.","non-dropping-particle":"","parse-names":false,"suffix":""},{"dropping-particle":"","family":"Hsieh","given":"Chih Lin","non-dropping-particle":"","parse-names":false,"suffix":""},{"dropping-particle":"","family":"Giles","given":"Graham G.","non-dropping-particle":"","parse-names":false,"suffix":""},{"dropping-particle":"","family":"Hopper","given":"John L.","non-dropping-particle":"","parse-names":false,"suffix":""},{"dropping-particle":"","family":"Severi","given":"Gianluca","non-dropping-particle":"","parse-names":false,"suffix":""},{"dropping-particle":"","family":"Catalona","given":"William J.","non-dropping-particle":"","parse-names":false,"suffix":""},{"dropping-particle":"","family":"Mandal","given":"Diptasri","non-dropping-particle":"","parse-names":false,"suffix":""},{"dropping-particle":"","family":"Ledet","given":"Elisa","non-dropping-particle":"","parse-names":false,"suffix":""},{"dropping-particle":"","family":"Foulkes","given":"William D.","non-dropping-particle":"","parse-names":false,"suffix":""},{"dropping-particle":"","family":"Hamel","given":"Nancy","non-dropping-particle":"","parse-names":false,"suffix":""},{"dropping-particle":"","family":"Mahle","given":"Lovise","non-dropping-particle":"","parse-names":false,"suffix":""},{"dropping-particle":"","family":"Moller","given":"Pal","non-dropping-particle":"","parse-names":false,"suffix":""},{"dropping-particle":"","family":"Powell","given":"Isaac","non-dropping-particle":"","parse-names":false,"suffix":""},{"dropping-particle":"","family":"Bailey-Wilson","given":"Joan E.","non-dropping-particle":"","parse-names":false,"suffix":""},{"dropping-particle":"","family":"Carpten","given":"John D.","non-dropping-particle":"","parse-names":false,"suffix":""},{"dropping-particle":"","family":"Seminara","given":"Daniela","non-dropping-particle":"","parse-names":false,"suffix":""},{"dropping-particle":"","family":"Cooney","given":"Kathleen A.","non-dropping-particle":"","parse-names":false,"suffix":""},{"dropping-particle":"","family":"Isaacs","given":"William B.","non-dropping-particle":"","parse-names":false,"suffix":""}],"container-title":"Human Genetics","id":"ITEM-1","issue":"1","issued":{"date-parts":[["2013"]]},"page":"5-14","title":"HOXB13 is a susceptibility gene for prostate cancer: Results from the International Consortium for Prostate Cancer Genetics (ICPCG)","type":"article-journal","volume":"132"},"uris":["http://www.mendeley.com/documents/?uuid=4922a10b-6561-4927-9d33-66627ba411c1"]},{"id":"ITEM-2","itemData":{"DOI":"10.1056/NEJMoa1110000","ISSN":"1533-4406","PMID":"22236224","abstract":"BACKGROUND Family history is a significant risk factor for prostate cancer, although the molecular basis for this association is poorly understood. Linkage studies have implicated chromosome 17q21-22 as a possible location of a prostate-cancer susceptibility gene. METHODS We screened more than 200 genes in the 17q21-22 region by sequencing germline DNA from 94 unrelated patients with prostate cancer from families selected for linkage to the candidate region. We tested family members, additional case subjects, and control subjects to characterize the frequency of the identified mutations. RESULTS Probands from four families were discovered to have a rare but recurrent mutation (G84E) in HOXB13 (rs138213197), a homeobox transcription factor gene that is important in prostate development. All 18 men with prostate cancer and available DNA in these four families carried the mutation. The carrier rate of the G84E mutation was increased by a factor of approximately 20 in 5083 unrelated subjects of European descent who had prostate cancer, with the mutation found in 72 subjects (1.4%), as compared with 1 in 1401 control subjects (0.1%) (P=8.5x10(-7)). The mutation was significantly more common in men with early-onset, familial prostate cancer (3.1%) than in those with late-onset, nonfamilial prostate cancer (0.6%) (P=2.0x10(-6)). CONCLUSIONS The novel HOXB13 G84E variant is associated with a significantly increased risk of hereditary prostate cancer. Although the variant accounts for a small fraction of all prostate cancers, this finding has implications for prostate-cancer risk assessment and may provide new mechanistic insights into this common cancer. (Funded by the National Institutes of Health and others.).","author":[{"dropping-particle":"","family":"Ewing","given":"Charles M.","non-dropping-particle":"","parse-names":false,"suffix":""},{"dropping-particle":"","family":"Ray","given":"Anna M.","non-dropping-particle":"","parse-names":false,"suffix":""},{"dropping-particle":"","family":"Lange","given":"Ethan M.","non-dropping-particle":"","parse-names":false,"suffix":""},{"dropping-particle":"","family":"Zuhlke","given":"Kimberly A","non-dropping-particle":"","parse-names":false,"suffix":""},{"dropping-particle":"","family":"Robbins","given":"Christiane M","non-dropping-particle":"","parse-names":false,"suffix":""},{"dropping-particle":"","family":"Tembe","given":"Waibhav D","non-dropping-particle":"","parse-names":false,"suffix":""},{"dropping-particle":"","family":"Wiley","given":"Kathleen E","non-dropping-particle":"","parse-names":false,"suffix":""},{"dropping-particle":"","family":"Isaacs","given":"Sarah D","non-dropping-particle":"","parse-names":false,"suffix":""},{"dropping-particle":"","family":"Johng","given":"Dorhyun","non-dropping-particle":"","parse-names":false,"suffix":""},{"dropping-particle":"","family":"Wang","given":"Yunfei","non-dropping-particle":"","parse-names":false,"suffix":""},{"dropping-particle":"","family":"Bizon","given":"Chris","non-dropping-particle":"","parse-names":false,"suffix":""},{"dropping-particle":"","family":"Yan","given":"Guifang","non-dropping-particle":"","parse-names":false,"suffix":""},{"dropping-particle":"","family":"Gielzak","given":"Marta","non-dropping-particle":"","parse-names":false,"suffix":""},{"dropping-particle":"","family":"Partin","given":"Alan W","non-dropping-particle":"","parse-names":false,"suffix":""},{"dropping-particle":"","family":"Shanmugam","given":"Vijayalakshmi","non-dropping-particle":"","parse-names":false,"suffix":""},{"dropping-particle":"","family":"Izatt","given":"Tyler","non-dropping-particle":"","parse-names":false,"suffix":""},{"dropping-particle":"","family":"Sinari","given":"Shripad","non-dropping-particle":"","parse-names":false,"suffix":""},{"dropping-particle":"","family":"Craig","given":"David W","non-dropping-particle":"","parse-names":false,"suffix":""},{"dropping-particle":"","family":"Zheng","given":"S Lilly","non-dropping-particle":"","parse-names":false,"suffix":""},{"dropping-particle":"","family":"Walsh","given":"Patrick C","non-dropping-particle":"","parse-names":false,"suffix":""},{"dropping-particle":"","family":"Montie","given":"James E","non-dropping-particle":"","parse-names":false,"suffix":""},{"dropping-particle":"","family":"Xu","given":"Jianfeng","non-dropping-particle":"","parse-names":false,"suffix":""},{"dropping-particle":"","family":"Carpten","given":"John D","non-dropping-particle":"","parse-names":false,"suffix":""},{"dropping-particle":"","family":"Isaacs","given":"William B","non-dropping-particle":"","parse-names":false,"suffix":""},{"dropping-particle":"","family":"Cooney","given":"Kathleen A","non-dropping-particle":"","parse-names":false,"suffix":""}],"container-title":"The New England journal of medicine","id":"ITEM-2","issue":"2","issued":{"date-parts":[["2012","1","12"]]},"page":"141-9","title":"Germline mutations in HOXB13 and prostate-cancer risk.","type":"article-journal","volume":"366"},"uris":["http://www.mendeley.com/documents/?uuid=29314da9-dd4e-4712-b9b0-11bda1132a5e"]}],"mendeley":{"formattedCitation":"&lt;sup&gt;19,20&lt;/sup&gt;","plainTextFormattedCitation":"19,20","previouslyFormattedCitation":"[19], [20]"},"properties":{"noteIndex":0},"schema":"https://github.com/citation-style-language/schema/raw/master/csl-citation.json"}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19,20</w:t>
      </w:r>
      <w:r w:rsidRPr="00C83EDC">
        <w:rPr>
          <w:lang w:val="en-GB"/>
        </w:rPr>
        <w:fldChar w:fldCharType="end"/>
      </w:r>
      <w:r w:rsidRPr="00C83EDC">
        <w:rPr>
          <w:lang w:val="en-GB"/>
        </w:rPr>
        <w:t>.</w:t>
      </w:r>
    </w:p>
    <w:p w14:paraId="68D8EC09" w14:textId="77777777" w:rsidR="00EE7EB3" w:rsidRPr="00C83EDC" w:rsidRDefault="00EE7EB3" w:rsidP="00EE7EB3">
      <w:pPr>
        <w:pStyle w:val="Nadpis3"/>
        <w:rPr>
          <w:lang w:val="en-GB"/>
        </w:rPr>
      </w:pPr>
      <w:r w:rsidRPr="00C83EDC">
        <w:rPr>
          <w:lang w:val="en-GB"/>
        </w:rPr>
        <w:lastRenderedPageBreak/>
        <w:t>Somatic varia</w:t>
      </w:r>
      <w:r>
        <w:rPr>
          <w:lang w:val="en-GB"/>
        </w:rPr>
        <w:t>nts and their role in pathogenesis</w:t>
      </w:r>
    </w:p>
    <w:p w14:paraId="64E404E9" w14:textId="2A5AAA4F" w:rsidR="00EE7EB3" w:rsidRPr="00C83EDC" w:rsidRDefault="00EE7EB3" w:rsidP="00EE7EB3">
      <w:pPr>
        <w:pStyle w:val="Odstavec1"/>
        <w:rPr>
          <w:lang w:val="en-GB"/>
        </w:rPr>
      </w:pPr>
      <w:r w:rsidRPr="00C83EDC">
        <w:rPr>
          <w:lang w:val="en-GB"/>
        </w:rPr>
        <w:t>Evaluation of prostate cancer samples revealed tumour-acquired genomic aberrations that affect a number of biological pathways and correlate with clinical and oncological outcomes</w:t>
      </w:r>
      <w:r w:rsidRPr="00C83EDC">
        <w:rPr>
          <w:lang w:val="en-GB"/>
        </w:rPr>
        <w:fldChar w:fldCharType="begin" w:fldLock="1"/>
      </w:r>
      <w:r w:rsidR="000C069C">
        <w:rPr>
          <w:lang w:val="en-GB"/>
        </w:rPr>
        <w:instrText>ADDIN CSL_CITATION {"citationItems":[{"id":"ITEM-1","itemData":{"DOI":"10.1097/PAP.0000000000000245","ISSN":"15334031","abstract":"Prostate cancer (PCa) is the most common noncutaneous malignancy affecting American men and the second most common cause of cancer death. The traditional risk classification schemes for PCa are limited due to the vast clinical and molecular heterogeneity of the disease. Fortunately, recent advancements in sequencing technologies have provided us with valuable insight into the genomics of PCa. To date, a wide array of recurrent genomic alterations in PCa have been identified. Incorporating these distinct molecular subtypes of PCa into prediction models provides opportunities for improved risk stratification and ultimately better patient outcomes. In this review, we summarize the key molecular subtypes of PCa and focus on those genomic alterations that have clinical implications for diagnosis, prognosis, and therapeutic response.","author":[{"dropping-particle":"","family":"Faisal","given":"Farzana A.","non-dropping-particle":"","parse-names":false,"suffix":""},{"dropping-particle":"","family":"Lotan","given":"Tamara L.","non-dropping-particle":"","parse-names":false,"suffix":""}],"container-title":"Advances in Anatomic Pathology","id":"ITEM-1","issue":"1","issued":{"date-parts":[["2020"]]},"note":"mention of four kallikrein and prostate health index \ngermiline variants\n\nearly detection assays\nScreening:\nurine biomarker PCA3 - long noc-coding RNA\ntissue based assay\n\ntreatments of various stages ofPCa","page":"11-19","title":"The Genomic and Molecular Pathology of Prostate Cancer: Clinical Implications for Diagnosis, Prognosis, and Therapy","type":"article-journal","volume":"27"},"uris":["http://www.mendeley.com/documents/?uuid=34f5af8a-f340-48aa-add3-3a6375b39ef9"]}],"mendeley":{"formattedCitation":"&lt;sup&gt;13&lt;/sup&gt;","plainTextFormattedCitation":"13","previouslyFormattedCitation":"[13]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13</w:t>
      </w:r>
      <w:r w:rsidRPr="00C83EDC">
        <w:rPr>
          <w:lang w:val="en-GB"/>
        </w:rPr>
        <w:fldChar w:fldCharType="end"/>
      </w:r>
      <w:r w:rsidRPr="00C83EDC">
        <w:rPr>
          <w:lang w:val="en-GB"/>
        </w:rPr>
        <w:t xml:space="preserve">. In general, genomic mutations in cancer fall into two categories depending on the type of gene or a group of genes they disrupt. Inactivating mutations affect tumour suppressor genes and are </w:t>
      </w:r>
      <w:r>
        <w:rPr>
          <w:lang w:val="en-GB"/>
        </w:rPr>
        <w:br/>
      </w:r>
      <w:r w:rsidRPr="00C83EDC">
        <w:rPr>
          <w:lang w:val="en-GB"/>
        </w:rPr>
        <w:t>a result of structural changes involving genomic DNA losses and gene rearrangements. Activating mutations are associated with oncogenes and occur as gene amplifications, point mutations and structural rearrangements such as gene fusions</w:t>
      </w:r>
      <w:r w:rsidRPr="00C83EDC">
        <w:rPr>
          <w:lang w:val="en-GB"/>
        </w:rPr>
        <w:fldChar w:fldCharType="begin" w:fldLock="1"/>
      </w:r>
      <w:r w:rsidR="000C069C">
        <w:rPr>
          <w:lang w:val="en-GB"/>
        </w:rPr>
        <w:instrText>ADDIN CSL_CITATION {"citationItems":[{"id":"ITEM-1","itemData":{"DOI":"10.1038/modpathol.2017.166","ISSN":"15300285","abstract":"With the advent of next-generation sequencing technologies and large whole-exome and genome studies in prostate and other cancers, our understanding of the landscape of genomic alterations has dramatically been refined. In additional to well-known alterations in genomic regions involving 8p, 8q, 10q23, common ETS translocations and androgen receptor amplifications, newer technology have uncovered recurrent mutations in SPOP, FOXA1, MED12, IDH and complex large scale genomic alterations (eg, chromoplexy). This review surveys the enhanced landscape of genomic alterations in clinically localized and advanced prostate cancer.","author":[{"dropping-particle":"","family":"Rubin","given":"Mark A.","non-dropping-particle":"","parse-names":false,"suffix":""},{"dropping-particle":"","family":"Demichelis","given":"Francesca","non-dropping-particle":"","parse-names":false,"suffix":""}],"container-title":"Modern Pathology","id":"ITEM-1","issued":{"date-parts":[["2018"]]},"page":"1-11","publisher":"Nature Publishing Group","title":"The Genomics of Prostate Cancer: emerging understanding with technologic advances","type":"article-journal","volume":"31"},"uris":["http://www.mendeley.com/documents/?uuid=a5887123-8102-4605-8217-227fab96f512"]}],"mendeley":{"formattedCitation":"&lt;sup&gt;21&lt;/sup&gt;","plainTextFormattedCitation":"21","previouslyFormattedCitation":"[21]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21</w:t>
      </w:r>
      <w:r w:rsidRPr="00C83EDC">
        <w:rPr>
          <w:lang w:val="en-GB"/>
        </w:rPr>
        <w:fldChar w:fldCharType="end"/>
      </w:r>
      <w:r w:rsidRPr="00C83EDC">
        <w:rPr>
          <w:lang w:val="en-GB"/>
        </w:rPr>
        <w:t>.</w:t>
      </w:r>
    </w:p>
    <w:p w14:paraId="1A9D5136" w14:textId="2A67BC37" w:rsidR="00EE7EB3" w:rsidRPr="00C83EDC" w:rsidRDefault="00EE7EB3" w:rsidP="00EE7EB3">
      <w:pPr>
        <w:pStyle w:val="Dalodstavce"/>
        <w:rPr>
          <w:lang w:val="en-GB"/>
        </w:rPr>
      </w:pPr>
      <w:r w:rsidRPr="00C83EDC">
        <w:rPr>
          <w:noProof/>
          <w:lang w:val="en-GB"/>
        </w:rPr>
        <w:t xml:space="preserve">Abeshouse </w:t>
      </w:r>
      <w:r w:rsidRPr="00C83EDC">
        <w:rPr>
          <w:i/>
          <w:iCs/>
          <w:noProof/>
          <w:lang w:val="en-GB"/>
        </w:rPr>
        <w:t xml:space="preserve">et al. </w:t>
      </w:r>
      <w:r w:rsidRPr="00C83EDC">
        <w:rPr>
          <w:lang w:val="en-GB"/>
        </w:rPr>
        <w:t xml:space="preserve">showed in their analysis of primary prostate tumours that most common molecular changes occurred as copy-number alterations at chromosomal arm level. The variation in copy-number involved recurrent chromosome 7 and 8q genomic gains and heterozygous 8p, 13q, 16q and 18 losses. Furthermore, their data revealed amplifications of regions with familiar oncogenes such as </w:t>
      </w:r>
      <w:r w:rsidRPr="00C83EDC">
        <w:rPr>
          <w:i/>
          <w:lang w:val="en-GB"/>
        </w:rPr>
        <w:t>CCND1</w:t>
      </w:r>
      <w:r w:rsidRPr="00C83EDC">
        <w:rPr>
          <w:lang w:val="en-GB"/>
        </w:rPr>
        <w:t xml:space="preserve"> or </w:t>
      </w:r>
      <w:r w:rsidRPr="00C83EDC">
        <w:rPr>
          <w:i/>
          <w:lang w:val="en-GB"/>
        </w:rPr>
        <w:t>MYC</w:t>
      </w:r>
      <w:r w:rsidRPr="00C83EDC">
        <w:rPr>
          <w:lang w:val="en-GB"/>
        </w:rPr>
        <w:t xml:space="preserve">, and very often, focal deletions. In fact, homozygous deletions covering the </w:t>
      </w:r>
      <w:r w:rsidRPr="00C83EDC">
        <w:rPr>
          <w:i/>
          <w:lang w:val="en-GB"/>
        </w:rPr>
        <w:t>PTEN</w:t>
      </w:r>
      <w:r w:rsidRPr="00C83EDC">
        <w:rPr>
          <w:lang w:val="en-GB"/>
        </w:rPr>
        <w:t xml:space="preserve"> locus were identified altogether in 15% of analysed tumours. Losses of genomic segments between the </w:t>
      </w:r>
      <w:r w:rsidRPr="00C83EDC">
        <w:rPr>
          <w:i/>
          <w:lang w:val="en-GB"/>
        </w:rPr>
        <w:t>TMPRSS2</w:t>
      </w:r>
      <w:r w:rsidRPr="00C83EDC">
        <w:rPr>
          <w:lang w:val="en-GB"/>
        </w:rPr>
        <w:t xml:space="preserve"> and </w:t>
      </w:r>
      <w:r w:rsidRPr="00C83EDC">
        <w:rPr>
          <w:i/>
          <w:lang w:val="en-GB"/>
        </w:rPr>
        <w:t>ERG</w:t>
      </w:r>
      <w:r w:rsidRPr="00C83EDC">
        <w:rPr>
          <w:lang w:val="en-GB"/>
        </w:rPr>
        <w:t xml:space="preserve"> genes on the 21q22.3 lead to recurrent </w:t>
      </w:r>
      <w:r w:rsidRPr="00C83EDC">
        <w:rPr>
          <w:i/>
          <w:lang w:val="en-GB"/>
        </w:rPr>
        <w:t>TMPRSS2-ERG</w:t>
      </w:r>
      <w:r w:rsidRPr="00C83EDC">
        <w:rPr>
          <w:lang w:val="en-GB"/>
        </w:rPr>
        <w:t xml:space="preserve"> fusions, other deletions involved tumour suppressors </w:t>
      </w:r>
      <w:r w:rsidRPr="00C83EDC">
        <w:rPr>
          <w:i/>
          <w:lang w:val="en-GB"/>
        </w:rPr>
        <w:t>TP53</w:t>
      </w:r>
      <w:r w:rsidRPr="00C83EDC">
        <w:rPr>
          <w:lang w:val="en-GB"/>
        </w:rPr>
        <w:t xml:space="preserve">, </w:t>
      </w:r>
      <w:r w:rsidRPr="00C83EDC">
        <w:rPr>
          <w:i/>
          <w:lang w:val="en-GB"/>
        </w:rPr>
        <w:t>CDKN1B</w:t>
      </w:r>
      <w:r w:rsidRPr="00C83EDC">
        <w:rPr>
          <w:lang w:val="en-GB"/>
        </w:rPr>
        <w:t xml:space="preserve">, </w:t>
      </w:r>
      <w:r w:rsidRPr="00C83EDC">
        <w:rPr>
          <w:i/>
          <w:lang w:val="en-GB"/>
        </w:rPr>
        <w:t>MAP3K1</w:t>
      </w:r>
      <w:r w:rsidRPr="00C83EDC">
        <w:rPr>
          <w:lang w:val="en-GB"/>
        </w:rPr>
        <w:t xml:space="preserve">, </w:t>
      </w:r>
      <w:r w:rsidRPr="00C83EDC">
        <w:rPr>
          <w:i/>
          <w:lang w:val="en-GB"/>
        </w:rPr>
        <w:t>FANCD2</w:t>
      </w:r>
      <w:r w:rsidRPr="00C83EDC">
        <w:rPr>
          <w:lang w:val="en-GB"/>
        </w:rPr>
        <w:t xml:space="preserve"> and </w:t>
      </w:r>
      <w:r w:rsidRPr="00C83EDC">
        <w:rPr>
          <w:i/>
          <w:lang w:val="en-GB"/>
        </w:rPr>
        <w:t>SPOPL</w:t>
      </w:r>
      <w:r w:rsidRPr="00C83EDC">
        <w:rPr>
          <w:lang w:val="en-GB"/>
        </w:rPr>
        <w:t xml:space="preserve">. Co-deletion of the genomic regions covering </w:t>
      </w:r>
      <w:r w:rsidRPr="00C83EDC">
        <w:rPr>
          <w:i/>
          <w:lang w:val="en-GB"/>
        </w:rPr>
        <w:t>MAP3K7</w:t>
      </w:r>
      <w:r w:rsidRPr="00C83EDC">
        <w:rPr>
          <w:lang w:val="en-GB"/>
        </w:rPr>
        <w:t xml:space="preserve"> and </w:t>
      </w:r>
      <w:r w:rsidRPr="00C83EDC">
        <w:rPr>
          <w:i/>
          <w:lang w:val="en-GB"/>
        </w:rPr>
        <w:t>CHD1</w:t>
      </w:r>
      <w:r w:rsidRPr="00C83EDC">
        <w:rPr>
          <w:lang w:val="en-GB"/>
        </w:rPr>
        <w:t xml:space="preserve"> genes were associated with an aggressive type of cancer</w:t>
      </w:r>
      <w:r w:rsidRPr="00C83EDC">
        <w:rPr>
          <w:lang w:val="en-GB"/>
        </w:rPr>
        <w:fldChar w:fldCharType="begin" w:fldLock="1"/>
      </w:r>
      <w:r w:rsidR="000C069C">
        <w:rPr>
          <w:lang w:val="en-GB"/>
        </w:rPr>
        <w:instrText>ADDIN CSL_CITATION {"citationItems":[{"id":"ITEM-1","itemData":{"DOI":"10.1016/j.cell.2015.10.025","ISSN":"10974172","abstract":"Summary There is substantial heterogeneity among primary prostate cancers, evident in the spectrum of molecular abnormalities and its variable clinical course. As part of The Cancer Genome Atlas (TCGA), we present a comprehensive molecular analysis of 333 primary prostate carcinomas. Our results revealed a molecular taxonomy in which 74% of these tumors fell into one of seven subtypes defined by specific gene fusions (ERG, ETV1/4, and FLI1) or mutations (SPOP, FOXA1, and IDH1). Epigenetic profiles showed substantial heterogeneity, including an IDH1 mutant subset with a methylator phenotype. Androgen receptor (AR) activity varied widely and in a subtype-specific manner, with SPOP and FOXA1 mutant tumors having the highest levels of AR-induced transcripts. 25% of the prostate cancers had a presumed actionable lesion in the PI3K or MAPK signaling pathways, and DNA repair genes were inactivated in 19%. Our analysis reveals molecular heterogeneity among primary prostate cancers, as well as potentially actionable molecular defects.","author":[{"dropping-particle":"","family":"Abeshouse","given":"Adam","non-dropping-particle":"","parse-names":false,"suffix":""},{"dropping-particle":"","family":"Ahn","given":"Jaeil","non-dropping-particle":"","parse-names":false,"suffix":""},{"dropping-particle":"","family":"Akbani","given":"Rehan","non-dropping-particle":"","parse-names":false,"suffix":""},{"dropping-particle":"","family":"Ally","given":"Adrian","non-dropping-particle":"","parse-names":false,"suffix":""},{"dropping-particle":"","family":"Amin","given":"Samirkumar","non-dropping-particle":"","parse-names":false,"suffix":""},{"dropping-particle":"","family":"Andry","given":"Christopher D.","non-dropping-particle":"","parse-names":false,"suffix":""},{"dropping-particle":"","family":"Annala","given":"Matti","non-dropping-particle":"","parse-names":false,"suffix":""},{"dropping-particle":"","family":"Aprikian","given":"Armen","non-dropping-particle":"","parse-names":false,"suffix":""},{"dropping-particle":"","family":"Armenia","given":"Joshua","non-dropping-particle":"","parse-names":false,"suffix":""},{"dropping-particle":"","family":"Arora","given":"Arshi","non-dropping-particle":"","parse-names":false,"suffix":""},{"dropping-particle":"","family":"Auman","given":"J. Todd","non-dropping-particle":"","parse-names":false,"suffix":""},{"dropping-particle":"","family":"Balasundaram","given":"Miruna","non-dropping-particle":"","parse-names":false,"suffix":""},{"dropping-particle":"","family":"Balu","given":"Saianand","non-dropping-particle":"","parse-names":false,"suffix":""},{"dropping-particle":"","family":"Barbieri","given":"Christopher E.","non-dropping-particle":"","parse-names":false,"suffix":""},{"dropping-particle":"","family":"Bauer","given":"Thomas","non-dropping-particle":"","parse-names":false,"suffix":""},{"dropping-particle":"","family":"Benz","given":"Christopher C.","non-dropping-particle":"","parse-names":false,"suffix":""},{"dropping-particle":"","family":"Bergeron","given":"Alain","non-dropping-particle":"","parse-names":false,"suffix":""},{"dropping-particle":"","family":"Beroukhim","given":"Rameen","non-dropping-particle":"","parse-names":false,"suffix":""},{"dropping-particle":"","family":"Berrios","given":"Mario","non-dropping-particle":"","parse-names":false,"suffix":""},{"dropping-particle":"","family":"Bivol","given":"Adrian","non-dropping-particle":"","parse-names":false,"suffix":""},{"dropping-particle":"","family":"Bodenheimer","given":"Tom","non-dropping-particle":"","parse-names":false,"suffix":""},{"dropping-particle":"","family":"Boice","given":"Lori","non-dropping-particle":"","parse-names":false,"suffix":""},{"dropping-particle":"","family":"Bootwalla","given":"Moiz S.","non-dropping-particle":"","parse-names":false,"suffix":""},{"dropping-particle":"","family":"Borges Dos Reis","given":"Rodolfo","non-dropping-particle":"","parse-names":false,"suffix":""},{"dropping-particle":"","family":"Boutros","given":"Paul C.","non-dropping-particle":"","parse-names":false,"suffix":""},{"dropping-particle":"","family":"Bowen","given":"Jay","non-dropping-particle":"","parse-names":false,"suffix":""},{"dropping-particle":"","family":"Bowlby","given":"Reanne","non-dropping-particle":"","parse-names":false,"suffix":""},{"dropping-particle":"","family":"Boyd","given":"Jeffrey","non-dropping-particle":"","parse-names":false,"suffix":""},{"dropping-particle":"","family":"Bradley","given":"Robert K.","non-dropping-particle":"","parse-names":false,"suffix":""},{"dropping-particle":"","family":"Breggia","given":"Anne","non-dropping-particle":"","parse-names":false,"suffix":""},{"dropping-particle":"","family":"Brimo","given":"Fadi","non-dropping-particle":"","parse-names":false,"suffix":""},{"dropping-particle":"","family":"Bristow","given":"Christopher A.","non-dropping-particle":"","parse-names":false,"suffix":""},{"dropping-particle":"","family":"Brooks","given":"Denise","non-dropping-particle":"","parse-names":false,"suffix":""},{"dropping-particle":"","family":"Broom","given":"Bradley M.","non-dropping-particle":"","parse-names":false,"suffix":""},{"dropping-particle":"","family":"Bryce","given":"Alan H.","non-dropping-particle":"","parse-names":false,"suffix":""},{"dropping-particle":"","family":"Bubley","given":"Glenn","non-dropping-particle":"","parse-names":false,"suffix":""},{"dropping-particle":"","family":"Burks","given":"Eric","non-dropping-particle":"","parse-names":false,"suffix":""},{"dropping-particle":"","family":"Butterfield","given":"Yaron S.N.","non-dropping-particle":"","parse-names":false,"suffix":""},{"dropping-particle":"","family":"Button","given":"Michael","non-dropping-particle":"","parse-names":false,"suffix":""},{"dropping-particle":"","family":"Canes","given":"David","non-dropping-particle":"","parse-names":false,"suffix":""},{"dropping-particle":"","family":"Carlotti","given":"Carlos G.","non-dropping-particle":"","parse-names":false,"suffix":""},{"dropping-particle":"","family":"Carlsen","given":"Rebecca","non-dropping-particle":"","parse-names":false,"suffix":""},{"dropping-particle":"","family":"Carmel","given":"Michel","non-dropping-particle":"","parse-names":false,"suffix":""},{"dropping-particle":"","family":"Carroll","given":"Peter R.","non-dropping-particle":"","parse-names":false,"suffix":""},{"dropping-particle":"","family":"Carter","given":"Scott L.","non-dropping-particle":"","parse-names":false,"suffix":""},{"dropping-particle":"","family":"Cartun","given":"Richard","non-dropping-particle":"","parse-names":false,"suffix":""},{"dropping-particle":"","family":"Carver","given":"Brett S.","non-dropping-particle":"","parse-names":false,"suffix":""},{"dropping-particle":"","family":"Chan","given":"June M.","non-dropping-particle":"","parse-names":false,"suffix":""},{"dropping-particle":"","family":"Chang","given":"Matthew T.","non-dropping-particle":"","parse-names":false,"suffix":""},{"dropping-particle":"","family":"Chen","given":"Yu","non-dropping-particle":"","parse-names":false,"suffix":""},{"dropping-particle":"","family":"Cherniack","given":"Andrew D.","non-dropping-particle":"","parse-names":false,"suffix":""},{"dropping-particle":"","family":"Chevalier","given":"Simone","non-dropping-particle":"","parse-names":false,"suffix":""},{"dropping-particle":"","family":"Chin","given":"Lynda","non-dropping-particle":"","parse-names":false,"suffix":""},{"dropping-particle":"","family":"Cho","given":"Juok","non-dropping-particle":"","parse-names":false,"suffix":""},{"dropping-particle":"","family":"Chu","given":"Andy","non-dropping-particle":"","parse-names":false,"suffix":""},{"dropping-particle":"","family":"Chuah","given":"Eric","non-dropping-particle":"","parse-names":false,"suffix":""},{"dropping-particle":"","family":"Chudamani","given":"Sudha","non-dropping-particle":"","parse-names":false,"suffix":""},{"dropping-particle":"","family":"Cibulskis","given":"Kristian","non-dropping-particle":"","parse-names":false,"suffix":""},{"dropping-particle":"","family":"Ciriello","given":"Giovanni","non-dropping-particle":"","parse-names":false,"suffix":""},{"dropping-particle":"","family":"Clarke","given":"Amanda","non-dropping-particle":"","parse-names":false,"suffix":""},{"dropping-particle":"","family":"Cooperberg","given":"Matthew R.","non-dropping-particle":"","parse-names":false,"suffix":""},{"dropping-particle":"","family":"Corcoran","given":"Niall M.","non-dropping-particle":"","parse-names":false,"suffix":""},{"dropping-particle":"","family":"Costello","given":"Anthony J.","non-dropping-particle":"","parse-names":false,"suffix":""},{"dropping-particle":"","family":"Cowan","given":"Janet","non-dropping-particle":"","parse-names":false,"suffix":""},{"dropping-particle":"","family":"Crain","given":"Daniel","non-dropping-particle":"","parse-names":false,"suffix":""},{"dropping-particle":"","family":"Curley","given":"Erin","non-dropping-particle":"","parse-names":false,"suffix":""},{"dropping-particle":"","family":"David","given":"Kerstin","non-dropping-particle":"","parse-names":false,"suffix":""},{"dropping-particle":"","family":"Demchok","given":"John A.","non-dropping-particle":"","parse-names":false,"suffix":""},{"dropping-particle":"","family":"Demichelis","given":"Francesca","non-dropping-particle":"","parse-names":false,"suffix":""},{"dropping-particle":"","family":"Dhalla","given":"Noreen","non-dropping-particle":"","parse-names":false,"suffix":""},{"dropping-particle":"","family":"Dhir","given":"Rajiv","non-dropping-particle":"","parse-names":false,"suffix":""},{"dropping-particle":"","family":"Doueik","given":"Alexandre","non-dropping-particle":"","parse-names":false,"suffix":""},{"dropping-particle":"","family":"Drake","given":"Bettina","non-dropping-particle":"","parse-names":false,"suffix":""},{"dropping-particle":"","family":"Dvinge","given":"Heidi","non-dropping-particle":"","parse-names":false,"suffix":""},{"dropping-particle":"","family":"Dyakova","given":"Natalya","non-dropping-particle":"","parse-names":false,"suffix":""},{"dropping-particle":"","family":"Felau","given":"Ina","non-dropping-particle":"","parse-names":false,"suffix":""},{"dropping-particle":"","family":"Ferguson","given":"Martin L.","non-dropping-particle":"","parse-names":false,"suffix":""},{"dropping-particle":"","family":"Frazer","given":"Scott","non-dropping-particle":"","parse-names":false,"suffix":""},{"dropping-particle":"","family":"Freedland","given":"Stephen","non-dropping-particle":"","parse-names":false,"suffix":""},{"dropping-particle":"","family":"Fu","given":"Yao","non-dropping-particle":"","parse-names":false,"suffix":""},{"dropping-particle":"","family":"Gabriel","given":"Stacey B.","non-dropping-particle":"","parse-names":false,"suffix":""},{"dropping-particle":"","family":"Gao","given":"Jianjiong","non-dropping-particle":"","parse-names":false,"suffix":""},{"dropping-particle":"","family":"Gardner","given":"Johanna","non-dropping-particle":"","parse-names":false,"suffix":""},{"dropping-particle":"","family":"Gastier-Foster","given":"Julie M.","non-dropping-particle":"","parse-names":false,"suffix":""},{"dropping-particle":"","family":"Gehlenborg","given":"Nils","non-dropping-particle":"","parse-names":false,"suffix":""},{"dropping-particle":"","family":"Gerken","given":"Mark","non-dropping-particle":"","parse-names":false,"suffix":""},{"dropping-particle":"","family":"Gerstein","given":"Mark B.","non-dropping-particle":"","parse-names":false,"suffix":""},{"dropping-particle":"","family":"Getz","given":"Gad","non-dropping-particle":"","parse-names":false,"suffix":""},{"dropping-particle":"","family":"Godwin","given":"Andrew K.","non-dropping-particle":"","parse-names":false,"suffix":""},{"dropping-particle":"","family":"Gopalan","given":"Anuradha","non-dropping-particle":"","parse-names":false,"suffix":""},{"dropping-particle":"","family":"Graefen","given":"Markus","non-dropping-particle":"","parse-names":false,"suffix":""},{"dropping-particle":"","family":"Graim","given":"Kiley","non-dropping-particle":"","parse-names":false,"suffix":""},{"dropping-particle":"","family":"Gribbin","given":"Thomas","non-dropping-particle":"","parse-names":false,"suffix":""},{"dropping-particle":"","family":"Guin","given":"Ranabir","non-dropping-particle":"","parse-names":false,"suffix":""},{"dropping-particle":"","family":"Gupta","given":"Manaswi","non-dropping-particle":"","parse-names":false,"suffix":""},{"dropping-particle":"","family":"Hadjipanayis","given":"Angela","non-dropping-particle":"","parse-names":false,"suffix":""},{"dropping-particle":"","family":"Haider","given":"Syed","non-dropping-particle":"","parse-names":false,"suffix":""},{"dropping-particle":"","family":"Hamel","given":"Lucie","non-dropping-particle":"","parse-names":false,"suffix":""},{"dropping-particle":"","family":"Hayes","given":"D. Neil","non-dropping-particle":"","parse-names":false,"suffix":""},{"dropping-particle":"","family":"Heiman","given":"David I.","non-dropping-particle":"","parse-names":false,"suffix":""},{"dropping-particle":"","family":"Hess","given":"Julian","non-dropping-particle":"","parse-names":false,"suffix":""},{"dropping-particle":"","family":"Hoadley","given":"Katherine A.","non-dropping-particle":"","parse-names":false,"suffix":""},{"dropping-particle":"","family":"Holbrook","given":"Andrea H.","non-dropping-particle":"","parse-names":false,"suffix":""},{"dropping-particle":"","family":"Holt","given":"Robert A.","non-dropping-particle":"","parse-names":false,"suffix":""},{"dropping-particle":"","family":"Holway","given":"Antonia","non-dropping-particle":"","parse-names":false,"suffix":""},{"dropping-particle":"","family":"Hovens","given":"Christopher M.","non-dropping-particle":"","parse-names":false,"suffix":""},{"dropping-particle":"","family":"Hoyle","given":"Alan P.","non-dropping-particle":"","parse-names":false,"suffix":""},{"dropping-particle":"","family":"Huang","given":"Mei","non-dropping-particle":"","parse-names":false,"suffix":""},{"dropping-particle":"","family":"Hutter","given":"Carolyn M.","non-dropping-particle":"","parse-names":false,"suffix":""},{"dropping-particle":"","family":"Ittmann","given":"Michael","non-dropping-particle":"","parse-names":false,"suffix":""},{"dropping-particle":"","family":"Iype","given":"Lisa","non-dropping-particle":"","parse-names":false,"suffix":""},{"dropping-particle":"","family":"Jefferys","given":"Stuart R.","non-dropping-particle":"","parse-names":false,"suffix":""},{"dropping-particle":"","family":"Jones","given":"Corbin D.","non-dropping-particle":"","parse-names":false,"suffix":""},{"dropping-particle":"","family":"Jones","given":"Steven J.M.","non-dropping-particle":"","parse-names":false,"suffix":""},{"dropping-particle":"","family":"Juhl","given":"Hartmut","non-dropping-particle":"","parse-names":false,"suffix":""},{"dropping-particle":"","family":"Kahles","given":"Andre","non-dropping-particle":"","parse-names":false,"suffix":""},{"dropping-particle":"","family":"Kane","given":"Christopher J.","non-dropping-particle":"","parse-names":false,"suffix":""},{"dropping-particle":"","family":"Kasaian","given":"Katayoon","non-dropping-particle":"","parse-names":false,"suffix":""},{"dropping-particle":"","family":"Kerger","given":"Michael","non-dropping-particle":"","parse-names":false,"suffix":""},{"dropping-particle":"","family":"Khurana","given":"Ekta","non-dropping-particle":"","parse-names":false,"suffix":""},{"dropping-particle":"","family":"Kim","given":"Jaegil","non-dropping-particle":"","parse-names":false,"suffix":""},{"dropping-particle":"","family":"Klein","given":"Robert J.","non-dropping-particle":"","parse-names":false,"suffix":""},{"dropping-particle":"","family":"Kucherlapati","given":"Raju","non-dropping-particle":"","parse-names":false,"suffix":""},{"dropping-particle":"","family":"Lacombe","given":"Louis","non-dropping-particle":"","parse-names":false,"suffix":""},{"dropping-particle":"","family":"Ladanyi","given":"Marc","non-dropping-particle":"","parse-names":false,"suffix":""},{"dropping-particle":"","family":"Lai","given":"Phillip H.","non-dropping-particle":"","parse-names":false,"suffix":""},{"dropping-particle":"","family":"Laird","given":"Peter W.","non-dropping-particle":"","parse-names":false,"suffix":""},{"dropping-particle":"","family":"Lander","given":"Eric S.","non-dropping-particle":"","parse-names":false,"suffix":""},{"dropping-particle":"","family":"Latour","given":"Mathieu","non-dropping-particle":"","parse-names":false,"suffix":""},{"dropping-particle":"","family":"Lawrence","given":"Michael S.","non-dropping-particle":"","parse-names":false,"suffix":""},{"dropping-particle":"","family":"Lau","given":"Kevin","non-dropping-particle":"","parse-names":false,"suffix":""},{"dropping-particle":"","family":"Lebien","given":"Tucker","non-dropping-particle":"","parse-names":false,"suffix":""},{"dropping-particle":"","family":"Lee","given":"Darlene","non-dropping-particle":"","parse-names":false,"suffix":""},{"dropping-particle":"","family":"Lee","given":"Semin","non-dropping-particle":"","parse-names":false,"suffix":""},{"dropping-particle":"Van","family":"Lehmann","given":"Kjong","non-dropping-particle":"","parse-names":false,"suffix":""},{"dropping-particle":"","family":"Leraas","given":"Kristen M.","non-dropping-particle":"","parse-names":false,"suffix":""},{"dropping-particle":"","family":"Leshchiner","given":"Ignaty","non-dropping-particle":"","parse-names":false,"suffix":""},{"dropping-particle":"","family":"Leung","given":"Robert","non-dropping-particle":"","parse-names":false,"suffix":""},{"dropping-particle":"","family":"Libertino","given":"John A.","non-dropping-particle":"","parse-names":false,"suffix":""},{"dropping-particle":"","family":"Lichtenberg","given":"Tara M.","non-dropping-particle":"","parse-names":false,"suffix":""},{"dropping-particle":"","family":"Lin","given":"Pei","non-dropping-particle":"","parse-names":false,"suffix":""},{"dropping-particle":"","family":"Linehan","given":"W. Marston","non-dropping-particle":"","parse-names":false,"suffix":""},{"dropping-particle":"","family":"Ling","given":"Shiyun","non-dropping-particle":"","parse-names":false,"suffix":""},{"dropping-particle":"","family":"Lippman","given":"Scott M.","non-dropping-particle":"","parse-names":false,"suffix":""},{"dropping-particle":"","family":"Liu","given":"Jia","non-dropping-particle":"","parse-names":false,"suffix":""},{"dropping-particle":"","family":"Liu","given":"Wenbin","non-dropping-particle":"","parse-names":false,"suffix":""},{"dropping-particle":"","family":"Lochovsky","given":"Lucas","non-dropping-particle":"","parse-names":false,"suffix":""},{"dropping-particle":"","family":"Loda","given":"Massimo","non-dropping-particle":"","parse-names":false,"suffix":""},{"dropping-particle":"","family":"Logothetis","given":"Christopher","non-dropping-particle":"","parse-names":false,"suffix":""},{"dropping-particle":"","family":"Lolla","given":"Laxmi","non-dropping-particle":"","parse-names":false,"suffix":""},{"dropping-particle":"","family":"Longacre","given":"Teri","non-dropping-particle":"","parse-names":false,"suffix":""},{"dropping-particle":"","family":"Lu","given":"Yiling","non-dropping-particle":"","parse-names":false,"suffix":""},{"dropping-particle":"","family":"Luo","given":"Jianhua","non-dropping-particle":"","parse-names":false,"suffix":""},{"dropping-particle":"","family":"Ma","given":"Yussanne","non-dropping-particle":"","parse-names":false,"suffix":""},{"dropping-particle":"","family":"Mahadeshwar","given":"Harshad S.","non-dropping-particle":"","parse-names":false,"suffix":""},{"dropping-particle":"","family":"Mallery","given":"David","non-dropping-particle":"","parse-names":false,"suffix":""},{"dropping-particle":"","family":"Mariamidze","given":"Armaz","non-dropping-particle":"","parse-names":false,"suffix":""},{"dropping-particle":"","family":"Marra","given":"Marco A.","non-dropping-particle":"","parse-names":false,"suffix":""},{"dropping-particle":"","family":"Mayo","given":"Michael","non-dropping-particle":"","parse-names":false,"suffix":""},{"dropping-particle":"","family":"McCall","given":"Shannon","non-dropping-particle":"","parse-names":false,"suffix":""},{"dropping-particle":"","family":"McKercher","given":"Ginette","non-dropping-particle":"","parse-names":false,"suffix":""},{"dropping-particle":"","family":"Meng","given":"Shaowu","non-dropping-particle":"","parse-names":false,"suffix":""},{"dropping-particle":"","family":"Mes-Masson","given":"Anne Marie","non-dropping-particle":"","parse-names":false,"suffix":""},{"dropping-particle":"","family":"Merino","given":"Maria J.","non-dropping-particle":"","parse-names":false,"suffix":""},{"dropping-particle":"","family":"Meyerson","given":"Matthew","non-dropping-particle":"","parse-names":false,"suffix":""},{"dropping-particle":"","family":"Mieczkowski","given":"Piotr A.","non-dropping-particle":"","parse-names":false,"suffix":""},{"dropping-particle":"","family":"Mills","given":"Gordon B.","non-dropping-particle":"","parse-names":false,"suffix":""},{"dropping-particle":"","family":"Shaw","given":"Kenna R.Mills","non-dropping-particle":"","parse-names":false,"suffix":""},{"dropping-particle":"","family":"Minner","given":"Sarah","non-dropping-particle":"","parse-names":false,"suffix":""},{"dropping-particle":"","family":"Moinzadeh","given":"Alireza","non-dropping-particle":"","parse-names":false,"suffix":""},{"dropping-particle":"","family":"Moore","given":"Richard A.","non-dropping-particle":"","parse-names":false,"suffix":""},{"dropping-particle":"","family":"Morris","given":"Scott","non-dropping-particle":"","parse-names":false,"suffix":""},{"dropping-particle":"","family":"Morrison","given":"Carl","non-dropping-particle":"","parse-names":false,"suffix":""},{"dropping-particle":"","family":"Mose","given":"Lisle E.","non-dropping-particle":"","parse-names":false,"suffix":""},{"dropping-particle":"","family":"Mungall","given":"Andrew J.","non-dropping-particle":"","parse-names":false,"suffix":""},{"dropping-particle":"","family":"Murray","given":"Bradley A.","non-dropping-particle":"","parse-names":false,"suffix":""},{"dropping-particle":"","family":"Myers","given":"Jerome B.","non-dropping-particle":"","parse-names":false,"suffix":""},{"dropping-particle":"","family":"Naresh","given":"Rashi","non-dropping-particle":"","parse-names":false,"suffix":""},{"dropping-particle":"","family":"Nelson","given":"Joel","non-dropping-particle":"","parse-names":false,"suffix":""},{"dropping-particle":"","family":"Nelson","given":"Mark A.","non-dropping-particle":"","parse-names":false,"suffix":""},{"dropping-particle":"","family":"Nelson","given":"Peter S.","non-dropping-particle":"","parse-names":false,"suffix":""},{"dropping-particle":"","family":"Newton","given":"Yulia","non-dropping-particle":"","parse-names":false,"suffix":""},{"dropping-particle":"","family":"Noble","given":"Michael S.","non-dropping-particle":"","parse-names":false,"suffix":""},{"dropping-particle":"","family":"Noushmehr","given":"Houtan","non-dropping-particle":"","parse-names":false,"suffix":""},{"dropping-particle":"","family":"Nykter","given":"Matti","non-dropping-particle":"","parse-names":false,"suffix":""},{"dropping-particle":"","family":"Pantazi","given":"Angeliki","non-dropping-particle":"","parse-names":false,"suffix":""},{"dropping-particle":"","family":"Parfenov","given":"Michael","non-dropping-particle":"","parse-names":false,"suffix":""},{"dropping-particle":"","family":"Park","given":"Peter J.","non-dropping-particle":"","parse-names":false,"suffix":""},{"dropping-particle":"","family":"Parker","given":"Joel S.","non-dropping-particle":"","parse-names":false,"suffix":""},{"dropping-particle":"","family":"Paulauskis","given":"Joseph","non-dropping-particle":"","parse-names":false,"suffix":""},{"dropping-particle":"","family":"Penny","given":"Robert","non-dropping-particle":"","parse-names":false,"suffix":""},{"dropping-particle":"","family":"Perou","given":"Charles M.","non-dropping-particle":"","parse-names":false,"suffix":""},{"dropping-particle":"","family":"Piché","given":"Alain","non-dropping-particle":"","parse-names":false,"suffix":""},{"dropping-particle":"","family":"Pihl","given":"Todd","non-dropping-particle":"","parse-names":false,"suffix":""},{"dropping-particle":"","family":"Pinto","given":"Peter A.","non-dropping-particle":"","parse-names":false,"suffix":""},{"dropping-particle":"","family":"Prandi","given":"Davide","non-dropping-particle":"","parse-names":false,"suffix":""},{"dropping-particle":"","family":"Protopopov","given":"Alexei","non-dropping-particle":"","parse-names":false,"suffix":""},{"dropping-particle":"","family":"Ramirez","given":"Nilsa C.","non-dropping-particle":"","parse-names":false,"suffix":""},{"dropping-particle":"","family":"Rao","given":"Arvind","non-dropping-particle":"","parse-names":false,"suffix":""},{"dropping-particle":"","family":"Rathmell","given":"W. Kimryn","non-dropping-particle":"","parse-names":false,"suffix":""},{"dropping-particle":"","family":"Rätsch","given":"Gunnar","non-dropping-particle":"","parse-names":false,"suffix":""},{"dropping-particle":"","family":"Ren","given":"Xiaojia","non-dropping-particle":"","parse-names":false,"suffix":""},{"dropping-particle":"","family":"Reuter","given":"Victor E.","non-dropping-particle":"","parse-names":false,"suffix":""},{"dropping-particle":"","family":"Reynolds","given":"Sheila M.","non-dropping-particle":"","parse-names":false,"suffix":""},{"dropping-particle":"","family":"Rhie","given":"Suhn K.","non-dropping-particle":"","parse-names":false,"suffix":""},{"dropping-particle":"","family":"Rieger-Christ","given":"Kimberly","non-dropping-particle":"","parse-names":false,"suffix":""},{"dropping-particle":"","family":"Roach","given":"Jeffrey","non-dropping-particle":"","parse-names":false,"suffix":""},{"dropping-particle":"","family":"Robertson","given":"A. Gordon","non-dropping-particle":"","parse-names":false,"suffix":""},{"dropping-particle":"","family":"Robinson","given":"Brian","non-dropping-particle":"","parse-names":false,"suffix":""},{"dropping-particle":"","family":"Rubin","given":"Mark A.","non-dropping-particle":"","parse-names":false,"suffix":""},{"dropping-particle":"","family":"Saad","given":"Fred","non-dropping-particle":"","parse-names":false,"suffix":""},{"dropping-particle":"","family":"Sadeghi","given":"Sara","non-dropping-particle":"","parse-names":false,"suffix":""},{"dropping-particle":"","family":"Saksena","given":"Gordon","non-dropping-particle":"","parse-names":false,"suffix":""},{"dropping-particle":"","family":"Saller","given":"Charles","non-dropping-particle":"","parse-names":false,"suffix":""},{"dropping-particle":"","family":"Salner","given":"Andrew","non-dropping-particle":"","parse-names":false,"suffix":""},{"dropping-particle":"","family":"Sanchez-Vega","given":"Francisco","non-dropping-particle":"","parse-names":false,"suffix":""},{"dropping-particle":"","family":"Sander","given":"Chris","non-dropping-particle":"","parse-names":false,"suffix":""},{"dropping-particle":"","family":"Sandusky","given":"George","non-dropping-particle":"","parse-names":false,"suffix":""},{"dropping-particle":"","family":"Sauter","given":"Guido","non-dropping-particle":"","parse-names":false,"suffix":""},{"dropping-particle":"","family":"Sboner","given":"Andrea","non-dropping-particle":"","parse-names":false,"suffix":""},{"dropping-particle":"","family":"Scardino","given":"Peter T.","non-dropping-particle":"","parse-names":false,"suffix":""},{"dropping-particle":"","family":"Scarlata","given":"Eleonora","non-dropping-particle":"","parse-names":false,"suffix":""},{"dropping-particle":"","family":"Schein","given":"Jacqueline E.","non-dropping-particle":"","parse-names":false,"suffix":""},{"dropping-particle":"","family":"Schlomm","given":"Thorsten","non-dropping-particle":"","parse-names":false,"suffix":""},{"dropping-particle":"","family":"Schmidt","given":"Laura S.","non-dropping-particle":"","parse-names":false,"suffix":""},{"dropping-particle":"","family":"Schultz","given":"Nikolaus","non-dropping-particle":"","parse-names":false,"suffix":""},{"dropping-particle":"","family":"Schumacher","given":"Steven E.","non-dropping-particle":"","parse-names":false,"suffix":""},{"dropping-particle":"","family":"Seidman","given":"Jonathan","non-dropping-particle":"","parse-names":false,"suffix":""},{"dropping-particle":"","family":"Neder","given":"Luciano","non-dropping-particle":"","parse-names":false,"suffix":""},{"dropping-particle":"","family":"Seth","given":"Sahil","non-dropping-particle":"","parse-names":false,"suffix":""},{"dropping-particle":"","family":"Sharp","given":"Alexis","non-dropping-particle":"","parse-names":false,"suffix":""},{"dropping-particle":"","family":"Shelton","given":"Candace","non-dropping-particle":"","parse-names":false,"suffix":""},{"dropping-particle":"","family":"Shelton","given":"Troy","non-dropping-particle":"","parse-names":false,"suffix":""},{"dropping-particle":"","family":"Shen","given":"Hui","non-dropping-particle":"","parse-names":false,"suffix":""},{"dropping-particle":"","family":"Shen","given":"Ronglai","non-dropping-particle":"","parse-names":false,"suffix":""},{"dropping-particle":"","family":"Sherman","given":"Mark","non-dropping-particle":"","parse-names":false,"suffix":""},{"dropping-particle":"","family":"Sheth","given":"Margi","non-dropping-particle":"","parse-names":false,"suffix":""},{"dropping-particle":"","family":"Shi","given":"Yan","non-dropping-particle":"","parse-names":false,"suffix":""},{"dropping-particle":"","family":"Shih","given":"Juliann","non-dropping-particle":"","parse-names":false,"suffix":""},{"dropping-particle":"","family":"Shmulevich","given":"Ilya","non-dropping-particle":"","parse-names":false,"suffix":""},{"dropping-particle":"","family":"Simko","given":"Jeffry","non-dropping-particle":"","parse-names":false,"suffix":""},{"dropping-particle":"","family":"Simon","given":"Ronald","non-dropping-particle":"","parse-names":false,"suffix":""},{"dropping-particle":"V.","family":"Simons","given":"Janae","non-dropping-particle":"","parse-names":false,"suffix":""},{"dropping-particle":"","family":"Sipahimalani","given":"Payal","non-dropping-particle":"","parse-names":false,"suffix":""},{"dropping-particle":"","family":"Skelly","given":"Tara","non-dropping-particle":"","parse-names":false,"suffix":""},{"dropping-particle":"","family":"Sofia","given":"Heidi J.","non-dropping-particle":"","parse-names":false,"suffix":""},{"dropping-particle":"","family":"Soloway","given":"Matthew G.","non-dropping-particle":"","parse-names":false,"suffix":""},{"dropping-particle":"","family":"Song","given":"Xingzhi","non-dropping-particle":"","parse-names":false,"suffix":""},{"dropping-particle":"","family":"Sorcini","given":"Andrea","non-dropping-particle":"","parse-names":false,"suffix":""},{"dropping-particle":"","family":"Sougnez","given":"Carrie","non-dropping-particle":"","parse-names":false,"suffix":""},{"dropping-particle":"","family":"Stepa","given":"Serghei","non-dropping-particle":"","parse-names":false,"suffix":""},{"dropping-particle":"","family":"Stewart","given":"Chip","non-dropping-particle":"","parse-names":false,"suffix":""},{"dropping-particle":"","family":"Stewart","given":"John","non-dropping-particle":"","parse-names":false,"suffix":""},{"dropping-particle":"","family":"Stuart","given":"Joshua M.","non-dropping-particle":"","parse-names":false,"suffix":""},{"dropping-particle":"","family":"Sullivan","given":"Travis B.","non-dropping-particle":"","parse-names":false,"suffix":""},{"dropping-particle":"","family":"Sun","given":"Charlie","non-dropping-particle":"","parse-names":false,"suffix":""},{"dropping-particle":"","family":"Sun","given":"Huandong","non-dropping-particle":"","parse-names":false,"suffix":""},{"dropping-particle":"","family":"Tam","given":"Angela","non-dropping-particle":"","parse-names":false,"suffix":""},{"dropping-particle":"","family":"Tan","given":"Donghui","non-dropping-particle":"","parse-names":false,"suffix":""},{"dropping-particle":"","family":"Tang","given":"Jiabin","non-dropping-particle":"","parse-names":false,"suffix":""},{"dropping-particle":"","family":"Tarnuzzer","given":"Roy","non-dropping-particle":"","parse-names":false,"suffix":""},{"dropping-particle":"","family":"Tarvin","given":"Katherine","non-dropping-particle":"","parse-names":false,"suffix":""},{"dropping-particle":"","family":"Taylor","given":"Barry S.","non-dropping-particle":"","parse-names":false,"suffix":""},{"dropping-particle":"","family":"Teebagy","given":"Patrick","non-dropping-particle":"","parse-names":false,"suffix":""},{"dropping-particle":"","family":"Tenggara","given":"Imelda","non-dropping-particle":"","parse-names":false,"suffix":""},{"dropping-particle":"","family":"Têtu","given":"Bernard","non-dropping-particle":"","parse-names":false,"suffix":""},{"dropping-particle":"","family":"Tewari","given":"Ashutosh","non-dropping-particle":"","parse-names":false,"suffix":""},{"dropping-particle":"","family":"Thiessen","given":"Nina","non-dropping-particle":"","parse-names":false,"suffix":""},{"dropping-particle":"","family":"Thompson","given":"Timothy","non-dropping-particle":"","parse-names":false,"suffix":""},{"dropping-particle":"","family":"Thorne","given":"Leigh B.","non-dropping-particle":"","parse-names":false,"suffix":""},{"dropping-particle":"","family":"Tirapelli","given":"Daniela P.","non-dropping-particle":"","parse-names":false,"suffix":""},{"dropping-particle":"","family":"Tomlins","given":"Scott A.","non-dropping-particle":"","parse-names":false,"suffix":""},{"dropping-particle":"","family":"Trevisan","given":"Felipe Amstalden","non-dropping-particle":"","parse-names":false,"suffix":""},{"dropping-particle":"","family":"Troncoso","given":"Patricia","non-dropping-particle":"","parse-names":false,"suffix":""},{"dropping-particle":"","family":"True","given":"Lawrence D.","non-dropping-particle":"","parse-names":false,"suffix":""},{"dropping-particle":"","family":"Tsourlakis","given":"Maria Christina","non-dropping-particle":"","parse-names":false,"suffix":""},{"dropping-particle":"","family":"Tyekucheva","given":"Svitlana","non-dropping-particle":"","parse-names":false,"suffix":""},{"dropping-particle":"","family":"Allen","given":"Eliezer","non-dropping-particle":"Van","parse-names":false,"suffix":""},{"dropping-particle":"","family":"Berg","given":"David J.","non-dropping-particle":"Van Den","parse-names":false,"suffix":""},{"dropping-particle":"","family":"Veluvolu","given":"Umadevi","non-dropping-particle":"","parse-names":false,"suffix":""},{"dropping-particle":"","family":"Verhaak","given":"Roel","non-dropping-particle":"","parse-names":false,"suffix":""},{"dropping-particle":"","family":"Vocke","given":"Cathy D.","non-dropping-particle":"","parse-names":false,"suffix":""},{"dropping-particle":"","family":"Voet","given":"Doug","non-dropping-particle":"","parse-names":false,"suffix":""},{"dropping-particle":"","family":"Wan","given":"Yunhu","non-dropping-particle":"","parse-names":false,"suffix":""},{"dropping-particle":"","family":"Wang","given":"Qingguo","non-dropping-particle":"","parse-names":false,"suffix":""},{"dropping-particle":"","family":"Wang","given":"Wenyi","non-dropping-particle":"","parse-names":false,"suffix":""},{"dropping-particle":"","family":"Wang","given":"Zhining","non-dropping-particle":"","parse-names":false,"suffix":""},{"dropping-particle":"","family":"Weinhold","given":"Nils","non-dropping-particle":"","parse-names":false,"suffix":""},{"dropping-particle":"","family":"Weinstein","given":"John N.","non-dropping-particle":"","parse-names":false,"suffix":""},{"dropping-particle":"","family":"Weisenberger","given":"Daniel J.","non-dropping-particle":"","parse-names":false,"suffix":""},{"dropping-particle":"","family":"Wilkerson","given":"Matthew D.","non-dropping-particle":"","parse-names":false,"suffix":""},{"dropping-particle":"","family":"Wise","given":"Lisa","non-dropping-particle":"","parse-names":false,"suffix":""},{"dropping-particle":"","family":"Witte","given":"John","non-dropping-particle":"","parse-names":false,"suffix":""},{"dropping-particle":"","family":"Wu","given":"Chia Chin","non-dropping-particle":"","parse-names":false,"suffix":""},{"dropping-particle":"","family":"Wu","given":"Junyuan","non-dropping-particle":"","parse-names":false,"suffix":""},{"dropping-particle":"","family":"Wu","given":"Ye","non-dropping-particle":"","parse-names":false,"suffix":""},{"dropping-particle":"","family":"Xu","given":"Andrew W.","non-dropping-particle":"","parse-names":false,"suffix":""},{"dropping-particle":"","family":"Yadav","given":"Shalini S.","non-dropping-particle":"","parse-names":false,"suffix":""},{"dropping-particle":"","family":"Yang","given":"Liming","non-dropping-particle":"","parse-names":false,"suffix":""},{"dropping-particle":"","family":"Yang","given":"Lixing","non-dropping-particle":"","parse-names":false,"suffix":""},{"dropping-particle":"","family":"Yau","given":"Christina","non-dropping-particle":"","parse-names":false,"suffix":""},{"dropping-particle":"","family":"Ye","given":"Huihui","non-dropping-particle":"","parse-names":false,"suffix":""},{"dropping-particle":"","family":"Yena","given":"Peggy","non-dropping-particle":"","parse-names":false,"suffix":""},{"dropping-particle":"","family":"Zeng","given":"Thomas","non-dropping-particle":"","parse-names":false,"suffix":""},{"dropping-particle":"","family":"Zenklusen","given":"Jean C.","non-dropping-particle":"","parse-names":false,"suffix":""},{"dropping-particle":"","family":"Zhang","given":"Hailei","non-dropping-particle":"","parse-names":false,"suffix":""},{"dropping-particle":"","family":"Zhang","given":"Jianhua","non-dropping-particle":"","parse-names":false,"suffix":""},{"dropping-particle":"","family":"Zhang","given":"Jiashan","non-dropping-particle":"","parse-names":false,"suffix":""},{"dropping-particle":"","family":"Zhang","given":"Wei","non-dropping-particle":"","parse-names":false,"suffix":""},{"dropping-particle":"","family":"Zhong","given":"Yi","non-dropping-particle":"","parse-names":false,"suffix":""},{"dropping-particle":"","family":"Zhu","given":"Kelsey","non-dropping-particle":"","parse-names":false,"suffix":""},{"dropping-particle":"","family":"Zmuda","given":"Erik","non-dropping-particle":"","parse-names":false,"suffix":""}],"container-title":"Cell","id":"ITEM-1","issue":"4","issued":{"date-parts":[["2015"]]},"note":"difference between primary and metastatic tumour","page":"1011-1025","title":"The Molecular Taxonomy of Primary Prostate Cancer","type":"article-journal","volume":"163"},"uris":["http://www.mendeley.com/documents/?uuid=26136416-4cd0-46bb-895a-455783a28ce8"]}],"mendeley":{"formattedCitation":"&lt;sup&gt;22&lt;/sup&gt;","plainTextFormattedCitation":"22","previouslyFormattedCitation":"[22]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22</w:t>
      </w:r>
      <w:r w:rsidRPr="00C83EDC">
        <w:rPr>
          <w:lang w:val="en-GB"/>
        </w:rPr>
        <w:fldChar w:fldCharType="end"/>
      </w:r>
      <w:r w:rsidRPr="00C83EDC">
        <w:rPr>
          <w:lang w:val="en-GB"/>
        </w:rPr>
        <w:t>.</w:t>
      </w:r>
    </w:p>
    <w:p w14:paraId="2041540B" w14:textId="30ECD7A5" w:rsidR="00EE7EB3" w:rsidRPr="00C83EDC" w:rsidRDefault="00EE7EB3" w:rsidP="00EE7EB3">
      <w:pPr>
        <w:pStyle w:val="Dalodstavce"/>
        <w:rPr>
          <w:lang w:val="en-GB"/>
        </w:rPr>
      </w:pPr>
      <w:r w:rsidRPr="00C83EDC">
        <w:rPr>
          <w:lang w:val="en-GB"/>
        </w:rPr>
        <w:t xml:space="preserve">In several other studies, deletions of </w:t>
      </w:r>
      <w:r w:rsidRPr="00C83EDC">
        <w:rPr>
          <w:i/>
          <w:lang w:val="en-GB"/>
        </w:rPr>
        <w:t>PTEN</w:t>
      </w:r>
      <w:r w:rsidRPr="00C83EDC">
        <w:rPr>
          <w:lang w:val="en-GB"/>
        </w:rPr>
        <w:t xml:space="preserve"> (phosphatase and </w:t>
      </w:r>
      <w:proofErr w:type="spellStart"/>
      <w:r w:rsidRPr="00C83EDC">
        <w:rPr>
          <w:lang w:val="en-GB"/>
        </w:rPr>
        <w:t>tensin</w:t>
      </w:r>
      <w:proofErr w:type="spellEnd"/>
      <w:r w:rsidRPr="00C83EDC">
        <w:rPr>
          <w:lang w:val="en-GB"/>
        </w:rPr>
        <w:t xml:space="preserve"> homologue) gene were identified in 15–20% samples of primary prostate cancer and in up to 40% metastatic tissue specimens. </w:t>
      </w:r>
      <w:r w:rsidRPr="00C83EDC">
        <w:rPr>
          <w:i/>
          <w:lang w:val="en-GB"/>
        </w:rPr>
        <w:t>PTEN</w:t>
      </w:r>
      <w:r w:rsidRPr="00C83EDC">
        <w:rPr>
          <w:lang w:val="en-GB"/>
        </w:rPr>
        <w:t xml:space="preserve"> is a tumour suppressor gene located on chromosome 10 and its protein product exerts a protein and lipid phosphatase activity. Besides that, PTEN acts as an antagonist of PI3K enzymes that phosphorylate PIP2 to PIP3. Deletion or inactivating mutation of </w:t>
      </w:r>
      <w:r w:rsidRPr="00C83EDC">
        <w:rPr>
          <w:i/>
          <w:lang w:val="en-GB"/>
        </w:rPr>
        <w:t>PTEN</w:t>
      </w:r>
      <w:r w:rsidRPr="00C83EDC">
        <w:rPr>
          <w:lang w:val="en-GB"/>
        </w:rPr>
        <w:t xml:space="preserve"> results in the surplus of PIP3 product that further activates 3-phosphoinositide-dependent protein kinase 1 (PDPK1) and protein kinase AKT. AKT affects many downstream signalling components, including mTOR pathway, which regulates cellular processes such as apoptosis, metabolism, cell cycle progression, proliferation, differentiation and invasion</w:t>
      </w:r>
      <w:r w:rsidRPr="00C83EDC">
        <w:rPr>
          <w:lang w:val="en-GB"/>
        </w:rPr>
        <w:fldChar w:fldCharType="begin" w:fldLock="1"/>
      </w:r>
      <w:r w:rsidR="000C069C">
        <w:rPr>
          <w:lang w:val="en-GB"/>
        </w:rPr>
        <w:instrText xml:space="preserve">ADDIN CSL_CITATION {"citationItems":[{"id":"ITEM-1","itemData":{"DOI":"10.1038/nrurol.2018.9","ISSN":"17594820","abstract":"Genomic aberrations of the PTEN tumour suppressor gene are among the most common in prostate cancer. Inactivation of PTEN by deletion or mutation is identified in </w:instrText>
      </w:r>
      <w:r w:rsidR="000C069C">
        <w:rPr>
          <w:rFonts w:ascii="Cambria Math" w:hAnsi="Cambria Math" w:cs="Cambria Math"/>
          <w:lang w:val="en-GB"/>
        </w:rPr>
        <w:instrText>∼</w:instrText>
      </w:r>
      <w:r w:rsidR="000C069C">
        <w:rPr>
          <w:lang w:val="en-GB"/>
        </w:rPr>
        <w:instrText>20% of primary prostate tumour samples at radical prostatectomy and in as many as 50% of castration-resistant tumours. Loss of phosphatase and tensin homologue (PTEN) function leads to activation of the PI3K-AKT (phosphoinositide 3-kinase-RAC-alpha serine/threonine-protein kinase) pathway and is strongly associated with adverse oncological outcomes, making PTEN a potentially useful genomic marker to distinguish indolent from aggressive disease in patients with clinically localized tumours. At the other end of the disease spectrum, therapeutic compounds targeting nodes in the PI3K-AKT-mTOR (mechanistic target of rapamycin) signalling pathway are being tested in clinical trials for patients with metastatic castration-resistant prostate cancer. Knowledge of PTEN status might be helpful to identify patients who are more likely to benefit from these therapies. To enable the use of PTEN status as a prognostic and predictive biomarker, analytically validated assays have been developed for reliable and reproducible detection of PTEN loss in tumour tissue and in blood liquid biopsies. The use of clinical-grade assays in tumour tissue has shown a robust correlation between loss of PTEN and its protein as well as a strong association between PTEN loss and adverse pathological features and oncological outcomes. In advanced disease, assessing PTEN status in liquid biopsies shows promise in predicting response to targeted therapy. Finally, studies have shown that PTEN might have additional functions that are independent of the PI3K-AKT pathway, including those affecting tumour growth through modulation of the immune response and tumour microenvironment.","author":[{"dropping-particle":"","family":"Jamaspishvili","given":"Tamara","non-dropping-particle":"","parse-names":false,"suffix":""},{"dropping-particle":"","family":"Berman","given":"David M.","non-dropping-particle":"","parse-names":false,"suffix":""},{"dropping-particle":"","family":"Ross","given":"Ashley E.","non-dropping-particle":"","parse-names":false,"suffix":""},{"dropping-particle":"","family":"Scher","given":"Howard I.","non-dropping-particle":"","parse-names":false,"suffix":""},{"dropping-particle":"","family":"Marzo","given":"Angelo M.","non-dropping-particle":"De","parse-names":false,"suffix":""},{"dropping-particle":"","family":"Squire","given":"Jeremy A.","non-dropping-particle":"","parse-names":false,"suffix":""},{"dropping-particle":"","family":"Lotan","given":"Tamara L.","non-dropping-particle":"","parse-names":false,"suffix":""}],"container-title":"Nature Reviews Urology","id":"ITEM-1","issue":"4","issued":{"date-parts":[["2018"]]},"note":"treatment akt-mtor\n\nHowever, the vast majority\nof patients diagnosed with prostate cancer will not die from the disease . This conundrum results in a need to improve clinical risk stratification to identify which patients can be safely treated by active surveillance (AS)","page":"222-234","publisher":"Nature Publishing Group","title":"Clinical implications of PTEN loss in prostate cancer","type":"article-journal","volume":"15"},"uris":["http://www.mendeley.com/documents/?uuid=f79e76d1-37ca-4e28-b517-93fc24718fe2"]}],"mendeley":{"formattedCitation":"&lt;sup&gt;23&lt;/sup&gt;","plainTextFormattedCitation":"23","previouslyFormattedCitation":"[23]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23</w:t>
      </w:r>
      <w:r w:rsidRPr="00C83EDC">
        <w:rPr>
          <w:lang w:val="en-GB"/>
        </w:rPr>
        <w:fldChar w:fldCharType="end"/>
      </w:r>
      <w:r w:rsidRPr="00C83EDC">
        <w:rPr>
          <w:lang w:val="en-GB"/>
        </w:rPr>
        <w:t>.</w:t>
      </w:r>
    </w:p>
    <w:p w14:paraId="0541F228" w14:textId="3CB7195B" w:rsidR="00EE7EB3" w:rsidRPr="00C83EDC" w:rsidRDefault="00EE7EB3" w:rsidP="00EE7EB3">
      <w:pPr>
        <w:pStyle w:val="Dalodstavce"/>
        <w:rPr>
          <w:lang w:val="en-GB"/>
        </w:rPr>
      </w:pPr>
      <w:r w:rsidRPr="00C83EDC">
        <w:rPr>
          <w:lang w:val="en-GB"/>
        </w:rPr>
        <w:t xml:space="preserve">Furthermore, genomic deletions can result in gene overexpression and gene fusions, which are both present in the molecular profile of prostate cancer. The micro‑array experiments confirmed that members of the ETS family transcription factors, </w:t>
      </w:r>
      <w:r w:rsidRPr="00C83EDC">
        <w:rPr>
          <w:i/>
          <w:lang w:val="en-GB"/>
        </w:rPr>
        <w:t>ERG</w:t>
      </w:r>
      <w:r w:rsidRPr="00C83EDC">
        <w:rPr>
          <w:lang w:val="en-GB"/>
        </w:rPr>
        <w:t xml:space="preserve"> (21q22) and </w:t>
      </w:r>
      <w:r w:rsidRPr="00C83EDC">
        <w:rPr>
          <w:i/>
          <w:lang w:val="en-GB"/>
        </w:rPr>
        <w:t>ETV1</w:t>
      </w:r>
      <w:r w:rsidRPr="00C83EDC">
        <w:rPr>
          <w:lang w:val="en-GB"/>
        </w:rPr>
        <w:t xml:space="preserve"> (7p21), were overexpressed in 57% prostate cancer samples. Observed overexpression indicated rearrangements between 5' untranslated region of </w:t>
      </w:r>
      <w:r w:rsidRPr="00C83EDC">
        <w:rPr>
          <w:i/>
          <w:lang w:val="en-GB"/>
        </w:rPr>
        <w:t>TMPRSS2</w:t>
      </w:r>
      <w:r w:rsidRPr="00C83EDC">
        <w:rPr>
          <w:lang w:val="en-GB"/>
        </w:rPr>
        <w:t xml:space="preserve"> (21q22) and </w:t>
      </w:r>
      <w:r w:rsidRPr="00C83EDC">
        <w:rPr>
          <w:i/>
          <w:lang w:val="en-GB"/>
        </w:rPr>
        <w:t>ERG</w:t>
      </w:r>
      <w:r w:rsidRPr="00C83EDC">
        <w:rPr>
          <w:lang w:val="en-GB"/>
        </w:rPr>
        <w:t xml:space="preserve"> or </w:t>
      </w:r>
      <w:r w:rsidRPr="00C83EDC">
        <w:rPr>
          <w:i/>
          <w:lang w:val="en-GB"/>
        </w:rPr>
        <w:t>ETV1</w:t>
      </w:r>
      <w:r w:rsidRPr="00C83EDC">
        <w:rPr>
          <w:lang w:val="en-GB"/>
        </w:rPr>
        <w:t xml:space="preserve"> genes and these fusions were found in more than </w:t>
      </w:r>
      <w:r>
        <w:rPr>
          <w:lang w:val="en-GB"/>
        </w:rPr>
        <w:t>three quarters</w:t>
      </w:r>
      <w:r w:rsidRPr="00C83EDC">
        <w:rPr>
          <w:lang w:val="en-GB"/>
        </w:rPr>
        <w:t xml:space="preserve"> of examined cancer samples including </w:t>
      </w:r>
      <w:r w:rsidRPr="00C83EDC">
        <w:rPr>
          <w:lang w:val="en-GB"/>
        </w:rPr>
        <w:lastRenderedPageBreak/>
        <w:t>both localized and metastatic tumours</w:t>
      </w:r>
      <w:r w:rsidRPr="00C83EDC">
        <w:rPr>
          <w:lang w:val="en-GB"/>
        </w:rPr>
        <w:fldChar w:fldCharType="begin" w:fldLock="1"/>
      </w:r>
      <w:r w:rsidR="000C069C">
        <w:rPr>
          <w:lang w:val="en-GB"/>
        </w:rPr>
        <w:instrText>ADDIN CSL_CITATION {"citationItems":[{"id":"ITEM-1","itemData":{"DOI":"10.1126/science.1117679","ISSN":"00368075","abstract":"Recurrent chromosomal rearrangements have not been well characterized in common carcinomas. We used a bioinformatics approach to discover candidate oncogenic chromosomal aberrations on the basis of outlier gene expression. Two ETS transcription factors, ERG and ETV1, were identified as outliers in prostate cancer. We identified recurrent gene fusions of the 5′ untranslated region of TMPRSS2 to ERG or ETV1 in prostate cancer tissues with outlier expression. By using fluorescence in situ hybridization, we demonstrated that 23 of 29 prostate cancer samples harbor rearrangements in ERG or ETV1. Cell line experiments suggest that the androgen-responsive promoter elements of TMPRSS2 mediate the overexpression of ETS family members in prostate cancer. These results have implications in the development of carcinomas and the molecular diagnosis and treatment of prostate cancer.","author":[{"dropping-particle":"","family":"Tomlins","given":"Scott A.","non-dropping-particle":"","parse-names":false,"suffix":""},{"dropping-particle":"","family":"Rhodes","given":"Daniel R.","non-dropping-particle":"","parse-names":false,"suffix":""},{"dropping-particle":"","family":"Perner","given":"Sven","non-dropping-particle":"","parse-names":false,"suffix":""},{"dropping-particle":"","family":"Dhanasekaran","given":"Saravana M.","non-dropping-particle":"","parse-names":false,"suffix":""},{"dropping-particle":"","family":"Mehra","given":"Rohit","non-dropping-particle":"","parse-names":false,"suffix":""},{"dropping-particle":"","family":"Sun","given":"Xiao Wei","non-dropping-particle":"","parse-names":false,"suffix":""},{"dropping-particle":"","family":"Varambally","given":"Sooryanarayana","non-dropping-particle":"","parse-names":false,"suffix":""},{"dropping-particle":"","family":"Cao","given":"Xuhong","non-dropping-particle":"","parse-names":false,"suffix":""},{"dropping-particle":"","family":"Tchinda","given":"Joelle","non-dropping-particle":"","parse-names":false,"suffix":""},{"dropping-particle":"","family":"Kuefer","given":"Rainer","non-dropping-particle":"","parse-names":false,"suffix":""},{"dropping-particle":"","family":"Lee","given":"Charles","non-dropping-particle":"","parse-names":false,"suffix":""},{"dropping-particle":"","family":"Montie","given":"James E.","non-dropping-particle":"","parse-names":false,"suffix":""},{"dropping-particle":"","family":"Shah","given":"Rajal B.","non-dropping-particle":"","parse-names":false,"suffix":""},{"dropping-particle":"","family":"Pienta","given":"Kenneth J.","non-dropping-particle":"","parse-names":false,"suffix":""},{"dropping-particle":"","family":"Rubin","given":"Mark A.","non-dropping-particle":"","parse-names":false,"suffix":""},{"dropping-particle":"","family":"Chinnaiyan","given":"Arul M.","non-dropping-particle":"","parse-names":false,"suffix":""}],"container-title":"Science","id":"ITEM-1","issue":"5748","issued":{"date-parts":[["2005"]]},"note":"Fusion of TMPRSS2 and ERG results in androgen regulation of ERG","page":"644-648","title":"Recurrent fusion of TMPRSS2 and ETS transcription factor genes in prostate cancer","type":"article-journal","volume":"310"},"uris":["http://www.mendeley.com/documents/?uuid=5ea7fae4-1ec9-4a6f-b212-6b9b908cfa8b"]}],"mendeley":{"formattedCitation":"&lt;sup&gt;24&lt;/sup&gt;","plainTextFormattedCitation":"24","previouslyFormattedCitation":"[24]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24</w:t>
      </w:r>
      <w:r w:rsidRPr="00C83EDC">
        <w:rPr>
          <w:lang w:val="en-GB"/>
        </w:rPr>
        <w:fldChar w:fldCharType="end"/>
      </w:r>
      <w:r w:rsidRPr="00C83EDC">
        <w:rPr>
          <w:lang w:val="en-GB"/>
        </w:rPr>
        <w:t xml:space="preserve">. Moreover, fusions of </w:t>
      </w:r>
      <w:r w:rsidRPr="00C83EDC">
        <w:rPr>
          <w:i/>
          <w:lang w:val="en-GB"/>
        </w:rPr>
        <w:t>TMPRSS2</w:t>
      </w:r>
      <w:r w:rsidRPr="00C83EDC">
        <w:rPr>
          <w:lang w:val="en-GB"/>
        </w:rPr>
        <w:t xml:space="preserve"> to other ETS transcription factor genes, namely </w:t>
      </w:r>
      <w:r w:rsidRPr="00C83EDC">
        <w:rPr>
          <w:i/>
          <w:lang w:val="en-GB"/>
        </w:rPr>
        <w:t>ETV4</w:t>
      </w:r>
      <w:r w:rsidRPr="00C83EDC">
        <w:rPr>
          <w:lang w:val="en-GB"/>
        </w:rPr>
        <w:t xml:space="preserve"> (17q21)</w:t>
      </w:r>
      <w:r w:rsidRPr="00C83EDC">
        <w:rPr>
          <w:lang w:val="en-GB"/>
        </w:rPr>
        <w:fldChar w:fldCharType="begin" w:fldLock="1"/>
      </w:r>
      <w:r w:rsidR="000C069C">
        <w:rPr>
          <w:lang w:val="en-GB"/>
        </w:rPr>
        <w:instrText>ADDIN CSL_CITATION {"citationItems":[{"id":"ITEM-1","itemData":{"DOI":"10.1158/0008-5472.CAN-06-0168","ISSN":"00085472","abstract":"Although common in hematologic and mesenchymal malignancies, recurrent gene fusions have not been well characterized in epithelial carcinomas. Recently, using a novel bioinformatic approach, we identified recurrent gene fusions between TMPRSS2 and the ETS family members ERG or ETV1 in the majority of prostate cancers. Here, we interrogated the expression of all ETS family members in prostate cancer profiling studies and identified marked overexpression of ETV4 in 2 of 98 cases. In one such case, we confirmed the overexpression of ETV4 using quantitative PCR, and by rapid amplification of cDNA ends, quantitative PCR, and fluorescence in situ hybridization, we show that the TMPRSS2 (21q22) and ETV4 (17q21) loci are fused in this case. This result defines a third molecular subtype of prostate cancer and supports the hypothesis that dysregulation of ETS family members through fusions with TMRPSS2 may be an initiating event in prostate cancer development. ©2006 American Association for Cancer Research.","author":[{"dropping-particle":"","family":"Tomlins","given":"Scott A.","non-dropping-particle":"","parse-names":false,"suffix":""},{"dropping-particle":"","family":"Mehra","given":"Rohit","non-dropping-particle":"","parse-names":false,"suffix":""},{"dropping-particle":"","family":"Rhodes","given":"Daniel R.","non-dropping-particle":"","parse-names":false,"suffix":""},{"dropping-particle":"","family":"Smith","given":"Lisa R.","non-dropping-particle":"","parse-names":false,"suffix":""},{"dropping-particle":"","family":"Roulston","given":"Diane","non-dropping-particle":"","parse-names":false,"suffix":""},{"dropping-particle":"","family":"Helgeson","given":"Beth E.","non-dropping-particle":"","parse-names":false,"suffix":""},{"dropping-particle":"","family":"Cao","given":"Xuhong","non-dropping-particle":"","parse-names":false,"suffix":""},{"dropping-particle":"","family":"Wei","given":"John T.","non-dropping-particle":"","parse-names":false,"suffix":""},{"dropping-particle":"","family":"Rubin","given":"Mark A.","non-dropping-particle":"","parse-names":false,"suffix":""},{"dropping-particle":"","family":"Shah","given":"Rajal B.","non-dropping-particle":"","parse-names":false,"suffix":""},{"dropping-particle":"","family":"Chinnaiyan","given":"Arul M.","non-dropping-particle":"","parse-names":false,"suffix":""}],"container-title":"Cancer Research","id":"ITEM-1","issue":"7","issued":{"date-parts":[["2006"]]},"page":"3396-3400","title":"TMPRSS2:ETV4 gene fusions define a third molecular subtype of prostate cancer","type":"article-journal","volume":"66"},"uris":["http://www.mendeley.com/documents/?uuid=f5bcc022-1c6a-4e02-9683-b1a6570fa81d"]}],"mendeley":{"formattedCitation":"&lt;sup&gt;25&lt;/sup&gt;","plainTextFormattedCitation":"25","previouslyFormattedCitation":"[25]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25</w:t>
      </w:r>
      <w:r w:rsidRPr="00C83EDC">
        <w:rPr>
          <w:lang w:val="en-GB"/>
        </w:rPr>
        <w:fldChar w:fldCharType="end"/>
      </w:r>
      <w:r w:rsidRPr="00C83EDC">
        <w:rPr>
          <w:lang w:val="en-GB"/>
        </w:rPr>
        <w:t xml:space="preserve"> and </w:t>
      </w:r>
      <w:r w:rsidRPr="00C83EDC">
        <w:rPr>
          <w:i/>
          <w:lang w:val="en-GB"/>
        </w:rPr>
        <w:t>ETV5</w:t>
      </w:r>
      <w:r w:rsidRPr="00C83EDC">
        <w:rPr>
          <w:lang w:val="en-GB"/>
        </w:rPr>
        <w:t xml:space="preserve"> (3q27)</w:t>
      </w:r>
      <w:r w:rsidRPr="00C83EDC">
        <w:rPr>
          <w:lang w:val="en-GB"/>
        </w:rPr>
        <w:fldChar w:fldCharType="begin" w:fldLock="1"/>
      </w:r>
      <w:r w:rsidR="000C069C">
        <w:rPr>
          <w:lang w:val="en-GB"/>
        </w:rPr>
        <w:instrText>ADDIN CSL_CITATION {"citationItems":[{"id":"ITEM-1","itemData":{"DOI":"10.1158/0008-5472.CAN-07-5352","ISSN":"00085472","abstract":"Recurrent gene fusions involving oncogenic ETS transcription factors (including ERG, ETV1, and ETV4) have been identified in a large fraction of prostate cancers. The most common fusions contain the 5′ untranslated region of TMPRSS2 fused to ERG. Recently, we identified additional 5′ partners in ETV1 fusions, including TMPRSS2, SLC45A3, HERV-K_22q11.23, C15ORF21, and HNRPA2B1. Here, we identify ETV5 as the fourth ETS family member involved in recurrent gene rearrangements in prostate cancer. Characterization of two cases with ETV5 outlier expression by RNA ligase-mediated rapid amplification of cDNA ends identified one case with a TMPRSS2:ETV5 fusion and one case with a SLC45A3:ETV5 fusion. We confirmed the presence of these fusions by quantitative PCR and fluorescence in situ hybridization. In vitro recapitulation of ETV5 overexpression induced invasion in RWPE cells, a benign immortalized prostatic epithelial cell line. Expression profiling and an integrative molecular concepts analysis of RWPE-ETV5 cells also revealed the induction of an invasive transcriptional program, consistent with ERG and ETV1 overexpression in RWPE cells, emphasizing the functional redundancy of ETS rearrangements. Together, our results suggest that the family of 5′ partners previously identified in ETV1 gene fusions can fuse with other ETS family members, suggesting numerous rare gene fusion permutations in prostate cancer. ©2008 American Association for Cancer Research.","author":[{"dropping-particle":"","family":"Helgeson","given":"Beth E.","non-dropping-particle":"","parse-names":false,"suffix":""},{"dropping-particle":"","family":"Tomlins","given":"Scott A.","non-dropping-particle":"","parse-names":false,"suffix":""},{"dropping-particle":"","family":"Shah","given":"Nameeta","non-dropping-particle":"","parse-names":false,"suffix":""},{"dropping-particle":"","family":"Laxman","given":"Bharathi","non-dropping-particle":"","parse-names":false,"suffix":""},{"dropping-particle":"","family":"Cao","given":"Qi","non-dropping-particle":"","parse-names":false,"suffix":""},{"dropping-particle":"","family":"Prensner","given":"John R.","non-dropping-particle":"","parse-names":false,"suffix":""},{"dropping-particle":"","family":"Cao","given":"Xuhong","non-dropping-particle":"","parse-names":false,"suffix":""},{"dropping-particle":"","family":"Singla","given":"Nirmish","non-dropping-particle":"","parse-names":false,"suffix":""},{"dropping-particle":"","family":"Montie","given":"James E.","non-dropping-particle":"","parse-names":false,"suffix":""},{"dropping-particle":"","family":"Varambally","given":"Sooryanarayana","non-dropping-particle":"","parse-names":false,"suffix":""},{"dropping-particle":"","family":"Mehra","given":"Rohit","non-dropping-particle":"","parse-names":false,"suffix":""},{"dropping-particle":"","family":"Chinnaiyan","given":"Arul M.","non-dropping-particle":"","parse-names":false,"suffix":""}],"container-title":"Cancer Research","id":"ITEM-1","issue":"1","issued":{"date-parts":[["2008"]]},"page":"73-80","title":"Characterization of TMPRSS2:ETV5 and SLC45A3:ETV5 gene fusions in prostate cancer","type":"article-journal","volume":"68"},"uris":["http://www.mendeley.com/documents/?uuid=227cd03e-90d1-4810-ac21-59b9664d8b39"]}],"mendeley":{"formattedCitation":"&lt;sup&gt;26&lt;/sup&gt;","plainTextFormattedCitation":"26","previouslyFormattedCitation":"[26]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26</w:t>
      </w:r>
      <w:r w:rsidRPr="00C83EDC">
        <w:rPr>
          <w:lang w:val="en-GB"/>
        </w:rPr>
        <w:fldChar w:fldCharType="end"/>
      </w:r>
      <w:r w:rsidRPr="00C83EDC">
        <w:rPr>
          <w:lang w:val="en-GB"/>
        </w:rPr>
        <w:t xml:space="preserve">, were later identified in </w:t>
      </w:r>
      <w:r>
        <w:rPr>
          <w:lang w:val="en-GB"/>
        </w:rPr>
        <w:br/>
      </w:r>
      <w:r w:rsidRPr="00C83EDC">
        <w:rPr>
          <w:lang w:val="en-GB"/>
        </w:rPr>
        <w:t>a smaller percentage of prostate cancer cases.</w:t>
      </w:r>
    </w:p>
    <w:p w14:paraId="4DF398EF" w14:textId="5D8241CE" w:rsidR="00EE7EB3" w:rsidRPr="00C83EDC" w:rsidRDefault="00EE7EB3" w:rsidP="00EE7EB3">
      <w:pPr>
        <w:pStyle w:val="Dalodstavce"/>
        <w:rPr>
          <w:lang w:val="en-GB"/>
        </w:rPr>
      </w:pPr>
      <w:r w:rsidRPr="00C83EDC">
        <w:rPr>
          <w:lang w:val="en-GB"/>
        </w:rPr>
        <w:t>In addition to structural rearrangements, prostate cancer genomic landscape contains recurrent molecular alterations in several important genes. One of them is speckle-type pox virus and zinc finger protein</w:t>
      </w:r>
      <w:r w:rsidRPr="00C83EDC">
        <w:rPr>
          <w:i/>
          <w:lang w:val="en-GB"/>
        </w:rPr>
        <w:t xml:space="preserve"> </w:t>
      </w:r>
      <w:r w:rsidRPr="00C83EDC">
        <w:rPr>
          <w:iCs/>
          <w:lang w:val="en-GB"/>
        </w:rPr>
        <w:t>(</w:t>
      </w:r>
      <w:r w:rsidRPr="00C83EDC">
        <w:rPr>
          <w:i/>
          <w:lang w:val="en-GB"/>
        </w:rPr>
        <w:t>SPOP</w:t>
      </w:r>
      <w:r w:rsidRPr="00C83EDC">
        <w:rPr>
          <w:iCs/>
          <w:lang w:val="en-GB"/>
        </w:rPr>
        <w:t>)</w:t>
      </w:r>
      <w:r w:rsidRPr="00C83EDC">
        <w:rPr>
          <w:lang w:val="en-GB"/>
        </w:rPr>
        <w:t>, which was found to be</w:t>
      </w:r>
      <w:r>
        <w:rPr>
          <w:lang w:val="en-GB"/>
        </w:rPr>
        <w:t xml:space="preserve"> the </w:t>
      </w:r>
      <w:r w:rsidRPr="00C83EDC">
        <w:rPr>
          <w:lang w:val="en-GB"/>
        </w:rPr>
        <w:t>most often affected gene as it carried mutations in 13% of primary prostate tumours and in 14,5% of metastatic prostate cancers</w:t>
      </w:r>
      <w:r w:rsidRPr="00C83EDC">
        <w:rPr>
          <w:lang w:val="en-GB"/>
        </w:rPr>
        <w:fldChar w:fldCharType="begin" w:fldLock="1"/>
      </w:r>
      <w:r w:rsidR="000C069C">
        <w:rPr>
          <w:lang w:val="en-GB"/>
        </w:rPr>
        <w:instrText>ADDIN CSL_CITATION {"citationItems":[{"id":"ITEM-1","itemData":{"DOI":"10.1038/ng.2279","ISSN":"10614036","abstract":"Prostate cancer is the second most common cancer in men worldwide and causes over 250,000 deaths each year. Overtreatment of indolent disease also results in significant morbidity. Common genetic alterations in prostate cancer include losses of NKX3.1 (8p21) and PTEN (10q23), gains of AR (the androgen receptor gene) and fusion of ETS family transcription factor genes with androgen-responsive promoters. Recurrent somatic base-pair substitutions are believed to be less contributory in prostate tumorigenesis but have not been systematically analyzed in large cohorts. Here, we sequenced the exomes of 112 prostate tumor and normal tissue pairs. New recurrent mutations were identified in multiple genes, including MED12 and FOXA1. SPOP was the most frequently mutated gene, with mutations involving the SPOP substrate-binding cleft in 6-15% of tumors across multiple independent cohorts. Prostate cancers with mutant SPOP lacked ETS family gene rearrangements and showed a distinct pattern of genomic alterations. Thus, SPOP mutations may define a new molecular subtype of prostate cancer. © 2012 Nature America, Inc. All rights reserved.","author":[{"dropping-particle":"","family":"Barbieri","given":"Christopher E.","non-dropping-particle":"","parse-names":false,"suffix":""},{"dropping-particle":"","family":"Baca","given":"Sylvan C.","non-dropping-particle":"","parse-names":false,"suffix":""},{"dropping-particle":"","family":"Lawrence","given":"Michael S.","non-dropping-particle":"","parse-names":false,"suffix":""},{"dropping-particle":"","family":"Demichelis","given":"Francesca","non-dropping-particle":"","parse-names":false,"suffix":""},{"dropping-particle":"","family":"Blattner","given":"Mirjam","non-dropping-particle":"","parse-names":false,"suffix":""},{"dropping-particle":"","family":"Theurillat","given":"Jean Philippe","non-dropping-particle":"","parse-names":false,"suffix":""},{"dropping-particle":"","family":"White","given":"Thomas A.","non-dropping-particle":"","parse-names":false,"suffix":""},{"dropping-particle":"","family":"Stojanov","given":"Petar","non-dropping-particle":"","parse-names":false,"suffix":""},{"dropping-particle":"","family":"Allen","given":"Eliezer","non-dropping-particle":"Van","parse-names":false,"suffix":""},{"dropping-particle":"","family":"Stransky","given":"Nicolas","non-dropping-particle":"","parse-names":false,"suffix":""},{"dropping-particle":"","family":"Nickerson","given":"Elizabeth","non-dropping-particle":"","parse-names":false,"suffix":""},{"dropping-particle":"","family":"Chae","given":"Sung Suk","non-dropping-particle":"","parse-names":false,"suffix":""},{"dropping-particle":"","family":"Boysen","given":"Gunther","non-dropping-particle":"","parse-names":false,"suffix":""},{"dropping-particle":"","family":"Auclair","given":"Daniel","non-dropping-particle":"","parse-names":false,"suffix":""},{"dropping-particle":"","family":"Onofrio","given":"Robert C.","non-dropping-particle":"","parse-names":false,"suffix":""},{"dropping-particle":"","family":"Park","given":"Kyung","non-dropping-particle":"","parse-names":false,"suffix":""},{"dropping-particle":"","family":"Kitabayashi","given":"Naoki","non-dropping-particle":"","parse-names":false,"suffix":""},{"dropping-particle":"","family":"MacDonald","given":"Theresa Y.","non-dropping-particle":"","parse-names":false,"suffix":""},{"dropping-particle":"","family":"Sheikh","given":"Karen","non-dropping-particle":"","parse-names":false,"suffix":""},{"dropping-particle":"","family":"Vuong","given":"Terry","non-dropping-particle":"","parse-names":false,"suffix":""},{"dropping-particle":"","family":"Guiducci","given":"Candace","non-dropping-particle":"","parse-names":false,"suffix":""},{"dropping-particle":"","family":"Cibulskis","given":"Kristian","non-dropping-particle":"","parse-names":false,"suffix":""},{"dropping-particle":"","family":"Sivachenko","given":"Andrey","non-dropping-particle":"","parse-names":false,"suffix":""},{"dropping-particle":"","family":"Carter","given":"Scott L.","non-dropping-particle":"","parse-names":false,"suffix":""},{"dropping-particle":"","family":"Saksena","given":"Gordon","non-dropping-particle":"","parse-names":false,"suffix":""},{"dropping-particle":"","family":"Voet","given":"Douglas","non-dropping-particle":"","parse-names":false,"suffix":""},{"dropping-particle":"","family":"Hussain","given":"Wasay M.","non-dropping-particle":"","parse-names":false,"suffix":""},{"dropping-particle":"","family":"Ramos","given":"Alex H.","non-dropping-particle":"","parse-names":false,"suffix":""},{"dropping-particle":"","family":"Winckler","given":"Wendy","non-dropping-particle":"","parse-names":false,"suffix":""},{"dropping-particle":"","family":"Redman","given":"Michelle C.","non-dropping-particle":"","parse-names":false,"suffix":""},{"dropping-particle":"","family":"Ardlie","given":"Kristin","non-dropping-particle":"","parse-names":false,"suffix":""},{"dropping-particle":"","family":"Tewari","given":"Ashutosh K.","non-dropping-particle":"","parse-names":false,"suffix":""},{"dropping-particle":"","family":"Mosquera","given":"Juan Miguel","non-dropping-particle":"","parse-names":false,"suffix":""},{"dropping-particle":"","family":"Rupp","given":"Niels","non-dropping-particle":"","parse-names":false,"suffix":""},{"dropping-particle":"","family":"Wild","given":"Peter J.","non-dropping-particle":"","parse-names":false,"suffix":""},{"dropping-particle":"","family":"Moch","given":"Holger","non-dropping-particle":"","parse-names":false,"suffix":""},{"dropping-particle":"","family":"Morrissey","given":"Colm","non-dropping-particle":"","parse-names":false,"suffix":""},{"dropping-particle":"","family":"Nelson","given":"Peter S.","non-dropping-particle":"","parse-names":false,"suffix":""},{"dropping-particle":"","family":"Kantoff","given":"Philip W.","non-dropping-particle":"","parse-names":false,"suffix":""},{"dropping-particle":"","family":"Gabriel","given":"Stacey B.","non-dropping-particle":"","parse-names":false,"suffix":""},{"dropping-particle":"","family":"Golub","given":"Todd R.","non-dropping-particle":"","parse-names":false,"suffix":""},{"dropping-particle":"","family":"Meyerson","given":"Matthew","non-dropping-particle":"","parse-names":false,"suffix":""},{"dropping-particle":"","family":"Lander","given":"Eric S.","non-dropping-particle":"","parse-names":false,"suffix":""},{"dropping-particle":"","family":"Getz","given":"Gad","non-dropping-particle":"","parse-names":false,"suffix":""},{"dropping-particle":"","family":"Rubin","given":"Mark A.","non-dropping-particle":"","parse-names":false,"suffix":""},{"dropping-particle":"","family":"Garraway","given":"Levi A.","non-dropping-particle":"","parse-names":false,"suffix":""}],"container-title":"Nature Genetics","id":"ITEM-1","issue":"6","issued":{"date-parts":[["2012"]]},"note":"all exomes with SPOP mutations lacked the TMPRSS2-ERG fusion or other ETS family gene rearrangements present in up to 50% of prostate cancers","page":"685-689","publisher":"Nature Publishing Group","title":"Exome sequencing identifies recurrent SPOP, FOXA1 and MED12 mutations in prostate cancer","type":"article-journal","volume":"44"},"uris":["http://www.mendeley.com/documents/?uuid=6c54687b-8452-4c36-80c8-e813e95b8f33"]}],"mendeley":{"formattedCitation":"&lt;sup&gt;27&lt;/sup&gt;","plainTextFormattedCitation":"27","previouslyFormattedCitation":"[27]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27</w:t>
      </w:r>
      <w:r w:rsidRPr="00C83EDC">
        <w:rPr>
          <w:lang w:val="en-GB"/>
        </w:rPr>
        <w:fldChar w:fldCharType="end"/>
      </w:r>
      <w:r w:rsidRPr="00C83EDC">
        <w:rPr>
          <w:lang w:val="en-GB"/>
        </w:rPr>
        <w:t xml:space="preserve">. </w:t>
      </w:r>
      <w:r w:rsidRPr="00C83EDC">
        <w:rPr>
          <w:i/>
          <w:lang w:val="en-GB"/>
        </w:rPr>
        <w:t>SPOP</w:t>
      </w:r>
      <w:r w:rsidRPr="00C83EDC">
        <w:rPr>
          <w:lang w:val="en-GB"/>
        </w:rPr>
        <w:t xml:space="preserve"> codes for an adaptor protein of a </w:t>
      </w:r>
      <w:proofErr w:type="spellStart"/>
      <w:r w:rsidRPr="00C83EDC">
        <w:rPr>
          <w:lang w:val="en-GB"/>
        </w:rPr>
        <w:t>Cullin</w:t>
      </w:r>
      <w:proofErr w:type="spellEnd"/>
      <w:r w:rsidRPr="00C83EDC">
        <w:rPr>
          <w:lang w:val="en-GB"/>
        </w:rPr>
        <w:t>-based E3 ubiquitin ligase which specifically bind</w:t>
      </w:r>
      <w:r>
        <w:rPr>
          <w:lang w:val="en-GB"/>
        </w:rPr>
        <w:t>s</w:t>
      </w:r>
      <w:r w:rsidRPr="00C83EDC">
        <w:rPr>
          <w:lang w:val="en-GB"/>
        </w:rPr>
        <w:t xml:space="preserve"> substrates and thus mediates their ubiquitin-dependant degradation by the proteasome. Mutations in the SPOP binding domain result in an impaired ability to bind substrates such as androgen receptor or steroid receptor coactivator. In this way, substrates escape degradation and their subsequently altered levels in the androgen signalling pathway contribute to prostate cancer development</w:t>
      </w:r>
      <w:r w:rsidRPr="00C83EDC">
        <w:rPr>
          <w:lang w:val="en-GB"/>
        </w:rPr>
        <w:fldChar w:fldCharType="begin" w:fldLock="1"/>
      </w:r>
      <w:r w:rsidR="000C069C">
        <w:rPr>
          <w:lang w:val="en-GB"/>
        </w:rPr>
        <w:instrText>ADDIN CSL_CITATION {"citationItems":[{"id":"ITEM-1","itemData":{"DOI":"10.1016/j.drudis.2014.07.009","ISSN":"18785832","abstract":"Speckle-type POZ (pox virus and zinc finger protein) protein (SPOP) is an E3 ubiquitin ligase adaptor protein that is frequently mutated in prostate and endometrial cancers. All the cancer-associated SPOP mutations reported to date are clustered in the meprin and TRAF (Tumor necrosis factor receptor-associated factor) homology (MATH) domain, presumably affecting substrate binding. SPOP mutations in prostate cancer are mutually exclusive with the ETS (Erythroblast transformation-specific) family gene rearrangements and define a distinct molecular subclass of prostate cancer. SPOP mutations contribute to prostate cancer development by altering the steady-state levels of key components in the androgen-signaling pathway.","author":[{"dropping-particle":"","family":"Mani","given":"Ram Shankar","non-dropping-particle":"","parse-names":false,"suffix":""}],"container-title":"Drug Discovery Today","id":"ITEM-1","issue":"9","issued":{"date-parts":[["2014"]]},"page":"1498-1502","publisher":"Elsevier Ltd","title":"The emerging role of speckle-type POZ protein (SPOP) in cancer development","type":"article-journal","volume":"19"},"uris":["http://www.mendeley.com/documents/?uuid=2b7d0ed0-d07c-47c5-a216-3b8b90b6a45e"]}],"mendeley":{"formattedCitation":"&lt;sup&gt;28&lt;/sup&gt;","plainTextFormattedCitation":"28","previouslyFormattedCitation":"[28]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28</w:t>
      </w:r>
      <w:r w:rsidRPr="00C83EDC">
        <w:rPr>
          <w:lang w:val="en-GB"/>
        </w:rPr>
        <w:fldChar w:fldCharType="end"/>
      </w:r>
      <w:r w:rsidRPr="00C83EDC">
        <w:rPr>
          <w:lang w:val="en-GB"/>
        </w:rPr>
        <w:t>.</w:t>
      </w:r>
    </w:p>
    <w:p w14:paraId="153EEFB4" w14:textId="380ADE9F" w:rsidR="00EE7EB3" w:rsidRPr="00C83EDC" w:rsidRDefault="00EE7EB3" w:rsidP="00EE7EB3">
      <w:pPr>
        <w:pStyle w:val="Dalodstavce"/>
        <w:rPr>
          <w:lang w:val="en-GB"/>
        </w:rPr>
      </w:pPr>
      <w:r w:rsidRPr="00C83EDC">
        <w:rPr>
          <w:lang w:val="en-GB"/>
        </w:rPr>
        <w:t xml:space="preserve">Another recurrently mutated gene was found to be </w:t>
      </w:r>
      <w:proofErr w:type="spellStart"/>
      <w:r w:rsidRPr="00C83EDC">
        <w:rPr>
          <w:lang w:val="en-GB"/>
        </w:rPr>
        <w:t>forkhead</w:t>
      </w:r>
      <w:proofErr w:type="spellEnd"/>
      <w:r w:rsidRPr="00C83EDC">
        <w:rPr>
          <w:lang w:val="en-GB"/>
        </w:rPr>
        <w:t xml:space="preserve"> box A1 (</w:t>
      </w:r>
      <w:r w:rsidRPr="00C83EDC">
        <w:rPr>
          <w:i/>
          <w:lang w:val="en-GB"/>
        </w:rPr>
        <w:t>FOXA1</w:t>
      </w:r>
      <w:r w:rsidRPr="00C83EDC">
        <w:rPr>
          <w:iCs/>
          <w:lang w:val="en-GB"/>
        </w:rPr>
        <w:t>)</w:t>
      </w:r>
      <w:r w:rsidRPr="00C83EDC">
        <w:rPr>
          <w:lang w:val="en-GB"/>
        </w:rPr>
        <w:t xml:space="preserve">. Its product belongs to a family of transcription factors that are distinguished by their </w:t>
      </w:r>
      <w:proofErr w:type="spellStart"/>
      <w:r w:rsidRPr="00C83EDC">
        <w:rPr>
          <w:lang w:val="en-GB"/>
        </w:rPr>
        <w:t>forkhead</w:t>
      </w:r>
      <w:proofErr w:type="spellEnd"/>
      <w:r w:rsidRPr="00C83EDC">
        <w:rPr>
          <w:lang w:val="en-GB"/>
        </w:rPr>
        <w:t xml:space="preserve"> DNA-binding domain (FKHD). Apart from its ability to bind DNA, FOXA1 can open compacted chromatin to increase the rate of DNA transcription</w:t>
      </w:r>
      <w:r w:rsidRPr="00C83EDC">
        <w:rPr>
          <w:lang w:val="en-GB"/>
        </w:rPr>
        <w:fldChar w:fldCharType="begin" w:fldLock="1"/>
      </w:r>
      <w:r w:rsidR="000C069C">
        <w:rPr>
          <w:lang w:val="en-GB"/>
        </w:rPr>
        <w:instrText>ADDIN CSL_CITATION {"citationItems":[{"id":"ITEM-1","itemData":{"DOI":"10.1016/j.ccell.2019.07.005","ISSN":"18783686","abstract":"FOXA1 mutations occur frequently in prostate cancer and are associated with a worse clinical outcome. However, the mechanism by which these mutations act was until now largely unknown. Two recent publications clearly demonstrate that FOXA1 acts as an oncogene in prostate cancer and delineate the phenotypic effects of distinct classes of FOXA1 alterations.","author":[{"dropping-particle":"","family":"Shah","given":"Neel","non-dropping-particle":"","parse-names":false,"suffix":""},{"dropping-particle":"","family":"Brown","given":"M.","non-dropping-particle":"","parse-names":false,"suffix":""}],"container-title":"Cancer Cell","id":"ITEM-1","issue":"2","issued":{"date-parts":[["2019"]]},"page":"119-121","publisher":"Elsevier Inc.","title":"The Sly Oncogene: FOXA1 Mutations in Prostate Cancer","type":"article-journal","volume":"36"},"uris":["http://www.mendeley.com/documents/?uuid=23db98c7-6d0e-42a8-acd0-070738063f58"]}],"mendeley":{"formattedCitation":"&lt;sup&gt;29&lt;/sup&gt;","plainTextFormattedCitation":"29","previouslyFormattedCitation":"[29]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29</w:t>
      </w:r>
      <w:r w:rsidRPr="00C83EDC">
        <w:rPr>
          <w:lang w:val="en-GB"/>
        </w:rPr>
        <w:fldChar w:fldCharType="end"/>
      </w:r>
      <w:r w:rsidRPr="00C83EDC">
        <w:rPr>
          <w:lang w:val="en-GB"/>
        </w:rPr>
        <w:t xml:space="preserve">. The protein also plays a key role in epithelial cell differentiation in a mouse model of prostate cancer and it is important for cell cycle progression in </w:t>
      </w:r>
      <w:r>
        <w:rPr>
          <w:lang w:val="en-GB"/>
        </w:rPr>
        <w:t>CRPC</w:t>
      </w:r>
      <w:r w:rsidRPr="00C83EDC">
        <w:rPr>
          <w:lang w:val="en-GB"/>
        </w:rPr>
        <w:t>. Moreover, FOXA1 activ</w:t>
      </w:r>
      <w:r>
        <w:rPr>
          <w:lang w:val="en-GB"/>
        </w:rPr>
        <w:t>at</w:t>
      </w:r>
      <w:r w:rsidRPr="00C83EDC">
        <w:rPr>
          <w:lang w:val="en-GB"/>
        </w:rPr>
        <w:t>es prostatic genes through interaction with androgen receptor</w:t>
      </w:r>
      <w:r w:rsidRPr="00C83EDC">
        <w:rPr>
          <w:lang w:val="en-GB"/>
        </w:rPr>
        <w:fldChar w:fldCharType="begin" w:fldLock="1"/>
      </w:r>
      <w:r w:rsidR="000C069C">
        <w:rPr>
          <w:lang w:val="en-GB"/>
        </w:rPr>
        <w:instrText>ADDIN CSL_CITATION {"citationItems":[{"id":"ITEM-1","itemData":{"DOI":"10.1038/ng.2279","ISSN":"10614036","abstract":"Prostate cancer is the second most common cancer in men worldwide and causes over 250,000 deaths each year. Overtreatment of indolent disease also results in significant morbidity. Common genetic alterations in prostate cancer include losses of NKX3.1 (8p21) and PTEN (10q23), gains of AR (the androgen receptor gene) and fusion of ETS family transcription factor genes with androgen-responsive promoters. Recurrent somatic base-pair substitutions are believed to be less contributory in prostate tumorigenesis but have not been systematically analyzed in large cohorts. Here, we sequenced the exomes of 112 prostate tumor and normal tissue pairs. New recurrent mutations were identified in multiple genes, including MED12 and FOXA1. SPOP was the most frequently mutated gene, with mutations involving the SPOP substrate-binding cleft in 6-15% of tumors across multiple independent cohorts. Prostate cancers with mutant SPOP lacked ETS family gene rearrangements and showed a distinct pattern of genomic alterations. Thus, SPOP mutations may define a new molecular subtype of prostate cancer. © 2012 Nature America, Inc. All rights reserved.","author":[{"dropping-particle":"","family":"Barbieri","given":"Christopher E.","non-dropping-particle":"","parse-names":false,"suffix":""},{"dropping-particle":"","family":"Baca","given":"Sylvan C.","non-dropping-particle":"","parse-names":false,"suffix":""},{"dropping-particle":"","family":"Lawrence","given":"Michael S.","non-dropping-particle":"","parse-names":false,"suffix":""},{"dropping-particle":"","family":"Demichelis","given":"Francesca","non-dropping-particle":"","parse-names":false,"suffix":""},{"dropping-particle":"","family":"Blattner","given":"Mirjam","non-dropping-particle":"","parse-names":false,"suffix":""},{"dropping-particle":"","family":"Theurillat","given":"Jean Philippe","non-dropping-particle":"","parse-names":false,"suffix":""},{"dropping-particle":"","family":"White","given":"Thomas A.","non-dropping-particle":"","parse-names":false,"suffix":""},{"dropping-particle":"","family":"Stojanov","given":"Petar","non-dropping-particle":"","parse-names":false,"suffix":""},{"dropping-particle":"","family":"Allen","given":"Eliezer","non-dropping-particle":"Van","parse-names":false,"suffix":""},{"dropping-particle":"","family":"Stransky","given":"Nicolas","non-dropping-particle":"","parse-names":false,"suffix":""},{"dropping-particle":"","family":"Nickerson","given":"Elizabeth","non-dropping-particle":"","parse-names":false,"suffix":""},{"dropping-particle":"","family":"Chae","given":"Sung Suk","non-dropping-particle":"","parse-names":false,"suffix":""},{"dropping-particle":"","family":"Boysen","given":"Gunther","non-dropping-particle":"","parse-names":false,"suffix":""},{"dropping-particle":"","family":"Auclair","given":"Daniel","non-dropping-particle":"","parse-names":false,"suffix":""},{"dropping-particle":"","family":"Onofrio","given":"Robert C.","non-dropping-particle":"","parse-names":false,"suffix":""},{"dropping-particle":"","family":"Park","given":"Kyung","non-dropping-particle":"","parse-names":false,"suffix":""},{"dropping-particle":"","family":"Kitabayashi","given":"Naoki","non-dropping-particle":"","parse-names":false,"suffix":""},{"dropping-particle":"","family":"MacDonald","given":"Theresa Y.","non-dropping-particle":"","parse-names":false,"suffix":""},{"dropping-particle":"","family":"Sheikh","given":"Karen","non-dropping-particle":"","parse-names":false,"suffix":""},{"dropping-particle":"","family":"Vuong","given":"Terry","non-dropping-particle":"","parse-names":false,"suffix":""},{"dropping-particle":"","family":"Guiducci","given":"Candace","non-dropping-particle":"","parse-names":false,"suffix":""},{"dropping-particle":"","family":"Cibulskis","given":"Kristian","non-dropping-particle":"","parse-names":false,"suffix":""},{"dropping-particle":"","family":"Sivachenko","given":"Andrey","non-dropping-particle":"","parse-names":false,"suffix":""},{"dropping-particle":"","family":"Carter","given":"Scott L.","non-dropping-particle":"","parse-names":false,"suffix":""},{"dropping-particle":"","family":"Saksena","given":"Gordon","non-dropping-particle":"","parse-names":false,"suffix":""},{"dropping-particle":"","family":"Voet","given":"Douglas","non-dropping-particle":"","parse-names":false,"suffix":""},{"dropping-particle":"","family":"Hussain","given":"Wasay M.","non-dropping-particle":"","parse-names":false,"suffix":""},{"dropping-particle":"","family":"Ramos","given":"Alex H.","non-dropping-particle":"","parse-names":false,"suffix":""},{"dropping-particle":"","family":"Winckler","given":"Wendy","non-dropping-particle":"","parse-names":false,"suffix":""},{"dropping-particle":"","family":"Redman","given":"Michelle C.","non-dropping-particle":"","parse-names":false,"suffix":""},{"dropping-particle":"","family":"Ardlie","given":"Kristin","non-dropping-particle":"","parse-names":false,"suffix":""},{"dropping-particle":"","family":"Tewari","given":"Ashutosh K.","non-dropping-particle":"","parse-names":false,"suffix":""},{"dropping-particle":"","family":"Mosquera","given":"Juan Miguel","non-dropping-particle":"","parse-names":false,"suffix":""},{"dropping-particle":"","family":"Rupp","given":"Niels","non-dropping-particle":"","parse-names":false,"suffix":""},{"dropping-particle":"","family":"Wild","given":"Peter J.","non-dropping-particle":"","parse-names":false,"suffix":""},{"dropping-particle":"","family":"Moch","given":"Holger","non-dropping-particle":"","parse-names":false,"suffix":""},{"dropping-particle":"","family":"Morrissey","given":"Colm","non-dropping-particle":"","parse-names":false,"suffix":""},{"dropping-particle":"","family":"Nelson","given":"Peter S.","non-dropping-particle":"","parse-names":false,"suffix":""},{"dropping-particle":"","family":"Kantoff","given":"Philip W.","non-dropping-particle":"","parse-names":false,"suffix":""},{"dropping-particle":"","family":"Gabriel","given":"Stacey B.","non-dropping-particle":"","parse-names":false,"suffix":""},{"dropping-particle":"","family":"Golub","given":"Todd R.","non-dropping-particle":"","parse-names":false,"suffix":""},{"dropping-particle":"","family":"Meyerson","given":"Matthew","non-dropping-particle":"","parse-names":false,"suffix":""},{"dropping-particle":"","family":"Lander","given":"Eric S.","non-dropping-particle":"","parse-names":false,"suffix":""},{"dropping-particle":"","family":"Getz","given":"Gad","non-dropping-particle":"","parse-names":false,"suffix":""},{"dropping-particle":"","family":"Rubin","given":"Mark A.","non-dropping-particle":"","parse-names":false,"suffix":""},{"dropping-particle":"","family":"Garraway","given":"Levi A.","non-dropping-particle":"","parse-names":false,"suffix":""}],"container-title":"Nature Genetics","id":"ITEM-1","issue":"6","issued":{"date-parts":[["2012"]]},"note":"all exomes with SPOP mutations lacked the TMPRSS2-ERG fusion or other ETS family gene rearrangements present in up to 50% of prostate cancers","page":"685-689","publisher":"Nature Publishing Group","title":"Exome sequencing identifies recurrent SPOP, FOXA1 and MED12 mutations in prostate cancer","type":"article-journal","volume":"44"},"uris":["http://www.mendeley.com/documents/?uuid=6c54687b-8452-4c36-80c8-e813e95b8f33"]},{"id":"ITEM-2","itemData":{"DOI":"10.1210/me.2003-0020","ISSN":"08888809","abstract":"Androgens and mesenchymal factors are essential extracellular signals for the development as well as the functional activity of the prostate epithelium. Little is known of the intraepithelial determinants that are involved in prostatic differentiation. Here we found that hepatocyte nuclear factor-3α (HNF-3α), an endoderm developmental factor, is essential for androgen receptor (AR)-mediated prostatic gene activation. Two HNF-3 cis-regulatory elements were identified in the rat probasin (PB) gene promoter, each immediately adjacent to an androgen response element. Remarkably, similar organization of HNF-3 and AR binding sites was observed in the prostate-specific antigen (PSA) gene core enhancer, suggesting a common functional mechanism. Mutations that disrupt these HNF-3 motifs significantly abolished the maximal androgen induction of PB and PSA activities. Overexpressing a mutant HNF-3α deleted in the C-terminal region inhibited the androgen-induced promoter activity in LNCaP cells where endogenous HNF-3α is expressed. Chromatin immunoprecipitation revealed in vivo that the occupancy of HNF-3α on PSA enhancer can occur in an androgen-depleted condition, and before the recruitment of ligand-bound AR. A physical interaction of HNF-3α and AR was detected through immunoprecipitation and confirmed by glutathione-S-transferase pull-down. This interaction is directly mediated through the DNA-binding domain/hinge region of AR and the forkhead domain of HNF-3α. In addition, strong HNF-3α expression, but not HNF-3β or HNF-3γ, is detected in both human and mouse prostatic epithelial cells where markers (PSA and PB) of differentiation are expressed. Taken together, these data support a model in which regulatory cues from the cell lineage and the extracellular environment coordinately establish the prostatic differentiated response.","author":[{"dropping-particle":"","family":"Gao","given":"Nan","non-dropping-particle":"","parse-names":false,"suffix":""},{"dropping-particle":"","family":"Zhang","given":"Jianfeng","non-dropping-particle":"","parse-names":false,"suffix":""},{"dropping-particle":"","family":"Rao","given":"Mira A.","non-dropping-particle":"","parse-names":false,"suffix":""},{"dropping-particle":"","family":"Case","given":"Thomas C.","non-dropping-particle":"","parse-names":false,"suffix":""},{"dropping-particle":"","family":"Mirosevich","given":"Janni","non-dropping-particle":"","parse-names":false,"suffix":""},{"dropping-particle":"","family":"Wang","given":"Yongqing","non-dropping-particle":"","parse-names":false,"suffix":""},{"dropping-particle":"","family":"Jin","given":"Renjie","non-dropping-particle":"","parse-names":false,"suffix":""},{"dropping-particle":"","family":"Gupta","given":"Aparna","non-dropping-particle":"","parse-names":false,"suffix":""},{"dropping-particle":"","family":"Rennie","given":"Paul S.","non-dropping-particle":"","parse-names":false,"suffix":""},{"dropping-particle":"","family":"Matusik","given":"Robert J.","non-dropping-particle":"","parse-names":false,"suffix":""}],"container-title":"Molecular Endocrinology","id":"ITEM-2","issue":"8","issued":{"date-parts":[["2003"]]},"page":"1484-1507","title":"The role of hepatocyte nuclear factor-3α (forkhead box A1) and androgen receptor in transcriptional regulation of prostatic genes","type":"article-journal","volume":"17"},"uris":["http://www.mendeley.com/documents/?uuid=c5337da2-fbfa-4f65-85df-bb8bc4d016d0"]}],"mendeley":{"formattedCitation":"&lt;sup&gt;27,30&lt;/sup&gt;","plainTextFormattedCitation":"27,30","previouslyFormattedCitation":"[27], [30]"},"properties":{"noteIndex":0},"schema":"https://github.com/citation-style-language/schema/raw/master/csl-citation.json"}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27,30</w:t>
      </w:r>
      <w:r w:rsidRPr="00C83EDC">
        <w:rPr>
          <w:lang w:val="en-GB"/>
        </w:rPr>
        <w:fldChar w:fldCharType="end"/>
      </w:r>
      <w:r w:rsidRPr="00C83EDC">
        <w:rPr>
          <w:lang w:val="en-GB"/>
        </w:rPr>
        <w:t xml:space="preserve">. Recurrent mutations in the </w:t>
      </w:r>
      <w:r w:rsidRPr="00C83EDC">
        <w:rPr>
          <w:i/>
          <w:lang w:val="en-GB"/>
        </w:rPr>
        <w:t>FOXA1</w:t>
      </w:r>
      <w:r w:rsidRPr="00C83EDC">
        <w:rPr>
          <w:lang w:val="en-GB"/>
        </w:rPr>
        <w:t xml:space="preserve"> were observed in about 4% of primary prostate cancer samples and their frequency increased to approximately 10% in metastatic</w:t>
      </w:r>
      <w:r>
        <w:rPr>
          <w:lang w:val="en-GB"/>
        </w:rPr>
        <w:t xml:space="preserve"> </w:t>
      </w:r>
      <w:r w:rsidRPr="00C83EDC">
        <w:rPr>
          <w:lang w:val="en-GB"/>
        </w:rPr>
        <w:t>CRPC. About 60−80% of the detected mutations impacted the Wing2 region of FKHD</w:t>
      </w:r>
      <w:r w:rsidRPr="00C83EDC">
        <w:rPr>
          <w:lang w:val="en-GB"/>
        </w:rPr>
        <w:fldChar w:fldCharType="begin" w:fldLock="1"/>
      </w:r>
      <w:r w:rsidR="000C069C">
        <w:rPr>
          <w:lang w:val="en-GB"/>
        </w:rPr>
        <w:instrText>ADDIN CSL_CITATION {"citationItems":[{"id":"ITEM-1","itemData":{"DOI":"10.1038/s41422-019-0203-2","ISSN":"17487838","author":[{"dropping-particle":"","family":"Gao","given":"Shuai","non-dropping-particle":"","parse-names":false,"suffix":""},{"dropping-particle":"","family":"Chen","given":"Sujun","non-dropping-particle":"","parse-names":false,"suffix":""},{"dropping-particle":"","family":"Han","given":"Dong","non-dropping-particle":"","parse-names":false,"suffix":""},{"dropping-particle":"","family":"Barrett","given":"David","non-dropping-particle":"","parse-names":false,"suffix":""},{"dropping-particle":"","family":"Han","given":"Wanting","non-dropping-particle":"","parse-names":false,"suffix":""},{"dropping-particle":"","family":"Ahmed","given":"Musaddeque","non-dropping-particle":"","parse-names":false,"suffix":""},{"dropping-particle":"","family":"Patalano","given":"Susan","non-dropping-particle":"","parse-names":false,"suffix":""},{"dropping-particle":"","family":"Macoska","given":"Jill A.","non-dropping-particle":"","parse-names":false,"suffix":""},{"dropping-particle":"","family":"He","given":"Housheng Hansen","non-dropping-particle":"","parse-names":false,"suffix":""},{"dropping-particle":"","family":"Cai","given":"Changmeng","non-dropping-particle":"","parse-names":false,"suffix":""}],"container-title":"Cell Research","id":"ITEM-1","issue":"9","issued":{"date-parts":[["2019"]]},"page":"770-772","title":"Forkhead domain mutations in FOXA1 drive prostate cancer progression","type":"article-journal","volume":"29"},"uris":["http://www.mendeley.com/documents/?uuid=816e2943-8a13-456f-851e-e134bcc10937"]}],"mendeley":{"formattedCitation":"&lt;sup&gt;31&lt;/sup&gt;","plainTextFormattedCitation":"31","previouslyFormattedCitation":"[31]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31</w:t>
      </w:r>
      <w:r w:rsidRPr="00C83EDC">
        <w:rPr>
          <w:lang w:val="en-GB"/>
        </w:rPr>
        <w:fldChar w:fldCharType="end"/>
      </w:r>
      <w:r w:rsidRPr="00C83EDC">
        <w:rPr>
          <w:lang w:val="en-GB"/>
        </w:rPr>
        <w:t>.</w:t>
      </w:r>
    </w:p>
    <w:p w14:paraId="2A7E8EEE" w14:textId="03C7E324" w:rsidR="00EE7EB3" w:rsidRPr="00C83EDC" w:rsidRDefault="00EE7EB3" w:rsidP="00EE7EB3">
      <w:pPr>
        <w:pStyle w:val="Dalodstavce"/>
        <w:rPr>
          <w:lang w:val="en-GB"/>
        </w:rPr>
      </w:pPr>
      <w:r w:rsidRPr="00C83EDC">
        <w:rPr>
          <w:rFonts w:cstheme="minorHAnsi"/>
          <w:lang w:val="en-GB"/>
        </w:rPr>
        <w:t xml:space="preserve">Around 1% of primary prostate cancer patients harbour mutations in </w:t>
      </w:r>
      <w:r w:rsidRPr="00C83EDC">
        <w:rPr>
          <w:rFonts w:cstheme="minorHAnsi"/>
          <w:i/>
          <w:lang w:val="en-GB"/>
        </w:rPr>
        <w:t>IDH1</w:t>
      </w:r>
      <w:r w:rsidRPr="00C83EDC">
        <w:rPr>
          <w:rFonts w:cstheme="minorHAnsi"/>
          <w:lang w:val="en-GB"/>
        </w:rPr>
        <w:t xml:space="preserve"> gene. Although </w:t>
      </w:r>
      <w:r w:rsidRPr="00C83EDC">
        <w:rPr>
          <w:rFonts w:cstheme="minorHAnsi"/>
          <w:i/>
          <w:lang w:val="en-GB"/>
        </w:rPr>
        <w:t>IDH1</w:t>
      </w:r>
      <w:r w:rsidRPr="00C83EDC">
        <w:rPr>
          <w:rFonts w:cstheme="minorHAnsi"/>
          <w:lang w:val="en-GB"/>
        </w:rPr>
        <w:t xml:space="preserve"> mutant tumours are not so common in prostate cancer, their sharply increased levels of DNA methylation across the whole genome are of interest. Mutated </w:t>
      </w:r>
      <w:r w:rsidRPr="00C83EDC">
        <w:rPr>
          <w:rFonts w:cstheme="minorHAnsi"/>
          <w:i/>
          <w:lang w:val="en-GB"/>
        </w:rPr>
        <w:t>IDH1</w:t>
      </w:r>
      <w:r w:rsidRPr="00C83EDC">
        <w:rPr>
          <w:rFonts w:cstheme="minorHAnsi"/>
          <w:lang w:val="en-GB"/>
        </w:rPr>
        <w:t xml:space="preserve"> and </w:t>
      </w:r>
      <w:r w:rsidRPr="00C83EDC">
        <w:rPr>
          <w:rFonts w:cstheme="minorHAnsi"/>
          <w:i/>
          <w:lang w:val="en-GB"/>
        </w:rPr>
        <w:t xml:space="preserve">IDH2 </w:t>
      </w:r>
      <w:r w:rsidRPr="00C83EDC">
        <w:rPr>
          <w:rFonts w:cstheme="minorHAnsi"/>
          <w:lang w:val="en-GB"/>
        </w:rPr>
        <w:t>genes manifest genome-wide hypermethylation phenotype in other cancers, particular</w:t>
      </w:r>
      <w:r>
        <w:rPr>
          <w:rFonts w:cstheme="minorHAnsi"/>
          <w:lang w:val="en-GB"/>
        </w:rPr>
        <w:t>ly in</w:t>
      </w:r>
      <w:r w:rsidRPr="00C83EDC">
        <w:rPr>
          <w:rFonts w:cstheme="minorHAnsi"/>
          <w:lang w:val="en-GB"/>
        </w:rPr>
        <w:t xml:space="preserve"> gliomas and acute myeloid leukaemia. Interestingly, those levels are not as high as the ones observed in prostate cancer</w:t>
      </w:r>
      <w:r w:rsidRPr="00C83EDC">
        <w:rPr>
          <w:rFonts w:cstheme="minorHAnsi"/>
          <w:lang w:val="en-GB"/>
        </w:rPr>
        <w:fldChar w:fldCharType="begin" w:fldLock="1"/>
      </w:r>
      <w:r w:rsidR="000C069C">
        <w:rPr>
          <w:rFonts w:cstheme="minorHAnsi"/>
          <w:lang w:val="en-GB"/>
        </w:rPr>
        <w:instrText>ADDIN CSL_CITATION {"citationItems":[{"id":"ITEM-1","itemData":{"DOI":"10.1016/j.cell.2015.10.025","ISSN":"10974172","abstract":"Summary There is substantial heterogeneity among primary prostate cancers, evident in the spectrum of molecular abnormalities and its variable clinical course. As part of The Cancer Genome Atlas (TCGA), we present a comprehensive molecular analysis of 333 primary prostate carcinomas. Our results revealed a molecular taxonomy in which 74% of these tumors fell into one of seven subtypes defined by specific gene fusions (ERG, ETV1/4, and FLI1) or mutations (SPOP, FOXA1, and IDH1). Epigenetic profiles showed substantial heterogeneity, including an IDH1 mutant subset with a methylator phenotype. Androgen receptor (AR) activity varied widely and in a subtype-specific manner, with SPOP and FOXA1 mutant tumors having the highest levels of AR-induced transcripts. 25% of the prostate cancers had a presumed actionable lesion in the PI3K or MAPK signaling pathways, and DNA repair genes were inactivated in 19%. Our analysis reveals molecular heterogeneity among primary prostate cancers, as well as potentially actionable molecular defects.","author":[{"dropping-particle":"","family":"Abeshouse","given":"Adam","non-dropping-particle":"","parse-names":false,"suffix":""},{"dropping-particle":"","family":"Ahn","given":"Jaeil","non-dropping-particle":"","parse-names":false,"suffix":""},{"dropping-particle":"","family":"Akbani","given":"Rehan","non-dropping-particle":"","parse-names":false,"suffix":""},{"dropping-particle":"","family":"Ally","given":"Adrian","non-dropping-particle":"","parse-names":false,"suffix":""},{"dropping-particle":"","family":"Amin","given":"Samirkumar","non-dropping-particle":"","parse-names":false,"suffix":""},{"dropping-particle":"","family":"Andry","given":"Christopher D.","non-dropping-particle":"","parse-names":false,"suffix":""},{"dropping-particle":"","family":"Annala","given":"Matti","non-dropping-particle":"","parse-names":false,"suffix":""},{"dropping-particle":"","family":"Aprikian","given":"Armen","non-dropping-particle":"","parse-names":false,"suffix":""},{"dropping-particle":"","family":"Armenia","given":"Joshua","non-dropping-particle":"","parse-names":false,"suffix":""},{"dropping-particle":"","family":"Arora","given":"Arshi","non-dropping-particle":"","parse-names":false,"suffix":""},{"dropping-particle":"","family":"Auman","given":"J. Todd","non-dropping-particle":"","parse-names":false,"suffix":""},{"dropping-particle":"","family":"Balasundaram","given":"Miruna","non-dropping-particle":"","parse-names":false,"suffix":""},{"dropping-particle":"","family":"Balu","given":"Saianand","non-dropping-particle":"","parse-names":false,"suffix":""},{"dropping-particle":"","family":"Barbieri","given":"Christopher E.","non-dropping-particle":"","parse-names":false,"suffix":""},{"dropping-particle":"","family":"Bauer","given":"Thomas","non-dropping-particle":"","parse-names":false,"suffix":""},{"dropping-particle":"","family":"Benz","given":"Christopher C.","non-dropping-particle":"","parse-names":false,"suffix":""},{"dropping-particle":"","family":"Bergeron","given":"Alain","non-dropping-particle":"","parse-names":false,"suffix":""},{"dropping-particle":"","family":"Beroukhim","given":"Rameen","non-dropping-particle":"","parse-names":false,"suffix":""},{"dropping-particle":"","family":"Berrios","given":"Mario","non-dropping-particle":"","parse-names":false,"suffix":""},{"dropping-particle":"","family":"Bivol","given":"Adrian","non-dropping-particle":"","parse-names":false,"suffix":""},{"dropping-particle":"","family":"Bodenheimer","given":"Tom","non-dropping-particle":"","parse-names":false,"suffix":""},{"dropping-particle":"","family":"Boice","given":"Lori","non-dropping-particle":"","parse-names":false,"suffix":""},{"dropping-particle":"","family":"Bootwalla","given":"Moiz S.","non-dropping-particle":"","parse-names":false,"suffix":""},{"dropping-particle":"","family":"Borges Dos Reis","given":"Rodolfo","non-dropping-particle":"","parse-names":false,"suffix":""},{"dropping-particle":"","family":"Boutros","given":"Paul C.","non-dropping-particle":"","parse-names":false,"suffix":""},{"dropping-particle":"","family":"Bowen","given":"Jay","non-dropping-particle":"","parse-names":false,"suffix":""},{"dropping-particle":"","family":"Bowlby","given":"Reanne","non-dropping-particle":"","parse-names":false,"suffix":""},{"dropping-particle":"","family":"Boyd","given":"Jeffrey","non-dropping-particle":"","parse-names":false,"suffix":""},{"dropping-particle":"","family":"Bradley","given":"Robert K.","non-dropping-particle":"","parse-names":false,"suffix":""},{"dropping-particle":"","family":"Breggia","given":"Anne","non-dropping-particle":"","parse-names":false,"suffix":""},{"dropping-particle":"","family":"Brimo","given":"Fadi","non-dropping-particle":"","parse-names":false,"suffix":""},{"dropping-particle":"","family":"Bristow","given":"Christopher A.","non-dropping-particle":"","parse-names":false,"suffix":""},{"dropping-particle":"","family":"Brooks","given":"Denise","non-dropping-particle":"","parse-names":false,"suffix":""},{"dropping-particle":"","family":"Broom","given":"Bradley M.","non-dropping-particle":"","parse-names":false,"suffix":""},{"dropping-particle":"","family":"Bryce","given":"Alan H.","non-dropping-particle":"","parse-names":false,"suffix":""},{"dropping-particle":"","family":"Bubley","given":"Glenn","non-dropping-particle":"","parse-names":false,"suffix":""},{"dropping-particle":"","family":"Burks","given":"Eric","non-dropping-particle":"","parse-names":false,"suffix":""},{"dropping-particle":"","family":"Butterfield","given":"Yaron S.N.","non-dropping-particle":"","parse-names":false,"suffix":""},{"dropping-particle":"","family":"Button","given":"Michael","non-dropping-particle":"","parse-names":false,"suffix":""},{"dropping-particle":"","family":"Canes","given":"David","non-dropping-particle":"","parse-names":false,"suffix":""},{"dropping-particle":"","family":"Carlotti","given":"Carlos G.","non-dropping-particle":"","parse-names":false,"suffix":""},{"dropping-particle":"","family":"Carlsen","given":"Rebecca","non-dropping-particle":"","parse-names":false,"suffix":""},{"dropping-particle":"","family":"Carmel","given":"Michel","non-dropping-particle":"","parse-names":false,"suffix":""},{"dropping-particle":"","family":"Carroll","given":"Peter R.","non-dropping-particle":"","parse-names":false,"suffix":""},{"dropping-particle":"","family":"Carter","given":"Scott L.","non-dropping-particle":"","parse-names":false,"suffix":""},{"dropping-particle":"","family":"Cartun","given":"Richard","non-dropping-particle":"","parse-names":false,"suffix":""},{"dropping-particle":"","family":"Carver","given":"Brett S.","non-dropping-particle":"","parse-names":false,"suffix":""},{"dropping-particle":"","family":"Chan","given":"June M.","non-dropping-particle":"","parse-names":false,"suffix":""},{"dropping-particle":"","family":"Chang","given":"Matthew T.","non-dropping-particle":"","parse-names":false,"suffix":""},{"dropping-particle":"","family":"Chen","given":"Yu","non-dropping-particle":"","parse-names":false,"suffix":""},{"dropping-particle":"","family":"Cherniack","given":"Andrew D.","non-dropping-particle":"","parse-names":false,"suffix":""},{"dropping-particle":"","family":"Chevalier","given":"Simone","non-dropping-particle":"","parse-names":false,"suffix":""},{"dropping-particle":"","family":"Chin","given":"Lynda","non-dropping-particle":"","parse-names":false,"suffix":""},{"dropping-particle":"","family":"Cho","given":"Juok","non-dropping-particle":"","parse-names":false,"suffix":""},{"dropping-particle":"","family":"Chu","given":"Andy","non-dropping-particle":"","parse-names":false,"suffix":""},{"dropping-particle":"","family":"Chuah","given":"Eric","non-dropping-particle":"","parse-names":false,"suffix":""},{"dropping-particle":"","family":"Chudamani","given":"Sudha","non-dropping-particle":"","parse-names":false,"suffix":""},{"dropping-particle":"","family":"Cibulskis","given":"Kristian","non-dropping-particle":"","parse-names":false,"suffix":""},{"dropping-particle":"","family":"Ciriello","given":"Giovanni","non-dropping-particle":"","parse-names":false,"suffix":""},{"dropping-particle":"","family":"Clarke","given":"Amanda","non-dropping-particle":"","parse-names":false,"suffix":""},{"dropping-particle":"","family":"Cooperberg","given":"Matthew R.","non-dropping-particle":"","parse-names":false,"suffix":""},{"dropping-particle":"","family":"Corcoran","given":"Niall M.","non-dropping-particle":"","parse-names":false,"suffix":""},{"dropping-particle":"","family":"Costello","given":"Anthony J.","non-dropping-particle":"","parse-names":false,"suffix":""},{"dropping-particle":"","family":"Cowan","given":"Janet","non-dropping-particle":"","parse-names":false,"suffix":""},{"dropping-particle":"","family":"Crain","given":"Daniel","non-dropping-particle":"","parse-names":false,"suffix":""},{"dropping-particle":"","family":"Curley","given":"Erin","non-dropping-particle":"","parse-names":false,"suffix":""},{"dropping-particle":"","family":"David","given":"Kerstin","non-dropping-particle":"","parse-names":false,"suffix":""},{"dropping-particle":"","family":"Demchok","given":"John A.","non-dropping-particle":"","parse-names":false,"suffix":""},{"dropping-particle":"","family":"Demichelis","given":"Francesca","non-dropping-particle":"","parse-names":false,"suffix":""},{"dropping-particle":"","family":"Dhalla","given":"Noreen","non-dropping-particle":"","parse-names":false,"suffix":""},{"dropping-particle":"","family":"Dhir","given":"Rajiv","non-dropping-particle":"","parse-names":false,"suffix":""},{"dropping-particle":"","family":"Doueik","given":"Alexandre","non-dropping-particle":"","parse-names":false,"suffix":""},{"dropping-particle":"","family":"Drake","given":"Bettina","non-dropping-particle":"","parse-names":false,"suffix":""},{"dropping-particle":"","family":"Dvinge","given":"Heidi","non-dropping-particle":"","parse-names":false,"suffix":""},{"dropping-particle":"","family":"Dyakova","given":"Natalya","non-dropping-particle":"","parse-names":false,"suffix":""},{"dropping-particle":"","family":"Felau","given":"Ina","non-dropping-particle":"","parse-names":false,"suffix":""},{"dropping-particle":"","family":"Ferguson","given":"Martin L.","non-dropping-particle":"","parse-names":false,"suffix":""},{"dropping-particle":"","family":"Frazer","given":"Scott","non-dropping-particle":"","parse-names":false,"suffix":""},{"dropping-particle":"","family":"Freedland","given":"Stephen","non-dropping-particle":"","parse-names":false,"suffix":""},{"dropping-particle":"","family":"Fu","given":"Yao","non-dropping-particle":"","parse-names":false,"suffix":""},{"dropping-particle":"","family":"Gabriel","given":"Stacey B.","non-dropping-particle":"","parse-names":false,"suffix":""},{"dropping-particle":"","family":"Gao","given":"Jianjiong","non-dropping-particle":"","parse-names":false,"suffix":""},{"dropping-particle":"","family":"Gardner","given":"Johanna","non-dropping-particle":"","parse-names":false,"suffix":""},{"dropping-particle":"","family":"Gastier-Foster","given":"Julie M.","non-dropping-particle":"","parse-names":false,"suffix":""},{"dropping-particle":"","family":"Gehlenborg","given":"Nils","non-dropping-particle":"","parse-names":false,"suffix":""},{"dropping-particle":"","family":"Gerken","given":"Mark","non-dropping-particle":"","parse-names":false,"suffix":""},{"dropping-particle":"","family":"Gerstein","given":"Mark B.","non-dropping-particle":"","parse-names":false,"suffix":""},{"dropping-particle":"","family":"Getz","given":"Gad","non-dropping-particle":"","parse-names":false,"suffix":""},{"dropping-particle":"","family":"Godwin","given":"Andrew K.","non-dropping-particle":"","parse-names":false,"suffix":""},{"dropping-particle":"","family":"Gopalan","given":"Anuradha","non-dropping-particle":"","parse-names":false,"suffix":""},{"dropping-particle":"","family":"Graefen","given":"Markus","non-dropping-particle":"","parse-names":false,"suffix":""},{"dropping-particle":"","family":"Graim","given":"Kiley","non-dropping-particle":"","parse-names":false,"suffix":""},{"dropping-particle":"","family":"Gribbin","given":"Thomas","non-dropping-particle":"","parse-names":false,"suffix":""},{"dropping-particle":"","family":"Guin","given":"Ranabir","non-dropping-particle":"","parse-names":false,"suffix":""},{"dropping-particle":"","family":"Gupta","given":"Manaswi","non-dropping-particle":"","parse-names":false,"suffix":""},{"dropping-particle":"","family":"Hadjipanayis","given":"Angela","non-dropping-particle":"","parse-names":false,"suffix":""},{"dropping-particle":"","family":"Haider","given":"Syed","non-dropping-particle":"","parse-names":false,"suffix":""},{"dropping-particle":"","family":"Hamel","given":"Lucie","non-dropping-particle":"","parse-names":false,"suffix":""},{"dropping-particle":"","family":"Hayes","given":"D. Neil","non-dropping-particle":"","parse-names":false,"suffix":""},{"dropping-particle":"","family":"Heiman","given":"David I.","non-dropping-particle":"","parse-names":false,"suffix":""},{"dropping-particle":"","family":"Hess","given":"Julian","non-dropping-particle":"","parse-names":false,"suffix":""},{"dropping-particle":"","family":"Hoadley","given":"Katherine A.","non-dropping-particle":"","parse-names":false,"suffix":""},{"dropping-particle":"","family":"Holbrook","given":"Andrea H.","non-dropping-particle":"","parse-names":false,"suffix":""},{"dropping-particle":"","family":"Holt","given":"Robert A.","non-dropping-particle":"","parse-names":false,"suffix":""},{"dropping-particle":"","family":"Holway","given":"Antonia","non-dropping-particle":"","parse-names":false,"suffix":""},{"dropping-particle":"","family":"Hovens","given":"Christopher M.","non-dropping-particle":"","parse-names":false,"suffix":""},{"dropping-particle":"","family":"Hoyle","given":"Alan P.","non-dropping-particle":"","parse-names":false,"suffix":""},{"dropping-particle":"","family":"Huang","given":"Mei","non-dropping-particle":"","parse-names":false,"suffix":""},{"dropping-particle":"","family":"Hutter","given":"Carolyn M.","non-dropping-particle":"","parse-names":false,"suffix":""},{"dropping-particle":"","family":"Ittmann","given":"Michael","non-dropping-particle":"","parse-names":false,"suffix":""},{"dropping-particle":"","family":"Iype","given":"Lisa","non-dropping-particle":"","parse-names":false,"suffix":""},{"dropping-particle":"","family":"Jefferys","given":"Stuart R.","non-dropping-particle":"","parse-names":false,"suffix":""},{"dropping-particle":"","family":"Jones","given":"Corbin D.","non-dropping-particle":"","parse-names":false,"suffix":""},{"dropping-particle":"","family":"Jones","given":"Steven J.M.","non-dropping-particle":"","parse-names":false,"suffix":""},{"dropping-particle":"","family":"Juhl","given":"Hartmut","non-dropping-particle":"","parse-names":false,"suffix":""},{"dropping-particle":"","family":"Kahles","given":"Andre","non-dropping-particle":"","parse-names":false,"suffix":""},{"dropping-particle":"","family":"Kane","given":"Christopher J.","non-dropping-particle":"","parse-names":false,"suffix":""},{"dropping-particle":"","family":"Kasaian","given":"Katayoon","non-dropping-particle":"","parse-names":false,"suffix":""},{"dropping-particle":"","family":"Kerger","given":"Michael","non-dropping-particle":"","parse-names":false,"suffix":""},{"dropping-particle":"","family":"Khurana","given":"Ekta","non-dropping-particle":"","parse-names":false,"suffix":""},{"dropping-particle":"","family":"Kim","given":"Jaegil","non-dropping-particle":"","parse-names":false,"suffix":""},{"dropping-particle":"","family":"Klein","given":"Robert J.","non-dropping-particle":"","parse-names":false,"suffix":""},{"dropping-particle":"","family":"Kucherlapati","given":"Raju","non-dropping-particle":"","parse-names":false,"suffix":""},{"dropping-particle":"","family":"Lacombe","given":"Louis","non-dropping-particle":"","parse-names":false,"suffix":""},{"dropping-particle":"","family":"Ladanyi","given":"Marc","non-dropping-particle":"","parse-names":false,"suffix":""},{"dropping-particle":"","family":"Lai","given":"Phillip H.","non-dropping-particle":"","parse-names":false,"suffix":""},{"dropping-particle":"","family":"Laird","given":"Peter W.","non-dropping-particle":"","parse-names":false,"suffix":""},{"dropping-particle":"","family":"Lander","given":"Eric S.","non-dropping-particle":"","parse-names":false,"suffix":""},{"dropping-particle":"","family":"Latour","given":"Mathieu","non-dropping-particle":"","parse-names":false,"suffix":""},{"dropping-particle":"","family":"Lawrence","given":"Michael S.","non-dropping-particle":"","parse-names":false,"suffix":""},{"dropping-particle":"","family":"Lau","given":"Kevin","non-dropping-particle":"","parse-names":false,"suffix":""},{"dropping-particle":"","family":"Lebien","given":"Tucker","non-dropping-particle":"","parse-names":false,"suffix":""},{"dropping-particle":"","family":"Lee","given":"Darlene","non-dropping-particle":"","parse-names":false,"suffix":""},{"dropping-particle":"","family":"Lee","given":"Semin","non-dropping-particle":"","parse-names":false,"suffix":""},{"dropping-particle":"Van","family":"Lehmann","given":"Kjong","non-dropping-particle":"","parse-names":false,"suffix":""},{"dropping-particle":"","family":"Leraas","given":"Kristen M.","non-dropping-particle":"","parse-names":false,"suffix":""},{"dropping-particle":"","family":"Leshchiner","given":"Ignaty","non-dropping-particle":"","parse-names":false,"suffix":""},{"dropping-particle":"","family":"Leung","given":"Robert","non-dropping-particle":"","parse-names":false,"suffix":""},{"dropping-particle":"","family":"Libertino","given":"John A.","non-dropping-particle":"","parse-names":false,"suffix":""},{"dropping-particle":"","family":"Lichtenberg","given":"Tara M.","non-dropping-particle":"","parse-names":false,"suffix":""},{"dropping-particle":"","family":"Lin","given":"Pei","non-dropping-particle":"","parse-names":false,"suffix":""},{"dropping-particle":"","family":"Linehan","given":"W. Marston","non-dropping-particle":"","parse-names":false,"suffix":""},{"dropping-particle":"","family":"Ling","given":"Shiyun","non-dropping-particle":"","parse-names":false,"suffix":""},{"dropping-particle":"","family":"Lippman","given":"Scott M.","non-dropping-particle":"","parse-names":false,"suffix":""},{"dropping-particle":"","family":"Liu","given":"Jia","non-dropping-particle":"","parse-names":false,"suffix":""},{"dropping-particle":"","family":"Liu","given":"Wenbin","non-dropping-particle":"","parse-names":false,"suffix":""},{"dropping-particle":"","family":"Lochovsky","given":"Lucas","non-dropping-particle":"","parse-names":false,"suffix":""},{"dropping-particle":"","family":"Loda","given":"Massimo","non-dropping-particle":"","parse-names":false,"suffix":""},{"dropping-particle":"","family":"Logothetis","given":"Christopher","non-dropping-particle":"","parse-names":false,"suffix":""},{"dropping-particle":"","family":"Lolla","given":"Laxmi","non-dropping-particle":"","parse-names":false,"suffix":""},{"dropping-particle":"","family":"Longacre","given":"Teri","non-dropping-particle":"","parse-names":false,"suffix":""},{"dropping-particle":"","family":"Lu","given":"Yiling","non-dropping-particle":"","parse-names":false,"suffix":""},{"dropping-particle":"","family":"Luo","given":"Jianhua","non-dropping-particle":"","parse-names":false,"suffix":""},{"dropping-particle":"","family":"Ma","given":"Yussanne","non-dropping-particle":"","parse-names":false,"suffix":""},{"dropping-particle":"","family":"Mahadeshwar","given":"Harshad S.","non-dropping-particle":"","parse-names":false,"suffix":""},{"dropping-particle":"","family":"Mallery","given":"David","non-dropping-particle":"","parse-names":false,"suffix":""},{"dropping-particle":"","family":"Mariamidze","given":"Armaz","non-dropping-particle":"","parse-names":false,"suffix":""},{"dropping-particle":"","family":"Marra","given":"Marco A.","non-dropping-particle":"","parse-names":false,"suffix":""},{"dropping-particle":"","family":"Mayo","given":"Michael","non-dropping-particle":"","parse-names":false,"suffix":""},{"dropping-particle":"","family":"McCall","given":"Shannon","non-dropping-particle":"","parse-names":false,"suffix":""},{"dropping-particle":"","family":"McKercher","given":"Ginette","non-dropping-particle":"","parse-names":false,"suffix":""},{"dropping-particle":"","family":"Meng","given":"Shaowu","non-dropping-particle":"","parse-names":false,"suffix":""},{"dropping-particle":"","family":"Mes-Masson","given":"Anne Marie","non-dropping-particle":"","parse-names":false,"suffix":""},{"dropping-particle":"","family":"Merino","given":"Maria J.","non-dropping-particle":"","parse-names":false,"suffix":""},{"dropping-particle":"","family":"Meyerson","given":"Matthew","non-dropping-particle":"","parse-names":false,"suffix":""},{"dropping-particle":"","family":"Mieczkowski","given":"Piotr A.","non-dropping-particle":"","parse-names":false,"suffix":""},{"dropping-particle":"","family":"Mills","given":"Gordon B.","non-dropping-particle":"","parse-names":false,"suffix":""},{"dropping-particle":"","family":"Shaw","given":"Kenna R.Mills","non-dropping-particle":"","parse-names":false,"suffix":""},{"dropping-particle":"","family":"Minner","given":"Sarah","non-dropping-particle":"","parse-names":false,"suffix":""},{"dropping-particle":"","family":"Moinzadeh","given":"Alireza","non-dropping-particle":"","parse-names":false,"suffix":""},{"dropping-particle":"","family":"Moore","given":"Richard A.","non-dropping-particle":"","parse-names":false,"suffix":""},{"dropping-particle":"","family":"Morris","given":"Scott","non-dropping-particle":"","parse-names":false,"suffix":""},{"dropping-particle":"","family":"Morrison","given":"Carl","non-dropping-particle":"","parse-names":false,"suffix":""},{"dropping-particle":"","family":"Mose","given":"Lisle E.","non-dropping-particle":"","parse-names":false,"suffix":""},{"dropping-particle":"","family":"Mungall","given":"Andrew J.","non-dropping-particle":"","parse-names":false,"suffix":""},{"dropping-particle":"","family":"Murray","given":"Bradley A.","non-dropping-particle":"","parse-names":false,"suffix":""},{"dropping-particle":"","family":"Myers","given":"Jerome B.","non-dropping-particle":"","parse-names":false,"suffix":""},{"dropping-particle":"","family":"Naresh","given":"Rashi","non-dropping-particle":"","parse-names":false,"suffix":""},{"dropping-particle":"","family":"Nelson","given":"Joel","non-dropping-particle":"","parse-names":false,"suffix":""},{"dropping-particle":"","family":"Nelson","given":"Mark A.","non-dropping-particle":"","parse-names":false,"suffix":""},{"dropping-particle":"","family":"Nelson","given":"Peter S.","non-dropping-particle":"","parse-names":false,"suffix":""},{"dropping-particle":"","family":"Newton","given":"Yulia","non-dropping-particle":"","parse-names":false,"suffix":""},{"dropping-particle":"","family":"Noble","given":"Michael S.","non-dropping-particle":"","parse-names":false,"suffix":""},{"dropping-particle":"","family":"Noushmehr","given":"Houtan","non-dropping-particle":"","parse-names":false,"suffix":""},{"dropping-particle":"","family":"Nykter","given":"Matti","non-dropping-particle":"","parse-names":false,"suffix":""},{"dropping-particle":"","family":"Pantazi","given":"Angeliki","non-dropping-particle":"","parse-names":false,"suffix":""},{"dropping-particle":"","family":"Parfenov","given":"Michael","non-dropping-particle":"","parse-names":false,"suffix":""},{"dropping-particle":"","family":"Park","given":"Peter J.","non-dropping-particle":"","parse-names":false,"suffix":""},{"dropping-particle":"","family":"Parker","given":"Joel S.","non-dropping-particle":"","parse-names":false,"suffix":""},{"dropping-particle":"","family":"Paulauskis","given":"Joseph","non-dropping-particle":"","parse-names":false,"suffix":""},{"dropping-particle":"","family":"Penny","given":"Robert","non-dropping-particle":"","parse-names":false,"suffix":""},{"dropping-particle":"","family":"Perou","given":"Charles M.","non-dropping-particle":"","parse-names":false,"suffix":""},{"dropping-particle":"","family":"Piché","given":"Alain","non-dropping-particle":"","parse-names":false,"suffix":""},{"dropping-particle":"","family":"Pihl","given":"Todd","non-dropping-particle":"","parse-names":false,"suffix":""},{"dropping-particle":"","family":"Pinto","given":"Peter A.","non-dropping-particle":"","parse-names":false,"suffix":""},{"dropping-particle":"","family":"Prandi","given":"Davide","non-dropping-particle":"","parse-names":false,"suffix":""},{"dropping-particle":"","family":"Protopopov","given":"Alexei","non-dropping-particle":"","parse-names":false,"suffix":""},{"dropping-particle":"","family":"Ramirez","given":"Nilsa C.","non-dropping-particle":"","parse-names":false,"suffix":""},{"dropping-particle":"","family":"Rao","given":"Arvind","non-dropping-particle":"","parse-names":false,"suffix":""},{"dropping-particle":"","family":"Rathmell","given":"W. Kimryn","non-dropping-particle":"","parse-names":false,"suffix":""},{"dropping-particle":"","family":"Rätsch","given":"Gunnar","non-dropping-particle":"","parse-names":false,"suffix":""},{"dropping-particle":"","family":"Ren","given":"Xiaojia","non-dropping-particle":"","parse-names":false,"suffix":""},{"dropping-particle":"","family":"Reuter","given":"Victor E.","non-dropping-particle":"","parse-names":false,"suffix":""},{"dropping-particle":"","family":"Reynolds","given":"Sheila M.","non-dropping-particle":"","parse-names":false,"suffix":""},{"dropping-particle":"","family":"Rhie","given":"Suhn K.","non-dropping-particle":"","parse-names":false,"suffix":""},{"dropping-particle":"","family":"Rieger-Christ","given":"Kimberly","non-dropping-particle":"","parse-names":false,"suffix":""},{"dropping-particle":"","family":"Roach","given":"Jeffrey","non-dropping-particle":"","parse-names":false,"suffix":""},{"dropping-particle":"","family":"Robertson","given":"A. Gordon","non-dropping-particle":"","parse-names":false,"suffix":""},{"dropping-particle":"","family":"Robinson","given":"Brian","non-dropping-particle":"","parse-names":false,"suffix":""},{"dropping-particle":"","family":"Rubin","given":"Mark A.","non-dropping-particle":"","parse-names":false,"suffix":""},{"dropping-particle":"","family":"Saad","given":"Fred","non-dropping-particle":"","parse-names":false,"suffix":""},{"dropping-particle":"","family":"Sadeghi","given":"Sara","non-dropping-particle":"","parse-names":false,"suffix":""},{"dropping-particle":"","family":"Saksena","given":"Gordon","non-dropping-particle":"","parse-names":false,"suffix":""},{"dropping-particle":"","family":"Saller","given":"Charles","non-dropping-particle":"","parse-names":false,"suffix":""},{"dropping-particle":"","family":"Salner","given":"Andrew","non-dropping-particle":"","parse-names":false,"suffix":""},{"dropping-particle":"","family":"Sanchez-Vega","given":"Francisco","non-dropping-particle":"","parse-names":false,"suffix":""},{"dropping-particle":"","family":"Sander","given":"Chris","non-dropping-particle":"","parse-names":false,"suffix":""},{"dropping-particle":"","family":"Sandusky","given":"George","non-dropping-particle":"","parse-names":false,"suffix":""},{"dropping-particle":"","family":"Sauter","given":"Guido","non-dropping-particle":"","parse-names":false,"suffix":""},{"dropping-particle":"","family":"Sboner","given":"Andrea","non-dropping-particle":"","parse-names":false,"suffix":""},{"dropping-particle":"","family":"Scardino","given":"Peter T.","non-dropping-particle":"","parse-names":false,"suffix":""},{"dropping-particle":"","family":"Scarlata","given":"Eleonora","non-dropping-particle":"","parse-names":false,"suffix":""},{"dropping-particle":"","family":"Schein","given":"Jacqueline E.","non-dropping-particle":"","parse-names":false,"suffix":""},{"dropping-particle":"","family":"Schlomm","given":"Thorsten","non-dropping-particle":"","parse-names":false,"suffix":""},{"dropping-particle":"","family":"Schmidt","given":"Laura S.","non-dropping-particle":"","parse-names":false,"suffix":""},{"dropping-particle":"","family":"Schultz","given":"Nikolaus","non-dropping-particle":"","parse-names":false,"suffix":""},{"dropping-particle":"","family":"Schumacher","given":"Steven E.","non-dropping-particle":"","parse-names":false,"suffix":""},{"dropping-particle":"","family":"Seidman","given":"Jonathan","non-dropping-particle":"","parse-names":false,"suffix":""},{"dropping-particle":"","family":"Neder","given":"Luciano","non-dropping-particle":"","parse-names":false,"suffix":""},{"dropping-particle":"","family":"Seth","given":"Sahil","non-dropping-particle":"","parse-names":false,"suffix":""},{"dropping-particle":"","family":"Sharp","given":"Alexis","non-dropping-particle":"","parse-names":false,"suffix":""},{"dropping-particle":"","family":"Shelton","given":"Candace","non-dropping-particle":"","parse-names":false,"suffix":""},{"dropping-particle":"","family":"Shelton","given":"Troy","non-dropping-particle":"","parse-names":false,"suffix":""},{"dropping-particle":"","family":"Shen","given":"Hui","non-dropping-particle":"","parse-names":false,"suffix":""},{"dropping-particle":"","family":"Shen","given":"Ronglai","non-dropping-particle":"","parse-names":false,"suffix":""},{"dropping-particle":"","family":"Sherman","given":"Mark","non-dropping-particle":"","parse-names":false,"suffix":""},{"dropping-particle":"","family":"Sheth","given":"Margi","non-dropping-particle":"","parse-names":false,"suffix":""},{"dropping-particle":"","family":"Shi","given":"Yan","non-dropping-particle":"","parse-names":false,"suffix":""},{"dropping-particle":"","family":"Shih","given":"Juliann","non-dropping-particle":"","parse-names":false,"suffix":""},{"dropping-particle":"","family":"Shmulevich","given":"Ilya","non-dropping-particle":"","parse-names":false,"suffix":""},{"dropping-particle":"","family":"Simko","given":"Jeffry","non-dropping-particle":"","parse-names":false,"suffix":""},{"dropping-particle":"","family":"Simon","given":"Ronald","non-dropping-particle":"","parse-names":false,"suffix":""},{"dropping-particle":"V.","family":"Simons","given":"Janae","non-dropping-particle":"","parse-names":false,"suffix":""},{"dropping-particle":"","family":"Sipahimalani","given":"Payal","non-dropping-particle":"","parse-names":false,"suffix":""},{"dropping-particle":"","family":"Skelly","given":"Tara","non-dropping-particle":"","parse-names":false,"suffix":""},{"dropping-particle":"","family":"Sofia","given":"Heidi J.","non-dropping-particle":"","parse-names":false,"suffix":""},{"dropping-particle":"","family":"Soloway","given":"Matthew G.","non-dropping-particle":"","parse-names":false,"suffix":""},{"dropping-particle":"","family":"Song","given":"Xingzhi","non-dropping-particle":"","parse-names":false,"suffix":""},{"dropping-particle":"","family":"Sorcini","given":"Andrea","non-dropping-particle":"","parse-names":false,"suffix":""},{"dropping-particle":"","family":"Sougnez","given":"Carrie","non-dropping-particle":"","parse-names":false,"suffix":""},{"dropping-particle":"","family":"Stepa","given":"Serghei","non-dropping-particle":"","parse-names":false,"suffix":""},{"dropping-particle":"","family":"Stewart","given":"Chip","non-dropping-particle":"","parse-names":false,"suffix":""},{"dropping-particle":"","family":"Stewart","given":"John","non-dropping-particle":"","parse-names":false,"suffix":""},{"dropping-particle":"","family":"Stuart","given":"Joshua M.","non-dropping-particle":"","parse-names":false,"suffix":""},{"dropping-particle":"","family":"Sullivan","given":"Travis B.","non-dropping-particle":"","parse-names":false,"suffix":""},{"dropping-particle":"","family":"Sun","given":"Charlie","non-dropping-particle":"","parse-names":false,"suffix":""},{"dropping-particle":"","family":"Sun","given":"Huandong","non-dropping-particle":"","parse-names":false,"suffix":""},{"dropping-particle":"","family":"Tam","given":"Angela","non-dropping-particle":"","parse-names":false,"suffix":""},{"dropping-particle":"","family":"Tan","given":"Donghui","non-dropping-particle":"","parse-names":false,"suffix":""},{"dropping-particle":"","family":"Tang","given":"Jiabin","non-dropping-particle":"","parse-names":false,"suffix":""},{"dropping-particle":"","family":"Tarnuzzer","given":"Roy","non-dropping-particle":"","parse-names":false,"suffix":""},{"dropping-particle":"","family":"Tarvin","given":"Katherine","non-dropping-particle":"","parse-names":false,"suffix":""},{"dropping-particle":"","family":"Taylor","given":"Barry S.","non-dropping-particle":"","parse-names":false,"suffix":""},{"dropping-particle":"","family":"Teebagy","given":"Patrick","non-dropping-particle":"","parse-names":false,"suffix":""},{"dropping-particle":"","family":"Tenggara","given":"Imelda","non-dropping-particle":"","parse-names":false,"suffix":""},{"dropping-particle":"","family":"Têtu","given":"Bernard","non-dropping-particle":"","parse-names":false,"suffix":""},{"dropping-particle":"","family":"Tewari","given":"Ashutosh","non-dropping-particle":"","parse-names":false,"suffix":""},{"dropping-particle":"","family":"Thiessen","given":"Nina","non-dropping-particle":"","parse-names":false,"suffix":""},{"dropping-particle":"","family":"Thompson","given":"Timothy","non-dropping-particle":"","parse-names":false,"suffix":""},{"dropping-particle":"","family":"Thorne","given":"Leigh B.","non-dropping-particle":"","parse-names":false,"suffix":""},{"dropping-particle":"","family":"Tirapelli","given":"Daniela P.","non-dropping-particle":"","parse-names":false,"suffix":""},{"dropping-particle":"","family":"Tomlins","given":"Scott A.","non-dropping-particle":"","parse-names":false,"suffix":""},{"dropping-particle":"","family":"Trevisan","given":"Felipe Amstalden","non-dropping-particle":"","parse-names":false,"suffix":""},{"dropping-particle":"","family":"Troncoso","given":"Patricia","non-dropping-particle":"","parse-names":false,"suffix":""},{"dropping-particle":"","family":"True","given":"Lawrence D.","non-dropping-particle":"","parse-names":false,"suffix":""},{"dropping-particle":"","family":"Tsourlakis","given":"Maria Christina","non-dropping-particle":"","parse-names":false,"suffix":""},{"dropping-particle":"","family":"Tyekucheva","given":"Svitlana","non-dropping-particle":"","parse-names":false,"suffix":""},{"dropping-particle":"","family":"Allen","given":"Eliezer","non-dropping-particle":"Van","parse-names":false,"suffix":""},{"dropping-particle":"","family":"Berg","given":"David J.","non-dropping-particle":"Van Den","parse-names":false,"suffix":""},{"dropping-particle":"","family":"Veluvolu","given":"Umadevi","non-dropping-particle":"","parse-names":false,"suffix":""},{"dropping-particle":"","family":"Verhaak","given":"Roel","non-dropping-particle":"","parse-names":false,"suffix":""},{"dropping-particle":"","family":"Vocke","given":"Cathy D.","non-dropping-particle":"","parse-names":false,"suffix":""},{"dropping-particle":"","family":"Voet","given":"Doug","non-dropping-particle":"","parse-names":false,"suffix":""},{"dropping-particle":"","family":"Wan","given":"Yunhu","non-dropping-particle":"","parse-names":false,"suffix":""},{"dropping-particle":"","family":"Wang","given":"Qingguo","non-dropping-particle":"","parse-names":false,"suffix":""},{"dropping-particle":"","family":"Wang","given":"Wenyi","non-dropping-particle":"","parse-names":false,"suffix":""},{"dropping-particle":"","family":"Wang","given":"Zhining","non-dropping-particle":"","parse-names":false,"suffix":""},{"dropping-particle":"","family":"Weinhold","given":"Nils","non-dropping-particle":"","parse-names":false,"suffix":""},{"dropping-particle":"","family":"Weinstein","given":"John N.","non-dropping-particle":"","parse-names":false,"suffix":""},{"dropping-particle":"","family":"Weisenberger","given":"Daniel J.","non-dropping-particle":"","parse-names":false,"suffix":""},{"dropping-particle":"","family":"Wilkerson","given":"Matthew D.","non-dropping-particle":"","parse-names":false,"suffix":""},{"dropping-particle":"","family":"Wise","given":"Lisa","non-dropping-particle":"","parse-names":false,"suffix":""},{"dropping-particle":"","family":"Witte","given":"John","non-dropping-particle":"","parse-names":false,"suffix":""},{"dropping-particle":"","family":"Wu","given":"Chia Chin","non-dropping-particle":"","parse-names":false,"suffix":""},{"dropping-particle":"","family":"Wu","given":"Junyuan","non-dropping-particle":"","parse-names":false,"suffix":""},{"dropping-particle":"","family":"Wu","given":"Ye","non-dropping-particle":"","parse-names":false,"suffix":""},{"dropping-particle":"","family":"Xu","given":"Andrew W.","non-dropping-particle":"","parse-names":false,"suffix":""},{"dropping-particle":"","family":"Yadav","given":"Shalini S.","non-dropping-particle":"","parse-names":false,"suffix":""},{"dropping-particle":"","family":"Yang","given":"Liming","non-dropping-particle":"","parse-names":false,"suffix":""},{"dropping-particle":"","family":"Yang","given":"Lixing","non-dropping-particle":"","parse-names":false,"suffix":""},{"dropping-particle":"","family":"Yau","given":"Christina","non-dropping-particle":"","parse-names":false,"suffix":""},{"dropping-particle":"","family":"Ye","given":"Huihui","non-dropping-particle":"","parse-names":false,"suffix":""},{"dropping-particle":"","family":"Yena","given":"Peggy","non-dropping-particle":"","parse-names":false,"suffix":""},{"dropping-particle":"","family":"Zeng","given":"Thomas","non-dropping-particle":"","parse-names":false,"suffix":""},{"dropping-particle":"","family":"Zenklusen","given":"Jean C.","non-dropping-particle":"","parse-names":false,"suffix":""},{"dropping-particle":"","family":"Zhang","given":"Hailei","non-dropping-particle":"","parse-names":false,"suffix":""},{"dropping-particle":"","family":"Zhang","given":"Jianhua","non-dropping-particle":"","parse-names":false,"suffix":""},{"dropping-particle":"","family":"Zhang","given":"Jiashan","non-dropping-particle":"","parse-names":false,"suffix":""},{"dropping-particle":"","family":"Zhang","given":"Wei","non-dropping-particle":"","parse-names":false,"suffix":""},{"dropping-particle":"","family":"Zhong","given":"Yi","non-dropping-particle":"","parse-names":false,"suffix":""},{"dropping-particle":"","family":"Zhu","given":"Kelsey","non-dropping-particle":"","parse-names":false,"suffix":""},{"dropping-particle":"","family":"Zmuda","given":"Erik","non-dropping-particle":"","parse-names":false,"suffix":""}],"container-title":"Cell","id":"ITEM-1","issue":"4","issued":{"date-parts":[["2015"]]},"note":"difference between primary and metastatic tumour","page":"1011-1025","title":"The Molecular Taxonomy of Primary Prostate Cancer","type":"article-journal","volume":"163"},"uris":["http://www.mendeley.com/documents/?uuid=26136416-4cd0-46bb-895a-455783a28ce8"]}],"mendeley":{"formattedCitation":"&lt;sup&gt;22&lt;/sup&gt;","plainTextFormattedCitation":"22","previouslyFormattedCitation":"[22]"},"properties":{"noteIndex":0},"schema":"https://github.com/citation-style-language/schema/raw/master/csl-citation.json"}</w:instrText>
      </w:r>
      <w:r w:rsidRPr="00C83EDC">
        <w:rPr>
          <w:rFonts w:cstheme="minorHAnsi"/>
          <w:lang w:val="en-GB"/>
        </w:rPr>
        <w:fldChar w:fldCharType="separate"/>
      </w:r>
      <w:r w:rsidR="000C069C" w:rsidRPr="000C069C">
        <w:rPr>
          <w:rFonts w:cstheme="minorHAnsi"/>
          <w:noProof/>
          <w:vertAlign w:val="superscript"/>
          <w:lang w:val="en-GB"/>
        </w:rPr>
        <w:t>22</w:t>
      </w:r>
      <w:r w:rsidRPr="00C83EDC">
        <w:rPr>
          <w:rFonts w:cstheme="minorHAnsi"/>
          <w:lang w:val="en-GB"/>
        </w:rPr>
        <w:fldChar w:fldCharType="end"/>
      </w:r>
      <w:r w:rsidRPr="00C83EDC">
        <w:rPr>
          <w:rFonts w:cstheme="minorHAnsi"/>
          <w:lang w:val="en-GB"/>
        </w:rPr>
        <w:t xml:space="preserve">. </w:t>
      </w:r>
      <w:r w:rsidRPr="00C83EDC">
        <w:rPr>
          <w:rFonts w:cstheme="minorHAnsi"/>
          <w:i/>
          <w:lang w:val="en-GB"/>
        </w:rPr>
        <w:t>IDH1</w:t>
      </w:r>
      <w:r w:rsidRPr="00C83EDC">
        <w:rPr>
          <w:rFonts w:cstheme="minorHAnsi"/>
          <w:lang w:val="en-GB"/>
        </w:rPr>
        <w:t xml:space="preserve"> and </w:t>
      </w:r>
      <w:r w:rsidRPr="00C83EDC">
        <w:rPr>
          <w:rFonts w:cstheme="minorHAnsi"/>
          <w:i/>
          <w:lang w:val="en-GB"/>
        </w:rPr>
        <w:t>IDH2</w:t>
      </w:r>
      <w:r w:rsidRPr="00C83EDC">
        <w:rPr>
          <w:rFonts w:cstheme="minorHAnsi"/>
          <w:lang w:val="en-GB"/>
        </w:rPr>
        <w:t xml:space="preserve"> genes normally code for the enzyme i</w:t>
      </w:r>
      <w:r w:rsidRPr="00C83EDC">
        <w:rPr>
          <w:lang w:val="en-GB"/>
        </w:rPr>
        <w:t xml:space="preserve">socitrate dehydrogenase but the mutant enzyme cannot convert its substrate isocitrate to </w:t>
      </w:r>
      <w:r w:rsidRPr="00C83EDC">
        <w:rPr>
          <w:rFonts w:cstheme="minorHAnsi"/>
          <w:lang w:val="en-GB"/>
        </w:rPr>
        <w:t>α</w:t>
      </w:r>
      <w:r w:rsidRPr="00C83EDC">
        <w:rPr>
          <w:lang w:val="en-GB"/>
        </w:rPr>
        <w:t xml:space="preserve">-ketoglutarate, instead it gains a novel enzymatic activity leading to the production of a small oncometabolite </w:t>
      </w:r>
      <w:r w:rsidRPr="00C83EDC">
        <w:rPr>
          <w:vertAlign w:val="subscript"/>
          <w:lang w:val="en-GB"/>
        </w:rPr>
        <w:t>D</w:t>
      </w:r>
      <w:r w:rsidRPr="00C83EDC">
        <w:rPr>
          <w:lang w:val="en-GB"/>
        </w:rPr>
        <w:t xml:space="preserve">2-hydroxyglutarate (D-2HG). D-2HG works as a competitive inhibitor by preventing </w:t>
      </w:r>
      <w:r>
        <w:rPr>
          <w:lang w:val="en-GB"/>
        </w:rPr>
        <w:br/>
      </w:r>
      <w:r w:rsidRPr="00C83EDC">
        <w:rPr>
          <w:rFonts w:cstheme="minorHAnsi"/>
          <w:lang w:val="en-GB"/>
        </w:rPr>
        <w:t>α</w:t>
      </w:r>
      <w:r w:rsidRPr="00C83EDC">
        <w:rPr>
          <w:lang w:val="en-GB"/>
        </w:rPr>
        <w:t xml:space="preserve">-ketoglutarate to bind histone demethylases, which causes widespread epigenetic aberrations in </w:t>
      </w:r>
      <w:r w:rsidRPr="00C83EDC">
        <w:rPr>
          <w:i/>
          <w:lang w:val="en-GB"/>
        </w:rPr>
        <w:t>IDH1</w:t>
      </w:r>
      <w:r w:rsidRPr="00C83EDC">
        <w:rPr>
          <w:lang w:val="en-GB"/>
        </w:rPr>
        <w:t xml:space="preserve"> and </w:t>
      </w:r>
      <w:r w:rsidRPr="00C83EDC">
        <w:rPr>
          <w:i/>
          <w:lang w:val="en-GB"/>
        </w:rPr>
        <w:t>IDH2</w:t>
      </w:r>
      <w:r w:rsidRPr="00C83EDC">
        <w:rPr>
          <w:lang w:val="en-GB"/>
        </w:rPr>
        <w:t xml:space="preserve"> mutant cancers</w:t>
      </w:r>
      <w:r w:rsidRPr="00C83EDC">
        <w:rPr>
          <w:lang w:val="en-GB"/>
        </w:rPr>
        <w:fldChar w:fldCharType="begin" w:fldLock="1"/>
      </w:r>
      <w:r w:rsidR="000C069C">
        <w:rPr>
          <w:lang w:val="en-GB"/>
        </w:rPr>
        <w:instrText>ADDIN CSL_CITATION {"citationItems":[{"id":"ITEM-1","itemData":{"DOI":"10.1038/nm0311-291","ISSN":"10788956","author":[{"dropping-particle":"","family":"Prensner","given":"John R.","non-dropping-particle":"","parse-names":false,"suffix":""},{"dropping-particle":"","family":"Chinnaiyan","given":"Arul M.","non-dropping-particle":"","parse-names":false,"suffix":""}],"container-title":"Nature Medicine","id":"ITEM-1","issue":"3","issued":{"date-parts":[["2011"]]},"page":"291-293","publisher":"Nature Publishing Group","title":"Metabolism unhinged: IDH mutations in cancer","type":"article-journal","volume":"17"},"uris":["http://www.mendeley.com/documents/?uuid=34b48ecf-a5e9-436f-9540-8ea843fb132d"]},{"id":"ITEM-2","itemData":{"DOI":"10.1038/onc.2010.444","ISSN":"09509232","abstract":"The discovery of somatic mutations in the isocitrate dehydrogenase (IDH) enzymes through a genome-wide mutational analysis in glioblastoma represents a milestone event in cancer biology. The nature of the heterozygous, point mutations mapping to arginine residues involved in the substrate binding inspired several research teams to investigate their impact on the biochemical activity of these enzymes. Soon, it became clear that the mutations identified impaired the ability of IDH1 and IDH2 to catalyze the conversion of isocitrate to α-ketoglutarate (αKG), whereas conferring a gain of a novel enzymatic activity leading to the reduction of αKG to the metabolite D2-hydroxyglutarate (D-2HG). Across glioma as well as several hematologic malignancies, mutations in IDH1 and IDH2 have shown prognostic value. Several hypotheses implicating the elevated levels of D-2HG and tumorigenesis, and the therapeutic potential of targeting mutant IDH enzymes will be discussed. © 2010 Macmillan Publishers Limited All rights reserved.","author":[{"dropping-particle":"","family":"Yen","given":"K. E.","non-dropping-particle":"","parse-names":false,"suffix":""},{"dropping-particle":"","family":"Bittinger","given":"M. A.","non-dropping-particle":"","parse-names":false,"suffix":""},{"dropping-particle":"","family":"Su","given":"S. M.","non-dropping-particle":"","parse-names":false,"suffix":""},{"dropping-particle":"","family":"Fantin","given":"V. R.","non-dropping-particle":"","parse-names":false,"suffix":""}],"container-title":"Oncogene","id":"ITEM-2","issue":"49","issued":{"date-parts":[["2010"]]},"page":"6409-6417","title":"Cancer-associated IDH mutations: Biomarker and therapeutic opportunities","type":"article-journal","volume":"29"},"uris":["http://www.mendeley.com/documents/?uuid=181e797d-2cc4-41ed-8538-90fae131bd10"]}],"mendeley":{"formattedCitation":"&lt;sup&gt;32,33&lt;/sup&gt;","plainTextFormattedCitation":"32,33","previouslyFormattedCitation":"[32], [33]"},"properties":{"noteIndex":0},"schema":"https://github.com/citation-style-language/schema/raw/master/csl-citation.json"}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32,33</w:t>
      </w:r>
      <w:r w:rsidRPr="00C83EDC">
        <w:rPr>
          <w:lang w:val="en-GB"/>
        </w:rPr>
        <w:fldChar w:fldCharType="end"/>
      </w:r>
      <w:r w:rsidRPr="00C83EDC">
        <w:rPr>
          <w:lang w:val="en-GB"/>
        </w:rPr>
        <w:t>.</w:t>
      </w:r>
    </w:p>
    <w:p w14:paraId="543DFF53" w14:textId="77777777" w:rsidR="00EE7EB3" w:rsidRPr="00C83EDC" w:rsidRDefault="00EE7EB3" w:rsidP="00EE7EB3">
      <w:pPr>
        <w:pStyle w:val="Nadpis3"/>
        <w:rPr>
          <w:lang w:val="en-GB"/>
        </w:rPr>
      </w:pPr>
      <w:r w:rsidRPr="00C83EDC">
        <w:rPr>
          <w:lang w:val="en-GB"/>
        </w:rPr>
        <w:lastRenderedPageBreak/>
        <w:t>Molecular taxonomy of primary prostate cancer</w:t>
      </w:r>
    </w:p>
    <w:p w14:paraId="6978FC33" w14:textId="0031A62F" w:rsidR="00EE7EB3" w:rsidRPr="00C83EDC" w:rsidRDefault="00EE7EB3" w:rsidP="00EE7EB3">
      <w:pPr>
        <w:pStyle w:val="Odstavec1"/>
        <w:rPr>
          <w:lang w:val="en-GB"/>
        </w:rPr>
      </w:pPr>
      <w:r w:rsidRPr="00C83EDC">
        <w:rPr>
          <w:lang w:val="en-GB"/>
        </w:rPr>
        <w:t>In 2015, The Cancer Genome Atlas (TCGA) network proposed a novel molecular classification of prostate cancer that is based on the results of a comprehensive analysis of 333 samples of primary prostate cancer. In their study, 74% of tumour samples contained distinctive molecular characteristics that classified them into seven molecular classes based on distinct oncogenic drivers: fusions involving 1) ERG, 2) ETV1, 3) ETV4, or 4) FLI1</w:t>
      </w:r>
      <w:r>
        <w:rPr>
          <w:lang w:val="en-GB"/>
        </w:rPr>
        <w:t xml:space="preserve"> </w:t>
      </w:r>
      <w:r w:rsidRPr="00C83EDC">
        <w:rPr>
          <w:lang w:val="en-GB"/>
        </w:rPr>
        <w:t xml:space="preserve">or mutations in 5) SPOP, </w:t>
      </w:r>
      <w:r w:rsidR="00EC61D3">
        <w:rPr>
          <w:lang w:val="en-GB"/>
        </w:rPr>
        <w:br/>
      </w:r>
      <w:r w:rsidRPr="00C83EDC">
        <w:rPr>
          <w:lang w:val="en-GB"/>
        </w:rPr>
        <w:t>6) FOXA1, or 7) IDH1</w:t>
      </w:r>
      <w:r w:rsidRPr="00C83EDC">
        <w:rPr>
          <w:lang w:val="en-GB"/>
        </w:rPr>
        <w:fldChar w:fldCharType="begin" w:fldLock="1"/>
      </w:r>
      <w:r w:rsidR="000C069C">
        <w:rPr>
          <w:lang w:val="en-GB"/>
        </w:rPr>
        <w:instrText>ADDIN CSL_CITATION {"citationItems":[{"id":"ITEM-1","itemData":{"DOI":"10.1016/j.cell.2015.10.025","ISSN":"10974172","abstract":"Summary There is substantial heterogeneity among primary prostate cancers, evident in the spectrum of molecular abnormalities and its variable clinical course. As part of The Cancer Genome Atlas (TCGA), we present a comprehensive molecular analysis of 333 primary prostate carcinomas. Our results revealed a molecular taxonomy in which 74% of these tumors fell into one of seven subtypes defined by specific gene fusions (ERG, ETV1/4, and FLI1) or mutations (SPOP, FOXA1, and IDH1). Epigenetic profiles showed substantial heterogeneity, including an IDH1 mutant subset with a methylator phenotype. Androgen receptor (AR) activity varied widely and in a subtype-specific manner, with SPOP and FOXA1 mutant tumors having the highest levels of AR-induced transcripts. 25% of the prostate cancers had a presumed actionable lesion in the PI3K or MAPK signaling pathways, and DNA repair genes were inactivated in 19%. Our analysis reveals molecular heterogeneity among primary prostate cancers, as well as potentially actionable molecular defects.","author":[{"dropping-particle":"","family":"Abeshouse","given":"Adam","non-dropping-particle":"","parse-names":false,"suffix":""},{"dropping-particle":"","family":"Ahn","given":"Jaeil","non-dropping-particle":"","parse-names":false,"suffix":""},{"dropping-particle":"","family":"Akbani","given":"Rehan","non-dropping-particle":"","parse-names":false,"suffix":""},{"dropping-particle":"","family":"Ally","given":"Adrian","non-dropping-particle":"","parse-names":false,"suffix":""},{"dropping-particle":"","family":"Amin","given":"Samirkumar","non-dropping-particle":"","parse-names":false,"suffix":""},{"dropping-particle":"","family":"Andry","given":"Christopher D.","non-dropping-particle":"","parse-names":false,"suffix":""},{"dropping-particle":"","family":"Annala","given":"Matti","non-dropping-particle":"","parse-names":false,"suffix":""},{"dropping-particle":"","family":"Aprikian","given":"Armen","non-dropping-particle":"","parse-names":false,"suffix":""},{"dropping-particle":"","family":"Armenia","given":"Joshua","non-dropping-particle":"","parse-names":false,"suffix":""},{"dropping-particle":"","family":"Arora","given":"Arshi","non-dropping-particle":"","parse-names":false,"suffix":""},{"dropping-particle":"","family":"Auman","given":"J. Todd","non-dropping-particle":"","parse-names":false,"suffix":""},{"dropping-particle":"","family":"Balasundaram","given":"Miruna","non-dropping-particle":"","parse-names":false,"suffix":""},{"dropping-particle":"","family":"Balu","given":"Saianand","non-dropping-particle":"","parse-names":false,"suffix":""},{"dropping-particle":"","family":"Barbieri","given":"Christopher E.","non-dropping-particle":"","parse-names":false,"suffix":""},{"dropping-particle":"","family":"Bauer","given":"Thomas","non-dropping-particle":"","parse-names":false,"suffix":""},{"dropping-particle":"","family":"Benz","given":"Christopher C.","non-dropping-particle":"","parse-names":false,"suffix":""},{"dropping-particle":"","family":"Bergeron","given":"Alain","non-dropping-particle":"","parse-names":false,"suffix":""},{"dropping-particle":"","family":"Beroukhim","given":"Rameen","non-dropping-particle":"","parse-names":false,"suffix":""},{"dropping-particle":"","family":"Berrios","given":"Mario","non-dropping-particle":"","parse-names":false,"suffix":""},{"dropping-particle":"","family":"Bivol","given":"Adrian","non-dropping-particle":"","parse-names":false,"suffix":""},{"dropping-particle":"","family":"Bodenheimer","given":"Tom","non-dropping-particle":"","parse-names":false,"suffix":""},{"dropping-particle":"","family":"Boice","given":"Lori","non-dropping-particle":"","parse-names":false,"suffix":""},{"dropping-particle":"","family":"Bootwalla","given":"Moiz S.","non-dropping-particle":"","parse-names":false,"suffix":""},{"dropping-particle":"","family":"Borges Dos Reis","given":"Rodolfo","non-dropping-particle":"","parse-names":false,"suffix":""},{"dropping-particle":"","family":"Boutros","given":"Paul C.","non-dropping-particle":"","parse-names":false,"suffix":""},{"dropping-particle":"","family":"Bowen","given":"Jay","non-dropping-particle":"","parse-names":false,"suffix":""},{"dropping-particle":"","family":"Bowlby","given":"Reanne","non-dropping-particle":"","parse-names":false,"suffix":""},{"dropping-particle":"","family":"Boyd","given":"Jeffrey","non-dropping-particle":"","parse-names":false,"suffix":""},{"dropping-particle":"","family":"Bradley","given":"Robert K.","non-dropping-particle":"","parse-names":false,"suffix":""},{"dropping-particle":"","family":"Breggia","given":"Anne","non-dropping-particle":"","parse-names":false,"suffix":""},{"dropping-particle":"","family":"Brimo","given":"Fadi","non-dropping-particle":"","parse-names":false,"suffix":""},{"dropping-particle":"","family":"Bristow","given":"Christopher A.","non-dropping-particle":"","parse-names":false,"suffix":""},{"dropping-particle":"","family":"Brooks","given":"Denise","non-dropping-particle":"","parse-names":false,"suffix":""},{"dropping-particle":"","family":"Broom","given":"Bradley M.","non-dropping-particle":"","parse-names":false,"suffix":""},{"dropping-particle":"","family":"Bryce","given":"Alan H.","non-dropping-particle":"","parse-names":false,"suffix":""},{"dropping-particle":"","family":"Bubley","given":"Glenn","non-dropping-particle":"","parse-names":false,"suffix":""},{"dropping-particle":"","family":"Burks","given":"Eric","non-dropping-particle":"","parse-names":false,"suffix":""},{"dropping-particle":"","family":"Butterfield","given":"Yaron S.N.","non-dropping-particle":"","parse-names":false,"suffix":""},{"dropping-particle":"","family":"Button","given":"Michael","non-dropping-particle":"","parse-names":false,"suffix":""},{"dropping-particle":"","family":"Canes","given":"David","non-dropping-particle":"","parse-names":false,"suffix":""},{"dropping-particle":"","family":"Carlotti","given":"Carlos G.","non-dropping-particle":"","parse-names":false,"suffix":""},{"dropping-particle":"","family":"Carlsen","given":"Rebecca","non-dropping-particle":"","parse-names":false,"suffix":""},{"dropping-particle":"","family":"Carmel","given":"Michel","non-dropping-particle":"","parse-names":false,"suffix":""},{"dropping-particle":"","family":"Carroll","given":"Peter R.","non-dropping-particle":"","parse-names":false,"suffix":""},{"dropping-particle":"","family":"Carter","given":"Scott L.","non-dropping-particle":"","parse-names":false,"suffix":""},{"dropping-particle":"","family":"Cartun","given":"Richard","non-dropping-particle":"","parse-names":false,"suffix":""},{"dropping-particle":"","family":"Carver","given":"Brett S.","non-dropping-particle":"","parse-names":false,"suffix":""},{"dropping-particle":"","family":"Chan","given":"June M.","non-dropping-particle":"","parse-names":false,"suffix":""},{"dropping-particle":"","family":"Chang","given":"Matthew T.","non-dropping-particle":"","parse-names":false,"suffix":""},{"dropping-particle":"","family":"Chen","given":"Yu","non-dropping-particle":"","parse-names":false,"suffix":""},{"dropping-particle":"","family":"Cherniack","given":"Andrew D.","non-dropping-particle":"","parse-names":false,"suffix":""},{"dropping-particle":"","family":"Chevalier","given":"Simone","non-dropping-particle":"","parse-names":false,"suffix":""},{"dropping-particle":"","family":"Chin","given":"Lynda","non-dropping-particle":"","parse-names":false,"suffix":""},{"dropping-particle":"","family":"Cho","given":"Juok","non-dropping-particle":"","parse-names":false,"suffix":""},{"dropping-particle":"","family":"Chu","given":"Andy","non-dropping-particle":"","parse-names":false,"suffix":""},{"dropping-particle":"","family":"Chuah","given":"Eric","non-dropping-particle":"","parse-names":false,"suffix":""},{"dropping-particle":"","family":"Chudamani","given":"Sudha","non-dropping-particle":"","parse-names":false,"suffix":""},{"dropping-particle":"","family":"Cibulskis","given":"Kristian","non-dropping-particle":"","parse-names":false,"suffix":""},{"dropping-particle":"","family":"Ciriello","given":"Giovanni","non-dropping-particle":"","parse-names":false,"suffix":""},{"dropping-particle":"","family":"Clarke","given":"Amanda","non-dropping-particle":"","parse-names":false,"suffix":""},{"dropping-particle":"","family":"Cooperberg","given":"Matthew R.","non-dropping-particle":"","parse-names":false,"suffix":""},{"dropping-particle":"","family":"Corcoran","given":"Niall M.","non-dropping-particle":"","parse-names":false,"suffix":""},{"dropping-particle":"","family":"Costello","given":"Anthony J.","non-dropping-particle":"","parse-names":false,"suffix":""},{"dropping-particle":"","family":"Cowan","given":"Janet","non-dropping-particle":"","parse-names":false,"suffix":""},{"dropping-particle":"","family":"Crain","given":"Daniel","non-dropping-particle":"","parse-names":false,"suffix":""},{"dropping-particle":"","family":"Curley","given":"Erin","non-dropping-particle":"","parse-names":false,"suffix":""},{"dropping-particle":"","family":"David","given":"Kerstin","non-dropping-particle":"","parse-names":false,"suffix":""},{"dropping-particle":"","family":"Demchok","given":"John A.","non-dropping-particle":"","parse-names":false,"suffix":""},{"dropping-particle":"","family":"Demichelis","given":"Francesca","non-dropping-particle":"","parse-names":false,"suffix":""},{"dropping-particle":"","family":"Dhalla","given":"Noreen","non-dropping-particle":"","parse-names":false,"suffix":""},{"dropping-particle":"","family":"Dhir","given":"Rajiv","non-dropping-particle":"","parse-names":false,"suffix":""},{"dropping-particle":"","family":"Doueik","given":"Alexandre","non-dropping-particle":"","parse-names":false,"suffix":""},{"dropping-particle":"","family":"Drake","given":"Bettina","non-dropping-particle":"","parse-names":false,"suffix":""},{"dropping-particle":"","family":"Dvinge","given":"Heidi","non-dropping-particle":"","parse-names":false,"suffix":""},{"dropping-particle":"","family":"Dyakova","given":"Natalya","non-dropping-particle":"","parse-names":false,"suffix":""},{"dropping-particle":"","family":"Felau","given":"Ina","non-dropping-particle":"","parse-names":false,"suffix":""},{"dropping-particle":"","family":"Ferguson","given":"Martin L.","non-dropping-particle":"","parse-names":false,"suffix":""},{"dropping-particle":"","family":"Frazer","given":"Scott","non-dropping-particle":"","parse-names":false,"suffix":""},{"dropping-particle":"","family":"Freedland","given":"Stephen","non-dropping-particle":"","parse-names":false,"suffix":""},{"dropping-particle":"","family":"Fu","given":"Yao","non-dropping-particle":"","parse-names":false,"suffix":""},{"dropping-particle":"","family":"Gabriel","given":"Stacey B.","non-dropping-particle":"","parse-names":false,"suffix":""},{"dropping-particle":"","family":"Gao","given":"Jianjiong","non-dropping-particle":"","parse-names":false,"suffix":""},{"dropping-particle":"","family":"Gardner","given":"Johanna","non-dropping-particle":"","parse-names":false,"suffix":""},{"dropping-particle":"","family":"Gastier-Foster","given":"Julie M.","non-dropping-particle":"","parse-names":false,"suffix":""},{"dropping-particle":"","family":"Gehlenborg","given":"Nils","non-dropping-particle":"","parse-names":false,"suffix":""},{"dropping-particle":"","family":"Gerken","given":"Mark","non-dropping-particle":"","parse-names":false,"suffix":""},{"dropping-particle":"","family":"Gerstein","given":"Mark B.","non-dropping-particle":"","parse-names":false,"suffix":""},{"dropping-particle":"","family":"Getz","given":"Gad","non-dropping-particle":"","parse-names":false,"suffix":""},{"dropping-particle":"","family":"Godwin","given":"Andrew K.","non-dropping-particle":"","parse-names":false,"suffix":""},{"dropping-particle":"","family":"Gopalan","given":"Anuradha","non-dropping-particle":"","parse-names":false,"suffix":""},{"dropping-particle":"","family":"Graefen","given":"Markus","non-dropping-particle":"","parse-names":false,"suffix":""},{"dropping-particle":"","family":"Graim","given":"Kiley","non-dropping-particle":"","parse-names":false,"suffix":""},{"dropping-particle":"","family":"Gribbin","given":"Thomas","non-dropping-particle":"","parse-names":false,"suffix":""},{"dropping-particle":"","family":"Guin","given":"Ranabir","non-dropping-particle":"","parse-names":false,"suffix":""},{"dropping-particle":"","family":"Gupta","given":"Manaswi","non-dropping-particle":"","parse-names":false,"suffix":""},{"dropping-particle":"","family":"Hadjipanayis","given":"Angela","non-dropping-particle":"","parse-names":false,"suffix":""},{"dropping-particle":"","family":"Haider","given":"Syed","non-dropping-particle":"","parse-names":false,"suffix":""},{"dropping-particle":"","family":"Hamel","given":"Lucie","non-dropping-particle":"","parse-names":false,"suffix":""},{"dropping-particle":"","family":"Hayes","given":"D. Neil","non-dropping-particle":"","parse-names":false,"suffix":""},{"dropping-particle":"","family":"Heiman","given":"David I.","non-dropping-particle":"","parse-names":false,"suffix":""},{"dropping-particle":"","family":"Hess","given":"Julian","non-dropping-particle":"","parse-names":false,"suffix":""},{"dropping-particle":"","family":"Hoadley","given":"Katherine A.","non-dropping-particle":"","parse-names":false,"suffix":""},{"dropping-particle":"","family":"Holbrook","given":"Andrea H.","non-dropping-particle":"","parse-names":false,"suffix":""},{"dropping-particle":"","family":"Holt","given":"Robert A.","non-dropping-particle":"","parse-names":false,"suffix":""},{"dropping-particle":"","family":"Holway","given":"Antonia","non-dropping-particle":"","parse-names":false,"suffix":""},{"dropping-particle":"","family":"Hovens","given":"Christopher M.","non-dropping-particle":"","parse-names":false,"suffix":""},{"dropping-particle":"","family":"Hoyle","given":"Alan P.","non-dropping-particle":"","parse-names":false,"suffix":""},{"dropping-particle":"","family":"Huang","given":"Mei","non-dropping-particle":"","parse-names":false,"suffix":""},{"dropping-particle":"","family":"Hutter","given":"Carolyn M.","non-dropping-particle":"","parse-names":false,"suffix":""},{"dropping-particle":"","family":"Ittmann","given":"Michael","non-dropping-particle":"","parse-names":false,"suffix":""},{"dropping-particle":"","family":"Iype","given":"Lisa","non-dropping-particle":"","parse-names":false,"suffix":""},{"dropping-particle":"","family":"Jefferys","given":"Stuart R.","non-dropping-particle":"","parse-names":false,"suffix":""},{"dropping-particle":"","family":"Jones","given":"Corbin D.","non-dropping-particle":"","parse-names":false,"suffix":""},{"dropping-particle":"","family":"Jones","given":"Steven J.M.","non-dropping-particle":"","parse-names":false,"suffix":""},{"dropping-particle":"","family":"Juhl","given":"Hartmut","non-dropping-particle":"","parse-names":false,"suffix":""},{"dropping-particle":"","family":"Kahles","given":"Andre","non-dropping-particle":"","parse-names":false,"suffix":""},{"dropping-particle":"","family":"Kane","given":"Christopher J.","non-dropping-particle":"","parse-names":false,"suffix":""},{"dropping-particle":"","family":"Kasaian","given":"Katayoon","non-dropping-particle":"","parse-names":false,"suffix":""},{"dropping-particle":"","family":"Kerger","given":"Michael","non-dropping-particle":"","parse-names":false,"suffix":""},{"dropping-particle":"","family":"Khurana","given":"Ekta","non-dropping-particle":"","parse-names":false,"suffix":""},{"dropping-particle":"","family":"Kim","given":"Jaegil","non-dropping-particle":"","parse-names":false,"suffix":""},{"dropping-particle":"","family":"Klein","given":"Robert J.","non-dropping-particle":"","parse-names":false,"suffix":""},{"dropping-particle":"","family":"Kucherlapati","given":"Raju","non-dropping-particle":"","parse-names":false,"suffix":""},{"dropping-particle":"","family":"Lacombe","given":"Louis","non-dropping-particle":"","parse-names":false,"suffix":""},{"dropping-particle":"","family":"Ladanyi","given":"Marc","non-dropping-particle":"","parse-names":false,"suffix":""},{"dropping-particle":"","family":"Lai","given":"Phillip H.","non-dropping-particle":"","parse-names":false,"suffix":""},{"dropping-particle":"","family":"Laird","given":"Peter W.","non-dropping-particle":"","parse-names":false,"suffix":""},{"dropping-particle":"","family":"Lander","given":"Eric S.","non-dropping-particle":"","parse-names":false,"suffix":""},{"dropping-particle":"","family":"Latour","given":"Mathieu","non-dropping-particle":"","parse-names":false,"suffix":""},{"dropping-particle":"","family":"Lawrence","given":"Michael S.","non-dropping-particle":"","parse-names":false,"suffix":""},{"dropping-particle":"","family":"Lau","given":"Kevin","non-dropping-particle":"","parse-names":false,"suffix":""},{"dropping-particle":"","family":"Lebien","given":"Tucker","non-dropping-particle":"","parse-names":false,"suffix":""},{"dropping-particle":"","family":"Lee","given":"Darlene","non-dropping-particle":"","parse-names":false,"suffix":""},{"dropping-particle":"","family":"Lee","given":"Semin","non-dropping-particle":"","parse-names":false,"suffix":""},{"dropping-particle":"Van","family":"Lehmann","given":"Kjong","non-dropping-particle":"","parse-names":false,"suffix":""},{"dropping-particle":"","family":"Leraas","given":"Kristen M.","non-dropping-particle":"","parse-names":false,"suffix":""},{"dropping-particle":"","family":"Leshchiner","given":"Ignaty","non-dropping-particle":"","parse-names":false,"suffix":""},{"dropping-particle":"","family":"Leung","given":"Robert","non-dropping-particle":"","parse-names":false,"suffix":""},{"dropping-particle":"","family":"Libertino","given":"John A.","non-dropping-particle":"","parse-names":false,"suffix":""},{"dropping-particle":"","family":"Lichtenberg","given":"Tara M.","non-dropping-particle":"","parse-names":false,"suffix":""},{"dropping-particle":"","family":"Lin","given":"Pei","non-dropping-particle":"","parse-names":false,"suffix":""},{"dropping-particle":"","family":"Linehan","given":"W. Marston","non-dropping-particle":"","parse-names":false,"suffix":""},{"dropping-particle":"","family":"Ling","given":"Shiyun","non-dropping-particle":"","parse-names":false,"suffix":""},{"dropping-particle":"","family":"Lippman","given":"Scott M.","non-dropping-particle":"","parse-names":false,"suffix":""},{"dropping-particle":"","family":"Liu","given":"Jia","non-dropping-particle":"","parse-names":false,"suffix":""},{"dropping-particle":"","family":"Liu","given":"Wenbin","non-dropping-particle":"","parse-names":false,"suffix":""},{"dropping-particle":"","family":"Lochovsky","given":"Lucas","non-dropping-particle":"","parse-names":false,"suffix":""},{"dropping-particle":"","family":"Loda","given":"Massimo","non-dropping-particle":"","parse-names":false,"suffix":""},{"dropping-particle":"","family":"Logothetis","given":"Christopher","non-dropping-particle":"","parse-names":false,"suffix":""},{"dropping-particle":"","family":"Lolla","given":"Laxmi","non-dropping-particle":"","parse-names":false,"suffix":""},{"dropping-particle":"","family":"Longacre","given":"Teri","non-dropping-particle":"","parse-names":false,"suffix":""},{"dropping-particle":"","family":"Lu","given":"Yiling","non-dropping-particle":"","parse-names":false,"suffix":""},{"dropping-particle":"","family":"Luo","given":"Jianhua","non-dropping-particle":"","parse-names":false,"suffix":""},{"dropping-particle":"","family":"Ma","given":"Yussanne","non-dropping-particle":"","parse-names":false,"suffix":""},{"dropping-particle":"","family":"Mahadeshwar","given":"Harshad S.","non-dropping-particle":"","parse-names":false,"suffix":""},{"dropping-particle":"","family":"Mallery","given":"David","non-dropping-particle":"","parse-names":false,"suffix":""},{"dropping-particle":"","family":"Mariamidze","given":"Armaz","non-dropping-particle":"","parse-names":false,"suffix":""},{"dropping-particle":"","family":"Marra","given":"Marco A.","non-dropping-particle":"","parse-names":false,"suffix":""},{"dropping-particle":"","family":"Mayo","given":"Michael","non-dropping-particle":"","parse-names":false,"suffix":""},{"dropping-particle":"","family":"McCall","given":"Shannon","non-dropping-particle":"","parse-names":false,"suffix":""},{"dropping-particle":"","family":"McKercher","given":"Ginette","non-dropping-particle":"","parse-names":false,"suffix":""},{"dropping-particle":"","family":"Meng","given":"Shaowu","non-dropping-particle":"","parse-names":false,"suffix":""},{"dropping-particle":"","family":"Mes-Masson","given":"Anne Marie","non-dropping-particle":"","parse-names":false,"suffix":""},{"dropping-particle":"","family":"Merino","given":"Maria J.","non-dropping-particle":"","parse-names":false,"suffix":""},{"dropping-particle":"","family":"Meyerson","given":"Matthew","non-dropping-particle":"","parse-names":false,"suffix":""},{"dropping-particle":"","family":"Mieczkowski","given":"Piotr A.","non-dropping-particle":"","parse-names":false,"suffix":""},{"dropping-particle":"","family":"Mills","given":"Gordon B.","non-dropping-particle":"","parse-names":false,"suffix":""},{"dropping-particle":"","family":"Shaw","given":"Kenna R.Mills","non-dropping-particle":"","parse-names":false,"suffix":""},{"dropping-particle":"","family":"Minner","given":"Sarah","non-dropping-particle":"","parse-names":false,"suffix":""},{"dropping-particle":"","family":"Moinzadeh","given":"Alireza","non-dropping-particle":"","parse-names":false,"suffix":""},{"dropping-particle":"","family":"Moore","given":"Richard A.","non-dropping-particle":"","parse-names":false,"suffix":""},{"dropping-particle":"","family":"Morris","given":"Scott","non-dropping-particle":"","parse-names":false,"suffix":""},{"dropping-particle":"","family":"Morrison","given":"Carl","non-dropping-particle":"","parse-names":false,"suffix":""},{"dropping-particle":"","family":"Mose","given":"Lisle E.","non-dropping-particle":"","parse-names":false,"suffix":""},{"dropping-particle":"","family":"Mungall","given":"Andrew J.","non-dropping-particle":"","parse-names":false,"suffix":""},{"dropping-particle":"","family":"Murray","given":"Bradley A.","non-dropping-particle":"","parse-names":false,"suffix":""},{"dropping-particle":"","family":"Myers","given":"Jerome B.","non-dropping-particle":"","parse-names":false,"suffix":""},{"dropping-particle":"","family":"Naresh","given":"Rashi","non-dropping-particle":"","parse-names":false,"suffix":""},{"dropping-particle":"","family":"Nelson","given":"Joel","non-dropping-particle":"","parse-names":false,"suffix":""},{"dropping-particle":"","family":"Nelson","given":"Mark A.","non-dropping-particle":"","parse-names":false,"suffix":""},{"dropping-particle":"","family":"Nelson","given":"Peter S.","non-dropping-particle":"","parse-names":false,"suffix":""},{"dropping-particle":"","family":"Newton","given":"Yulia","non-dropping-particle":"","parse-names":false,"suffix":""},{"dropping-particle":"","family":"Noble","given":"Michael S.","non-dropping-particle":"","parse-names":false,"suffix":""},{"dropping-particle":"","family":"Noushmehr","given":"Houtan","non-dropping-particle":"","parse-names":false,"suffix":""},{"dropping-particle":"","family":"Nykter","given":"Matti","non-dropping-particle":"","parse-names":false,"suffix":""},{"dropping-particle":"","family":"Pantazi","given":"Angeliki","non-dropping-particle":"","parse-names":false,"suffix":""},{"dropping-particle":"","family":"Parfenov","given":"Michael","non-dropping-particle":"","parse-names":false,"suffix":""},{"dropping-particle":"","family":"Park","given":"Peter J.","non-dropping-particle":"","parse-names":false,"suffix":""},{"dropping-particle":"","family":"Parker","given":"Joel S.","non-dropping-particle":"","parse-names":false,"suffix":""},{"dropping-particle":"","family":"Paulauskis","given":"Joseph","non-dropping-particle":"","parse-names":false,"suffix":""},{"dropping-particle":"","family":"Penny","given":"Robert","non-dropping-particle":"","parse-names":false,"suffix":""},{"dropping-particle":"","family":"Perou","given":"Charles M.","non-dropping-particle":"","parse-names":false,"suffix":""},{"dropping-particle":"","family":"Piché","given":"Alain","non-dropping-particle":"","parse-names":false,"suffix":""},{"dropping-particle":"","family":"Pihl","given":"Todd","non-dropping-particle":"","parse-names":false,"suffix":""},{"dropping-particle":"","family":"Pinto","given":"Peter A.","non-dropping-particle":"","parse-names":false,"suffix":""},{"dropping-particle":"","family":"Prandi","given":"Davide","non-dropping-particle":"","parse-names":false,"suffix":""},{"dropping-particle":"","family":"Protopopov","given":"Alexei","non-dropping-particle":"","parse-names":false,"suffix":""},{"dropping-particle":"","family":"Ramirez","given":"Nilsa C.","non-dropping-particle":"","parse-names":false,"suffix":""},{"dropping-particle":"","family":"Rao","given":"Arvind","non-dropping-particle":"","parse-names":false,"suffix":""},{"dropping-particle":"","family":"Rathmell","given":"W. Kimryn","non-dropping-particle":"","parse-names":false,"suffix":""},{"dropping-particle":"","family":"Rätsch","given":"Gunnar","non-dropping-particle":"","parse-names":false,"suffix":""},{"dropping-particle":"","family":"Ren","given":"Xiaojia","non-dropping-particle":"","parse-names":false,"suffix":""},{"dropping-particle":"","family":"Reuter","given":"Victor E.","non-dropping-particle":"","parse-names":false,"suffix":""},{"dropping-particle":"","family":"Reynolds","given":"Sheila M.","non-dropping-particle":"","parse-names":false,"suffix":""},{"dropping-particle":"","family":"Rhie","given":"Suhn K.","non-dropping-particle":"","parse-names":false,"suffix":""},{"dropping-particle":"","family":"Rieger-Christ","given":"Kimberly","non-dropping-particle":"","parse-names":false,"suffix":""},{"dropping-particle":"","family":"Roach","given":"Jeffrey","non-dropping-particle":"","parse-names":false,"suffix":""},{"dropping-particle":"","family":"Robertson","given":"A. Gordon","non-dropping-particle":"","parse-names":false,"suffix":""},{"dropping-particle":"","family":"Robinson","given":"Brian","non-dropping-particle":"","parse-names":false,"suffix":""},{"dropping-particle":"","family":"Rubin","given":"Mark A.","non-dropping-particle":"","parse-names":false,"suffix":""},{"dropping-particle":"","family":"Saad","given":"Fred","non-dropping-particle":"","parse-names":false,"suffix":""},{"dropping-particle":"","family":"Sadeghi","given":"Sara","non-dropping-particle":"","parse-names":false,"suffix":""},{"dropping-particle":"","family":"Saksena","given":"Gordon","non-dropping-particle":"","parse-names":false,"suffix":""},{"dropping-particle":"","family":"Saller","given":"Charles","non-dropping-particle":"","parse-names":false,"suffix":""},{"dropping-particle":"","family":"Salner","given":"Andrew","non-dropping-particle":"","parse-names":false,"suffix":""},{"dropping-particle":"","family":"Sanchez-Vega","given":"Francisco","non-dropping-particle":"","parse-names":false,"suffix":""},{"dropping-particle":"","family":"Sander","given":"Chris","non-dropping-particle":"","parse-names":false,"suffix":""},{"dropping-particle":"","family":"Sandusky","given":"George","non-dropping-particle":"","parse-names":false,"suffix":""},{"dropping-particle":"","family":"Sauter","given":"Guido","non-dropping-particle":"","parse-names":false,"suffix":""},{"dropping-particle":"","family":"Sboner","given":"Andrea","non-dropping-particle":"","parse-names":false,"suffix":""},{"dropping-particle":"","family":"Scardino","given":"Peter T.","non-dropping-particle":"","parse-names":false,"suffix":""},{"dropping-particle":"","family":"Scarlata","given":"Eleonora","non-dropping-particle":"","parse-names":false,"suffix":""},{"dropping-particle":"","family":"Schein","given":"Jacqueline E.","non-dropping-particle":"","parse-names":false,"suffix":""},{"dropping-particle":"","family":"Schlomm","given":"Thorsten","non-dropping-particle":"","parse-names":false,"suffix":""},{"dropping-particle":"","family":"Schmidt","given":"Laura S.","non-dropping-particle":"","parse-names":false,"suffix":""},{"dropping-particle":"","family":"Schultz","given":"Nikolaus","non-dropping-particle":"","parse-names":false,"suffix":""},{"dropping-particle":"","family":"Schumacher","given":"Steven E.","non-dropping-particle":"","parse-names":false,"suffix":""},{"dropping-particle":"","family":"Seidman","given":"Jonathan","non-dropping-particle":"","parse-names":false,"suffix":""},{"dropping-particle":"","family":"Neder","given":"Luciano","non-dropping-particle":"","parse-names":false,"suffix":""},{"dropping-particle":"","family":"Seth","given":"Sahil","non-dropping-particle":"","parse-names":false,"suffix":""},{"dropping-particle":"","family":"Sharp","given":"Alexis","non-dropping-particle":"","parse-names":false,"suffix":""},{"dropping-particle":"","family":"Shelton","given":"Candace","non-dropping-particle":"","parse-names":false,"suffix":""},{"dropping-particle":"","family":"Shelton","given":"Troy","non-dropping-particle":"","parse-names":false,"suffix":""},{"dropping-particle":"","family":"Shen","given":"Hui","non-dropping-particle":"","parse-names":false,"suffix":""},{"dropping-particle":"","family":"Shen","given":"Ronglai","non-dropping-particle":"","parse-names":false,"suffix":""},{"dropping-particle":"","family":"Sherman","given":"Mark","non-dropping-particle":"","parse-names":false,"suffix":""},{"dropping-particle":"","family":"Sheth","given":"Margi","non-dropping-particle":"","parse-names":false,"suffix":""},{"dropping-particle":"","family":"Shi","given":"Yan","non-dropping-particle":"","parse-names":false,"suffix":""},{"dropping-particle":"","family":"Shih","given":"Juliann","non-dropping-particle":"","parse-names":false,"suffix":""},{"dropping-particle":"","family":"Shmulevich","given":"Ilya","non-dropping-particle":"","parse-names":false,"suffix":""},{"dropping-particle":"","family":"Simko","given":"Jeffry","non-dropping-particle":"","parse-names":false,"suffix":""},{"dropping-particle":"","family":"Simon","given":"Ronald","non-dropping-particle":"","parse-names":false,"suffix":""},{"dropping-particle":"V.","family":"Simons","given":"Janae","non-dropping-particle":"","parse-names":false,"suffix":""},{"dropping-particle":"","family":"Sipahimalani","given":"Payal","non-dropping-particle":"","parse-names":false,"suffix":""},{"dropping-particle":"","family":"Skelly","given":"Tara","non-dropping-particle":"","parse-names":false,"suffix":""},{"dropping-particle":"","family":"Sofia","given":"Heidi J.","non-dropping-particle":"","parse-names":false,"suffix":""},{"dropping-particle":"","family":"Soloway","given":"Matthew G.","non-dropping-particle":"","parse-names":false,"suffix":""},{"dropping-particle":"","family":"Song","given":"Xingzhi","non-dropping-particle":"","parse-names":false,"suffix":""},{"dropping-particle":"","family":"Sorcini","given":"Andrea","non-dropping-particle":"","parse-names":false,"suffix":""},{"dropping-particle":"","family":"Sougnez","given":"Carrie","non-dropping-particle":"","parse-names":false,"suffix":""},{"dropping-particle":"","family":"Stepa","given":"Serghei","non-dropping-particle":"","parse-names":false,"suffix":""},{"dropping-particle":"","family":"Stewart","given":"Chip","non-dropping-particle":"","parse-names":false,"suffix":""},{"dropping-particle":"","family":"Stewart","given":"John","non-dropping-particle":"","parse-names":false,"suffix":""},{"dropping-particle":"","family":"Stuart","given":"Joshua M.","non-dropping-particle":"","parse-names":false,"suffix":""},{"dropping-particle":"","family":"Sullivan","given":"Travis B.","non-dropping-particle":"","parse-names":false,"suffix":""},{"dropping-particle":"","family":"Sun","given":"Charlie","non-dropping-particle":"","parse-names":false,"suffix":""},{"dropping-particle":"","family":"Sun","given":"Huandong","non-dropping-particle":"","parse-names":false,"suffix":""},{"dropping-particle":"","family":"Tam","given":"Angela","non-dropping-particle":"","parse-names":false,"suffix":""},{"dropping-particle":"","family":"Tan","given":"Donghui","non-dropping-particle":"","parse-names":false,"suffix":""},{"dropping-particle":"","family":"Tang","given":"Jiabin","non-dropping-particle":"","parse-names":false,"suffix":""},{"dropping-particle":"","family":"Tarnuzzer","given":"Roy","non-dropping-particle":"","parse-names":false,"suffix":""},{"dropping-particle":"","family":"Tarvin","given":"Katherine","non-dropping-particle":"","parse-names":false,"suffix":""},{"dropping-particle":"","family":"Taylor","given":"Barry S.","non-dropping-particle":"","parse-names":false,"suffix":""},{"dropping-particle":"","family":"Teebagy","given":"Patrick","non-dropping-particle":"","parse-names":false,"suffix":""},{"dropping-particle":"","family":"Tenggara","given":"Imelda","non-dropping-particle":"","parse-names":false,"suffix":""},{"dropping-particle":"","family":"Têtu","given":"Bernard","non-dropping-particle":"","parse-names":false,"suffix":""},{"dropping-particle":"","family":"Tewari","given":"Ashutosh","non-dropping-particle":"","parse-names":false,"suffix":""},{"dropping-particle":"","family":"Thiessen","given":"Nina","non-dropping-particle":"","parse-names":false,"suffix":""},{"dropping-particle":"","family":"Thompson","given":"Timothy","non-dropping-particle":"","parse-names":false,"suffix":""},{"dropping-particle":"","family":"Thorne","given":"Leigh B.","non-dropping-particle":"","parse-names":false,"suffix":""},{"dropping-particle":"","family":"Tirapelli","given":"Daniela P.","non-dropping-particle":"","parse-names":false,"suffix":""},{"dropping-particle":"","family":"Tomlins","given":"Scott A.","non-dropping-particle":"","parse-names":false,"suffix":""},{"dropping-particle":"","family":"Trevisan","given":"Felipe Amstalden","non-dropping-particle":"","parse-names":false,"suffix":""},{"dropping-particle":"","family":"Troncoso","given":"Patricia","non-dropping-particle":"","parse-names":false,"suffix":""},{"dropping-particle":"","family":"True","given":"Lawrence D.","non-dropping-particle":"","parse-names":false,"suffix":""},{"dropping-particle":"","family":"Tsourlakis","given":"Maria Christina","non-dropping-particle":"","parse-names":false,"suffix":""},{"dropping-particle":"","family":"Tyekucheva","given":"Svitlana","non-dropping-particle":"","parse-names":false,"suffix":""},{"dropping-particle":"","family":"Allen","given":"Eliezer","non-dropping-particle":"Van","parse-names":false,"suffix":""},{"dropping-particle":"","family":"Berg","given":"David J.","non-dropping-particle":"Van Den","parse-names":false,"suffix":""},{"dropping-particle":"","family":"Veluvolu","given":"Umadevi","non-dropping-particle":"","parse-names":false,"suffix":""},{"dropping-particle":"","family":"Verhaak","given":"Roel","non-dropping-particle":"","parse-names":false,"suffix":""},{"dropping-particle":"","family":"Vocke","given":"Cathy D.","non-dropping-particle":"","parse-names":false,"suffix":""},{"dropping-particle":"","family":"Voet","given":"Doug","non-dropping-particle":"","parse-names":false,"suffix":""},{"dropping-particle":"","family":"Wan","given":"Yunhu","non-dropping-particle":"","parse-names":false,"suffix":""},{"dropping-particle":"","family":"Wang","given":"Qingguo","non-dropping-particle":"","parse-names":false,"suffix":""},{"dropping-particle":"","family":"Wang","given":"Wenyi","non-dropping-particle":"","parse-names":false,"suffix":""},{"dropping-particle":"","family":"Wang","given":"Zhining","non-dropping-particle":"","parse-names":false,"suffix":""},{"dropping-particle":"","family":"Weinhold","given":"Nils","non-dropping-particle":"","parse-names":false,"suffix":""},{"dropping-particle":"","family":"Weinstein","given":"John N.","non-dropping-particle":"","parse-names":false,"suffix":""},{"dropping-particle":"","family":"Weisenberger","given":"Daniel J.","non-dropping-particle":"","parse-names":false,"suffix":""},{"dropping-particle":"","family":"Wilkerson","given":"Matthew D.","non-dropping-particle":"","parse-names":false,"suffix":""},{"dropping-particle":"","family":"Wise","given":"Lisa","non-dropping-particle":"","parse-names":false,"suffix":""},{"dropping-particle":"","family":"Witte","given":"John","non-dropping-particle":"","parse-names":false,"suffix":""},{"dropping-particle":"","family":"Wu","given":"Chia Chin","non-dropping-particle":"","parse-names":false,"suffix":""},{"dropping-particle":"","family":"Wu","given":"Junyuan","non-dropping-particle":"","parse-names":false,"suffix":""},{"dropping-particle":"","family":"Wu","given":"Ye","non-dropping-particle":"","parse-names":false,"suffix":""},{"dropping-particle":"","family":"Xu","given":"Andrew W.","non-dropping-particle":"","parse-names":false,"suffix":""},{"dropping-particle":"","family":"Yadav","given":"Shalini S.","non-dropping-particle":"","parse-names":false,"suffix":""},{"dropping-particle":"","family":"Yang","given":"Liming","non-dropping-particle":"","parse-names":false,"suffix":""},{"dropping-particle":"","family":"Yang","given":"Lixing","non-dropping-particle":"","parse-names":false,"suffix":""},{"dropping-particle":"","family":"Yau","given":"Christina","non-dropping-particle":"","parse-names":false,"suffix":""},{"dropping-particle":"","family":"Ye","given":"Huihui","non-dropping-particle":"","parse-names":false,"suffix":""},{"dropping-particle":"","family":"Yena","given":"Peggy","non-dropping-particle":"","parse-names":false,"suffix":""},{"dropping-particle":"","family":"Zeng","given":"Thomas","non-dropping-particle":"","parse-names":false,"suffix":""},{"dropping-particle":"","family":"Zenklusen","given":"Jean C.","non-dropping-particle":"","parse-names":false,"suffix":""},{"dropping-particle":"","family":"Zhang","given":"Hailei","non-dropping-particle":"","parse-names":false,"suffix":""},{"dropping-particle":"","family":"Zhang","given":"Jianhua","non-dropping-particle":"","parse-names":false,"suffix":""},{"dropping-particle":"","family":"Zhang","given":"Jiashan","non-dropping-particle":"","parse-names":false,"suffix":""},{"dropping-particle":"","family":"Zhang","given":"Wei","non-dropping-particle":"","parse-names":false,"suffix":""},{"dropping-particle":"","family":"Zhong","given":"Yi","non-dropping-particle":"","parse-names":false,"suffix":""},{"dropping-particle":"","family":"Zhu","given":"Kelsey","non-dropping-particle":"","parse-names":false,"suffix":""},{"dropping-particle":"","family":"Zmuda","given":"Erik","non-dropping-particle":"","parse-names":false,"suffix":""}],"container-title":"Cell","id":"ITEM-1","issue":"4","issued":{"date-parts":[["2015"]]},"note":"difference between primary and metastatic tumour","page":"1011-1025","title":"The Molecular Taxonomy of Primary Prostate Cancer","type":"article-journal","volume":"163"},"uris":["http://www.mendeley.com/documents/?uuid=26136416-4cd0-46bb-895a-455783a28ce8"]}],"mendeley":{"formattedCitation":"&lt;sup&gt;22&lt;/sup&gt;","plainTextFormattedCitation":"22","previouslyFormattedCitation":"[22]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22</w:t>
      </w:r>
      <w:r w:rsidRPr="00C83EDC">
        <w:rPr>
          <w:lang w:val="en-GB"/>
        </w:rPr>
        <w:fldChar w:fldCharType="end"/>
      </w:r>
      <w:r w:rsidRPr="00C83EDC">
        <w:rPr>
          <w:lang w:val="en-GB"/>
        </w:rPr>
        <w:t xml:space="preserve">. </w:t>
      </w:r>
    </w:p>
    <w:p w14:paraId="617023B1" w14:textId="1C2990F9" w:rsidR="00EE7EB3" w:rsidRPr="00C83EDC" w:rsidRDefault="00EE7EB3" w:rsidP="00EE7EB3">
      <w:pPr>
        <w:pStyle w:val="Dalodstavce"/>
        <w:rPr>
          <w:lang w:val="en-GB"/>
        </w:rPr>
      </w:pPr>
      <w:r w:rsidRPr="00C83EDC">
        <w:rPr>
          <w:lang w:val="en-GB"/>
        </w:rPr>
        <w:t xml:space="preserve">Whole exome sequencing analysis confirmed recurrent gene fusions of ETS family members to the androgen responsive gene </w:t>
      </w:r>
      <w:r w:rsidRPr="00C83EDC">
        <w:rPr>
          <w:i/>
          <w:lang w:val="en-GB"/>
        </w:rPr>
        <w:t>TMPRSS2</w:t>
      </w:r>
      <w:r w:rsidRPr="00C83EDC">
        <w:rPr>
          <w:lang w:val="en-GB"/>
        </w:rPr>
        <w:t xml:space="preserve">, with 48% of prostate tumours displaying ERG fusions. Other members of ETS transcription factors showed lower prevalence of the fusion events, in particular 8%, 4%, and 1% for </w:t>
      </w:r>
      <w:r w:rsidRPr="00C83EDC">
        <w:rPr>
          <w:i/>
          <w:lang w:val="en-GB"/>
        </w:rPr>
        <w:t>ETV1</w:t>
      </w:r>
      <w:r w:rsidRPr="00C83EDC">
        <w:rPr>
          <w:lang w:val="en-GB"/>
        </w:rPr>
        <w:t xml:space="preserve">, </w:t>
      </w:r>
      <w:r w:rsidRPr="00C83EDC">
        <w:rPr>
          <w:i/>
          <w:lang w:val="en-GB"/>
        </w:rPr>
        <w:t>ETV4</w:t>
      </w:r>
      <w:r w:rsidRPr="00C83EDC">
        <w:rPr>
          <w:lang w:val="en-GB"/>
        </w:rPr>
        <w:t xml:space="preserve"> and </w:t>
      </w:r>
      <w:r w:rsidRPr="00C83EDC">
        <w:rPr>
          <w:i/>
          <w:lang w:val="en-GB"/>
        </w:rPr>
        <w:t>FLI1</w:t>
      </w:r>
      <w:r w:rsidRPr="00C83EDC">
        <w:rPr>
          <w:lang w:val="en-GB"/>
        </w:rPr>
        <w:t xml:space="preserve"> genes, respectively</w:t>
      </w:r>
      <w:r w:rsidRPr="00C83EDC">
        <w:rPr>
          <w:lang w:val="en-GB"/>
        </w:rPr>
        <w:fldChar w:fldCharType="begin" w:fldLock="1"/>
      </w:r>
      <w:r w:rsidR="000C069C">
        <w:rPr>
          <w:lang w:val="en-GB"/>
        </w:rPr>
        <w:instrText>ADDIN CSL_CITATION {"citationItems":[{"id":"ITEM-1","itemData":{"DOI":"10.1097/PAP.0000000000000245","ISSN":"15334031","abstract":"Prostate cancer (PCa) is the most common noncutaneous malignancy affecting American men and the second most common cause of cancer death. The traditional risk classification schemes for PCa are limited due to the vast clinical and molecular heterogeneity of the disease. Fortunately, recent advancements in sequencing technologies have provided us with valuable insight into the genomics of PCa. To date, a wide array of recurrent genomic alterations in PCa have been identified. Incorporating these distinct molecular subtypes of PCa into prediction models provides opportunities for improved risk stratification and ultimately better patient outcomes. In this review, we summarize the key molecular subtypes of PCa and focus on those genomic alterations that have clinical implications for diagnosis, prognosis, and therapeutic response.","author":[{"dropping-particle":"","family":"Faisal","given":"Farzana A.","non-dropping-particle":"","parse-names":false,"suffix":""},{"dropping-particle":"","family":"Lotan","given":"Tamara L.","non-dropping-particle":"","parse-names":false,"suffix":""}],"container-title":"Advances in Anatomic Pathology","id":"ITEM-1","issue":"1","issued":{"date-parts":[["2020"]]},"note":"mention of four kallikrein and prostate health index \ngermiline variants\n\nearly detection assays\nScreening:\nurine biomarker PCA3 - long noc-coding RNA\ntissue based assay\n\ntreatments of various stages ofPCa","page":"11-19","title":"The Genomic and Molecular Pathology of Prostate Cancer: Clinical Implications for Diagnosis, Prognosis, and Therapy","type":"article-journal","volume":"27"},"uris":["http://www.mendeley.com/documents/?uuid=34f5af8a-f340-48aa-add3-3a6375b39ef9"]}],"mendeley":{"formattedCitation":"&lt;sup&gt;13&lt;/sup&gt;","plainTextFormattedCitation":"13","previouslyFormattedCitation":"[13]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13</w:t>
      </w:r>
      <w:r w:rsidRPr="00C83EDC">
        <w:rPr>
          <w:lang w:val="en-GB"/>
        </w:rPr>
        <w:fldChar w:fldCharType="end"/>
      </w:r>
      <w:r w:rsidRPr="00C83EDC">
        <w:rPr>
          <w:lang w:val="en-GB"/>
        </w:rPr>
        <w:t>. As ETS fusions could be used as prognostic parameter</w:t>
      </w:r>
      <w:r>
        <w:rPr>
          <w:lang w:val="en-GB"/>
        </w:rPr>
        <w:t>s</w:t>
      </w:r>
      <w:r w:rsidRPr="00C83EDC">
        <w:rPr>
          <w:lang w:val="en-GB"/>
        </w:rPr>
        <w:t xml:space="preserve">, </w:t>
      </w:r>
      <w:r w:rsidRPr="00C83EDC">
        <w:rPr>
          <w:i/>
          <w:iCs/>
          <w:lang w:val="en-GB"/>
        </w:rPr>
        <w:t>in vitro</w:t>
      </w:r>
      <w:r w:rsidRPr="00C83EDC">
        <w:rPr>
          <w:lang w:val="en-GB"/>
        </w:rPr>
        <w:t xml:space="preserve"> experiments</w:t>
      </w:r>
      <w:r>
        <w:rPr>
          <w:lang w:val="en-GB"/>
        </w:rPr>
        <w:t xml:space="preserve"> have been conducted</w:t>
      </w:r>
      <w:r w:rsidRPr="00C83EDC">
        <w:rPr>
          <w:lang w:val="en-GB"/>
        </w:rPr>
        <w:t xml:space="preserve"> to decipher their molecular mechanism and their role in cancer. In one study expression of ERG-TMPRSS2 in prostate cancer cells induced </w:t>
      </w:r>
      <w:r>
        <w:rPr>
          <w:lang w:val="en-GB"/>
        </w:rPr>
        <w:t xml:space="preserve">the </w:t>
      </w:r>
      <w:r w:rsidRPr="00C83EDC">
        <w:rPr>
          <w:lang w:val="en-GB"/>
        </w:rPr>
        <w:t>TGF-β signalling pathway and the cells underwent epithelial-mesenchymal transition</w:t>
      </w:r>
      <w:r w:rsidRPr="00C83EDC">
        <w:rPr>
          <w:lang w:val="en-GB"/>
        </w:rPr>
        <w:fldChar w:fldCharType="begin" w:fldLock="1"/>
      </w:r>
      <w:r w:rsidR="000C069C">
        <w:rPr>
          <w:lang w:val="en-GB"/>
        </w:rPr>
        <w:instrText>ADDIN CSL_CITATION {"citationItems":[{"id":"ITEM-1","itemData":{"DOI":"10.18632/oncotarget.15931","ISSN":"19492553","abstract":"TMPRSS2:ERG (T/E) gene fusions are present in approximately 50% of all prostate cancer (PCa) cases. The expression of fusion mRNAs from distinct T/E variants is associated with clinicopathological parameters, while the underlying molecular processes remain unclear. We characterized the molecular mechanisms and functional implications caused by doxycycline (Dox)-inducible overexpression of the frequent T/E III and VI fusion variants in LNCaP cells. Induction of T/E expression resulted in increased cellular migratory and invasive potential, and reduced proliferation and accumulation in G1 phase. T/E overexpressing cells showed epithelial-to-mesenchymal transition (EMT), as demonstrated by upregulation of TGF-β and WNT pathway genes, mesenchymal markers, and increased phosphorylation of the p38 MAPK. Augmented secretion of TGF-β1 and -β2, and T/E-mediated regulation of ALK1, a member of the TGF-β receptor family, was detected. ALK1 inhibition in T/E overexpressing cells blocked p38 phosphorylation and reduced the expression of the TGF-β target genes VIM, MMP1, CDH2, and SNAI2. We found a T/E variant VIspecific induction of miR-503 associated with reduced expression of SMAD7 and CDH1. Overexpression of miR-503 led to increased levels of VIM and MMP1. Our findings indicate that TGF-β signaling is a major determinant of EMT in T/E overexpressing LNCaP cells. We provide evidence that T/E VI-specific transcriptional modulation by miR-503 accounts for differences in the activation of EMT pathway genes, promoting the aggressive phenotype of tumors expressing T/E variant VI. We suggest that ALK1-mediated TGF-β signaling is a novel oncogenic mechanism in T/E positive PCa.","author":[{"dropping-particle":"","family":"Ratz","given":"Leonie","non-dropping-particle":"","parse-names":false,"suffix":""},{"dropping-particle":"","family":"Laible","given":"Mark","non-dropping-particle":"","parse-names":false,"suffix":""},{"dropping-particle":"","family":"Kacprzyk","given":"Lukasz A.","non-dropping-particle":"","parse-names":false,"suffix":""},{"dropping-particle":"","family":"Wittig-Blaich","given":"Stephanie M.","non-dropping-particle":"","parse-names":false,"suffix":""},{"dropping-particle":"","family":"Tolstov","given":"Yanis","non-dropping-particle":"","parse-names":false,"suffix":""},{"dropping-particle":"","family":"Duensing","given":"Stefan","non-dropping-particle":"","parse-names":false,"suffix":""},{"dropping-particle":"","family":"Altevogt","given":"Peter","non-dropping-particle":"","parse-names":false,"suffix":""},{"dropping-particle":"","family":"Klauck","given":"Sabine M.","non-dropping-particle":"","parse-names":false,"suffix":""},{"dropping-particle":"","family":"Sültmann","given":"Holger","non-dropping-particle":"","parse-names":false,"suffix":""}],"container-title":"Oncotarget","id":"ITEM-1","issue":"15","issued":{"date-parts":[["2017"]]},"page":"25115-25130","title":"TMPRSS2: ERG gene fusion variants induce TGF-β signaling and epithelial to mesenchymal transition in human prostate cancer cells","type":"article-journal","volume":"8"},"uris":["http://www.mendeley.com/documents/?uuid=ea7624a8-1ac4-456b-b6c4-3c36f5510528"]}],"mendeley":{"formattedCitation":"&lt;sup&gt;34&lt;/sup&gt;","plainTextFormattedCitation":"34","previouslyFormattedCitation":"[34]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34</w:t>
      </w:r>
      <w:r w:rsidRPr="00C83EDC">
        <w:rPr>
          <w:lang w:val="en-GB"/>
        </w:rPr>
        <w:fldChar w:fldCharType="end"/>
      </w:r>
      <w:r w:rsidRPr="00C83EDC">
        <w:rPr>
          <w:lang w:val="en-GB"/>
        </w:rPr>
        <w:t xml:space="preserve">. Another study revealed that the overexpression of the </w:t>
      </w:r>
      <w:r w:rsidRPr="00C83EDC">
        <w:rPr>
          <w:i/>
          <w:lang w:val="en-GB"/>
        </w:rPr>
        <w:t>ERG</w:t>
      </w:r>
      <w:r w:rsidRPr="00C83EDC">
        <w:rPr>
          <w:lang w:val="en-GB"/>
        </w:rPr>
        <w:t xml:space="preserve"> gene fusion product in prostate epithelial cells significantly increased their invasion. Moreover, ERG overexpression in both</w:t>
      </w:r>
      <w:r>
        <w:rPr>
          <w:lang w:val="en-GB"/>
        </w:rPr>
        <w:t xml:space="preserve"> the</w:t>
      </w:r>
      <w:r w:rsidRPr="00C83EDC">
        <w:rPr>
          <w:lang w:val="en-GB"/>
        </w:rPr>
        <w:t xml:space="preserve"> </w:t>
      </w:r>
      <w:r w:rsidRPr="00C83EDC">
        <w:rPr>
          <w:i/>
          <w:lang w:val="en-GB"/>
        </w:rPr>
        <w:t>TMPPRSS2–ERG</w:t>
      </w:r>
      <w:r w:rsidRPr="00C83EDC">
        <w:rPr>
          <w:lang w:val="en-GB"/>
        </w:rPr>
        <w:t xml:space="preserve">–positive prostate cancer cell line and benign prostate cells increased cellular invasion through the plasminogen activator pathway. On the other hand, the overexpression of ERG did not affect benign epithelial cell proliferation or their transformation and </w:t>
      </w:r>
      <w:r w:rsidRPr="00C83EDC">
        <w:rPr>
          <w:i/>
          <w:lang w:val="en-GB"/>
        </w:rPr>
        <w:t>TMPRSS2-ERG</w:t>
      </w:r>
      <w:r w:rsidRPr="00C83EDC">
        <w:rPr>
          <w:lang w:val="en-GB"/>
        </w:rPr>
        <w:t xml:space="preserve"> fusion product did not cause induction of frank adenocarcinoma development</w:t>
      </w:r>
      <w:r w:rsidRPr="00C83EDC">
        <w:rPr>
          <w:lang w:val="en-GB"/>
        </w:rPr>
        <w:fldChar w:fldCharType="begin" w:fldLock="1"/>
      </w:r>
      <w:r w:rsidR="000C069C">
        <w:rPr>
          <w:lang w:val="en-GB"/>
        </w:rPr>
        <w:instrText>ADDIN CSL_CITATION {"citationItems":[{"id":"ITEM-1","itemData":{"DOI":"10.1593/neo.07822","ISSN":"14765586","PMID":"18283340","abstract":"TMPRSS2-ERG gene fusions are the predominant molecular subtype of prostate cancer. Here, we explored the role of TMPRSS2-ERG gene fusion product using in vitro and in vivo model systems. Transgenic mice expressing the ERG gene fusion product under androgen-regulation develop mouse prostatic intraepithelial neoplasia (PIN), a precursor lesion of prostate cancer. Introduction of the ERG gene fusion product into primary or immortalized benign prostate epithelial cells induced an invasion-associated transcriptional program but did not increase cellular proliferation or anchorage-independent growth. These results suggest that TMPRSS2-ERG may not be sufficient for transformation in the absence of secondary molecular lesions. Transcriptional profiling of ERG knockdown in the TMPPRSS2-ERG-positive prostate cancer cell line VCaP revealed decreased expression of genes over-expressed in prostate cancer versus PIN and genes overexpressed in ETS-positive versus -negative prostate cancers in addition to inhibiting invasion. ERG knockdown in VCaP cells also induced a transcriptional program consistent with prostate differentiation. Importantly, VCaP cells and benign prostate cells overexpressing ERG directly engage components of the plasminogen activation pathway to mediate cellular invasion, potentially representing a downstream ETS target susceptible to therapeutic intervention. Our results support previous work suggesting that TMPRSS2-ERG fusions mediate invasion, consistent with the defining histologic distinction between PIN and prostate cancer. Copyright © 2008 Neoplasia Press, Inc. All rights reserved.","author":[{"dropping-particle":"","family":"Tomlins","given":"Scott A.","non-dropping-particle":"","parse-names":false,"suffix":""},{"dropping-particle":"","family":"Laxman","given":"Bharathi","non-dropping-particle":"","parse-names":false,"suffix":""},{"dropping-particle":"","family":"Varambally","given":"Sooryanarayana","non-dropping-particle":"","parse-names":false,"suffix":""},{"dropping-particle":"","family":"Cao","given":"Xuhong","non-dropping-particle":"","parse-names":false,"suffix":""},{"dropping-particle":"","family":"Yu","given":"Jindan","non-dropping-particle":"","parse-names":false,"suffix":""},{"dropping-particle":"","family":"Helgeson","given":"Beth E.","non-dropping-particle":"","parse-names":false,"suffix":""},{"dropping-particle":"","family":"Cao","given":"Qi","non-dropping-particle":"","parse-names":false,"suffix":""},{"dropping-particle":"","family":"Prensner","given":"John R.","non-dropping-particle":"","parse-names":false,"suffix":""},{"dropping-particle":"","family":"Rubin","given":"Mark A.","non-dropping-particle":"","parse-names":false,"suffix":""},{"dropping-particle":"","family":"Shah","given":"Rajal B.","non-dropping-particle":"","parse-names":false,"suffix":""},{"dropping-particle":"","family":"Mehra","given":"Rohit","non-dropping-particle":"","parse-names":false,"suffix":""},{"dropping-particle":"","family":"Chinnaiyan","given":"Arul M.","non-dropping-particle":"","parse-names":false,"suffix":""}],"container-title":"Neoplasia","id":"ITEM-1","issue":"2","issued":{"date-parts":[["2008"]]},"page":"177-188","publisher":"Neoplasia Press Inc","title":"Role of the TMPRSS2-ERG gene fusion in prostate cancer","type":"article-journal","volume":"10"},"uris":["http://www.mendeley.com/documents/?uuid=54d822ea-19ff-4afd-b1b8-b64612a72de1"]}],"mendeley":{"formattedCitation":"&lt;sup&gt;35&lt;/sup&gt;","plainTextFormattedCitation":"35","previouslyFormattedCitation":"[35]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35</w:t>
      </w:r>
      <w:r w:rsidRPr="00C83EDC">
        <w:rPr>
          <w:lang w:val="en-GB"/>
        </w:rPr>
        <w:fldChar w:fldCharType="end"/>
      </w:r>
      <w:r w:rsidRPr="00C83EDC">
        <w:rPr>
          <w:lang w:val="en-GB"/>
        </w:rPr>
        <w:t xml:space="preserve">. Furthermore, chromosomal rearrangements of </w:t>
      </w:r>
      <w:r w:rsidRPr="00C83EDC">
        <w:rPr>
          <w:i/>
          <w:lang w:val="en-GB"/>
        </w:rPr>
        <w:t>ERG</w:t>
      </w:r>
      <w:r w:rsidRPr="00C83EDC">
        <w:rPr>
          <w:lang w:val="en-GB"/>
        </w:rPr>
        <w:t xml:space="preserve"> show no correlation to </w:t>
      </w:r>
      <w:proofErr w:type="spellStart"/>
      <w:r w:rsidRPr="00C83EDC">
        <w:rPr>
          <w:lang w:val="en-GB"/>
        </w:rPr>
        <w:t>PCa</w:t>
      </w:r>
      <w:proofErr w:type="spellEnd"/>
      <w:r w:rsidRPr="00C83EDC">
        <w:rPr>
          <w:lang w:val="en-GB"/>
        </w:rPr>
        <w:t xml:space="preserve"> prognosis, despite high prevalence in prostate cancer and their possible oncogenic effects</w:t>
      </w:r>
      <w:r w:rsidRPr="00C83EDC">
        <w:rPr>
          <w:lang w:val="en-GB"/>
        </w:rPr>
        <w:fldChar w:fldCharType="begin" w:fldLock="1"/>
      </w:r>
      <w:r w:rsidR="000C069C">
        <w:rPr>
          <w:lang w:val="en-GB"/>
        </w:rPr>
        <w:instrText>ADDIN CSL_CITATION {"citationItems":[{"id":"ITEM-1","itemData":{"DOI":"10.1097/PAP.0000000000000245","ISSN":"15334031","abstract":"Prostate cancer (PCa) is the most common noncutaneous malignancy affecting American men and the second most common cause of cancer death. The traditional risk classification schemes for PCa are limited due to the vast clinical and molecular heterogeneity of the disease. Fortunately, recent advancements in sequencing technologies have provided us with valuable insight into the genomics of PCa. To date, a wide array of recurrent genomic alterations in PCa have been identified. Incorporating these distinct molecular subtypes of PCa into prediction models provides opportunities for improved risk stratification and ultimately better patient outcomes. In this review, we summarize the key molecular subtypes of PCa and focus on those genomic alterations that have clinical implications for diagnosis, prognosis, and therapeutic response.","author":[{"dropping-particle":"","family":"Faisal","given":"Farzana A.","non-dropping-particle":"","parse-names":false,"suffix":""},{"dropping-particle":"","family":"Lotan","given":"Tamara L.","non-dropping-particle":"","parse-names":false,"suffix":""}],"container-title":"Advances in Anatomic Pathology","id":"ITEM-1","issue":"1","issued":{"date-parts":[["2020"]]},"note":"mention of four kallikrein and prostate health index \ngermiline variants\n\nearly detection assays\nScreening:\nurine biomarker PCA3 - long noc-coding RNA\ntissue based assay\n\ntreatments of various stages ofPCa","page":"11-19","title":"The Genomic and Molecular Pathology of Prostate Cancer: Clinical Implications for Diagnosis, Prognosis, and Therapy","type":"article-journal","volume":"27"},"uris":["http://www.mendeley.com/documents/?uuid=34f5af8a-f340-48aa-add3-3a6375b39ef9"]}],"mendeley":{"formattedCitation":"&lt;sup&gt;13&lt;/sup&gt;","plainTextFormattedCitation":"13","previouslyFormattedCitation":"[13]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13</w:t>
      </w:r>
      <w:r w:rsidRPr="00C83EDC">
        <w:rPr>
          <w:lang w:val="en-GB"/>
        </w:rPr>
        <w:fldChar w:fldCharType="end"/>
      </w:r>
      <w:r w:rsidRPr="00C83EDC">
        <w:rPr>
          <w:lang w:val="en-GB"/>
        </w:rPr>
        <w:t>.</w:t>
      </w:r>
      <w:r>
        <w:rPr>
          <w:lang w:val="en-GB"/>
        </w:rPr>
        <w:t xml:space="preserve"> </w:t>
      </w:r>
    </w:p>
    <w:p w14:paraId="26161E1C" w14:textId="731BDAF5" w:rsidR="00EE7EB3" w:rsidRPr="00C83EDC" w:rsidRDefault="00EE7EB3" w:rsidP="00EE7EB3">
      <w:pPr>
        <w:pStyle w:val="Dalodstavce"/>
        <w:rPr>
          <w:lang w:val="en-GB"/>
        </w:rPr>
      </w:pPr>
      <w:r w:rsidRPr="00C83EDC">
        <w:rPr>
          <w:lang w:val="en-GB"/>
        </w:rPr>
        <w:t>The TCGA classification defined three other molecular subtypes of prostate cancer that are ETS-fusion negative and are based on the recurrent somatic mutations in the genes coding for SPOP, FOXA1, and IDH1 proteins</w:t>
      </w:r>
      <w:r w:rsidRPr="00C83EDC">
        <w:rPr>
          <w:lang w:val="en-GB"/>
        </w:rPr>
        <w:fldChar w:fldCharType="begin" w:fldLock="1"/>
      </w:r>
      <w:r w:rsidR="000C069C">
        <w:rPr>
          <w:lang w:val="en-GB"/>
        </w:rPr>
        <w:instrText>ADDIN CSL_CITATION {"citationItems":[{"id":"ITEM-1","itemData":{"DOI":"10.1016/j.cell.2015.10.025","ISSN":"10974172","abstract":"Summary There is substantial heterogeneity among primary prostate cancers, evident in the spectrum of molecular abnormalities and its variable clinical course. As part of The Cancer Genome Atlas (TCGA), we present a comprehensive molecular analysis of 333 primary prostate carcinomas. Our results revealed a molecular taxonomy in which 74% of these tumors fell into one of seven subtypes defined by specific gene fusions (ERG, ETV1/4, and FLI1) or mutations (SPOP, FOXA1, and IDH1). Epigenetic profiles showed substantial heterogeneity, including an IDH1 mutant subset with a methylator phenotype. Androgen receptor (AR) activity varied widely and in a subtype-specific manner, with SPOP and FOXA1 mutant tumors having the highest levels of AR-induced transcripts. 25% of the prostate cancers had a presumed actionable lesion in the PI3K or MAPK signaling pathways, and DNA repair genes were inactivated in 19%. Our analysis reveals molecular heterogeneity among primary prostate cancers, as well as potentially actionable molecular defects.","author":[{"dropping-particle":"","family":"Abeshouse","given":"Adam","non-dropping-particle":"","parse-names":false,"suffix":""},{"dropping-particle":"","family":"Ahn","given":"Jaeil","non-dropping-particle":"","parse-names":false,"suffix":""},{"dropping-particle":"","family":"Akbani","given":"Rehan","non-dropping-particle":"","parse-names":false,"suffix":""},{"dropping-particle":"","family":"Ally","given":"Adrian","non-dropping-particle":"","parse-names":false,"suffix":""},{"dropping-particle":"","family":"Amin","given":"Samirkumar","non-dropping-particle":"","parse-names":false,"suffix":""},{"dropping-particle":"","family":"Andry","given":"Christopher D.","non-dropping-particle":"","parse-names":false,"suffix":""},{"dropping-particle":"","family":"Annala","given":"Matti","non-dropping-particle":"","parse-names":false,"suffix":""},{"dropping-particle":"","family":"Aprikian","given":"Armen","non-dropping-particle":"","parse-names":false,"suffix":""},{"dropping-particle":"","family":"Armenia","given":"Joshua","non-dropping-particle":"","parse-names":false,"suffix":""},{"dropping-particle":"","family":"Arora","given":"Arshi","non-dropping-particle":"","parse-names":false,"suffix":""},{"dropping-particle":"","family":"Auman","given":"J. Todd","non-dropping-particle":"","parse-names":false,"suffix":""},{"dropping-particle":"","family":"Balasundaram","given":"Miruna","non-dropping-particle":"","parse-names":false,"suffix":""},{"dropping-particle":"","family":"Balu","given":"Saianand","non-dropping-particle":"","parse-names":false,"suffix":""},{"dropping-particle":"","family":"Barbieri","given":"Christopher E.","non-dropping-particle":"","parse-names":false,"suffix":""},{"dropping-particle":"","family":"Bauer","given":"Thomas","non-dropping-particle":"","parse-names":false,"suffix":""},{"dropping-particle":"","family":"Benz","given":"Christopher C.","non-dropping-particle":"","parse-names":false,"suffix":""},{"dropping-particle":"","family":"Bergeron","given":"Alain","non-dropping-particle":"","parse-names":false,"suffix":""},{"dropping-particle":"","family":"Beroukhim","given":"Rameen","non-dropping-particle":"","parse-names":false,"suffix":""},{"dropping-particle":"","family":"Berrios","given":"Mario","non-dropping-particle":"","parse-names":false,"suffix":""},{"dropping-particle":"","family":"Bivol","given":"Adrian","non-dropping-particle":"","parse-names":false,"suffix":""},{"dropping-particle":"","family":"Bodenheimer","given":"Tom","non-dropping-particle":"","parse-names":false,"suffix":""},{"dropping-particle":"","family":"Boice","given":"Lori","non-dropping-particle":"","parse-names":false,"suffix":""},{"dropping-particle":"","family":"Bootwalla","given":"Moiz S.","non-dropping-particle":"","parse-names":false,"suffix":""},{"dropping-particle":"","family":"Borges Dos Reis","given":"Rodolfo","non-dropping-particle":"","parse-names":false,"suffix":""},{"dropping-particle":"","family":"Boutros","given":"Paul C.","non-dropping-particle":"","parse-names":false,"suffix":""},{"dropping-particle":"","family":"Bowen","given":"Jay","non-dropping-particle":"","parse-names":false,"suffix":""},{"dropping-particle":"","family":"Bowlby","given":"Reanne","non-dropping-particle":"","parse-names":false,"suffix":""},{"dropping-particle":"","family":"Boyd","given":"Jeffrey","non-dropping-particle":"","parse-names":false,"suffix":""},{"dropping-particle":"","family":"Bradley","given":"Robert K.","non-dropping-particle":"","parse-names":false,"suffix":""},{"dropping-particle":"","family":"Breggia","given":"Anne","non-dropping-particle":"","parse-names":false,"suffix":""},{"dropping-particle":"","family":"Brimo","given":"Fadi","non-dropping-particle":"","parse-names":false,"suffix":""},{"dropping-particle":"","family":"Bristow","given":"Christopher A.","non-dropping-particle":"","parse-names":false,"suffix":""},{"dropping-particle":"","family":"Brooks","given":"Denise","non-dropping-particle":"","parse-names":false,"suffix":""},{"dropping-particle":"","family":"Broom","given":"Bradley M.","non-dropping-particle":"","parse-names":false,"suffix":""},{"dropping-particle":"","family":"Bryce","given":"Alan H.","non-dropping-particle":"","parse-names":false,"suffix":""},{"dropping-particle":"","family":"Bubley","given":"Glenn","non-dropping-particle":"","parse-names":false,"suffix":""},{"dropping-particle":"","family":"Burks","given":"Eric","non-dropping-particle":"","parse-names":false,"suffix":""},{"dropping-particle":"","family":"Butterfield","given":"Yaron S.N.","non-dropping-particle":"","parse-names":false,"suffix":""},{"dropping-particle":"","family":"Button","given":"Michael","non-dropping-particle":"","parse-names":false,"suffix":""},{"dropping-particle":"","family":"Canes","given":"David","non-dropping-particle":"","parse-names":false,"suffix":""},{"dropping-particle":"","family":"Carlotti","given":"Carlos G.","non-dropping-particle":"","parse-names":false,"suffix":""},{"dropping-particle":"","family":"Carlsen","given":"Rebecca","non-dropping-particle":"","parse-names":false,"suffix":""},{"dropping-particle":"","family":"Carmel","given":"Michel","non-dropping-particle":"","parse-names":false,"suffix":""},{"dropping-particle":"","family":"Carroll","given":"Peter R.","non-dropping-particle":"","parse-names":false,"suffix":""},{"dropping-particle":"","family":"Carter","given":"Scott L.","non-dropping-particle":"","parse-names":false,"suffix":""},{"dropping-particle":"","family":"Cartun","given":"Richard","non-dropping-particle":"","parse-names":false,"suffix":""},{"dropping-particle":"","family":"Carver","given":"Brett S.","non-dropping-particle":"","parse-names":false,"suffix":""},{"dropping-particle":"","family":"Chan","given":"June M.","non-dropping-particle":"","parse-names":false,"suffix":""},{"dropping-particle":"","family":"Chang","given":"Matthew T.","non-dropping-particle":"","parse-names":false,"suffix":""},{"dropping-particle":"","family":"Chen","given":"Yu","non-dropping-particle":"","parse-names":false,"suffix":""},{"dropping-particle":"","family":"Cherniack","given":"Andrew D.","non-dropping-particle":"","parse-names":false,"suffix":""},{"dropping-particle":"","family":"Chevalier","given":"Simone","non-dropping-particle":"","parse-names":false,"suffix":""},{"dropping-particle":"","family":"Chin","given":"Lynda","non-dropping-particle":"","parse-names":false,"suffix":""},{"dropping-particle":"","family":"Cho","given":"Juok","non-dropping-particle":"","parse-names":false,"suffix":""},{"dropping-particle":"","family":"Chu","given":"Andy","non-dropping-particle":"","parse-names":false,"suffix":""},{"dropping-particle":"","family":"Chuah","given":"Eric","non-dropping-particle":"","parse-names":false,"suffix":""},{"dropping-particle":"","family":"Chudamani","given":"Sudha","non-dropping-particle":"","parse-names":false,"suffix":""},{"dropping-particle":"","family":"Cibulskis","given":"Kristian","non-dropping-particle":"","parse-names":false,"suffix":""},{"dropping-particle":"","family":"Ciriello","given":"Giovanni","non-dropping-particle":"","parse-names":false,"suffix":""},{"dropping-particle":"","family":"Clarke","given":"Amanda","non-dropping-particle":"","parse-names":false,"suffix":""},{"dropping-particle":"","family":"Cooperberg","given":"Matthew R.","non-dropping-particle":"","parse-names":false,"suffix":""},{"dropping-particle":"","family":"Corcoran","given":"Niall M.","non-dropping-particle":"","parse-names":false,"suffix":""},{"dropping-particle":"","family":"Costello","given":"Anthony J.","non-dropping-particle":"","parse-names":false,"suffix":""},{"dropping-particle":"","family":"Cowan","given":"Janet","non-dropping-particle":"","parse-names":false,"suffix":""},{"dropping-particle":"","family":"Crain","given":"Daniel","non-dropping-particle":"","parse-names":false,"suffix":""},{"dropping-particle":"","family":"Curley","given":"Erin","non-dropping-particle":"","parse-names":false,"suffix":""},{"dropping-particle":"","family":"David","given":"Kerstin","non-dropping-particle":"","parse-names":false,"suffix":""},{"dropping-particle":"","family":"Demchok","given":"John A.","non-dropping-particle":"","parse-names":false,"suffix":""},{"dropping-particle":"","family":"Demichelis","given":"Francesca","non-dropping-particle":"","parse-names":false,"suffix":""},{"dropping-particle":"","family":"Dhalla","given":"Noreen","non-dropping-particle":"","parse-names":false,"suffix":""},{"dropping-particle":"","family":"Dhir","given":"Rajiv","non-dropping-particle":"","parse-names":false,"suffix":""},{"dropping-particle":"","family":"Doueik","given":"Alexandre","non-dropping-particle":"","parse-names":false,"suffix":""},{"dropping-particle":"","family":"Drake","given":"Bettina","non-dropping-particle":"","parse-names":false,"suffix":""},{"dropping-particle":"","family":"Dvinge","given":"Heidi","non-dropping-particle":"","parse-names":false,"suffix":""},{"dropping-particle":"","family":"Dyakova","given":"Natalya","non-dropping-particle":"","parse-names":false,"suffix":""},{"dropping-particle":"","family":"Felau","given":"Ina","non-dropping-particle":"","parse-names":false,"suffix":""},{"dropping-particle":"","family":"Ferguson","given":"Martin L.","non-dropping-particle":"","parse-names":false,"suffix":""},{"dropping-particle":"","family":"Frazer","given":"Scott","non-dropping-particle":"","parse-names":false,"suffix":""},{"dropping-particle":"","family":"Freedland","given":"Stephen","non-dropping-particle":"","parse-names":false,"suffix":""},{"dropping-particle":"","family":"Fu","given":"Yao","non-dropping-particle":"","parse-names":false,"suffix":""},{"dropping-particle":"","family":"Gabriel","given":"Stacey B.","non-dropping-particle":"","parse-names":false,"suffix":""},{"dropping-particle":"","family":"Gao","given":"Jianjiong","non-dropping-particle":"","parse-names":false,"suffix":""},{"dropping-particle":"","family":"Gardner","given":"Johanna","non-dropping-particle":"","parse-names":false,"suffix":""},{"dropping-particle":"","family":"Gastier-Foster","given":"Julie M.","non-dropping-particle":"","parse-names":false,"suffix":""},{"dropping-particle":"","family":"Gehlenborg","given":"Nils","non-dropping-particle":"","parse-names":false,"suffix":""},{"dropping-particle":"","family":"Gerken","given":"Mark","non-dropping-particle":"","parse-names":false,"suffix":""},{"dropping-particle":"","family":"Gerstein","given":"Mark B.","non-dropping-particle":"","parse-names":false,"suffix":""},{"dropping-particle":"","family":"Getz","given":"Gad","non-dropping-particle":"","parse-names":false,"suffix":""},{"dropping-particle":"","family":"Godwin","given":"Andrew K.","non-dropping-particle":"","parse-names":false,"suffix":""},{"dropping-particle":"","family":"Gopalan","given":"Anuradha","non-dropping-particle":"","parse-names":false,"suffix":""},{"dropping-particle":"","family":"Graefen","given":"Markus","non-dropping-particle":"","parse-names":false,"suffix":""},{"dropping-particle":"","family":"Graim","given":"Kiley","non-dropping-particle":"","parse-names":false,"suffix":""},{"dropping-particle":"","family":"Gribbin","given":"Thomas","non-dropping-particle":"","parse-names":false,"suffix":""},{"dropping-particle":"","family":"Guin","given":"Ranabir","non-dropping-particle":"","parse-names":false,"suffix":""},{"dropping-particle":"","family":"Gupta","given":"Manaswi","non-dropping-particle":"","parse-names":false,"suffix":""},{"dropping-particle":"","family":"Hadjipanayis","given":"Angela","non-dropping-particle":"","parse-names":false,"suffix":""},{"dropping-particle":"","family":"Haider","given":"Syed","non-dropping-particle":"","parse-names":false,"suffix":""},{"dropping-particle":"","family":"Hamel","given":"Lucie","non-dropping-particle":"","parse-names":false,"suffix":""},{"dropping-particle":"","family":"Hayes","given":"D. Neil","non-dropping-particle":"","parse-names":false,"suffix":""},{"dropping-particle":"","family":"Heiman","given":"David I.","non-dropping-particle":"","parse-names":false,"suffix":""},{"dropping-particle":"","family":"Hess","given":"Julian","non-dropping-particle":"","parse-names":false,"suffix":""},{"dropping-particle":"","family":"Hoadley","given":"Katherine A.","non-dropping-particle":"","parse-names":false,"suffix":""},{"dropping-particle":"","family":"Holbrook","given":"Andrea H.","non-dropping-particle":"","parse-names":false,"suffix":""},{"dropping-particle":"","family":"Holt","given":"Robert A.","non-dropping-particle":"","parse-names":false,"suffix":""},{"dropping-particle":"","family":"Holway","given":"Antonia","non-dropping-particle":"","parse-names":false,"suffix":""},{"dropping-particle":"","family":"Hovens","given":"Christopher M.","non-dropping-particle":"","parse-names":false,"suffix":""},{"dropping-particle":"","family":"Hoyle","given":"Alan P.","non-dropping-particle":"","parse-names":false,"suffix":""},{"dropping-particle":"","family":"Huang","given":"Mei","non-dropping-particle":"","parse-names":false,"suffix":""},{"dropping-particle":"","family":"Hutter","given":"Carolyn M.","non-dropping-particle":"","parse-names":false,"suffix":""},{"dropping-particle":"","family":"Ittmann","given":"Michael","non-dropping-particle":"","parse-names":false,"suffix":""},{"dropping-particle":"","family":"Iype","given":"Lisa","non-dropping-particle":"","parse-names":false,"suffix":""},{"dropping-particle":"","family":"Jefferys","given":"Stuart R.","non-dropping-particle":"","parse-names":false,"suffix":""},{"dropping-particle":"","family":"Jones","given":"Corbin D.","non-dropping-particle":"","parse-names":false,"suffix":""},{"dropping-particle":"","family":"Jones","given":"Steven J.M.","non-dropping-particle":"","parse-names":false,"suffix":""},{"dropping-particle":"","family":"Juhl","given":"Hartmut","non-dropping-particle":"","parse-names":false,"suffix":""},{"dropping-particle":"","family":"Kahles","given":"Andre","non-dropping-particle":"","parse-names":false,"suffix":""},{"dropping-particle":"","family":"Kane","given":"Christopher J.","non-dropping-particle":"","parse-names":false,"suffix":""},{"dropping-particle":"","family":"Kasaian","given":"Katayoon","non-dropping-particle":"","parse-names":false,"suffix":""},{"dropping-particle":"","family":"Kerger","given":"Michael","non-dropping-particle":"","parse-names":false,"suffix":""},{"dropping-particle":"","family":"Khurana","given":"Ekta","non-dropping-particle":"","parse-names":false,"suffix":""},{"dropping-particle":"","family":"Kim","given":"Jaegil","non-dropping-particle":"","parse-names":false,"suffix":""},{"dropping-particle":"","family":"Klein","given":"Robert J.","non-dropping-particle":"","parse-names":false,"suffix":""},{"dropping-particle":"","family":"Kucherlapati","given":"Raju","non-dropping-particle":"","parse-names":false,"suffix":""},{"dropping-particle":"","family":"Lacombe","given":"Louis","non-dropping-particle":"","parse-names":false,"suffix":""},{"dropping-particle":"","family":"Ladanyi","given":"Marc","non-dropping-particle":"","parse-names":false,"suffix":""},{"dropping-particle":"","family":"Lai","given":"Phillip H.","non-dropping-particle":"","parse-names":false,"suffix":""},{"dropping-particle":"","family":"Laird","given":"Peter W.","non-dropping-particle":"","parse-names":false,"suffix":""},{"dropping-particle":"","family":"Lander","given":"Eric S.","non-dropping-particle":"","parse-names":false,"suffix":""},{"dropping-particle":"","family":"Latour","given":"Mathieu","non-dropping-particle":"","parse-names":false,"suffix":""},{"dropping-particle":"","family":"Lawrence","given":"Michael S.","non-dropping-particle":"","parse-names":false,"suffix":""},{"dropping-particle":"","family":"Lau","given":"Kevin","non-dropping-particle":"","parse-names":false,"suffix":""},{"dropping-particle":"","family":"Lebien","given":"Tucker","non-dropping-particle":"","parse-names":false,"suffix":""},{"dropping-particle":"","family":"Lee","given":"Darlene","non-dropping-particle":"","parse-names":false,"suffix":""},{"dropping-particle":"","family":"Lee","given":"Semin","non-dropping-particle":"","parse-names":false,"suffix":""},{"dropping-particle":"Van","family":"Lehmann","given":"Kjong","non-dropping-particle":"","parse-names":false,"suffix":""},{"dropping-particle":"","family":"Leraas","given":"Kristen M.","non-dropping-particle":"","parse-names":false,"suffix":""},{"dropping-particle":"","family":"Leshchiner","given":"Ignaty","non-dropping-particle":"","parse-names":false,"suffix":""},{"dropping-particle":"","family":"Leung","given":"Robert","non-dropping-particle":"","parse-names":false,"suffix":""},{"dropping-particle":"","family":"Libertino","given":"John A.","non-dropping-particle":"","parse-names":false,"suffix":""},{"dropping-particle":"","family":"Lichtenberg","given":"Tara M.","non-dropping-particle":"","parse-names":false,"suffix":""},{"dropping-particle":"","family":"Lin","given":"Pei","non-dropping-particle":"","parse-names":false,"suffix":""},{"dropping-particle":"","family":"Linehan","given":"W. Marston","non-dropping-particle":"","parse-names":false,"suffix":""},{"dropping-particle":"","family":"Ling","given":"Shiyun","non-dropping-particle":"","parse-names":false,"suffix":""},{"dropping-particle":"","family":"Lippman","given":"Scott M.","non-dropping-particle":"","parse-names":false,"suffix":""},{"dropping-particle":"","family":"Liu","given":"Jia","non-dropping-particle":"","parse-names":false,"suffix":""},{"dropping-particle":"","family":"Liu","given":"Wenbin","non-dropping-particle":"","parse-names":false,"suffix":""},{"dropping-particle":"","family":"Lochovsky","given":"Lucas","non-dropping-particle":"","parse-names":false,"suffix":""},{"dropping-particle":"","family":"Loda","given":"Massimo","non-dropping-particle":"","parse-names":false,"suffix":""},{"dropping-particle":"","family":"Logothetis","given":"Christopher","non-dropping-particle":"","parse-names":false,"suffix":""},{"dropping-particle":"","family":"Lolla","given":"Laxmi","non-dropping-particle":"","parse-names":false,"suffix":""},{"dropping-particle":"","family":"Longacre","given":"Teri","non-dropping-particle":"","parse-names":false,"suffix":""},{"dropping-particle":"","family":"Lu","given":"Yiling","non-dropping-particle":"","parse-names":false,"suffix":""},{"dropping-particle":"","family":"Luo","given":"Jianhua","non-dropping-particle":"","parse-names":false,"suffix":""},{"dropping-particle":"","family":"Ma","given":"Yussanne","non-dropping-particle":"","parse-names":false,"suffix":""},{"dropping-particle":"","family":"Mahadeshwar","given":"Harshad S.","non-dropping-particle":"","parse-names":false,"suffix":""},{"dropping-particle":"","family":"Mallery","given":"David","non-dropping-particle":"","parse-names":false,"suffix":""},{"dropping-particle":"","family":"Mariamidze","given":"Armaz","non-dropping-particle":"","parse-names":false,"suffix":""},{"dropping-particle":"","family":"Marra","given":"Marco A.","non-dropping-particle":"","parse-names":false,"suffix":""},{"dropping-particle":"","family":"Mayo","given":"Michael","non-dropping-particle":"","parse-names":false,"suffix":""},{"dropping-particle":"","family":"McCall","given":"Shannon","non-dropping-particle":"","parse-names":false,"suffix":""},{"dropping-particle":"","family":"McKercher","given":"Ginette","non-dropping-particle":"","parse-names":false,"suffix":""},{"dropping-particle":"","family":"Meng","given":"Shaowu","non-dropping-particle":"","parse-names":false,"suffix":""},{"dropping-particle":"","family":"Mes-Masson","given":"Anne Marie","non-dropping-particle":"","parse-names":false,"suffix":""},{"dropping-particle":"","family":"Merino","given":"Maria J.","non-dropping-particle":"","parse-names":false,"suffix":""},{"dropping-particle":"","family":"Meyerson","given":"Matthew","non-dropping-particle":"","parse-names":false,"suffix":""},{"dropping-particle":"","family":"Mieczkowski","given":"Piotr A.","non-dropping-particle":"","parse-names":false,"suffix":""},{"dropping-particle":"","family":"Mills","given":"Gordon B.","non-dropping-particle":"","parse-names":false,"suffix":""},{"dropping-particle":"","family":"Shaw","given":"Kenna R.Mills","non-dropping-particle":"","parse-names":false,"suffix":""},{"dropping-particle":"","family":"Minner","given":"Sarah","non-dropping-particle":"","parse-names":false,"suffix":""},{"dropping-particle":"","family":"Moinzadeh","given":"Alireza","non-dropping-particle":"","parse-names":false,"suffix":""},{"dropping-particle":"","family":"Moore","given":"Richard A.","non-dropping-particle":"","parse-names":false,"suffix":""},{"dropping-particle":"","family":"Morris","given":"Scott","non-dropping-particle":"","parse-names":false,"suffix":""},{"dropping-particle":"","family":"Morrison","given":"Carl","non-dropping-particle":"","parse-names":false,"suffix":""},{"dropping-particle":"","family":"Mose","given":"Lisle E.","non-dropping-particle":"","parse-names":false,"suffix":""},{"dropping-particle":"","family":"Mungall","given":"Andrew J.","non-dropping-particle":"","parse-names":false,"suffix":""},{"dropping-particle":"","family":"Murray","given":"Bradley A.","non-dropping-particle":"","parse-names":false,"suffix":""},{"dropping-particle":"","family":"Myers","given":"Jerome B.","non-dropping-particle":"","parse-names":false,"suffix":""},{"dropping-particle":"","family":"Naresh","given":"Rashi","non-dropping-particle":"","parse-names":false,"suffix":""},{"dropping-particle":"","family":"Nelson","given":"Joel","non-dropping-particle":"","parse-names":false,"suffix":""},{"dropping-particle":"","family":"Nelson","given":"Mark A.","non-dropping-particle":"","parse-names":false,"suffix":""},{"dropping-particle":"","family":"Nelson","given":"Peter S.","non-dropping-particle":"","parse-names":false,"suffix":""},{"dropping-particle":"","family":"Newton","given":"Yulia","non-dropping-particle":"","parse-names":false,"suffix":""},{"dropping-particle":"","family":"Noble","given":"Michael S.","non-dropping-particle":"","parse-names":false,"suffix":""},{"dropping-particle":"","family":"Noushmehr","given":"Houtan","non-dropping-particle":"","parse-names":false,"suffix":""},{"dropping-particle":"","family":"Nykter","given":"Matti","non-dropping-particle":"","parse-names":false,"suffix":""},{"dropping-particle":"","family":"Pantazi","given":"Angeliki","non-dropping-particle":"","parse-names":false,"suffix":""},{"dropping-particle":"","family":"Parfenov","given":"Michael","non-dropping-particle":"","parse-names":false,"suffix":""},{"dropping-particle":"","family":"Park","given":"Peter J.","non-dropping-particle":"","parse-names":false,"suffix":""},{"dropping-particle":"","family":"Parker","given":"Joel S.","non-dropping-particle":"","parse-names":false,"suffix":""},{"dropping-particle":"","family":"Paulauskis","given":"Joseph","non-dropping-particle":"","parse-names":false,"suffix":""},{"dropping-particle":"","family":"Penny","given":"Robert","non-dropping-particle":"","parse-names":false,"suffix":""},{"dropping-particle":"","family":"Perou","given":"Charles M.","non-dropping-particle":"","parse-names":false,"suffix":""},{"dropping-particle":"","family":"Piché","given":"Alain","non-dropping-particle":"","parse-names":false,"suffix":""},{"dropping-particle":"","family":"Pihl","given":"Todd","non-dropping-particle":"","parse-names":false,"suffix":""},{"dropping-particle":"","family":"Pinto","given":"Peter A.","non-dropping-particle":"","parse-names":false,"suffix":""},{"dropping-particle":"","family":"Prandi","given":"Davide","non-dropping-particle":"","parse-names":false,"suffix":""},{"dropping-particle":"","family":"Protopopov","given":"Alexei","non-dropping-particle":"","parse-names":false,"suffix":""},{"dropping-particle":"","family":"Ramirez","given":"Nilsa C.","non-dropping-particle":"","parse-names":false,"suffix":""},{"dropping-particle":"","family":"Rao","given":"Arvind","non-dropping-particle":"","parse-names":false,"suffix":""},{"dropping-particle":"","family":"Rathmell","given":"W. Kimryn","non-dropping-particle":"","parse-names":false,"suffix":""},{"dropping-particle":"","family":"Rätsch","given":"Gunnar","non-dropping-particle":"","parse-names":false,"suffix":""},{"dropping-particle":"","family":"Ren","given":"Xiaojia","non-dropping-particle":"","parse-names":false,"suffix":""},{"dropping-particle":"","family":"Reuter","given":"Victor E.","non-dropping-particle":"","parse-names":false,"suffix":""},{"dropping-particle":"","family":"Reynolds","given":"Sheila M.","non-dropping-particle":"","parse-names":false,"suffix":""},{"dropping-particle":"","family":"Rhie","given":"Suhn K.","non-dropping-particle":"","parse-names":false,"suffix":""},{"dropping-particle":"","family":"Rieger-Christ","given":"Kimberly","non-dropping-particle":"","parse-names":false,"suffix":""},{"dropping-particle":"","family":"Roach","given":"Jeffrey","non-dropping-particle":"","parse-names":false,"suffix":""},{"dropping-particle":"","family":"Robertson","given":"A. Gordon","non-dropping-particle":"","parse-names":false,"suffix":""},{"dropping-particle":"","family":"Robinson","given":"Brian","non-dropping-particle":"","parse-names":false,"suffix":""},{"dropping-particle":"","family":"Rubin","given":"Mark A.","non-dropping-particle":"","parse-names":false,"suffix":""},{"dropping-particle":"","family":"Saad","given":"Fred","non-dropping-particle":"","parse-names":false,"suffix":""},{"dropping-particle":"","family":"Sadeghi","given":"Sara","non-dropping-particle":"","parse-names":false,"suffix":""},{"dropping-particle":"","family":"Saksena","given":"Gordon","non-dropping-particle":"","parse-names":false,"suffix":""},{"dropping-particle":"","family":"Saller","given":"Charles","non-dropping-particle":"","parse-names":false,"suffix":""},{"dropping-particle":"","family":"Salner","given":"Andrew","non-dropping-particle":"","parse-names":false,"suffix":""},{"dropping-particle":"","family":"Sanchez-Vega","given":"Francisco","non-dropping-particle":"","parse-names":false,"suffix":""},{"dropping-particle":"","family":"Sander","given":"Chris","non-dropping-particle":"","parse-names":false,"suffix":""},{"dropping-particle":"","family":"Sandusky","given":"George","non-dropping-particle":"","parse-names":false,"suffix":""},{"dropping-particle":"","family":"Sauter","given":"Guido","non-dropping-particle":"","parse-names":false,"suffix":""},{"dropping-particle":"","family":"Sboner","given":"Andrea","non-dropping-particle":"","parse-names":false,"suffix":""},{"dropping-particle":"","family":"Scardino","given":"Peter T.","non-dropping-particle":"","parse-names":false,"suffix":""},{"dropping-particle":"","family":"Scarlata","given":"Eleonora","non-dropping-particle":"","parse-names":false,"suffix":""},{"dropping-particle":"","family":"Schein","given":"Jacqueline E.","non-dropping-particle":"","parse-names":false,"suffix":""},{"dropping-particle":"","family":"Schlomm","given":"Thorsten","non-dropping-particle":"","parse-names":false,"suffix":""},{"dropping-particle":"","family":"Schmidt","given":"Laura S.","non-dropping-particle":"","parse-names":false,"suffix":""},{"dropping-particle":"","family":"Schultz","given":"Nikolaus","non-dropping-particle":"","parse-names":false,"suffix":""},{"dropping-particle":"","family":"Schumacher","given":"Steven E.","non-dropping-particle":"","parse-names":false,"suffix":""},{"dropping-particle":"","family":"Seidman","given":"Jonathan","non-dropping-particle":"","parse-names":false,"suffix":""},{"dropping-particle":"","family":"Neder","given":"Luciano","non-dropping-particle":"","parse-names":false,"suffix":""},{"dropping-particle":"","family":"Seth","given":"Sahil","non-dropping-particle":"","parse-names":false,"suffix":""},{"dropping-particle":"","family":"Sharp","given":"Alexis","non-dropping-particle":"","parse-names":false,"suffix":""},{"dropping-particle":"","family":"Shelton","given":"Candace","non-dropping-particle":"","parse-names":false,"suffix":""},{"dropping-particle":"","family":"Shelton","given":"Troy","non-dropping-particle":"","parse-names":false,"suffix":""},{"dropping-particle":"","family":"Shen","given":"Hui","non-dropping-particle":"","parse-names":false,"suffix":""},{"dropping-particle":"","family":"Shen","given":"Ronglai","non-dropping-particle":"","parse-names":false,"suffix":""},{"dropping-particle":"","family":"Sherman","given":"Mark","non-dropping-particle":"","parse-names":false,"suffix":""},{"dropping-particle":"","family":"Sheth","given":"Margi","non-dropping-particle":"","parse-names":false,"suffix":""},{"dropping-particle":"","family":"Shi","given":"Yan","non-dropping-particle":"","parse-names":false,"suffix":""},{"dropping-particle":"","family":"Shih","given":"Juliann","non-dropping-particle":"","parse-names":false,"suffix":""},{"dropping-particle":"","family":"Shmulevich","given":"Ilya","non-dropping-particle":"","parse-names":false,"suffix":""},{"dropping-particle":"","family":"Simko","given":"Jeffry","non-dropping-particle":"","parse-names":false,"suffix":""},{"dropping-particle":"","family":"Simon","given":"Ronald","non-dropping-particle":"","parse-names":false,"suffix":""},{"dropping-particle":"V.","family":"Simons","given":"Janae","non-dropping-particle":"","parse-names":false,"suffix":""},{"dropping-particle":"","family":"Sipahimalani","given":"Payal","non-dropping-particle":"","parse-names":false,"suffix":""},{"dropping-particle":"","family":"Skelly","given":"Tara","non-dropping-particle":"","parse-names":false,"suffix":""},{"dropping-particle":"","family":"Sofia","given":"Heidi J.","non-dropping-particle":"","parse-names":false,"suffix":""},{"dropping-particle":"","family":"Soloway","given":"Matthew G.","non-dropping-particle":"","parse-names":false,"suffix":""},{"dropping-particle":"","family":"Song","given":"Xingzhi","non-dropping-particle":"","parse-names":false,"suffix":""},{"dropping-particle":"","family":"Sorcini","given":"Andrea","non-dropping-particle":"","parse-names":false,"suffix":""},{"dropping-particle":"","family":"Sougnez","given":"Carrie","non-dropping-particle":"","parse-names":false,"suffix":""},{"dropping-particle":"","family":"Stepa","given":"Serghei","non-dropping-particle":"","parse-names":false,"suffix":""},{"dropping-particle":"","family":"Stewart","given":"Chip","non-dropping-particle":"","parse-names":false,"suffix":""},{"dropping-particle":"","family":"Stewart","given":"John","non-dropping-particle":"","parse-names":false,"suffix":""},{"dropping-particle":"","family":"Stuart","given":"Joshua M.","non-dropping-particle":"","parse-names":false,"suffix":""},{"dropping-particle":"","family":"Sullivan","given":"Travis B.","non-dropping-particle":"","parse-names":false,"suffix":""},{"dropping-particle":"","family":"Sun","given":"Charlie","non-dropping-particle":"","parse-names":false,"suffix":""},{"dropping-particle":"","family":"Sun","given":"Huandong","non-dropping-particle":"","parse-names":false,"suffix":""},{"dropping-particle":"","family":"Tam","given":"Angela","non-dropping-particle":"","parse-names":false,"suffix":""},{"dropping-particle":"","family":"Tan","given":"Donghui","non-dropping-particle":"","parse-names":false,"suffix":""},{"dropping-particle":"","family":"Tang","given":"Jiabin","non-dropping-particle":"","parse-names":false,"suffix":""},{"dropping-particle":"","family":"Tarnuzzer","given":"Roy","non-dropping-particle":"","parse-names":false,"suffix":""},{"dropping-particle":"","family":"Tarvin","given":"Katherine","non-dropping-particle":"","parse-names":false,"suffix":""},{"dropping-particle":"","family":"Taylor","given":"Barry S.","non-dropping-particle":"","parse-names":false,"suffix":""},{"dropping-particle":"","family":"Teebagy","given":"Patrick","non-dropping-particle":"","parse-names":false,"suffix":""},{"dropping-particle":"","family":"Tenggara","given":"Imelda","non-dropping-particle":"","parse-names":false,"suffix":""},{"dropping-particle":"","family":"Têtu","given":"Bernard","non-dropping-particle":"","parse-names":false,"suffix":""},{"dropping-particle":"","family":"Tewari","given":"Ashutosh","non-dropping-particle":"","parse-names":false,"suffix":""},{"dropping-particle":"","family":"Thiessen","given":"Nina","non-dropping-particle":"","parse-names":false,"suffix":""},{"dropping-particle":"","family":"Thompson","given":"Timothy","non-dropping-particle":"","parse-names":false,"suffix":""},{"dropping-particle":"","family":"Thorne","given":"Leigh B.","non-dropping-particle":"","parse-names":false,"suffix":""},{"dropping-particle":"","family":"Tirapelli","given":"Daniela P.","non-dropping-particle":"","parse-names":false,"suffix":""},{"dropping-particle":"","family":"Tomlins","given":"Scott A.","non-dropping-particle":"","parse-names":false,"suffix":""},{"dropping-particle":"","family":"Trevisan","given":"Felipe Amstalden","non-dropping-particle":"","parse-names":false,"suffix":""},{"dropping-particle":"","family":"Troncoso","given":"Patricia","non-dropping-particle":"","parse-names":false,"suffix":""},{"dropping-particle":"","family":"True","given":"Lawrence D.","non-dropping-particle":"","parse-names":false,"suffix":""},{"dropping-particle":"","family":"Tsourlakis","given":"Maria Christina","non-dropping-particle":"","parse-names":false,"suffix":""},{"dropping-particle":"","family":"Tyekucheva","given":"Svitlana","non-dropping-particle":"","parse-names":false,"suffix":""},{"dropping-particle":"","family":"Allen","given":"Eliezer","non-dropping-particle":"Van","parse-names":false,"suffix":""},{"dropping-particle":"","family":"Berg","given":"David J.","non-dropping-particle":"Van Den","parse-names":false,"suffix":""},{"dropping-particle":"","family":"Veluvolu","given":"Umadevi","non-dropping-particle":"","parse-names":false,"suffix":""},{"dropping-particle":"","family":"Verhaak","given":"Roel","non-dropping-particle":"","parse-names":false,"suffix":""},{"dropping-particle":"","family":"Vocke","given":"Cathy D.","non-dropping-particle":"","parse-names":false,"suffix":""},{"dropping-particle":"","family":"Voet","given":"Doug","non-dropping-particle":"","parse-names":false,"suffix":""},{"dropping-particle":"","family":"Wan","given":"Yunhu","non-dropping-particle":"","parse-names":false,"suffix":""},{"dropping-particle":"","family":"Wang","given":"Qingguo","non-dropping-particle":"","parse-names":false,"suffix":""},{"dropping-particle":"","family":"Wang","given":"Wenyi","non-dropping-particle":"","parse-names":false,"suffix":""},{"dropping-particle":"","family":"Wang","given":"Zhining","non-dropping-particle":"","parse-names":false,"suffix":""},{"dropping-particle":"","family":"Weinhold","given":"Nils","non-dropping-particle":"","parse-names":false,"suffix":""},{"dropping-particle":"","family":"Weinstein","given":"John N.","non-dropping-particle":"","parse-names":false,"suffix":""},{"dropping-particle":"","family":"Weisenberger","given":"Daniel J.","non-dropping-particle":"","parse-names":false,"suffix":""},{"dropping-particle":"","family":"Wilkerson","given":"Matthew D.","non-dropping-particle":"","parse-names":false,"suffix":""},{"dropping-particle":"","family":"Wise","given":"Lisa","non-dropping-particle":"","parse-names":false,"suffix":""},{"dropping-particle":"","family":"Witte","given":"John","non-dropping-particle":"","parse-names":false,"suffix":""},{"dropping-particle":"","family":"Wu","given":"Chia Chin","non-dropping-particle":"","parse-names":false,"suffix":""},{"dropping-particle":"","family":"Wu","given":"Junyuan","non-dropping-particle":"","parse-names":false,"suffix":""},{"dropping-particle":"","family":"Wu","given":"Ye","non-dropping-particle":"","parse-names":false,"suffix":""},{"dropping-particle":"","family":"Xu","given":"Andrew W.","non-dropping-particle":"","parse-names":false,"suffix":""},{"dropping-particle":"","family":"Yadav","given":"Shalini S.","non-dropping-particle":"","parse-names":false,"suffix":""},{"dropping-particle":"","family":"Yang","given":"Liming","non-dropping-particle":"","parse-names":false,"suffix":""},{"dropping-particle":"","family":"Yang","given":"Lixing","non-dropping-particle":"","parse-names":false,"suffix":""},{"dropping-particle":"","family":"Yau","given":"Christina","non-dropping-particle":"","parse-names":false,"suffix":""},{"dropping-particle":"","family":"Ye","given":"Huihui","non-dropping-particle":"","parse-names":false,"suffix":""},{"dropping-particle":"","family":"Yena","given":"Peggy","non-dropping-particle":"","parse-names":false,"suffix":""},{"dropping-particle":"","family":"Zeng","given":"Thomas","non-dropping-particle":"","parse-names":false,"suffix":""},{"dropping-particle":"","family":"Zenklusen","given":"Jean C.","non-dropping-particle":"","parse-names":false,"suffix":""},{"dropping-particle":"","family":"Zhang","given":"Hailei","non-dropping-particle":"","parse-names":false,"suffix":""},{"dropping-particle":"","family":"Zhang","given":"Jianhua","non-dropping-particle":"","parse-names":false,"suffix":""},{"dropping-particle":"","family":"Zhang","given":"Jiashan","non-dropping-particle":"","parse-names":false,"suffix":""},{"dropping-particle":"","family":"Zhang","given":"Wei","non-dropping-particle":"","parse-names":false,"suffix":""},{"dropping-particle":"","family":"Zhong","given":"Yi","non-dropping-particle":"","parse-names":false,"suffix":""},{"dropping-particle":"","family":"Zhu","given":"Kelsey","non-dropping-particle":"","parse-names":false,"suffix":""},{"dropping-particle":"","family":"Zmuda","given":"Erik","non-dropping-particle":"","parse-names":false,"suffix":""}],"container-title":"Cell","id":"ITEM-1","issue":"4","issued":{"date-parts":[["2015"]]},"note":"difference between primary and metastatic tumour","page":"1011-1025","title":"The Molecular Taxonomy of Primary Prostate Cancer","type":"article-journal","volume":"163"},"uris":["http://www.mendeley.com/documents/?uuid=26136416-4cd0-46bb-895a-455783a28ce8"]}],"mendeley":{"formattedCitation":"&lt;sup&gt;22&lt;/sup&gt;","plainTextFormattedCitation":"22","previouslyFormattedCitation":"[22]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22</w:t>
      </w:r>
      <w:r w:rsidRPr="00C83EDC">
        <w:rPr>
          <w:lang w:val="en-GB"/>
        </w:rPr>
        <w:fldChar w:fldCharType="end"/>
      </w:r>
      <w:r w:rsidRPr="00C83EDC">
        <w:rPr>
          <w:lang w:val="en-GB"/>
        </w:rPr>
        <w:t xml:space="preserve">. The mutual exclusivity of </w:t>
      </w:r>
      <w:r w:rsidRPr="00C83EDC">
        <w:rPr>
          <w:i/>
          <w:lang w:val="en-GB"/>
        </w:rPr>
        <w:t>SPOP</w:t>
      </w:r>
      <w:r w:rsidRPr="00C83EDC">
        <w:rPr>
          <w:lang w:val="en-GB"/>
        </w:rPr>
        <w:t xml:space="preserve"> mutation with </w:t>
      </w:r>
      <w:r w:rsidRPr="00C83EDC">
        <w:rPr>
          <w:i/>
          <w:lang w:val="en-GB"/>
        </w:rPr>
        <w:t>TMPRSS2-ERG</w:t>
      </w:r>
      <w:r w:rsidRPr="00C83EDC">
        <w:rPr>
          <w:lang w:val="en-GB"/>
        </w:rPr>
        <w:t xml:space="preserve"> fusion or other ETS member rearrangements suggested that these distinct events might occur early in the tumorigenesis. This assumption was further supported by the fact that high-grade intraepithelial neoplasia already contained </w:t>
      </w:r>
      <w:r w:rsidRPr="00C83EDC">
        <w:rPr>
          <w:i/>
          <w:lang w:val="en-GB"/>
        </w:rPr>
        <w:t>SPOP</w:t>
      </w:r>
      <w:r w:rsidRPr="00C83EDC">
        <w:rPr>
          <w:lang w:val="en-GB"/>
        </w:rPr>
        <w:t xml:space="preserve"> mutations. Prostate tumours harbouring </w:t>
      </w:r>
      <w:r w:rsidRPr="00C83EDC">
        <w:rPr>
          <w:i/>
          <w:lang w:val="en-GB"/>
        </w:rPr>
        <w:t>SPOP</w:t>
      </w:r>
      <w:r w:rsidRPr="00C83EDC">
        <w:rPr>
          <w:lang w:val="en-GB"/>
        </w:rPr>
        <w:t xml:space="preserve"> mutations were found to display recurrent somatic alterations, namely deletions in the regions 5q21 a</w:t>
      </w:r>
      <w:r>
        <w:rPr>
          <w:lang w:val="en-GB"/>
        </w:rPr>
        <w:t>nd</w:t>
      </w:r>
      <w:r w:rsidRPr="00C83EDC">
        <w:rPr>
          <w:lang w:val="en-GB"/>
        </w:rPr>
        <w:t xml:space="preserve"> 6q21, which encompass genes for </w:t>
      </w:r>
      <w:r w:rsidRPr="00C83EDC">
        <w:rPr>
          <w:i/>
          <w:lang w:val="en-GB"/>
        </w:rPr>
        <w:t>CHD1</w:t>
      </w:r>
      <w:r w:rsidRPr="00C83EDC">
        <w:rPr>
          <w:lang w:val="en-GB"/>
        </w:rPr>
        <w:t xml:space="preserve"> and </w:t>
      </w:r>
      <w:r w:rsidRPr="00C83EDC">
        <w:rPr>
          <w:i/>
          <w:lang w:val="en-GB"/>
        </w:rPr>
        <w:t>FOXA1,</w:t>
      </w:r>
      <w:r w:rsidRPr="00C83EDC">
        <w:rPr>
          <w:lang w:val="en-GB"/>
        </w:rPr>
        <w:t xml:space="preserve"> respectively</w:t>
      </w:r>
      <w:r w:rsidRPr="00C83EDC">
        <w:rPr>
          <w:lang w:val="en-GB"/>
        </w:rPr>
        <w:fldChar w:fldCharType="begin" w:fldLock="1"/>
      </w:r>
      <w:r w:rsidR="000C069C">
        <w:rPr>
          <w:lang w:val="en-GB"/>
        </w:rPr>
        <w:instrText>ADDIN CSL_CITATION {"citationItems":[{"id":"ITEM-1","itemData":{"DOI":"10.1038/ng.2279","ISSN":"10614036","abstract":"Prostate cancer is the second most common cancer in men worldwide and causes over 250,000 deaths each year. Overtreatment of indolent disease also results in significant morbidity. Common genetic alterations in prostate cancer include losses of NKX3.1 (8p21) and PTEN (10q23), gains of AR (the androgen receptor gene) and fusion of ETS family transcription factor genes with androgen-responsive promoters. Recurrent somatic base-pair substitutions are believed to be less contributory in prostate tumorigenesis but have not been systematically analyzed in large cohorts. Here, we sequenced the exomes of 112 prostate tumor and normal tissue pairs. New recurrent mutations were identified in multiple genes, including MED12 and FOXA1. SPOP was the most frequently mutated gene, with mutations involving the SPOP substrate-binding cleft in 6-15% of tumors across multiple independent cohorts. Prostate cancers with mutant SPOP lacked ETS family gene rearrangements and showed a distinct pattern of genomic alterations. Thus, SPOP mutations may define a new molecular subtype of prostate cancer. © 2012 Nature America, Inc. All rights reserved.","author":[{"dropping-particle":"","family":"Barbieri","given":"Christopher E.","non-dropping-particle":"","parse-names":false,"suffix":""},{"dropping-particle":"","family":"Baca","given":"Sylvan C.","non-dropping-particle":"","parse-names":false,"suffix":""},{"dropping-particle":"","family":"Lawrence","given":"Michael S.","non-dropping-particle":"","parse-names":false,"suffix":""},{"dropping-particle":"","family":"Demichelis","given":"Francesca","non-dropping-particle":"","parse-names":false,"suffix":""},{"dropping-particle":"","family":"Blattner","given":"Mirjam","non-dropping-particle":"","parse-names":false,"suffix":""},{"dropping-particle":"","family":"Theurillat","given":"Jean Philippe","non-dropping-particle":"","parse-names":false,"suffix":""},{"dropping-particle":"","family":"White","given":"Thomas A.","non-dropping-particle":"","parse-names":false,"suffix":""},{"dropping-particle":"","family":"Stojanov","given":"Petar","non-dropping-particle":"","parse-names":false,"suffix":""},{"dropping-particle":"","family":"Allen","given":"Eliezer","non-dropping-particle":"Van","parse-names":false,"suffix":""},{"dropping-particle":"","family":"Stransky","given":"Nicolas","non-dropping-particle":"","parse-names":false,"suffix":""},{"dropping-particle":"","family":"Nickerson","given":"Elizabeth","non-dropping-particle":"","parse-names":false,"suffix":""},{"dropping-particle":"","family":"Chae","given":"Sung Suk","non-dropping-particle":"","parse-names":false,"suffix":""},{"dropping-particle":"","family":"Boysen","given":"Gunther","non-dropping-particle":"","parse-names":false,"suffix":""},{"dropping-particle":"","family":"Auclair","given":"Daniel","non-dropping-particle":"","parse-names":false,"suffix":""},{"dropping-particle":"","family":"Onofrio","given":"Robert C.","non-dropping-particle":"","parse-names":false,"suffix":""},{"dropping-particle":"","family":"Park","given":"Kyung","non-dropping-particle":"","parse-names":false,"suffix":""},{"dropping-particle":"","family":"Kitabayashi","given":"Naoki","non-dropping-particle":"","parse-names":false,"suffix":""},{"dropping-particle":"","family":"MacDonald","given":"Theresa Y.","non-dropping-particle":"","parse-names":false,"suffix":""},{"dropping-particle":"","family":"Sheikh","given":"Karen","non-dropping-particle":"","parse-names":false,"suffix":""},{"dropping-particle":"","family":"Vuong","given":"Terry","non-dropping-particle":"","parse-names":false,"suffix":""},{"dropping-particle":"","family":"Guiducci","given":"Candace","non-dropping-particle":"","parse-names":false,"suffix":""},{"dropping-particle":"","family":"Cibulskis","given":"Kristian","non-dropping-particle":"","parse-names":false,"suffix":""},{"dropping-particle":"","family":"Sivachenko","given":"Andrey","non-dropping-particle":"","parse-names":false,"suffix":""},{"dropping-particle":"","family":"Carter","given":"Scott L.","non-dropping-particle":"","parse-names":false,"suffix":""},{"dropping-particle":"","family":"Saksena","given":"Gordon","non-dropping-particle":"","parse-names":false,"suffix":""},{"dropping-particle":"","family":"Voet","given":"Douglas","non-dropping-particle":"","parse-names":false,"suffix":""},{"dropping-particle":"","family":"Hussain","given":"Wasay M.","non-dropping-particle":"","parse-names":false,"suffix":""},{"dropping-particle":"","family":"Ramos","given":"Alex H.","non-dropping-particle":"","parse-names":false,"suffix":""},{"dropping-particle":"","family":"Winckler","given":"Wendy","non-dropping-particle":"","parse-names":false,"suffix":""},{"dropping-particle":"","family":"Redman","given":"Michelle C.","non-dropping-particle":"","parse-names":false,"suffix":""},{"dropping-particle":"","family":"Ardlie","given":"Kristin","non-dropping-particle":"","parse-names":false,"suffix":""},{"dropping-particle":"","family":"Tewari","given":"Ashutosh K.","non-dropping-particle":"","parse-names":false,"suffix":""},{"dropping-particle":"","family":"Mosquera","given":"Juan Miguel","non-dropping-particle":"","parse-names":false,"suffix":""},{"dropping-particle":"","family":"Rupp","given":"Niels","non-dropping-particle":"","parse-names":false,"suffix":""},{"dropping-particle":"","family":"Wild","given":"Peter J.","non-dropping-particle":"","parse-names":false,"suffix":""},{"dropping-particle":"","family":"Moch","given":"Holger","non-dropping-particle":"","parse-names":false,"suffix":""},{"dropping-particle":"","family":"Morrissey","given":"Colm","non-dropping-particle":"","parse-names":false,"suffix":""},{"dropping-particle":"","family":"Nelson","given":"Peter S.","non-dropping-particle":"","parse-names":false,"suffix":""},{"dropping-particle":"","family":"Kantoff","given":"Philip W.","non-dropping-particle":"","parse-names":false,"suffix":""},{"dropping-particle":"","family":"Gabriel","given":"Stacey B.","non-dropping-particle":"","parse-names":false,"suffix":""},{"dropping-particle":"","family":"Golub","given":"Todd R.","non-dropping-particle":"","parse-names":false,"suffix":""},{"dropping-particle":"","family":"Meyerson","given":"Matthew","non-dropping-particle":"","parse-names":false,"suffix":""},{"dropping-particle":"","family":"Lander","given":"Eric S.","non-dropping-particle":"","parse-names":false,"suffix":""},{"dropping-particle":"","family":"Getz","given":"Gad","non-dropping-particle":"","parse-names":false,"suffix":""},{"dropping-particle":"","family":"Rubin","given":"Mark A.","non-dropping-particle":"","parse-names":false,"suffix":""},{"dropping-particle":"","family":"Garraway","given":"Levi A.","non-dropping-particle":"","parse-names":false,"suffix":""}],"container-title":"Nature Genetics","id":"ITEM-1","issue":"6","issued":{"date-parts":[["2012"]]},"note":"all exomes with SPOP mutations lacked the TMPRSS2-ERG fusion or other ETS family gene rearrangements present in up to 50% of prostate cancers","page":"685-689","publisher":"Nature Publishing Group","title":"Exome sequencing identifies recurrent SPOP, FOXA1 and MED12 mutations in prostate cancer","type":"article-journal","volume":"44"},"uris":["http://www.mendeley.com/documents/?uuid=6c54687b-8452-4c36-80c8-e813e95b8f33"]}],"mendeley":{"formattedCitation":"&lt;sup&gt;27&lt;/sup&gt;","plainTextFormattedCitation":"27","previouslyFormattedCitation":"[27]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27</w:t>
      </w:r>
      <w:r w:rsidRPr="00C83EDC">
        <w:rPr>
          <w:lang w:val="en-GB"/>
        </w:rPr>
        <w:fldChar w:fldCharType="end"/>
      </w:r>
      <w:r w:rsidRPr="00C83EDC">
        <w:rPr>
          <w:lang w:val="en-GB"/>
        </w:rPr>
        <w:t xml:space="preserve">. Blattner </w:t>
      </w:r>
      <w:r w:rsidRPr="00FE171B">
        <w:rPr>
          <w:i/>
          <w:iCs/>
          <w:lang w:val="en-GB"/>
        </w:rPr>
        <w:t>et al</w:t>
      </w:r>
      <w:r w:rsidRPr="00C83EDC">
        <w:rPr>
          <w:lang w:val="en-GB"/>
        </w:rPr>
        <w:t xml:space="preserve">. demonstrated that the presence of </w:t>
      </w:r>
      <w:r w:rsidRPr="00C83EDC">
        <w:rPr>
          <w:i/>
          <w:lang w:val="en-GB"/>
        </w:rPr>
        <w:t>SPOP</w:t>
      </w:r>
      <w:r w:rsidRPr="00C83EDC">
        <w:rPr>
          <w:lang w:val="en-GB"/>
        </w:rPr>
        <w:t xml:space="preserve"> mutations in prostate tumour indicated a distinct molecular subtype and they confirmed the occurrence of </w:t>
      </w:r>
      <w:r w:rsidRPr="00C83EDC">
        <w:rPr>
          <w:i/>
          <w:lang w:val="en-GB"/>
        </w:rPr>
        <w:t>CHD1</w:t>
      </w:r>
      <w:r w:rsidRPr="00C83EDC">
        <w:rPr>
          <w:lang w:val="en-GB"/>
        </w:rPr>
        <w:t xml:space="preserve"> deletions in </w:t>
      </w:r>
      <w:r w:rsidRPr="00C83EDC">
        <w:rPr>
          <w:lang w:val="en-GB"/>
        </w:rPr>
        <w:lastRenderedPageBreak/>
        <w:t xml:space="preserve">58% of </w:t>
      </w:r>
      <w:r w:rsidRPr="00C83EDC">
        <w:rPr>
          <w:i/>
          <w:lang w:val="en-GB"/>
        </w:rPr>
        <w:t>SPOP</w:t>
      </w:r>
      <w:r w:rsidRPr="00C83EDC">
        <w:rPr>
          <w:lang w:val="en-GB"/>
        </w:rPr>
        <w:t xml:space="preserve"> mutated samples. Nonetheless, the </w:t>
      </w:r>
      <w:r w:rsidRPr="00C83EDC">
        <w:rPr>
          <w:i/>
          <w:lang w:val="en-GB"/>
        </w:rPr>
        <w:t>SPOP</w:t>
      </w:r>
      <w:r w:rsidRPr="00C83EDC">
        <w:rPr>
          <w:lang w:val="en-GB"/>
        </w:rPr>
        <w:t xml:space="preserve"> status appear to be a poor prognostic biomarker because the study revealed no significant correlation between </w:t>
      </w:r>
      <w:r w:rsidRPr="00C83EDC">
        <w:rPr>
          <w:i/>
          <w:lang w:val="en-GB"/>
        </w:rPr>
        <w:t>SPO</w:t>
      </w:r>
      <w:r w:rsidRPr="00C83EDC">
        <w:rPr>
          <w:lang w:val="en-GB"/>
        </w:rPr>
        <w:t xml:space="preserve">P mutation and pathologic or clinical characteristics such as Gleason </w:t>
      </w:r>
      <w:r>
        <w:rPr>
          <w:lang w:val="en-GB"/>
        </w:rPr>
        <w:t>score</w:t>
      </w:r>
      <w:r w:rsidRPr="00C83EDC">
        <w:rPr>
          <w:lang w:val="en-GB"/>
        </w:rPr>
        <w:t>, biochemical recurrence or patient survival</w:t>
      </w:r>
      <w:r w:rsidRPr="00C83EDC">
        <w:rPr>
          <w:lang w:val="en-GB"/>
        </w:rPr>
        <w:fldChar w:fldCharType="begin" w:fldLock="1"/>
      </w:r>
      <w:r w:rsidR="000C069C">
        <w:rPr>
          <w:lang w:val="en-GB"/>
        </w:rPr>
        <w:instrText>ADDIN CSL_CITATION {"citationItems":[{"id":"ITEM-1","itemData":{"DOI":"10.1593/neo.131704","ISSN":"14765586","abstract":"BACKGROUND: Recurrent mutations in the Speckle-Type POZ Protein (SPOP) gene occur in up to 15% of prostate cancers. However, the frequency and features of cancers with these mutations across different populations is unknown. OBJECTIVE: To investigate SPOP mutations across diverse cohorts and validate a series of assays employing high-resolution melting (HRM) analysis and Sanger sequencing for mutational analysis of formalin-fixed paraffin-embedded material. DESIGN, SETTING, AND PARTICIPANTS: 720 prostate cancer samples from six international cohorts spanning Caucasian, African American, and Asian patients, including both prostate-specific antigen-screened and unscreened populations, were screened for their SPOP mutation status. Status of SPOP was correlated to molecular features (ERG rearrangement, PTEN deletion, and CHD1 deletion) as well as clinical and pathologic features. RESULTS AND LIMITATIONS: Overall frequency of SPOP mutations was 8.1% (4.6% to 14.4%), SPOP mutation was inversely associated with ERG rearrangement (P &lt; .01), and SPOP mutant (SPOPmut) cancers had higher rates of CHD1 deletions (P &lt; .01). There were no significant differences in biochemical recurrence in SPOPmut cancers. Limitations of this study include missing mutational data due to sample quality and lack of power to identify a difference in clinical outcomes. CONCLUSION: SPOP is mutated in 4.6% to 14.4% of patients with prostate cancer across different ethnic and demographic backgrounds. There was no significant association between SPOP mutations with ethnicity, clinical, or pathologic parameters. Mutual exclusivity of SPOP mutation with ERG rearrangement as well as a high association with CHD1 deletion reinforces SPOP mutation as defining a distinct molecular subclass of prostate cancer. © 2014 Neoplasia Press, Inc. All rights reserved.","author":[{"dropping-particle":"","family":"Blattner","given":"Mirjam","non-dropping-particle":"","parse-names":false,"suffix":""},{"dropping-particle":"","family":"Lee","given":"Daniel J.","non-dropping-particle":"","parse-names":false,"suffix":""},{"dropping-particle":"","family":"O'Reilly","given":"Catherine","non-dropping-particle":"","parse-names":false,"suffix":""},{"dropping-particle":"","family":"Park","given":"Kyung","non-dropping-particle":"","parse-names":false,"suffix":""},{"dropping-particle":"","family":"MacDonald","given":"Theresa Y.","non-dropping-particle":"","parse-names":false,"suffix":""},{"dropping-particle":"","family":"Khani","given":"Francesca","non-dropping-particle":"","parse-names":false,"suffix":""},{"dropping-particle":"","family":"Turner","given":"Kevin R.","non-dropping-particle":"","parse-names":false,"suffix":""},{"dropping-particle":"","family":"Chiu","given":"Ya Lin","non-dropping-particle":"","parse-names":false,"suffix":""},{"dropping-particle":"","family":"Wild","given":"Peter J.","non-dropping-particle":"","parse-names":false,"suffix":""},{"dropping-particle":"","family":"Dolgalev","given":"Igor","non-dropping-particle":"","parse-names":false,"suffix":""},{"dropping-particle":"","family":"Heguy","given":"Adriana","non-dropping-particle":"","parse-names":false,"suffix":""},{"dropping-particle":"","family":"Sboner","given":"Andrea","non-dropping-particle":"","parse-names":false,"suffix":""},{"dropping-particle":"","family":"Ramazangolu","given":"Sinan","non-dropping-particle":"","parse-names":false,"suffix":""},{"dropping-particle":"","family":"Hieronymus","given":"Haley","non-dropping-particle":"","parse-names":false,"suffix":""},{"dropping-particle":"","family":"Sawyers","given":"Charles","non-dropping-particle":"","parse-names":false,"suffix":""},{"dropping-particle":"","family":"Tewari","given":"Ashutosh K.","non-dropping-particle":"","parse-names":false,"suffix":""},{"dropping-particle":"","family":"Moch","given":"Holger","non-dropping-particle":"","parse-names":false,"suffix":""},{"dropping-particle":"","family":"Yoon","given":"Ghil Suk","non-dropping-particle":"","parse-names":false,"suffix":""},{"dropping-particle":"","family":"Known","given":"Yong Chul","non-dropping-particle":"","parse-names":false,"suffix":""},{"dropping-particle":"","family":"Andrén","given":"Ove","non-dropping-particle":"","parse-names":false,"suffix":""},{"dropping-particle":"","family":"Fall","given":"Katja","non-dropping-particle":"","parse-names":false,"suffix":""},{"dropping-particle":"","family":"Demichelis","given":"Francecsa","non-dropping-particle":"","parse-names":false,"suffix":""},{"dropping-particle":"","family":"Mosquera","given":"Juan Miguel","non-dropping-particle":"","parse-names":false,"suffix":""},{"dropping-particle":"","family":"Robinson","given":"Brian D.","non-dropping-particle":"","parse-names":false,"suffix":""},{"dropping-particle":"","family":"Barbieri","given":"Christopher E.","non-dropping-particle":"","parse-names":false,"suffix":""},{"dropping-particle":"","family":"Rubin","given":"Mark A.","non-dropping-particle":"","parse-names":false,"suffix":""}],"container-title":"Neoplasia (United States)","id":"ITEM-1","issue":"1","issued":{"date-parts":[["2014"]]},"page":"14-20","publisher":"Neoplasia Press Inc.","title":"SPOP mutations in prostate cancer across demographically diverse patient cohorts","type":"article-journal","volume":"16"},"uris":["http://www.mendeley.com/documents/?uuid=0276c04c-af26-42d7-a823-d21ad3d24b52"]}],"mendeley":{"formattedCitation":"&lt;sup&gt;36&lt;/sup&gt;","plainTextFormattedCitation":"36","previouslyFormattedCitation":"[36]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36</w:t>
      </w:r>
      <w:r w:rsidRPr="00C83EDC">
        <w:rPr>
          <w:lang w:val="en-GB"/>
        </w:rPr>
        <w:fldChar w:fldCharType="end"/>
      </w:r>
      <w:r w:rsidRPr="00C83EDC">
        <w:rPr>
          <w:lang w:val="en-GB"/>
        </w:rPr>
        <w:t xml:space="preserve">. A different study observed that SPOP expression was downregulated in most prostate cancer cases (93,5%) and the decreasing level of expression was directly associated with worse prognosis. Also, mutations in </w:t>
      </w:r>
      <w:r>
        <w:rPr>
          <w:lang w:val="en-GB"/>
        </w:rPr>
        <w:t xml:space="preserve">the </w:t>
      </w:r>
      <w:r w:rsidRPr="00C83EDC">
        <w:rPr>
          <w:i/>
          <w:lang w:val="en-GB"/>
        </w:rPr>
        <w:t xml:space="preserve">SPOP </w:t>
      </w:r>
      <w:r w:rsidRPr="00C83EDC">
        <w:rPr>
          <w:lang w:val="en-GB"/>
        </w:rPr>
        <w:t xml:space="preserve">gene </w:t>
      </w:r>
      <w:r>
        <w:rPr>
          <w:lang w:val="en-GB"/>
        </w:rPr>
        <w:t>were</w:t>
      </w:r>
      <w:r w:rsidRPr="00C83EDC">
        <w:rPr>
          <w:lang w:val="en-GB"/>
        </w:rPr>
        <w:t xml:space="preserve"> shown to be significantly associated with worse progression free survival compared to the wild type </w:t>
      </w:r>
      <w:r w:rsidRPr="00C83EDC">
        <w:rPr>
          <w:i/>
          <w:lang w:val="en-GB"/>
        </w:rPr>
        <w:t>SPOP</w:t>
      </w:r>
      <w:r w:rsidRPr="00C83EDC">
        <w:rPr>
          <w:lang w:val="en-GB"/>
        </w:rPr>
        <w:t xml:space="preserve"> gene. However, the study did not find an association between </w:t>
      </w:r>
      <w:r>
        <w:rPr>
          <w:lang w:val="en-GB"/>
        </w:rPr>
        <w:t xml:space="preserve">the </w:t>
      </w:r>
      <w:r w:rsidRPr="00C83EDC">
        <w:rPr>
          <w:i/>
          <w:lang w:val="en-GB"/>
        </w:rPr>
        <w:t>SPOP</w:t>
      </w:r>
      <w:r w:rsidRPr="00C83EDC">
        <w:rPr>
          <w:lang w:val="en-GB"/>
        </w:rPr>
        <w:t xml:space="preserve"> mutation and clinicopathological parameters</w:t>
      </w:r>
      <w:r w:rsidRPr="00C83EDC">
        <w:rPr>
          <w:lang w:val="en-GB"/>
        </w:rPr>
        <w:fldChar w:fldCharType="begin" w:fldLock="1"/>
      </w:r>
      <w:r w:rsidR="000C069C">
        <w:rPr>
          <w:lang w:val="en-GB"/>
        </w:rPr>
        <w:instrText>ADDIN CSL_CITATION {"citationItems":[{"id":"ITEM-1","itemData":{"DOI":"10.1016/j.ejca.2014.08.009","ISSN":"18790852","abstract":"Aims Speckle-type POZ protein (SPOP) is an E3 ubiquitin ligase adaptor recently described to be mutated in prostate cancer (PCa). Hence, studying the gene expression profile and the presence of SPOP mutations in PCa and understanding its clinico-pathological significance as prognostic and therapeutic biomarker are important to further understand its role in PCa development. Patients and methods A cohort of 265 paraffin-embedded PCa samples from patients with more than 5 years of follow-up and treated with radical prostatectomy were collected at our institution for SPOP evaluation. RT-qPCR analysis was performed for expression studies while mutations were assessed by next generation sequencing. Relationship with prognosis was analysed using log-rank analysis and multivariable Cox regression. Results SPOP was found to be strongly down-regulated in PCa (median = 0.24; range = 0.04-9.98) and its expression was associated with both, biochemical (p = 0.003) and clinical progression free survival (p = 0.023), the very low SPOP expression levels being associated to the worst prognosis. Multivariate analysis demonstrated that low levels of SPOP independently predicted a worse prognosis for both, biochemical (Hazard ratio (HR) = 0.5; confidence interval (CI) 95% [0.4-0.9], p = 0.011) and clinical progression (HR = 0.6; IC 95% [0.4-1], p = 0.046). SPOP mutations were found in 10% of TMPRSS2-ERG (T2E)-negative cases. Log-rank tests showed that mutations were significantly associated with biochemical progression free survival (BPFS) (p = 0.009) and also were significant in the multivariable analysis (HR = 3.4; IC 95% [1.5-7.6], p = 0.004). Conclusions The present study demonstrates that prognosis varies depending on SPOP expression and mutational status, hence, defining a new biotype of PCa associated with a worse prognosis.","author":[{"dropping-particle":"","family":"García-Flores","given":"María","non-dropping-particle":"","parse-names":false,"suffix":""},{"dropping-particle":"","family":"Casanova-Salas","given":"Irene","non-dropping-particle":"","parse-names":false,"suffix":""},{"dropping-particle":"","family":"Rubio-Briones","given":"José","non-dropping-particle":"","parse-names":false,"suffix":""},{"dropping-particle":"","family":"Calatrava","given":"Ana","non-dropping-particle":"","parse-names":false,"suffix":""},{"dropping-particle":"","family":"Domínguez-Escrig","given":"José","non-dropping-particle":"","parse-names":false,"suffix":""},{"dropping-particle":"","family":"Rubio","given":"Luis","non-dropping-particle":"","parse-names":false,"suffix":""},{"dropping-particle":"","family":"Ramírez-Backhaus","given":"Miguel","non-dropping-particle":"","parse-names":false,"suffix":""},{"dropping-particle":"","family":"Fernández-Serra","given":"Antonio","non-dropping-particle":"","parse-names":false,"suffix":""},{"dropping-particle":"","family":"García-Casado","given":"Zaida","non-dropping-particle":"","parse-names":false,"suffix":""},{"dropping-particle":"","family":"López-Guerrero","given":"José Antonio","non-dropping-particle":"","parse-names":false,"suffix":""}],"container-title":"European Journal of Cancer","id":"ITEM-1","issue":"17","issued":{"date-parts":[["2014"]]},"page":"2994-3002","title":"Clinico-pathological significance of the molecular alterations of the SPOP gene in prostate cancer","type":"article-journal","volume":"50"},"uris":["http://www.mendeley.com/documents/?uuid=2ede204f-1eeb-4f21-b69c-18737ab3cf13"]}],"mendeley":{"formattedCitation":"&lt;sup&gt;37&lt;/sup&gt;","plainTextFormattedCitation":"37","previouslyFormattedCitation":"[37]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37</w:t>
      </w:r>
      <w:r w:rsidRPr="00C83EDC">
        <w:rPr>
          <w:lang w:val="en-GB"/>
        </w:rPr>
        <w:fldChar w:fldCharType="end"/>
      </w:r>
      <w:r w:rsidRPr="00C83EDC">
        <w:rPr>
          <w:lang w:val="en-GB"/>
        </w:rPr>
        <w:t xml:space="preserve">. </w:t>
      </w:r>
    </w:p>
    <w:p w14:paraId="398DE5B9" w14:textId="71E5E23C" w:rsidR="00EE7EB3" w:rsidRPr="00C83EDC" w:rsidRDefault="00EE7EB3" w:rsidP="00EE7EB3">
      <w:pPr>
        <w:pStyle w:val="Dalodstavce"/>
        <w:rPr>
          <w:lang w:val="en-GB"/>
        </w:rPr>
      </w:pPr>
      <w:r w:rsidRPr="00C83EDC">
        <w:rPr>
          <w:lang w:val="en-GB"/>
        </w:rPr>
        <w:t xml:space="preserve">Mutations located in the genomic region spanning the </w:t>
      </w:r>
      <w:r w:rsidRPr="00C83EDC">
        <w:rPr>
          <w:i/>
          <w:lang w:val="en-GB"/>
        </w:rPr>
        <w:t>FOXA1</w:t>
      </w:r>
      <w:r w:rsidRPr="00C83EDC">
        <w:rPr>
          <w:lang w:val="en-GB"/>
        </w:rPr>
        <w:t xml:space="preserve"> gene constitute the sixth subtype of prostate cancer. Gao </w:t>
      </w:r>
      <w:r w:rsidRPr="00FE171B">
        <w:rPr>
          <w:i/>
          <w:iCs/>
          <w:lang w:val="en-GB"/>
        </w:rPr>
        <w:t>et al</w:t>
      </w:r>
      <w:r w:rsidRPr="00C83EDC">
        <w:rPr>
          <w:lang w:val="en-GB"/>
        </w:rPr>
        <w:t xml:space="preserve">. performed </w:t>
      </w:r>
      <w:r w:rsidRPr="00614976">
        <w:rPr>
          <w:i/>
          <w:iCs/>
          <w:lang w:val="en-GB"/>
        </w:rPr>
        <w:t>in vitro</w:t>
      </w:r>
      <w:r w:rsidRPr="00C83EDC">
        <w:rPr>
          <w:lang w:val="en-GB"/>
        </w:rPr>
        <w:t xml:space="preserve"> analysis that showed missense mutations at the winged-helix of </w:t>
      </w:r>
      <w:r>
        <w:rPr>
          <w:lang w:val="en-GB"/>
        </w:rPr>
        <w:t xml:space="preserve">the </w:t>
      </w:r>
      <w:r w:rsidRPr="00C83EDC">
        <w:rPr>
          <w:lang w:val="en-GB"/>
        </w:rPr>
        <w:t>FKHD disrupted FOXA1 binding to DNA AR-dependent enhancers with subsequent suppression of AR transcriptional activity. RNA sequencing detected that</w:t>
      </w:r>
      <w:r>
        <w:rPr>
          <w:lang w:val="en-GB"/>
        </w:rPr>
        <w:t xml:space="preserve"> the</w:t>
      </w:r>
      <w:r w:rsidRPr="00C83EDC">
        <w:rPr>
          <w:lang w:val="en-GB"/>
        </w:rPr>
        <w:t xml:space="preserve"> mutant </w:t>
      </w:r>
      <w:r w:rsidRPr="00C83EDC">
        <w:rPr>
          <w:i/>
          <w:lang w:val="en-GB"/>
        </w:rPr>
        <w:t>FOXA1</w:t>
      </w:r>
      <w:r w:rsidRPr="00C83EDC">
        <w:rPr>
          <w:lang w:val="en-GB"/>
        </w:rPr>
        <w:t xml:space="preserve"> caused the upregulation of</w:t>
      </w:r>
      <w:r>
        <w:rPr>
          <w:lang w:val="en-GB"/>
        </w:rPr>
        <w:t xml:space="preserve"> the</w:t>
      </w:r>
      <w:r w:rsidRPr="00C83EDC">
        <w:rPr>
          <w:lang w:val="en-GB"/>
        </w:rPr>
        <w:t xml:space="preserve"> AR-independent subset of genes associated with epithelial-mesenchymal transition and metastasis</w:t>
      </w:r>
      <w:r w:rsidRPr="00C83EDC">
        <w:rPr>
          <w:lang w:val="en-GB"/>
        </w:rPr>
        <w:fldChar w:fldCharType="begin" w:fldLock="1"/>
      </w:r>
      <w:r w:rsidR="000C069C">
        <w:rPr>
          <w:lang w:val="en-GB"/>
        </w:rPr>
        <w:instrText>ADDIN CSL_CITATION {"citationItems":[{"id":"ITEM-1","itemData":{"DOI":"10.1038/s41422-019-0203-2","ISSN":"17487838","author":[{"dropping-particle":"","family":"Gao","given":"Shuai","non-dropping-particle":"","parse-names":false,"suffix":""},{"dropping-particle":"","family":"Chen","given":"Sujun","non-dropping-particle":"","parse-names":false,"suffix":""},{"dropping-particle":"","family":"Han","given":"Dong","non-dropping-particle":"","parse-names":false,"suffix":""},{"dropping-particle":"","family":"Barrett","given":"David","non-dropping-particle":"","parse-names":false,"suffix":""},{"dropping-particle":"","family":"Han","given":"Wanting","non-dropping-particle":"","parse-names":false,"suffix":""},{"dropping-particle":"","family":"Ahmed","given":"Musaddeque","non-dropping-particle":"","parse-names":false,"suffix":""},{"dropping-particle":"","family":"Patalano","given":"Susan","non-dropping-particle":"","parse-names":false,"suffix":""},{"dropping-particle":"","family":"Macoska","given":"Jill A.","non-dropping-particle":"","parse-names":false,"suffix":""},{"dropping-particle":"","family":"He","given":"Housheng Hansen","non-dropping-particle":"","parse-names":false,"suffix":""},{"dropping-particle":"","family":"Cai","given":"Changmeng","non-dropping-particle":"","parse-names":false,"suffix":""}],"container-title":"Cell Research","id":"ITEM-1","issue":"9","issued":{"date-parts":[["2019"]]},"page":"770-772","title":"Forkhead domain mutations in FOXA1 drive prostate cancer progression","type":"article-journal","volume":"29"},"uris":["http://www.mendeley.com/documents/?uuid=816e2943-8a13-456f-851e-e134bcc10937"]}],"mendeley":{"formattedCitation":"&lt;sup&gt;31&lt;/sup&gt;","plainTextFormattedCitation":"31","previouslyFormattedCitation":"[31]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31</w:t>
      </w:r>
      <w:r w:rsidRPr="00C83EDC">
        <w:rPr>
          <w:lang w:val="en-GB"/>
        </w:rPr>
        <w:fldChar w:fldCharType="end"/>
      </w:r>
      <w:r w:rsidRPr="00C83EDC">
        <w:rPr>
          <w:lang w:val="en-GB"/>
        </w:rPr>
        <w:t xml:space="preserve">. Bioinformatic analysis of the Decipher </w:t>
      </w:r>
      <w:r w:rsidRPr="00BB6D2B">
        <w:rPr>
          <w:lang w:val="en-GB"/>
        </w:rPr>
        <w:t xml:space="preserve">Genomics Resource Information Database </w:t>
      </w:r>
      <w:r w:rsidRPr="00C83EDC">
        <w:rPr>
          <w:lang w:val="en-GB"/>
        </w:rPr>
        <w:t xml:space="preserve">cohort of primary prostate cancer patients revealed that tumours with predicted </w:t>
      </w:r>
      <w:r w:rsidRPr="00C83EDC">
        <w:rPr>
          <w:i/>
          <w:lang w:val="en-GB"/>
        </w:rPr>
        <w:t>FOXA1</w:t>
      </w:r>
      <w:r w:rsidRPr="00C83EDC">
        <w:rPr>
          <w:lang w:val="en-GB"/>
        </w:rPr>
        <w:t xml:space="preserve"> mutation significantly correlated with worse prognostic parameters including higher Gleason score, decreased probability of </w:t>
      </w:r>
      <w:r>
        <w:rPr>
          <w:lang w:val="en-GB"/>
        </w:rPr>
        <w:t>BCR</w:t>
      </w:r>
      <w:r w:rsidRPr="00C83EDC">
        <w:rPr>
          <w:lang w:val="en-GB"/>
        </w:rPr>
        <w:t>-free survival and faster progression to metastatic disease than</w:t>
      </w:r>
      <w:r w:rsidRPr="00C83EDC">
        <w:rPr>
          <w:i/>
          <w:lang w:val="en-GB"/>
        </w:rPr>
        <w:t xml:space="preserve"> FOXA1</w:t>
      </w:r>
      <w:r w:rsidRPr="00C83EDC">
        <w:rPr>
          <w:lang w:val="en-GB"/>
        </w:rPr>
        <w:t xml:space="preserve"> wild-type carcinomas</w:t>
      </w:r>
      <w:r w:rsidRPr="00C83EDC">
        <w:rPr>
          <w:lang w:val="en-GB"/>
        </w:rPr>
        <w:fldChar w:fldCharType="begin" w:fldLock="1"/>
      </w:r>
      <w:r w:rsidR="000C069C">
        <w:rPr>
          <w:lang w:val="en-GB"/>
        </w:rPr>
        <w:instrText>ADDIN CSL_CITATION {"citationItems":[{"id":"ITEM-1","itemData":{"DOI":"10.1038/s41586-019-1318-9","ISSN":"14764687","abstract":"Mutations in the transcription factor FOXA1 define a unique subset of prostate cancers but the functional consequences of these mutations and whether they confer gain or loss of function is unknown1–9. Here, by annotating the landscape of FOXA1 mutations from 3,086 human prostate cancers, we define two hotspots in the forkhead domain: Wing2 (around 50% of all mutations) and the highly conserved DNA-contact residue R219 (around 5% of all mutations). Wing2 mutations are detected in adenocarcinomas at all stages, whereas R219 mutations are enriched in metastatic tumours with neuroendocrine histology. Interrogation of the biological properties of wild-type FOXA1 and fourteen FOXA1 mutants reveals gain of function in mouse prostate organoid proliferation assays. Twelve of these mutants, as well as wild-type FOXA1, promoted an exaggerated pro-luminal differentiation program, whereas two different R219 mutants blocked luminal differentiation and activated a mesenchymal and neuroendocrine transcriptional program. Assay for transposase-accessible chromatin using sequencing (ATAC-seq) of wild-type FOXA1 and representative Wing2 and R219 mutants revealed marked, mutant-specific changes in open chromatin at thousands of genomic loci and exposed sites of FOXA1 binding and associated increases in gene expression. Of note, ATAC-seq peaks in cells expressing R219 mutants lacked the canonical core FOXA1-binding motifs (GTAAAC/T) but were enriched for a related, non-canonical motif (GTAAAG/A), which was preferentially activated by R219-mutant FOXA1 in reporter assays. Thus, FOXA1 mutations alter its pioneering function and perturb normal luminal epithelial differentiation programs, providing further support for the role of lineage plasticity in cancer progression.","author":[{"dropping-particle":"","family":"Adams","given":"Elizabeth J.","non-dropping-particle":"","parse-names":false,"suffix":""},{"dropping-particle":"","family":"Karthaus","given":"Wouter R.","non-dropping-particle":"","parse-names":false,"suffix":""},{"dropping-particle":"","family":"Hoover","given":"Elizabeth","non-dropping-particle":"","parse-names":false,"suffix":""},{"dropping-particle":"","family":"Liu","given":"Deli","non-dropping-particle":"","parse-names":false,"suffix":""},{"dropping-particle":"","family":"Gruet","given":"Antoine","non-dropping-particle":"","parse-names":false,"suffix":""},{"dropping-particle":"","family":"Zhang","given":"Zeda","non-dropping-particle":"","parse-names":false,"suffix":""},{"dropping-particle":"","family":"Cho","given":"Hyunwoo","non-dropping-particle":"","parse-names":false,"suffix":""},{"dropping-particle":"","family":"DiLoreto","given":"Rose","non-dropping-particle":"","parse-names":false,"suffix":""},{"dropping-particle":"","family":"Chhangawala","given":"Sagar","non-dropping-particle":"","parse-names":false,"suffix":""},{"dropping-particle":"","family":"Liu","given":"Yang","non-dropping-particle":"","parse-names":false,"suffix":""},{"dropping-particle":"","family":"Watson","given":"Philip A.","non-dropping-particle":"","parse-names":false,"suffix":""},{"dropping-particle":"","family":"Davicioni","given":"Elai","non-dropping-particle":"","parse-names":false,"suffix":""},{"dropping-particle":"","family":"Sboner","given":"Andrea","non-dropping-particle":"","parse-names":false,"suffix":""},{"dropping-particle":"","family":"Barbieri","given":"Christopher E.","non-dropping-particle":"","parse-names":false,"suffix":""},{"dropping-particle":"","family":"Bose","given":"Rohit","non-dropping-particle":"","parse-names":false,"suffix":""},{"dropping-particle":"","family":"Leslie","given":"Christina S.","non-dropping-particle":"","parse-names":false,"suffix":""},{"dropping-particle":"","family":"Sawyers","given":"Charles L.","non-dropping-particle":"","parse-names":false,"suffix":""}],"container-title":"Nature","id":"ITEM-1","issue":"7765","issued":{"date-parts":[["2019"]]},"page":"408-412","publisher":"Springer US","title":"FOXA1 mutations alter pioneering activity, differentiation and prostate cancer phenotypes","type":"article-journal","volume":"571"},"uris":["http://www.mendeley.com/documents/?uuid=e5619f4a-b0b3-4574-b8cd-c1c1e58eb7cd"]}],"mendeley":{"formattedCitation":"&lt;sup&gt;38&lt;/sup&gt;","plainTextFormattedCitation":"38","previouslyFormattedCitation":"[38]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38</w:t>
      </w:r>
      <w:r w:rsidRPr="00C83EDC">
        <w:rPr>
          <w:lang w:val="en-GB"/>
        </w:rPr>
        <w:fldChar w:fldCharType="end"/>
      </w:r>
      <w:r w:rsidRPr="00C83EDC">
        <w:rPr>
          <w:lang w:val="en-GB"/>
        </w:rPr>
        <w:t xml:space="preserve">. </w:t>
      </w:r>
    </w:p>
    <w:p w14:paraId="13B2C3F9" w14:textId="24BE7CC9" w:rsidR="00EE7EB3" w:rsidRPr="00C83EDC" w:rsidRDefault="00EE7EB3" w:rsidP="00EE7EB3">
      <w:pPr>
        <w:pStyle w:val="Dalodstavce"/>
        <w:rPr>
          <w:lang w:val="en-GB"/>
        </w:rPr>
      </w:pPr>
      <w:r w:rsidRPr="00C83EDC">
        <w:rPr>
          <w:lang w:val="en-GB"/>
        </w:rPr>
        <w:t xml:space="preserve">The last molecular subtype of </w:t>
      </w:r>
      <w:proofErr w:type="spellStart"/>
      <w:r w:rsidRPr="00C83EDC">
        <w:rPr>
          <w:lang w:val="en-GB"/>
        </w:rPr>
        <w:t>PCa</w:t>
      </w:r>
      <w:proofErr w:type="spellEnd"/>
      <w:r w:rsidRPr="00C83EDC">
        <w:rPr>
          <w:lang w:val="en-GB"/>
        </w:rPr>
        <w:t xml:space="preserve"> defined by TCGA concerns rare </w:t>
      </w:r>
      <w:r w:rsidRPr="00C83EDC">
        <w:rPr>
          <w:i/>
          <w:lang w:val="en-GB"/>
        </w:rPr>
        <w:t>IDH1</w:t>
      </w:r>
      <w:r w:rsidRPr="00C83EDC">
        <w:rPr>
          <w:lang w:val="en-GB"/>
        </w:rPr>
        <w:t xml:space="preserve"> mutations detected in 1% of </w:t>
      </w:r>
      <w:proofErr w:type="spellStart"/>
      <w:r w:rsidRPr="00C83EDC">
        <w:rPr>
          <w:lang w:val="en-GB"/>
        </w:rPr>
        <w:t>PCa</w:t>
      </w:r>
      <w:proofErr w:type="spellEnd"/>
      <w:r w:rsidRPr="00C83EDC">
        <w:rPr>
          <w:lang w:val="en-GB"/>
        </w:rPr>
        <w:t xml:space="preserve"> tumours. In their analysis, </w:t>
      </w:r>
      <w:proofErr w:type="spellStart"/>
      <w:r w:rsidRPr="00C83EDC">
        <w:rPr>
          <w:lang w:val="en-GB"/>
        </w:rPr>
        <w:t>PCa</w:t>
      </w:r>
      <w:proofErr w:type="spellEnd"/>
      <w:r w:rsidRPr="00C83EDC">
        <w:rPr>
          <w:lang w:val="en-GB"/>
        </w:rPr>
        <w:t xml:space="preserve"> tumours harbouring </w:t>
      </w:r>
      <w:r w:rsidRPr="00C83EDC">
        <w:rPr>
          <w:i/>
          <w:lang w:val="en-GB"/>
        </w:rPr>
        <w:t>IDH1</w:t>
      </w:r>
      <w:r w:rsidRPr="00C83EDC">
        <w:rPr>
          <w:lang w:val="en-GB"/>
        </w:rPr>
        <w:t xml:space="preserve"> R132 mutations were associated with</w:t>
      </w:r>
      <w:r>
        <w:rPr>
          <w:lang w:val="en-GB"/>
        </w:rPr>
        <w:t xml:space="preserve"> a</w:t>
      </w:r>
      <w:r w:rsidRPr="00C83EDC">
        <w:rPr>
          <w:lang w:val="en-GB"/>
        </w:rPr>
        <w:t xml:space="preserve"> lower number of somatic copy alterations and fewer genomic lesions which are both attributes of a disease with an early age of onset</w:t>
      </w:r>
      <w:r w:rsidRPr="00C83EDC">
        <w:rPr>
          <w:lang w:val="en-GB"/>
        </w:rPr>
        <w:fldChar w:fldCharType="begin" w:fldLock="1"/>
      </w:r>
      <w:r w:rsidR="000C069C">
        <w:rPr>
          <w:lang w:val="en-GB"/>
        </w:rPr>
        <w:instrText>ADDIN CSL_CITATION {"citationItems":[{"id":"ITEM-1","itemData":{"DOI":"10.1016/j.cell.2015.10.025","ISSN":"10974172","abstract":"Summary There is substantial heterogeneity among primary prostate cancers, evident in the spectrum of molecular abnormalities and its variable clinical course. As part of The Cancer Genome Atlas (TCGA), we present a comprehensive molecular analysis of 333 primary prostate carcinomas. Our results revealed a molecular taxonomy in which 74% of these tumors fell into one of seven subtypes defined by specific gene fusions (ERG, ETV1/4, and FLI1) or mutations (SPOP, FOXA1, and IDH1). Epigenetic profiles showed substantial heterogeneity, including an IDH1 mutant subset with a methylator phenotype. Androgen receptor (AR) activity varied widely and in a subtype-specific manner, with SPOP and FOXA1 mutant tumors having the highest levels of AR-induced transcripts. 25% of the prostate cancers had a presumed actionable lesion in the PI3K or MAPK signaling pathways, and DNA repair genes were inactivated in 19%. Our analysis reveals molecular heterogeneity among primary prostate cancers, as well as potentially actionable molecular defects.","author":[{"dropping-particle":"","family":"Abeshouse","given":"Adam","non-dropping-particle":"","parse-names":false,"suffix":""},{"dropping-particle":"","family":"Ahn","given":"Jaeil","non-dropping-particle":"","parse-names":false,"suffix":""},{"dropping-particle":"","family":"Akbani","given":"Rehan","non-dropping-particle":"","parse-names":false,"suffix":""},{"dropping-particle":"","family":"Ally","given":"Adrian","non-dropping-particle":"","parse-names":false,"suffix":""},{"dropping-particle":"","family":"Amin","given":"Samirkumar","non-dropping-particle":"","parse-names":false,"suffix":""},{"dropping-particle":"","family":"Andry","given":"Christopher D.","non-dropping-particle":"","parse-names":false,"suffix":""},{"dropping-particle":"","family":"Annala","given":"Matti","non-dropping-particle":"","parse-names":false,"suffix":""},{"dropping-particle":"","family":"Aprikian","given":"Armen","non-dropping-particle":"","parse-names":false,"suffix":""},{"dropping-particle":"","family":"Armenia","given":"Joshua","non-dropping-particle":"","parse-names":false,"suffix":""},{"dropping-particle":"","family":"Arora","given":"Arshi","non-dropping-particle":"","parse-names":false,"suffix":""},{"dropping-particle":"","family":"Auman","given":"J. Todd","non-dropping-particle":"","parse-names":false,"suffix":""},{"dropping-particle":"","family":"Balasundaram","given":"Miruna","non-dropping-particle":"","parse-names":false,"suffix":""},{"dropping-particle":"","family":"Balu","given":"Saianand","non-dropping-particle":"","parse-names":false,"suffix":""},{"dropping-particle":"","family":"Barbieri","given":"Christopher E.","non-dropping-particle":"","parse-names":false,"suffix":""},{"dropping-particle":"","family":"Bauer","given":"Thomas","non-dropping-particle":"","parse-names":false,"suffix":""},{"dropping-particle":"","family":"Benz","given":"Christopher C.","non-dropping-particle":"","parse-names":false,"suffix":""},{"dropping-particle":"","family":"Bergeron","given":"Alain","non-dropping-particle":"","parse-names":false,"suffix":""},{"dropping-particle":"","family":"Beroukhim","given":"Rameen","non-dropping-particle":"","parse-names":false,"suffix":""},{"dropping-particle":"","family":"Berrios","given":"Mario","non-dropping-particle":"","parse-names":false,"suffix":""},{"dropping-particle":"","family":"Bivol","given":"Adrian","non-dropping-particle":"","parse-names":false,"suffix":""},{"dropping-particle":"","family":"Bodenheimer","given":"Tom","non-dropping-particle":"","parse-names":false,"suffix":""},{"dropping-particle":"","family":"Boice","given":"Lori","non-dropping-particle":"","parse-names":false,"suffix":""},{"dropping-particle":"","family":"Bootwalla","given":"Moiz S.","non-dropping-particle":"","parse-names":false,"suffix":""},{"dropping-particle":"","family":"Borges Dos Reis","given":"Rodolfo","non-dropping-particle":"","parse-names":false,"suffix":""},{"dropping-particle":"","family":"Boutros","given":"Paul C.","non-dropping-particle":"","parse-names":false,"suffix":""},{"dropping-particle":"","family":"Bowen","given":"Jay","non-dropping-particle":"","parse-names":false,"suffix":""},{"dropping-particle":"","family":"Bowlby","given":"Reanne","non-dropping-particle":"","parse-names":false,"suffix":""},{"dropping-particle":"","family":"Boyd","given":"Jeffrey","non-dropping-particle":"","parse-names":false,"suffix":""},{"dropping-particle":"","family":"Bradley","given":"Robert K.","non-dropping-particle":"","parse-names":false,"suffix":""},{"dropping-particle":"","family":"Breggia","given":"Anne","non-dropping-particle":"","parse-names":false,"suffix":""},{"dropping-particle":"","family":"Brimo","given":"Fadi","non-dropping-particle":"","parse-names":false,"suffix":""},{"dropping-particle":"","family":"Bristow","given":"Christopher A.","non-dropping-particle":"","parse-names":false,"suffix":""},{"dropping-particle":"","family":"Brooks","given":"Denise","non-dropping-particle":"","parse-names":false,"suffix":""},{"dropping-particle":"","family":"Broom","given":"Bradley M.","non-dropping-particle":"","parse-names":false,"suffix":""},{"dropping-particle":"","family":"Bryce","given":"Alan H.","non-dropping-particle":"","parse-names":false,"suffix":""},{"dropping-particle":"","family":"Bubley","given":"Glenn","non-dropping-particle":"","parse-names":false,"suffix":""},{"dropping-particle":"","family":"Burks","given":"Eric","non-dropping-particle":"","parse-names":false,"suffix":""},{"dropping-particle":"","family":"Butterfield","given":"Yaron S.N.","non-dropping-particle":"","parse-names":false,"suffix":""},{"dropping-particle":"","family":"Button","given":"Michael","non-dropping-particle":"","parse-names":false,"suffix":""},{"dropping-particle":"","family":"Canes","given":"David","non-dropping-particle":"","parse-names":false,"suffix":""},{"dropping-particle":"","family":"Carlotti","given":"Carlos G.","non-dropping-particle":"","parse-names":false,"suffix":""},{"dropping-particle":"","family":"Carlsen","given":"Rebecca","non-dropping-particle":"","parse-names":false,"suffix":""},{"dropping-particle":"","family":"Carmel","given":"Michel","non-dropping-particle":"","parse-names":false,"suffix":""},{"dropping-particle":"","family":"Carroll","given":"Peter R.","non-dropping-particle":"","parse-names":false,"suffix":""},{"dropping-particle":"","family":"Carter","given":"Scott L.","non-dropping-particle":"","parse-names":false,"suffix":""},{"dropping-particle":"","family":"Cartun","given":"Richard","non-dropping-particle":"","parse-names":false,"suffix":""},{"dropping-particle":"","family":"Carver","given":"Brett S.","non-dropping-particle":"","parse-names":false,"suffix":""},{"dropping-particle":"","family":"Chan","given":"June M.","non-dropping-particle":"","parse-names":false,"suffix":""},{"dropping-particle":"","family":"Chang","given":"Matthew T.","non-dropping-particle":"","parse-names":false,"suffix":""},{"dropping-particle":"","family":"Chen","given":"Yu","non-dropping-particle":"","parse-names":false,"suffix":""},{"dropping-particle":"","family":"Cherniack","given":"Andrew D.","non-dropping-particle":"","parse-names":false,"suffix":""},{"dropping-particle":"","family":"Chevalier","given":"Simone","non-dropping-particle":"","parse-names":false,"suffix":""},{"dropping-particle":"","family":"Chin","given":"Lynda","non-dropping-particle":"","parse-names":false,"suffix":""},{"dropping-particle":"","family":"Cho","given":"Juok","non-dropping-particle":"","parse-names":false,"suffix":""},{"dropping-particle":"","family":"Chu","given":"Andy","non-dropping-particle":"","parse-names":false,"suffix":""},{"dropping-particle":"","family":"Chuah","given":"Eric","non-dropping-particle":"","parse-names":false,"suffix":""},{"dropping-particle":"","family":"Chudamani","given":"Sudha","non-dropping-particle":"","parse-names":false,"suffix":""},{"dropping-particle":"","family":"Cibulskis","given":"Kristian","non-dropping-particle":"","parse-names":false,"suffix":""},{"dropping-particle":"","family":"Ciriello","given":"Giovanni","non-dropping-particle":"","parse-names":false,"suffix":""},{"dropping-particle":"","family":"Clarke","given":"Amanda","non-dropping-particle":"","parse-names":false,"suffix":""},{"dropping-particle":"","family":"Cooperberg","given":"Matthew R.","non-dropping-particle":"","parse-names":false,"suffix":""},{"dropping-particle":"","family":"Corcoran","given":"Niall M.","non-dropping-particle":"","parse-names":false,"suffix":""},{"dropping-particle":"","family":"Costello","given":"Anthony J.","non-dropping-particle":"","parse-names":false,"suffix":""},{"dropping-particle":"","family":"Cowan","given":"Janet","non-dropping-particle":"","parse-names":false,"suffix":""},{"dropping-particle":"","family":"Crain","given":"Daniel","non-dropping-particle":"","parse-names":false,"suffix":""},{"dropping-particle":"","family":"Curley","given":"Erin","non-dropping-particle":"","parse-names":false,"suffix":""},{"dropping-particle":"","family":"David","given":"Kerstin","non-dropping-particle":"","parse-names":false,"suffix":""},{"dropping-particle":"","family":"Demchok","given":"John A.","non-dropping-particle":"","parse-names":false,"suffix":""},{"dropping-particle":"","family":"Demichelis","given":"Francesca","non-dropping-particle":"","parse-names":false,"suffix":""},{"dropping-particle":"","family":"Dhalla","given":"Noreen","non-dropping-particle":"","parse-names":false,"suffix":""},{"dropping-particle":"","family":"Dhir","given":"Rajiv","non-dropping-particle":"","parse-names":false,"suffix":""},{"dropping-particle":"","family":"Doueik","given":"Alexandre","non-dropping-particle":"","parse-names":false,"suffix":""},{"dropping-particle":"","family":"Drake","given":"Bettina","non-dropping-particle":"","parse-names":false,"suffix":""},{"dropping-particle":"","family":"Dvinge","given":"Heidi","non-dropping-particle":"","parse-names":false,"suffix":""},{"dropping-particle":"","family":"Dyakova","given":"Natalya","non-dropping-particle":"","parse-names":false,"suffix":""},{"dropping-particle":"","family":"Felau","given":"Ina","non-dropping-particle":"","parse-names":false,"suffix":""},{"dropping-particle":"","family":"Ferguson","given":"Martin L.","non-dropping-particle":"","parse-names":false,"suffix":""},{"dropping-particle":"","family":"Frazer","given":"Scott","non-dropping-particle":"","parse-names":false,"suffix":""},{"dropping-particle":"","family":"Freedland","given":"Stephen","non-dropping-particle":"","parse-names":false,"suffix":""},{"dropping-particle":"","family":"Fu","given":"Yao","non-dropping-particle":"","parse-names":false,"suffix":""},{"dropping-particle":"","family":"Gabriel","given":"Stacey B.","non-dropping-particle":"","parse-names":false,"suffix":""},{"dropping-particle":"","family":"Gao","given":"Jianjiong","non-dropping-particle":"","parse-names":false,"suffix":""},{"dropping-particle":"","family":"Gardner","given":"Johanna","non-dropping-particle":"","parse-names":false,"suffix":""},{"dropping-particle":"","family":"Gastier-Foster","given":"Julie M.","non-dropping-particle":"","parse-names":false,"suffix":""},{"dropping-particle":"","family":"Gehlenborg","given":"Nils","non-dropping-particle":"","parse-names":false,"suffix":""},{"dropping-particle":"","family":"Gerken","given":"Mark","non-dropping-particle":"","parse-names":false,"suffix":""},{"dropping-particle":"","family":"Gerstein","given":"Mark B.","non-dropping-particle":"","parse-names":false,"suffix":""},{"dropping-particle":"","family":"Getz","given":"Gad","non-dropping-particle":"","parse-names":false,"suffix":""},{"dropping-particle":"","family":"Godwin","given":"Andrew K.","non-dropping-particle":"","parse-names":false,"suffix":""},{"dropping-particle":"","family":"Gopalan","given":"Anuradha","non-dropping-particle":"","parse-names":false,"suffix":""},{"dropping-particle":"","family":"Graefen","given":"Markus","non-dropping-particle":"","parse-names":false,"suffix":""},{"dropping-particle":"","family":"Graim","given":"Kiley","non-dropping-particle":"","parse-names":false,"suffix":""},{"dropping-particle":"","family":"Gribbin","given":"Thomas","non-dropping-particle":"","parse-names":false,"suffix":""},{"dropping-particle":"","family":"Guin","given":"Ranabir","non-dropping-particle":"","parse-names":false,"suffix":""},{"dropping-particle":"","family":"Gupta","given":"Manaswi","non-dropping-particle":"","parse-names":false,"suffix":""},{"dropping-particle":"","family":"Hadjipanayis","given":"Angela","non-dropping-particle":"","parse-names":false,"suffix":""},{"dropping-particle":"","family":"Haider","given":"Syed","non-dropping-particle":"","parse-names":false,"suffix":""},{"dropping-particle":"","family":"Hamel","given":"Lucie","non-dropping-particle":"","parse-names":false,"suffix":""},{"dropping-particle":"","family":"Hayes","given":"D. Neil","non-dropping-particle":"","parse-names":false,"suffix":""},{"dropping-particle":"","family":"Heiman","given":"David I.","non-dropping-particle":"","parse-names":false,"suffix":""},{"dropping-particle":"","family":"Hess","given":"Julian","non-dropping-particle":"","parse-names":false,"suffix":""},{"dropping-particle":"","family":"Hoadley","given":"Katherine A.","non-dropping-particle":"","parse-names":false,"suffix":""},{"dropping-particle":"","family":"Holbrook","given":"Andrea H.","non-dropping-particle":"","parse-names":false,"suffix":""},{"dropping-particle":"","family":"Holt","given":"Robert A.","non-dropping-particle":"","parse-names":false,"suffix":""},{"dropping-particle":"","family":"Holway","given":"Antonia","non-dropping-particle":"","parse-names":false,"suffix":""},{"dropping-particle":"","family":"Hovens","given":"Christopher M.","non-dropping-particle":"","parse-names":false,"suffix":""},{"dropping-particle":"","family":"Hoyle","given":"Alan P.","non-dropping-particle":"","parse-names":false,"suffix":""},{"dropping-particle":"","family":"Huang","given":"Mei","non-dropping-particle":"","parse-names":false,"suffix":""},{"dropping-particle":"","family":"Hutter","given":"Carolyn M.","non-dropping-particle":"","parse-names":false,"suffix":""},{"dropping-particle":"","family":"Ittmann","given":"Michael","non-dropping-particle":"","parse-names":false,"suffix":""},{"dropping-particle":"","family":"Iype","given":"Lisa","non-dropping-particle":"","parse-names":false,"suffix":""},{"dropping-particle":"","family":"Jefferys","given":"Stuart R.","non-dropping-particle":"","parse-names":false,"suffix":""},{"dropping-particle":"","family":"Jones","given":"Corbin D.","non-dropping-particle":"","parse-names":false,"suffix":""},{"dropping-particle":"","family":"Jones","given":"Steven J.M.","non-dropping-particle":"","parse-names":false,"suffix":""},{"dropping-particle":"","family":"Juhl","given":"Hartmut","non-dropping-particle":"","parse-names":false,"suffix":""},{"dropping-particle":"","family":"Kahles","given":"Andre","non-dropping-particle":"","parse-names":false,"suffix":""},{"dropping-particle":"","family":"Kane","given":"Christopher J.","non-dropping-particle":"","parse-names":false,"suffix":""},{"dropping-particle":"","family":"Kasaian","given":"Katayoon","non-dropping-particle":"","parse-names":false,"suffix":""},{"dropping-particle":"","family":"Kerger","given":"Michael","non-dropping-particle":"","parse-names":false,"suffix":""},{"dropping-particle":"","family":"Khurana","given":"Ekta","non-dropping-particle":"","parse-names":false,"suffix":""},{"dropping-particle":"","family":"Kim","given":"Jaegil","non-dropping-particle":"","parse-names":false,"suffix":""},{"dropping-particle":"","family":"Klein","given":"Robert J.","non-dropping-particle":"","parse-names":false,"suffix":""},{"dropping-particle":"","family":"Kucherlapati","given":"Raju","non-dropping-particle":"","parse-names":false,"suffix":""},{"dropping-particle":"","family":"Lacombe","given":"Louis","non-dropping-particle":"","parse-names":false,"suffix":""},{"dropping-particle":"","family":"Ladanyi","given":"Marc","non-dropping-particle":"","parse-names":false,"suffix":""},{"dropping-particle":"","family":"Lai","given":"Phillip H.","non-dropping-particle":"","parse-names":false,"suffix":""},{"dropping-particle":"","family":"Laird","given":"Peter W.","non-dropping-particle":"","parse-names":false,"suffix":""},{"dropping-particle":"","family":"Lander","given":"Eric S.","non-dropping-particle":"","parse-names":false,"suffix":""},{"dropping-particle":"","family":"Latour","given":"Mathieu","non-dropping-particle":"","parse-names":false,"suffix":""},{"dropping-particle":"","family":"Lawrence","given":"Michael S.","non-dropping-particle":"","parse-names":false,"suffix":""},{"dropping-particle":"","family":"Lau","given":"Kevin","non-dropping-particle":"","parse-names":false,"suffix":""},{"dropping-particle":"","family":"Lebien","given":"Tucker","non-dropping-particle":"","parse-names":false,"suffix":""},{"dropping-particle":"","family":"Lee","given":"Darlene","non-dropping-particle":"","parse-names":false,"suffix":""},{"dropping-particle":"","family":"Lee","given":"Semin","non-dropping-particle":"","parse-names":false,"suffix":""},{"dropping-particle":"Van","family":"Lehmann","given":"Kjong","non-dropping-particle":"","parse-names":false,"suffix":""},{"dropping-particle":"","family":"Leraas","given":"Kristen M.","non-dropping-particle":"","parse-names":false,"suffix":""},{"dropping-particle":"","family":"Leshchiner","given":"Ignaty","non-dropping-particle":"","parse-names":false,"suffix":""},{"dropping-particle":"","family":"Leung","given":"Robert","non-dropping-particle":"","parse-names":false,"suffix":""},{"dropping-particle":"","family":"Libertino","given":"John A.","non-dropping-particle":"","parse-names":false,"suffix":""},{"dropping-particle":"","family":"Lichtenberg","given":"Tara M.","non-dropping-particle":"","parse-names":false,"suffix":""},{"dropping-particle":"","family":"Lin","given":"Pei","non-dropping-particle":"","parse-names":false,"suffix":""},{"dropping-particle":"","family":"Linehan","given":"W. Marston","non-dropping-particle":"","parse-names":false,"suffix":""},{"dropping-particle":"","family":"Ling","given":"Shiyun","non-dropping-particle":"","parse-names":false,"suffix":""},{"dropping-particle":"","family":"Lippman","given":"Scott M.","non-dropping-particle":"","parse-names":false,"suffix":""},{"dropping-particle":"","family":"Liu","given":"Jia","non-dropping-particle":"","parse-names":false,"suffix":""},{"dropping-particle":"","family":"Liu","given":"Wenbin","non-dropping-particle":"","parse-names":false,"suffix":""},{"dropping-particle":"","family":"Lochovsky","given":"Lucas","non-dropping-particle":"","parse-names":false,"suffix":""},{"dropping-particle":"","family":"Loda","given":"Massimo","non-dropping-particle":"","parse-names":false,"suffix":""},{"dropping-particle":"","family":"Logothetis","given":"Christopher","non-dropping-particle":"","parse-names":false,"suffix":""},{"dropping-particle":"","family":"Lolla","given":"Laxmi","non-dropping-particle":"","parse-names":false,"suffix":""},{"dropping-particle":"","family":"Longacre","given":"Teri","non-dropping-particle":"","parse-names":false,"suffix":""},{"dropping-particle":"","family":"Lu","given":"Yiling","non-dropping-particle":"","parse-names":false,"suffix":""},{"dropping-particle":"","family":"Luo","given":"Jianhua","non-dropping-particle":"","parse-names":false,"suffix":""},{"dropping-particle":"","family":"Ma","given":"Yussanne","non-dropping-particle":"","parse-names":false,"suffix":""},{"dropping-particle":"","family":"Mahadeshwar","given":"Harshad S.","non-dropping-particle":"","parse-names":false,"suffix":""},{"dropping-particle":"","family":"Mallery","given":"David","non-dropping-particle":"","parse-names":false,"suffix":""},{"dropping-particle":"","family":"Mariamidze","given":"Armaz","non-dropping-particle":"","parse-names":false,"suffix":""},{"dropping-particle":"","family":"Marra","given":"Marco A.","non-dropping-particle":"","parse-names":false,"suffix":""},{"dropping-particle":"","family":"Mayo","given":"Michael","non-dropping-particle":"","parse-names":false,"suffix":""},{"dropping-particle":"","family":"McCall","given":"Shannon","non-dropping-particle":"","parse-names":false,"suffix":""},{"dropping-particle":"","family":"McKercher","given":"Ginette","non-dropping-particle":"","parse-names":false,"suffix":""},{"dropping-particle":"","family":"Meng","given":"Shaowu","non-dropping-particle":"","parse-names":false,"suffix":""},{"dropping-particle":"","family":"Mes-Masson","given":"Anne Marie","non-dropping-particle":"","parse-names":false,"suffix":""},{"dropping-particle":"","family":"Merino","given":"Maria J.","non-dropping-particle":"","parse-names":false,"suffix":""},{"dropping-particle":"","family":"Meyerson","given":"Matthew","non-dropping-particle":"","parse-names":false,"suffix":""},{"dropping-particle":"","family":"Mieczkowski","given":"Piotr A.","non-dropping-particle":"","parse-names":false,"suffix":""},{"dropping-particle":"","family":"Mills","given":"Gordon B.","non-dropping-particle":"","parse-names":false,"suffix":""},{"dropping-particle":"","family":"Shaw","given":"Kenna R.Mills","non-dropping-particle":"","parse-names":false,"suffix":""},{"dropping-particle":"","family":"Minner","given":"Sarah","non-dropping-particle":"","parse-names":false,"suffix":""},{"dropping-particle":"","family":"Moinzadeh","given":"Alireza","non-dropping-particle":"","parse-names":false,"suffix":""},{"dropping-particle":"","family":"Moore","given":"Richard A.","non-dropping-particle":"","parse-names":false,"suffix":""},{"dropping-particle":"","family":"Morris","given":"Scott","non-dropping-particle":"","parse-names":false,"suffix":""},{"dropping-particle":"","family":"Morrison","given":"Carl","non-dropping-particle":"","parse-names":false,"suffix":""},{"dropping-particle":"","family":"Mose","given":"Lisle E.","non-dropping-particle":"","parse-names":false,"suffix":""},{"dropping-particle":"","family":"Mungall","given":"Andrew J.","non-dropping-particle":"","parse-names":false,"suffix":""},{"dropping-particle":"","family":"Murray","given":"Bradley A.","non-dropping-particle":"","parse-names":false,"suffix":""},{"dropping-particle":"","family":"Myers","given":"Jerome B.","non-dropping-particle":"","parse-names":false,"suffix":""},{"dropping-particle":"","family":"Naresh","given":"Rashi","non-dropping-particle":"","parse-names":false,"suffix":""},{"dropping-particle":"","family":"Nelson","given":"Joel","non-dropping-particle":"","parse-names":false,"suffix":""},{"dropping-particle":"","family":"Nelson","given":"Mark A.","non-dropping-particle":"","parse-names":false,"suffix":""},{"dropping-particle":"","family":"Nelson","given":"Peter S.","non-dropping-particle":"","parse-names":false,"suffix":""},{"dropping-particle":"","family":"Newton","given":"Yulia","non-dropping-particle":"","parse-names":false,"suffix":""},{"dropping-particle":"","family":"Noble","given":"Michael S.","non-dropping-particle":"","parse-names":false,"suffix":""},{"dropping-particle":"","family":"Noushmehr","given":"Houtan","non-dropping-particle":"","parse-names":false,"suffix":""},{"dropping-particle":"","family":"Nykter","given":"Matti","non-dropping-particle":"","parse-names":false,"suffix":""},{"dropping-particle":"","family":"Pantazi","given":"Angeliki","non-dropping-particle":"","parse-names":false,"suffix":""},{"dropping-particle":"","family":"Parfenov","given":"Michael","non-dropping-particle":"","parse-names":false,"suffix":""},{"dropping-particle":"","family":"Park","given":"Peter J.","non-dropping-particle":"","parse-names":false,"suffix":""},{"dropping-particle":"","family":"Parker","given":"Joel S.","non-dropping-particle":"","parse-names":false,"suffix":""},{"dropping-particle":"","family":"Paulauskis","given":"Joseph","non-dropping-particle":"","parse-names":false,"suffix":""},{"dropping-particle":"","family":"Penny","given":"Robert","non-dropping-particle":"","parse-names":false,"suffix":""},{"dropping-particle":"","family":"Perou","given":"Charles M.","non-dropping-particle":"","parse-names":false,"suffix":""},{"dropping-particle":"","family":"Piché","given":"Alain","non-dropping-particle":"","parse-names":false,"suffix":""},{"dropping-particle":"","family":"Pihl","given":"Todd","non-dropping-particle":"","parse-names":false,"suffix":""},{"dropping-particle":"","family":"Pinto","given":"Peter A.","non-dropping-particle":"","parse-names":false,"suffix":""},{"dropping-particle":"","family":"Prandi","given":"Davide","non-dropping-particle":"","parse-names":false,"suffix":""},{"dropping-particle":"","family":"Protopopov","given":"Alexei","non-dropping-particle":"","parse-names":false,"suffix":""},{"dropping-particle":"","family":"Ramirez","given":"Nilsa C.","non-dropping-particle":"","parse-names":false,"suffix":""},{"dropping-particle":"","family":"Rao","given":"Arvind","non-dropping-particle":"","parse-names":false,"suffix":""},{"dropping-particle":"","family":"Rathmell","given":"W. Kimryn","non-dropping-particle":"","parse-names":false,"suffix":""},{"dropping-particle":"","family":"Rätsch","given":"Gunnar","non-dropping-particle":"","parse-names":false,"suffix":""},{"dropping-particle":"","family":"Ren","given":"Xiaojia","non-dropping-particle":"","parse-names":false,"suffix":""},{"dropping-particle":"","family":"Reuter","given":"Victor E.","non-dropping-particle":"","parse-names":false,"suffix":""},{"dropping-particle":"","family":"Reynolds","given":"Sheila M.","non-dropping-particle":"","parse-names":false,"suffix":""},{"dropping-particle":"","family":"Rhie","given":"Suhn K.","non-dropping-particle":"","parse-names":false,"suffix":""},{"dropping-particle":"","family":"Rieger-Christ","given":"Kimberly","non-dropping-particle":"","parse-names":false,"suffix":""},{"dropping-particle":"","family":"Roach","given":"Jeffrey","non-dropping-particle":"","parse-names":false,"suffix":""},{"dropping-particle":"","family":"Robertson","given":"A. Gordon","non-dropping-particle":"","parse-names":false,"suffix":""},{"dropping-particle":"","family":"Robinson","given":"Brian","non-dropping-particle":"","parse-names":false,"suffix":""},{"dropping-particle":"","family":"Rubin","given":"Mark A.","non-dropping-particle":"","parse-names":false,"suffix":""},{"dropping-particle":"","family":"Saad","given":"Fred","non-dropping-particle":"","parse-names":false,"suffix":""},{"dropping-particle":"","family":"Sadeghi","given":"Sara","non-dropping-particle":"","parse-names":false,"suffix":""},{"dropping-particle":"","family":"Saksena","given":"Gordon","non-dropping-particle":"","parse-names":false,"suffix":""},{"dropping-particle":"","family":"Saller","given":"Charles","non-dropping-particle":"","parse-names":false,"suffix":""},{"dropping-particle":"","family":"Salner","given":"Andrew","non-dropping-particle":"","parse-names":false,"suffix":""},{"dropping-particle":"","family":"Sanchez-Vega","given":"Francisco","non-dropping-particle":"","parse-names":false,"suffix":""},{"dropping-particle":"","family":"Sander","given":"Chris","non-dropping-particle":"","parse-names":false,"suffix":""},{"dropping-particle":"","family":"Sandusky","given":"George","non-dropping-particle":"","parse-names":false,"suffix":""},{"dropping-particle":"","family":"Sauter","given":"Guido","non-dropping-particle":"","parse-names":false,"suffix":""},{"dropping-particle":"","family":"Sboner","given":"Andrea","non-dropping-particle":"","parse-names":false,"suffix":""},{"dropping-particle":"","family":"Scardino","given":"Peter T.","non-dropping-particle":"","parse-names":false,"suffix":""},{"dropping-particle":"","family":"Scarlata","given":"Eleonora","non-dropping-particle":"","parse-names":false,"suffix":""},{"dropping-particle":"","family":"Schein","given":"Jacqueline E.","non-dropping-particle":"","parse-names":false,"suffix":""},{"dropping-particle":"","family":"Schlomm","given":"Thorsten","non-dropping-particle":"","parse-names":false,"suffix":""},{"dropping-particle":"","family":"Schmidt","given":"Laura S.","non-dropping-particle":"","parse-names":false,"suffix":""},{"dropping-particle":"","family":"Schultz","given":"Nikolaus","non-dropping-particle":"","parse-names":false,"suffix":""},{"dropping-particle":"","family":"Schumacher","given":"Steven E.","non-dropping-particle":"","parse-names":false,"suffix":""},{"dropping-particle":"","family":"Seidman","given":"Jonathan","non-dropping-particle":"","parse-names":false,"suffix":""},{"dropping-particle":"","family":"Neder","given":"Luciano","non-dropping-particle":"","parse-names":false,"suffix":""},{"dropping-particle":"","family":"Seth","given":"Sahil","non-dropping-particle":"","parse-names":false,"suffix":""},{"dropping-particle":"","family":"Sharp","given":"Alexis","non-dropping-particle":"","parse-names":false,"suffix":""},{"dropping-particle":"","family":"Shelton","given":"Candace","non-dropping-particle":"","parse-names":false,"suffix":""},{"dropping-particle":"","family":"Shelton","given":"Troy","non-dropping-particle":"","parse-names":false,"suffix":""},{"dropping-particle":"","family":"Shen","given":"Hui","non-dropping-particle":"","parse-names":false,"suffix":""},{"dropping-particle":"","family":"Shen","given":"Ronglai","non-dropping-particle":"","parse-names":false,"suffix":""},{"dropping-particle":"","family":"Sherman","given":"Mark","non-dropping-particle":"","parse-names":false,"suffix":""},{"dropping-particle":"","family":"Sheth","given":"Margi","non-dropping-particle":"","parse-names":false,"suffix":""},{"dropping-particle":"","family":"Shi","given":"Yan","non-dropping-particle":"","parse-names":false,"suffix":""},{"dropping-particle":"","family":"Shih","given":"Juliann","non-dropping-particle":"","parse-names":false,"suffix":""},{"dropping-particle":"","family":"Shmulevich","given":"Ilya","non-dropping-particle":"","parse-names":false,"suffix":""},{"dropping-particle":"","family":"Simko","given":"Jeffry","non-dropping-particle":"","parse-names":false,"suffix":""},{"dropping-particle":"","family":"Simon","given":"Ronald","non-dropping-particle":"","parse-names":false,"suffix":""},{"dropping-particle":"V.","family":"Simons","given":"Janae","non-dropping-particle":"","parse-names":false,"suffix":""},{"dropping-particle":"","family":"Sipahimalani","given":"Payal","non-dropping-particle":"","parse-names":false,"suffix":""},{"dropping-particle":"","family":"Skelly","given":"Tara","non-dropping-particle":"","parse-names":false,"suffix":""},{"dropping-particle":"","family":"Sofia","given":"Heidi J.","non-dropping-particle":"","parse-names":false,"suffix":""},{"dropping-particle":"","family":"Soloway","given":"Matthew G.","non-dropping-particle":"","parse-names":false,"suffix":""},{"dropping-particle":"","family":"Song","given":"Xingzhi","non-dropping-particle":"","parse-names":false,"suffix":""},{"dropping-particle":"","family":"Sorcini","given":"Andrea","non-dropping-particle":"","parse-names":false,"suffix":""},{"dropping-particle":"","family":"Sougnez","given":"Carrie","non-dropping-particle":"","parse-names":false,"suffix":""},{"dropping-particle":"","family":"Stepa","given":"Serghei","non-dropping-particle":"","parse-names":false,"suffix":""},{"dropping-particle":"","family":"Stewart","given":"Chip","non-dropping-particle":"","parse-names":false,"suffix":""},{"dropping-particle":"","family":"Stewart","given":"John","non-dropping-particle":"","parse-names":false,"suffix":""},{"dropping-particle":"","family":"Stuart","given":"Joshua M.","non-dropping-particle":"","parse-names":false,"suffix":""},{"dropping-particle":"","family":"Sullivan","given":"Travis B.","non-dropping-particle":"","parse-names":false,"suffix":""},{"dropping-particle":"","family":"Sun","given":"Charlie","non-dropping-particle":"","parse-names":false,"suffix":""},{"dropping-particle":"","family":"Sun","given":"Huandong","non-dropping-particle":"","parse-names":false,"suffix":""},{"dropping-particle":"","family":"Tam","given":"Angela","non-dropping-particle":"","parse-names":false,"suffix":""},{"dropping-particle":"","family":"Tan","given":"Donghui","non-dropping-particle":"","parse-names":false,"suffix":""},{"dropping-particle":"","family":"Tang","given":"Jiabin","non-dropping-particle":"","parse-names":false,"suffix":""},{"dropping-particle":"","family":"Tarnuzzer","given":"Roy","non-dropping-particle":"","parse-names":false,"suffix":""},{"dropping-particle":"","family":"Tarvin","given":"Katherine","non-dropping-particle":"","parse-names":false,"suffix":""},{"dropping-particle":"","family":"Taylor","given":"Barry S.","non-dropping-particle":"","parse-names":false,"suffix":""},{"dropping-particle":"","family":"Teebagy","given":"Patrick","non-dropping-particle":"","parse-names":false,"suffix":""},{"dropping-particle":"","family":"Tenggara","given":"Imelda","non-dropping-particle":"","parse-names":false,"suffix":""},{"dropping-particle":"","family":"Têtu","given":"Bernard","non-dropping-particle":"","parse-names":false,"suffix":""},{"dropping-particle":"","family":"Tewari","given":"Ashutosh","non-dropping-particle":"","parse-names":false,"suffix":""},{"dropping-particle":"","family":"Thiessen","given":"Nina","non-dropping-particle":"","parse-names":false,"suffix":""},{"dropping-particle":"","family":"Thompson","given":"Timothy","non-dropping-particle":"","parse-names":false,"suffix":""},{"dropping-particle":"","family":"Thorne","given":"Leigh B.","non-dropping-particle":"","parse-names":false,"suffix":""},{"dropping-particle":"","family":"Tirapelli","given":"Daniela P.","non-dropping-particle":"","parse-names":false,"suffix":""},{"dropping-particle":"","family":"Tomlins","given":"Scott A.","non-dropping-particle":"","parse-names":false,"suffix":""},{"dropping-particle":"","family":"Trevisan","given":"Felipe Amstalden","non-dropping-particle":"","parse-names":false,"suffix":""},{"dropping-particle":"","family":"Troncoso","given":"Patricia","non-dropping-particle":"","parse-names":false,"suffix":""},{"dropping-particle":"","family":"True","given":"Lawrence D.","non-dropping-particle":"","parse-names":false,"suffix":""},{"dropping-particle":"","family":"Tsourlakis","given":"Maria Christina","non-dropping-particle":"","parse-names":false,"suffix":""},{"dropping-particle":"","family":"Tyekucheva","given":"Svitlana","non-dropping-particle":"","parse-names":false,"suffix":""},{"dropping-particle":"","family":"Allen","given":"Eliezer","non-dropping-particle":"Van","parse-names":false,"suffix":""},{"dropping-particle":"","family":"Berg","given":"David J.","non-dropping-particle":"Van Den","parse-names":false,"suffix":""},{"dropping-particle":"","family":"Veluvolu","given":"Umadevi","non-dropping-particle":"","parse-names":false,"suffix":""},{"dropping-particle":"","family":"Verhaak","given":"Roel","non-dropping-particle":"","parse-names":false,"suffix":""},{"dropping-particle":"","family":"Vocke","given":"Cathy D.","non-dropping-particle":"","parse-names":false,"suffix":""},{"dropping-particle":"","family":"Voet","given":"Doug","non-dropping-particle":"","parse-names":false,"suffix":""},{"dropping-particle":"","family":"Wan","given":"Yunhu","non-dropping-particle":"","parse-names":false,"suffix":""},{"dropping-particle":"","family":"Wang","given":"Qingguo","non-dropping-particle":"","parse-names":false,"suffix":""},{"dropping-particle":"","family":"Wang","given":"Wenyi","non-dropping-particle":"","parse-names":false,"suffix":""},{"dropping-particle":"","family":"Wang","given":"Zhining","non-dropping-particle":"","parse-names":false,"suffix":""},{"dropping-particle":"","family":"Weinhold","given":"Nils","non-dropping-particle":"","parse-names":false,"suffix":""},{"dropping-particle":"","family":"Weinstein","given":"John N.","non-dropping-particle":"","parse-names":false,"suffix":""},{"dropping-particle":"","family":"Weisenberger","given":"Daniel J.","non-dropping-particle":"","parse-names":false,"suffix":""},{"dropping-particle":"","family":"Wilkerson","given":"Matthew D.","non-dropping-particle":"","parse-names":false,"suffix":""},{"dropping-particle":"","family":"Wise","given":"Lisa","non-dropping-particle":"","parse-names":false,"suffix":""},{"dropping-particle":"","family":"Witte","given":"John","non-dropping-particle":"","parse-names":false,"suffix":""},{"dropping-particle":"","family":"Wu","given":"Chia Chin","non-dropping-particle":"","parse-names":false,"suffix":""},{"dropping-particle":"","family":"Wu","given":"Junyuan","non-dropping-particle":"","parse-names":false,"suffix":""},{"dropping-particle":"","family":"Wu","given":"Ye","non-dropping-particle":"","parse-names":false,"suffix":""},{"dropping-particle":"","family":"Xu","given":"Andrew W.","non-dropping-particle":"","parse-names":false,"suffix":""},{"dropping-particle":"","family":"Yadav","given":"Shalini S.","non-dropping-particle":"","parse-names":false,"suffix":""},{"dropping-particle":"","family":"Yang","given":"Liming","non-dropping-particle":"","parse-names":false,"suffix":""},{"dropping-particle":"","family":"Yang","given":"Lixing","non-dropping-particle":"","parse-names":false,"suffix":""},{"dropping-particle":"","family":"Yau","given":"Christina","non-dropping-particle":"","parse-names":false,"suffix":""},{"dropping-particle":"","family":"Ye","given":"Huihui","non-dropping-particle":"","parse-names":false,"suffix":""},{"dropping-particle":"","family":"Yena","given":"Peggy","non-dropping-particle":"","parse-names":false,"suffix":""},{"dropping-particle":"","family":"Zeng","given":"Thomas","non-dropping-particle":"","parse-names":false,"suffix":""},{"dropping-particle":"","family":"Zenklusen","given":"Jean C.","non-dropping-particle":"","parse-names":false,"suffix":""},{"dropping-particle":"","family":"Zhang","given":"Hailei","non-dropping-particle":"","parse-names":false,"suffix":""},{"dropping-particle":"","family":"Zhang","given":"Jianhua","non-dropping-particle":"","parse-names":false,"suffix":""},{"dropping-particle":"","family":"Zhang","given":"Jiashan","non-dropping-particle":"","parse-names":false,"suffix":""},{"dropping-particle":"","family":"Zhang","given":"Wei","non-dropping-particle":"","parse-names":false,"suffix":""},{"dropping-particle":"","family":"Zhong","given":"Yi","non-dropping-particle":"","parse-names":false,"suffix":""},{"dropping-particle":"","family":"Zhu","given":"Kelsey","non-dropping-particle":"","parse-names":false,"suffix":""},{"dropping-particle":"","family":"Zmuda","given":"Erik","non-dropping-particle":"","parse-names":false,"suffix":""}],"container-title":"Cell","id":"ITEM-1","issue":"4","issued":{"date-parts":[["2015"]]},"note":"difference between primary and metastatic tumour","page":"1011-1025","title":"The Molecular Taxonomy of Primary Prostate Cancer","type":"article-journal","volume":"163"},"uris":["http://www.mendeley.com/documents/?uuid=26136416-4cd0-46bb-895a-455783a28ce8"]}],"mendeley":{"formattedCitation":"&lt;sup&gt;22&lt;/sup&gt;","plainTextFormattedCitation":"22","previouslyFormattedCitation":"[22]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22</w:t>
      </w:r>
      <w:r w:rsidRPr="00C83EDC">
        <w:rPr>
          <w:lang w:val="en-GB"/>
        </w:rPr>
        <w:fldChar w:fldCharType="end"/>
      </w:r>
      <w:r w:rsidRPr="00C83EDC">
        <w:rPr>
          <w:lang w:val="en-GB"/>
        </w:rPr>
        <w:t>. The oncometabolite</w:t>
      </w:r>
      <w:r>
        <w:rPr>
          <w:lang w:val="en-GB"/>
        </w:rPr>
        <w:t xml:space="preserve"> </w:t>
      </w:r>
      <w:r w:rsidR="0048503A" w:rsidRPr="00C83EDC">
        <w:rPr>
          <w:lang w:val="en-GB"/>
        </w:rPr>
        <w:t xml:space="preserve">D-2HG </w:t>
      </w:r>
      <w:r w:rsidRPr="00C83EDC">
        <w:rPr>
          <w:lang w:val="en-GB"/>
        </w:rPr>
        <w:t>expressed by cancer cells was found to affect hypoxia, DNA methylation and the modification of histones with subsequent aberrant changes in epigenetic regulation and gene expression. In addition to that, 2-HG caused suppression of T-cell antitumor activity which resulted in the modulation of the tumour immune microenvironment</w:t>
      </w:r>
      <w:r w:rsidRPr="00C83EDC">
        <w:rPr>
          <w:lang w:val="en-GB"/>
        </w:rPr>
        <w:fldChar w:fldCharType="begin" w:fldLock="1"/>
      </w:r>
      <w:r w:rsidR="000C069C">
        <w:rPr>
          <w:lang w:val="en-GB"/>
        </w:rPr>
        <w:instrText>ADDIN CSL_CITATION {"citationItems":[{"id":"ITEM-1","itemData":{"DOI":"10.3390/diagnostics8030062","ISSN":"2075-4418","abstract":"In the past decade, multi-national and multi-center efforts were launched to sequence prostate cancer genomes, transcriptomes, and epigenomes with the aim of discovering the molecular underpinnings of tumorigenesis, cancer progression, and therapy resistance. Multiple biological markers and pathways have been discovered to be tumor drivers, and a molecular classification of prostate cancer is emerging. Here, we highlight crucial findings of these genome-sequencing projects in localized and advanced disease. We recapitulate the utility and limitations of current clinical practices to diagnosis, prognosis, and therapy, and we provide examples of insights generated by the molecular profiling of tumors. Novel treatment concepts based on these molecular alterations are currently being addressed in clinical trials and will lead to an enhanced implementation of precision medicine strategies.","author":[{"dropping-particle":"","family":"Angeles","given":"Arlou","non-dropping-particle":"","parse-names":false,"suffix":""},{"dropping-particle":"","family":"Bauer","given":"Simone","non-dropping-particle":"","parse-names":false,"suffix":""},{"dropping-particle":"","family":"Ratz","given":"Leonie","non-dropping-particle":"","parse-names":false,"suffix":""},{"dropping-particle":"","family":"Klauck","given":"Sabine","non-dropping-particle":"","parse-names":false,"suffix":""},{"dropping-particle":"","family":"Sültmann","given":"Holger","non-dropping-particle":"","parse-names":false,"suffix":""}],"container-title":"Diagnostics","id":"ITEM-1","issue":"3","issued":{"date-parts":[["2018"]]},"note":"looks great!\nbiomarkers for detection","page":"62","title":"Genome-Based Classification and Therapy of Prostate Cancer","type":"article-journal","volume":"8"},"uris":["http://www.mendeley.com/documents/?uuid=57c35fd8-07de-4565-b04e-83c2045fde1c"]}],"mendeley":{"formattedCitation":"&lt;sup&gt;39&lt;/sup&gt;","plainTextFormattedCitation":"39","previouslyFormattedCitation":"[39]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39</w:t>
      </w:r>
      <w:r w:rsidRPr="00C83EDC">
        <w:rPr>
          <w:lang w:val="en-GB"/>
        </w:rPr>
        <w:fldChar w:fldCharType="end"/>
      </w:r>
      <w:r w:rsidRPr="00C83EDC">
        <w:rPr>
          <w:lang w:val="en-GB"/>
        </w:rPr>
        <w:t>.</w:t>
      </w:r>
    </w:p>
    <w:p w14:paraId="4C14F229" w14:textId="77777777" w:rsidR="00EE7EB3" w:rsidRPr="00C83EDC" w:rsidRDefault="00EE7EB3" w:rsidP="00EE7EB3">
      <w:pPr>
        <w:pStyle w:val="Nadpis2"/>
        <w:rPr>
          <w:lang w:val="en-GB"/>
        </w:rPr>
      </w:pPr>
      <w:bookmarkStart w:id="32" w:name="_Toc47889317"/>
      <w:bookmarkStart w:id="33" w:name="_Toc48160988"/>
      <w:r w:rsidRPr="00C83EDC">
        <w:rPr>
          <w:lang w:val="en-GB"/>
        </w:rPr>
        <w:t>Diagnostics</w:t>
      </w:r>
      <w:bookmarkEnd w:id="32"/>
      <w:bookmarkEnd w:id="33"/>
    </w:p>
    <w:p w14:paraId="5A9AEC67" w14:textId="0174D3BB" w:rsidR="00EE7EB3" w:rsidRPr="00C83EDC" w:rsidRDefault="00EE7EB3" w:rsidP="00EE7EB3">
      <w:pPr>
        <w:pStyle w:val="Dalodstavce"/>
        <w:ind w:firstLine="0"/>
        <w:rPr>
          <w:lang w:val="en-GB"/>
        </w:rPr>
      </w:pPr>
      <w:r w:rsidRPr="00C83EDC">
        <w:rPr>
          <w:lang w:val="en-GB"/>
        </w:rPr>
        <w:t>Most clinical guidelines regarding screening, diagnostics and management of prostate cancer are published by urological, oncological and radiation oncology societies and by their collaborative efforts</w:t>
      </w:r>
      <w:r w:rsidRPr="00C83EDC">
        <w:rPr>
          <w:lang w:val="en-GB"/>
        </w:rPr>
        <w:fldChar w:fldCharType="begin" w:fldLock="1"/>
      </w:r>
      <w:r w:rsidR="000C069C">
        <w:rPr>
          <w:lang w:val="en-GB"/>
        </w:rPr>
        <w:instrText>ADDIN CSL_CITATION {"citationItems":[{"id":"ITEM-1","itemData":{"DOI":"10.1016/S1470-2045(18)30604-1","ISSN":"14745488","abstract":"Rapid developments in imaging and treatment with radiopharmaceuticals targeting prostate cancer pose issues for the development of guidelines for their appropriate use. To tackle this problem, international experts representing medical oncologists, urologists, radiation oncologists, radiologists, and nuclear medicine specialists convened at the European Association of Nuclear Medicine Focus 1 meeting to deliver a balanced perspective on available data and clinical experience of imaging in prostate cancer, which had been supported by a systematic review of the literature and a modified Delphi process. Relevant conclusions included the following: diphosphonate bone scanning and contrast-enhanced CT are mentioned but rarely recommended for most patients in clinical guidelines; MRI (whole-body or multiparametric) and prostate cancer-targeted PET are frequently suggested, but the specific contexts in which these methods affect practice are not established; sodium fluoride-18 for PET-CT bone scanning is not widely advocated, whereas gallium-68 or fluorine-18 prostate-specific membrane antigen gain acceptance; and, palliative treatment with bone targeting radiopharmaceuticals (rhenium-186, samarium-153, or strontium-89) have largely been replaced by radium-223 on the basis of the survival benefit that was reported in prospective trials, and by other systemic therapies with proven survival benefits. Although the advances in MRI and PET-CT have improved the accuracy of imaging, the effects of these new methods on clinical outcomes remains to be established. Improved communication between imagers and clinicians and more multidisciplinary input in clinical trial design are essential to encourage imaging insights into clinical decision making.","author":[{"dropping-particle":"","family":"Fanti","given":"Stefano","non-dropping-particle":"","parse-names":false,"suffix":""},{"dropping-particle":"","family":"Minozzi","given":"Silvia","non-dropping-particle":"","parse-names":false,"suffix":""},{"dropping-particle":"","family":"Antoch","given":"Gerald","non-dropping-particle":"","parse-names":false,"suffix":""},{"dropping-particle":"","family":"Banks","given":"Ian","non-dropping-particle":"","parse-names":false,"suffix":""},{"dropping-particle":"","family":"Briganti","given":"Alberto","non-dropping-particle":"","parse-names":false,"suffix":""},{"dropping-particle":"","family":"Carrio","given":"Ignasi","non-dropping-particle":"","parse-names":false,"suffix":""},{"dropping-particle":"","family":"Chiti","given":"Arturo","non-dropping-particle":"","parse-names":false,"suffix":""},{"dropping-particle":"","family":"Clarke","given":"Noel","non-dropping-particle":"","parse-names":false,"suffix":""},{"dropping-particle":"","family":"Eiber","given":"Matthias","non-dropping-particle":"","parse-names":false,"suffix":""},{"dropping-particle":"","family":"Bono","given":"Johann","non-dropping-particle":"De","parse-names":false,"suffix":""},{"dropping-particle":"","family":"Fizazi","given":"Karim","non-dropping-particle":"","parse-names":false,"suffix":""},{"dropping-particle":"","family":"Gillessen","given":"Silke","non-dropping-particle":"","parse-names":false,"suffix":""},{"dropping-particle":"","family":"Gledhill","given":"Sam","non-dropping-particle":"","parse-names":false,"suffix":""},{"dropping-particle":"","family":"Haberkorn","given":"Uwe","non-dropping-particle":"","parse-names":false,"suffix":""},{"dropping-particle":"","family":"Herrmann","given":"Ken","non-dropping-particle":"","parse-names":false,"suffix":""},{"dropping-particle":"","family":"Hicks","given":"Rodney J.","non-dropping-particle":"","parse-names":false,"suffix":""},{"dropping-particle":"","family":"Lecouvet","given":"Frederic","non-dropping-particle":"","parse-names":false,"suffix":""},{"dropping-particle":"","family":"Montironi","given":"Rodolfo","non-dropping-particle":"","parse-names":false,"suffix":""},{"dropping-particle":"","family":"Ost","given":"Piet","non-dropping-particle":"","parse-names":false,"suffix":""},{"dropping-particle":"","family":"O'Sullivan","given":"Joe M.","non-dropping-particle":"","parse-names":false,"suffix":""},{"dropping-particle":"","family":"Padhani","given":"Anwar R.","non-dropping-particle":"","parse-names":false,"suffix":""},{"dropping-particle":"","family":"Schalken","given":"Jack A.","non-dropping-particle":"","parse-names":false,"suffix":""},{"dropping-particle":"","family":"Scher","given":"Howard I.","non-dropping-particle":"","parse-names":false,"suffix":""},{"dropping-particle":"","family":"Tombal","given":"Bertrand","non-dropping-particle":"","parse-names":false,"suffix":""},{"dropping-particle":"","family":"Moorselaar","given":"R. Jeroen A.","non-dropping-particle":"van","parse-names":false,"suffix":""},{"dropping-particle":"","family":"Poppel","given":"Heindrik","non-dropping-particle":"Van","parse-names":false,"suffix":""},{"dropping-particle":"","family":"Vargas","given":"Hebert Alberto","non-dropping-particle":"","parse-names":false,"suffix":""},{"dropping-particle":"","family":"Walz","given":"Jochen","non-dropping-particle":"","parse-names":false,"suffix":""},{"dropping-particle":"","family":"Weber","given":"Wolfgang A.","non-dropping-particle":"","parse-names":false,"suffix":""},{"dropping-particle":"","family":"Wester","given":"Hans Jürgen","non-dropping-particle":"","parse-names":false,"suffix":""},{"dropping-particle":"","family":"Oyen","given":"Wim J.G.","non-dropping-particle":"","parse-names":false,"suffix":""}],"container-title":"The Lancet Oncology","id":"ITEM-1","issue":"12","issued":{"date-parts":[["2018"]]},"page":"e696-e708","publisher":"Elsevier Ltd","title":"Consensus on molecular imaging and theranostics in prostate cancer","type":"article-journal","volume":"19"},"uris":["http://www.mendeley.com/documents/?uuid=598cab39-ad4d-42fc-b821-d79a34c132c7"]}],"mendeley":{"formattedCitation":"&lt;sup&gt;40&lt;/sup&gt;","plainTextFormattedCitation":"40","previouslyFormattedCitation":"[40]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40</w:t>
      </w:r>
      <w:r w:rsidRPr="00C83EDC">
        <w:rPr>
          <w:lang w:val="en-GB"/>
        </w:rPr>
        <w:fldChar w:fldCharType="end"/>
      </w:r>
      <w:r w:rsidRPr="00C83EDC">
        <w:rPr>
          <w:lang w:val="en-GB"/>
        </w:rPr>
        <w:t>. One of the recent guidelines issued by</w:t>
      </w:r>
      <w:r>
        <w:rPr>
          <w:lang w:val="en-GB"/>
        </w:rPr>
        <w:t xml:space="preserve"> the</w:t>
      </w:r>
      <w:r w:rsidRPr="00C83EDC">
        <w:rPr>
          <w:lang w:val="en-GB"/>
        </w:rPr>
        <w:t xml:space="preserve"> European Association of Urology together with </w:t>
      </w:r>
      <w:r>
        <w:rPr>
          <w:lang w:val="en-GB"/>
        </w:rPr>
        <w:t xml:space="preserve">the </w:t>
      </w:r>
      <w:r w:rsidRPr="00C83EDC">
        <w:rPr>
          <w:lang w:val="en-GB"/>
        </w:rPr>
        <w:t>European Society for Radiotherapy &amp; Oncology and</w:t>
      </w:r>
      <w:r>
        <w:rPr>
          <w:lang w:val="en-GB"/>
        </w:rPr>
        <w:t xml:space="preserve"> the</w:t>
      </w:r>
      <w:r w:rsidRPr="00C83EDC">
        <w:rPr>
          <w:lang w:val="en-GB"/>
        </w:rPr>
        <w:t xml:space="preserve"> International Society </w:t>
      </w:r>
      <w:r w:rsidRPr="00C83EDC">
        <w:rPr>
          <w:lang w:val="en-GB"/>
        </w:rPr>
        <w:lastRenderedPageBreak/>
        <w:t xml:space="preserve">of Geriatric Oncology summarizes new evidence and provides recommendations for clinicians. Primary diagnostics of </w:t>
      </w:r>
      <w:proofErr w:type="spellStart"/>
      <w:r>
        <w:rPr>
          <w:lang w:val="en-GB"/>
        </w:rPr>
        <w:t>PCa</w:t>
      </w:r>
      <w:proofErr w:type="spellEnd"/>
      <w:r>
        <w:rPr>
          <w:lang w:val="en-GB"/>
        </w:rPr>
        <w:t xml:space="preserve"> </w:t>
      </w:r>
      <w:r w:rsidRPr="00C83EDC">
        <w:rPr>
          <w:lang w:val="en-GB"/>
        </w:rPr>
        <w:t xml:space="preserve">is based on </w:t>
      </w:r>
      <w:r>
        <w:rPr>
          <w:lang w:val="en-GB"/>
        </w:rPr>
        <w:t>DRE</w:t>
      </w:r>
      <w:r w:rsidRPr="00C83EDC">
        <w:rPr>
          <w:lang w:val="en-GB"/>
        </w:rPr>
        <w:t xml:space="preserve"> and/or serum </w:t>
      </w:r>
      <w:r>
        <w:rPr>
          <w:lang w:val="en-GB"/>
        </w:rPr>
        <w:t>PSA</w:t>
      </w:r>
      <w:r w:rsidRPr="00C83EDC">
        <w:rPr>
          <w:lang w:val="en-GB"/>
        </w:rPr>
        <w:t xml:space="preserve"> level measurement. A limited PSA increase itself should be verified after several weeks under standardized conditions. Elevated PSA levels and/or an abnormal DRE result are an indication for transrectal ultrasound (TRUS) guided biopsy. During the prostate biopsy 10–12 cores are obtained in addition to </w:t>
      </w:r>
      <w:r w:rsidR="0048503A">
        <w:rPr>
          <w:lang w:val="en-GB"/>
        </w:rPr>
        <w:br/>
      </w:r>
      <w:r w:rsidRPr="00C83EDC">
        <w:rPr>
          <w:lang w:val="en-GB"/>
        </w:rPr>
        <w:t>a few samples from suspicious DRE/TRUS areas. Definitive diagnosis is based on a histopathological examination of the prostate core biopsies</w:t>
      </w:r>
      <w:r w:rsidRPr="00C83EDC">
        <w:rPr>
          <w:lang w:val="en-GB"/>
        </w:rPr>
        <w:fldChar w:fldCharType="begin" w:fldLock="1"/>
      </w:r>
      <w:r w:rsidR="000C069C">
        <w:rPr>
          <w:lang w:val="en-GB"/>
        </w:rPr>
        <w:instrText>ADDIN CSL_CITATION {"citationItems":[{"id":"ITEM-1","itemData":{"DOI":"10.1016/j.eururo.2016.08.003","ISSN":"03022838","PMID":"27568654","abstract":"Objective To present a summary of the 2016 version of the European Association of Urology (EAU) - European Society for Radiotherapy &amp; Oncology (ESTRO) - International Society of Geriatric Oncology (SIOG) Guidelines on screening, diagnosis, and local treatment with curative intent of clinically localised prostate cancer (PCa). Evidence acquisition The working panel performed a literature review of the new data (2013–2015). The guidelines were updated and the levels of evidence and/or grades of recommendation were added based on a systematic review of the evidence. Evidence synthesis BRCA2 mutations have been added as risk factors for early and aggressive disease. In addition to the Gleason score, the five-tier 2014 International Society of Urological Pathology grading system should now be provided. Systematic screening is still not recommended. Instead, an individual risk-adapted strategy following a detailed discussion and taking into account the patient's wishes and life expectancy must be considered. An early prostate-specific antigen test, the use of a risk calculator, or one of the promising biomarker tools are being investigated and might be able to limit the overdetection of insignificant PCa. Breaking the link between diagnosis and treatment may lower the overtreatment risk. Multiparametric magnetic resonance imaging using standardised reporting cannot replace systematic biopsy, but robustly nested within the diagnostic work-up, it has a key role in local staging. Active surveillance always needs to be discussed with very low-risk patients. The place of surgery in high-risk disease and the role of lymph node dissection have been clarified, as well as the management of node-positive patients. Radiation therapy using dose-escalated intensity-modulated technology is a key treatment modality with recent improvement in the outcome based on increased doses as well as combination with hormonal treatment. Moderate hypofractionation is safe and effective, but longer-term data are still lacking. Brachytherapy represents an effective way to increase the delivered dose. Focal therapy remains experimental while cryosurgery and HIFU are still lacking long-term convincing results. Conclusions The knowledge in the field of diagnosis, staging, and treatment of localised PCa is evolving rapidly. The 2016 EAU-ESTRO-SIOG Guidelines on PCa summarise the most recent findings and advice for the use in clinical practice. These are the first PCa guidelines endorsed by th…","author":[{"dropping-particle":"","family":"Mottet","given":"Nicolas","non-dropping-particle":"","parse-names":false,"suffix":""},{"dropping-particle":"","family":"Bellmunt","given":"Joaquim","non-dropping-particle":"","parse-names":false,"suffix":""},{"dropping-particle":"","family":"Bolla","given":"Michel","non-dropping-particle":"","parse-names":false,"suffix":""},{"dropping-particle":"","family":"Briers","given":"Erik","non-dropping-particle":"","parse-names":false,"suffix":""},{"dropping-particle":"","family":"Cumberbatch","given":"Marcus G.","non-dropping-particle":"","parse-names":false,"suffix":""},{"dropping-particle":"","family":"Santis","given":"Maria","non-dropping-particle":"De","parse-names":false,"suffix":""},{"dropping-particle":"","family":"Fossati","given":"Nicola","non-dropping-particle":"","parse-names":false,"suffix":""},{"dropping-particle":"","family":"Gross","given":"Tobias","non-dropping-particle":"","parse-names":false,"suffix":""},{"dropping-particle":"","family":"Henry","given":"Ann M.","non-dropping-particle":"","parse-names":false,"suffix":""},{"dropping-particle":"","family":"Joniau","given":"Steven","non-dropping-particle":"","parse-names":false,"suffix":""},{"dropping-particle":"","family":"Lam","given":"Thomas B.","non-dropping-particle":"","parse-names":false,"suffix":""},{"dropping-particle":"","family":"Mason","given":"Malcolm D.","non-dropping-particle":"","parse-names":false,"suffix":""},{"dropping-particle":"","family":"Matveev","given":"Vsevolod B.","non-dropping-particle":"","parse-names":false,"suffix":""},{"dropping-particle":"","family":"Moldovan","given":"Paul C.","non-dropping-particle":"","parse-names":false,"suffix":""},{"dropping-particle":"","family":"Bergh","given":"Roderick C.N.","non-dropping-particle":"van den","parse-names":false,"suffix":""},{"dropping-particle":"","family":"Broeck","given":"Thomas","non-dropping-particle":"Van den","parse-names":false,"suffix":""},{"dropping-particle":"","family":"Poel","given":"Henk G.","non-dropping-particle":"van der","parse-names":false,"suffix":""},{"dropping-particle":"","family":"Kwast","given":"Theo H.","non-dropping-particle":"van der","parse-names":false,"suffix":""},{"dropping-particle":"","family":"Rouvière","given":"Olivier","non-dropping-particle":"","parse-names":false,"suffix":""},{"dropping-particle":"","family":"Schoots","given":"Ivo G.","non-dropping-particle":"","parse-names":false,"suffix":""},{"dropping-particle":"","family":"Wiegel","given":"Thomas","non-dropping-particle":"","parse-names":false,"suffix":""},{"dropping-particle":"","family":"Cornford","given":"Philip","non-dropping-particle":"","parse-names":false,"suffix":""}],"container-title":"European Urology","id":"ITEM-1","issue":"4","issued":{"date-parts":[["2017","4"]]},"page":"618-629","title":"EAU-ESTRO-SIOG Guidelines on Prostate Cancer. Part 1: Screening, Diagnosis, and Local Treatment with Curative Intent","type":"article-journal","volume":"71"},"uris":["http://www.mendeley.com/documents/?uuid=1473aaaa-79c5-40d3-8a6c-2ee792cf5579"]}],"mendeley":{"formattedCitation":"&lt;sup&gt;11&lt;/sup&gt;","plainTextFormattedCitation":"11","previouslyFormattedCitation":"[11]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11</w:t>
      </w:r>
      <w:r w:rsidRPr="00C83EDC">
        <w:rPr>
          <w:lang w:val="en-GB"/>
        </w:rPr>
        <w:fldChar w:fldCharType="end"/>
      </w:r>
      <w:r w:rsidRPr="00C83EDC">
        <w:rPr>
          <w:lang w:val="en-GB"/>
        </w:rPr>
        <w:t>.</w:t>
      </w:r>
    </w:p>
    <w:p w14:paraId="046C1FA3" w14:textId="0DBA89E2" w:rsidR="00EE7EB3" w:rsidRDefault="00EE7EB3" w:rsidP="00EE7EB3">
      <w:pPr>
        <w:pStyle w:val="Dalodstavce"/>
        <w:rPr>
          <w:lang w:val="en-GB"/>
        </w:rPr>
      </w:pPr>
      <w:r w:rsidRPr="00C83EDC">
        <w:rPr>
          <w:lang w:val="en-GB"/>
        </w:rPr>
        <w:t xml:space="preserve">Clinical staging of prostate cancer is </w:t>
      </w:r>
      <w:r>
        <w:rPr>
          <w:lang w:val="en-GB"/>
        </w:rPr>
        <w:t>determined</w:t>
      </w:r>
      <w:r w:rsidRPr="00C83EDC">
        <w:rPr>
          <w:lang w:val="en-GB"/>
        </w:rPr>
        <w:t xml:space="preserve"> by PSA and DRE and can be accompanied by multiparametric magnetic resonance imaging (</w:t>
      </w:r>
      <w:proofErr w:type="spellStart"/>
      <w:r w:rsidRPr="00C83EDC">
        <w:rPr>
          <w:lang w:val="en-GB"/>
        </w:rPr>
        <w:t>mpMRI</w:t>
      </w:r>
      <w:proofErr w:type="spellEnd"/>
      <w:r w:rsidRPr="00C83EDC">
        <w:rPr>
          <w:lang w:val="en-GB"/>
        </w:rPr>
        <w:t>), computed tomography (CT) and bone scans. Clinical T</w:t>
      </w:r>
      <w:r>
        <w:rPr>
          <w:lang w:val="en-GB"/>
        </w:rPr>
        <w:t xml:space="preserve"> </w:t>
      </w:r>
      <w:r w:rsidRPr="00C83EDC">
        <w:rPr>
          <w:lang w:val="en-GB"/>
        </w:rPr>
        <w:t>category</w:t>
      </w:r>
      <w:r>
        <w:rPr>
          <w:lang w:val="en-GB"/>
        </w:rPr>
        <w:t xml:space="preserve"> (</w:t>
      </w:r>
      <w:proofErr w:type="spellStart"/>
      <w:r>
        <w:rPr>
          <w:lang w:val="en-GB"/>
        </w:rPr>
        <w:t>cT</w:t>
      </w:r>
      <w:proofErr w:type="spellEnd"/>
      <w:r>
        <w:rPr>
          <w:lang w:val="en-GB"/>
        </w:rPr>
        <w:t>)</w:t>
      </w:r>
      <w:r w:rsidRPr="00C83EDC">
        <w:rPr>
          <w:lang w:val="en-GB"/>
        </w:rPr>
        <w:t xml:space="preserve"> evaluation of localised or locally advanced prostate cancer is based on the DRE finding only and the use of CT or TRUS is not recommended. </w:t>
      </w:r>
      <w:r w:rsidR="0048503A">
        <w:rPr>
          <w:lang w:val="en-GB"/>
        </w:rPr>
        <w:br/>
      </w:r>
      <w:r w:rsidRPr="00C83EDC">
        <w:rPr>
          <w:lang w:val="en-GB"/>
        </w:rPr>
        <w:t xml:space="preserve">T2-weighted MRI scanning is very valuable for local staging, but it is not employed in low-risk patients because of its low sensitivity for microscopic </w:t>
      </w:r>
      <w:proofErr w:type="spellStart"/>
      <w:r w:rsidRPr="00C83EDC">
        <w:rPr>
          <w:lang w:val="en-GB"/>
        </w:rPr>
        <w:t>extraprostatic</w:t>
      </w:r>
      <w:proofErr w:type="spellEnd"/>
      <w:r w:rsidRPr="00C83EDC">
        <w:rPr>
          <w:lang w:val="en-GB"/>
        </w:rPr>
        <w:t xml:space="preserve"> tumour extension. Initial assessment of metastatic infiltration of regional lymph nodes or distant sites is performed by cross-sectional abdominopelvic imaging and a bone-scan. CT imaging and T1-T2-weighted MRI have sensitivity of less than 40% for N-staging, whilst </w:t>
      </w:r>
      <w:r w:rsidRPr="00C83EDC">
        <w:rPr>
          <w:vertAlign w:val="superscript"/>
          <w:lang w:val="en-GB"/>
        </w:rPr>
        <w:t>68</w:t>
      </w:r>
      <w:r w:rsidRPr="00C83EDC">
        <w:rPr>
          <w:lang w:val="en-GB"/>
        </w:rPr>
        <w:t xml:space="preserve">Ga- or </w:t>
      </w:r>
      <w:r w:rsidRPr="00C83EDC">
        <w:rPr>
          <w:vertAlign w:val="superscript"/>
          <w:lang w:val="en-GB"/>
        </w:rPr>
        <w:t>18</w:t>
      </w:r>
      <w:r w:rsidRPr="00C83EDC">
        <w:rPr>
          <w:lang w:val="en-GB"/>
        </w:rPr>
        <w:t xml:space="preserve">F-labelled prostate-specific membrane antigen PET/CT (PSMA PET/CT) can detect lymph node invasion with higher sensitivity. For M-staging </w:t>
      </w:r>
      <w:r w:rsidRPr="00C83EDC">
        <w:rPr>
          <w:vertAlign w:val="superscript"/>
          <w:lang w:val="en-GB"/>
        </w:rPr>
        <w:t>99</w:t>
      </w:r>
      <w:r w:rsidRPr="00C83EDC">
        <w:rPr>
          <w:lang w:val="en-GB"/>
        </w:rPr>
        <w:t xml:space="preserve">mTc-Bone scan is the golden standard for the assessment of bone metastases. Another imaging method includes </w:t>
      </w:r>
      <w:r w:rsidRPr="00C83EDC">
        <w:rPr>
          <w:vertAlign w:val="superscript"/>
          <w:lang w:val="en-GB"/>
        </w:rPr>
        <w:t>18</w:t>
      </w:r>
      <w:r w:rsidRPr="00C83EDC">
        <w:rPr>
          <w:lang w:val="en-GB"/>
        </w:rPr>
        <w:t>F-sodium fluoride (</w:t>
      </w:r>
      <w:r w:rsidRPr="00C83EDC">
        <w:rPr>
          <w:vertAlign w:val="superscript"/>
          <w:lang w:val="en-GB"/>
        </w:rPr>
        <w:t>18</w:t>
      </w:r>
      <w:r w:rsidRPr="00C83EDC">
        <w:rPr>
          <w:lang w:val="en-GB"/>
        </w:rPr>
        <w:t>F-NaF) PET that shows comparable specificity but much higher sensitivity to bone scan</w:t>
      </w:r>
      <w:r>
        <w:rPr>
          <w:lang w:val="en-GB"/>
        </w:rPr>
        <w:t>s</w:t>
      </w:r>
      <w:r w:rsidRPr="00C83EDC">
        <w:rPr>
          <w:lang w:val="en-GB"/>
        </w:rPr>
        <w:t>, though it is not suitable for finding affected lymph nodes or visceral metastases. Whole-body MRI demonstrates higher sensitivity and specificity than combined bone scan, targeted radiotherapy, and abdominopelvic CT. The use of more sensitive methods such as PSMA PET/CT and MRI over CT and bone scan</w:t>
      </w:r>
      <w:r>
        <w:rPr>
          <w:lang w:val="en-GB"/>
        </w:rPr>
        <w:t>s</w:t>
      </w:r>
      <w:r w:rsidRPr="00C83EDC">
        <w:rPr>
          <w:lang w:val="en-GB"/>
        </w:rPr>
        <w:t xml:space="preserve"> needs to be assessed in randomised clinical trials regarding their clinical benefit an</w:t>
      </w:r>
      <w:r>
        <w:rPr>
          <w:lang w:val="en-GB"/>
        </w:rPr>
        <w:t>d</w:t>
      </w:r>
      <w:r w:rsidRPr="00C83EDC">
        <w:rPr>
          <w:lang w:val="en-GB"/>
        </w:rPr>
        <w:t xml:space="preserve"> their role in prognosis and patient management</w:t>
      </w:r>
      <w:r w:rsidRPr="00C83EDC">
        <w:rPr>
          <w:lang w:val="en-GB"/>
        </w:rPr>
        <w:fldChar w:fldCharType="begin" w:fldLock="1"/>
      </w:r>
      <w:r w:rsidR="000C069C">
        <w:rPr>
          <w:lang w:val="en-GB"/>
        </w:rPr>
        <w:instrText>ADDIN CSL_CITATION {"citationItems":[{"id":"ITEM-1","itemData":{"ISBN":"978-94-92671-05-9","author":[{"dropping-particle":"","family":"N. Mottet","given":"van den Bergh","non-dropping-particle":"","parse-names":false,"suffix":""},{"dropping-particle":"","family":"E. Briers","given":"P. Cornford","non-dropping-particle":"","parse-names":false,"suffix":""},{"dropping-particle":"","family":"J. Grummet","given":"A.M. Henry M. De Santis S. Fanti S. Gillessen","non-dropping-particle":"","parse-names":false,"suffix":""},{"dropping-particle":"","family":"T.H. van der Kwast","given":"H.G. van der Poel T.B. Lam M.D. Mason","non-dropping-particle":"","parse-names":false,"suffix":""},{"dropping-particle":"","family":"D. Tilki","given":"T. Wiegel O. Rouvière","non-dropping-particle":"","parse-names":false,"suffix":""},{"dropping-particle":"","family":"Guidelines Associates: T. Van den Broeck","given":"M. Cumberbatch","non-dropping-particle":"","parse-names":false,"suffix":""},{"dropping-particle":"","family":"L. Moris","given":"I.G. Schoots N. Fossati T. Gross M. Lardas M. Liew","non-dropping-particle":"","parse-names":false,"suffix":""},{"dropping-particle":"","family":"Willemse","given":"P-P.M.","non-dropping-particle":"","parse-names":false,"suffix":""}],"container-title":"European Association of Urology Guidelines 2019","id":"ITEM-1","issued":{"date-parts":[["2019"]]},"number-of-pages":"1-161","title":"EAU - EANM - ESTRO - ESUR - SIOG Guidelines on Prostate Cancer 2019","type":"book","volume":"53"},"uris":["http://www.mendeley.com/documents/?uuid=4af825b6-f2a0-4cc7-9a5a-61ee5d11b8e8"]}],"mendeley":{"formattedCitation":"&lt;sup&gt;41&lt;/sup&gt;","plainTextFormattedCitation":"41","previouslyFormattedCitation":"[41]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41</w:t>
      </w:r>
      <w:r w:rsidRPr="00C83EDC">
        <w:rPr>
          <w:lang w:val="en-GB"/>
        </w:rPr>
        <w:fldChar w:fldCharType="end"/>
      </w:r>
      <w:r w:rsidRPr="00C83EDC">
        <w:rPr>
          <w:lang w:val="en-GB"/>
        </w:rPr>
        <w:t>.</w:t>
      </w:r>
    </w:p>
    <w:p w14:paraId="43065920" w14:textId="77777777" w:rsidR="00EE7EB3" w:rsidRPr="00C83EDC" w:rsidRDefault="00EE7EB3" w:rsidP="00EE7EB3">
      <w:pPr>
        <w:pStyle w:val="Dalodstavce"/>
        <w:rPr>
          <w:lang w:val="en-GB"/>
        </w:rPr>
      </w:pPr>
    </w:p>
    <w:p w14:paraId="65960135" w14:textId="77777777" w:rsidR="00EE7EB3" w:rsidRPr="00C83EDC" w:rsidRDefault="00EE7EB3" w:rsidP="00EE7EB3">
      <w:pPr>
        <w:pStyle w:val="Nadpis3"/>
        <w:rPr>
          <w:lang w:val="en-GB"/>
        </w:rPr>
      </w:pPr>
      <w:r w:rsidRPr="00C83EDC">
        <w:rPr>
          <w:lang w:val="en-GB"/>
        </w:rPr>
        <w:t>Non-invasive diagnostic tests</w:t>
      </w:r>
    </w:p>
    <w:p w14:paraId="46B92D43" w14:textId="73EBDF21" w:rsidR="00EE7EB3" w:rsidRPr="00C83EDC" w:rsidRDefault="00EE7EB3" w:rsidP="00EE7EB3">
      <w:pPr>
        <w:pStyle w:val="Odstavec1"/>
        <w:rPr>
          <w:lang w:val="en-GB"/>
        </w:rPr>
      </w:pPr>
      <w:r w:rsidRPr="00C83EDC">
        <w:rPr>
          <w:lang w:val="en-GB"/>
        </w:rPr>
        <w:t>Prostate specific antigen has proven to be an inexpensive biomarker with good sensitivity for prostate cancer detection. Some of its measurement variations are used to monitor disease progression or to indicate a biochemical recur</w:t>
      </w:r>
      <w:r>
        <w:rPr>
          <w:lang w:val="en-GB"/>
        </w:rPr>
        <w:t>rence</w:t>
      </w:r>
      <w:r w:rsidRPr="00C83EDC">
        <w:rPr>
          <w:lang w:val="en-GB"/>
        </w:rPr>
        <w:t xml:space="preserve"> after local therapy</w:t>
      </w:r>
      <w:r w:rsidRPr="00C83EDC">
        <w:rPr>
          <w:lang w:val="en-GB"/>
        </w:rPr>
        <w:fldChar w:fldCharType="begin" w:fldLock="1"/>
      </w:r>
      <w:r w:rsidR="000C069C">
        <w:rPr>
          <w:lang w:val="en-GB"/>
        </w:rPr>
        <w:instrText>ADDIN CSL_CITATION {"citationItems":[{"id":"ITEM-1","itemData":{"DOI":"10.1038/nrc2351","ISSN":"1474-175X","author":[{"dropping-particle":"","family":"Lilja","given":"Hans","non-dropping-particle":"","parse-names":false,"suffix":""},{"dropping-particle":"","family":"Ulmert","given":"David","non-dropping-particle":"","parse-names":false,"suffix":""},{"dropping-particle":"","family":"Vickers","given":"Andrew J","non-dropping-particle":"","parse-names":false,"suffix":""}],"container-title":"Nature Reviews Cancer","id":"ITEM-1","issue":"4","issued":{"date-parts":[["2008","4"]]},"page":"268-278","title":"Prostate-specific antigen and prostate cancer: prediction, detection and monitoring","type":"article-journal","volume":"8"},"uris":["http://www.mendeley.com/documents/?uuid=5c4ca87f-821f-40d9-8c90-a9e4846bfbcc"]},{"id":"ITEM-2","itemData":{"DOI":"10.1126/scitranslmed.3003180","ISSN":"19466234","PMID":"22461644","abstract":"Since the introduction of serum prostate-specific antigen (PSA) screening 25 years ago, prostate cancer diagnosis and management have been guided by this biomarker. Yet, PSA has proven controversial as a screening assay owing to several inherent limitations. The next wave of prostate cancer biomarkers has emerged, introducing new assays in serum and urine that may supplement or, in time, replace PSA because of their higher cancer specificity. This expanding universe of biomarkers has been facilitated, in large part, by new genomic technologies that have enabled an unbiased look at cancer biology. Such efforts have produced several notable success stories that involve rapidly moving biomarkers from the bench to the clinic. However, biomarker research has centered on disease diagnostics, rather than prognosis and prediction, which would address disease management. The development of biomarkers to stratify risk of prostate cancer aggressiveness at the time of screening remains the greatest unmet clinical need in prostate cancer. We review the current state of prostate cancer biomarker research, including the PSA revolution, its impact on early cancer detection, the recent advances in biomarker discovery, and the future efforts that promise to improve clinical management of this disease.","author":[{"dropping-particle":"","family":"Prensner","given":"John R.","non-dropping-particle":"","parse-names":false,"suffix":""},{"dropping-particle":"","family":"Rubin","given":"Mark A.","non-dropping-particle":"","parse-names":false,"suffix":""},{"dropping-particle":"","family":"Wei","given":"John T.","non-dropping-particle":"","parse-names":false,"suffix":""},{"dropping-particle":"","family":"Chinnaiyan","given":"Arul M.","non-dropping-particle":"","parse-names":false,"suffix":""}],"container-title":"Science Translational Medicine","id":"ITEM-2","issue":"127","issued":{"date-parts":[["2012"]]},"title":"Beyond PSA: The next generation of prostate cancer biomarkers","type":"article-journal","volume":"4"},"uris":["http://www.mendeley.com/documents/?uuid=55cf1895-6403-4d96-ac5d-748faabff539"]}],"mendeley":{"formattedCitation":"&lt;sup&gt;42,43&lt;/sup&gt;","plainTextFormattedCitation":"42,43","previouslyFormattedCitation":"[42], [43]"},"properties":{"noteIndex":0},"schema":"https://github.com/citation-style-language/schema/raw/master/csl-citation.json"}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42,43</w:t>
      </w:r>
      <w:r w:rsidRPr="00C83EDC">
        <w:rPr>
          <w:lang w:val="en-GB"/>
        </w:rPr>
        <w:fldChar w:fldCharType="end"/>
      </w:r>
      <w:r w:rsidRPr="00C83EDC">
        <w:rPr>
          <w:lang w:val="en-GB"/>
        </w:rPr>
        <w:t>. PSA is encoded by the kallikrein 3 gene (</w:t>
      </w:r>
      <w:r w:rsidRPr="00C83EDC">
        <w:rPr>
          <w:i/>
          <w:iCs/>
          <w:lang w:val="en-GB"/>
        </w:rPr>
        <w:t>KLK3)</w:t>
      </w:r>
      <w:r w:rsidRPr="00C83EDC">
        <w:rPr>
          <w:lang w:val="en-GB"/>
        </w:rPr>
        <w:t xml:space="preserve"> that belongs to a family of tissue kallikreins found on chromosome 19q13.4. The </w:t>
      </w:r>
      <w:r w:rsidRPr="00C83EDC">
        <w:rPr>
          <w:i/>
          <w:iCs/>
          <w:lang w:val="en-GB"/>
        </w:rPr>
        <w:t>KLK3</w:t>
      </w:r>
      <w:r w:rsidRPr="00C83EDC">
        <w:rPr>
          <w:lang w:val="en-GB"/>
        </w:rPr>
        <w:t xml:space="preserve"> transcription is positively regulated by the androgen receptor and the </w:t>
      </w:r>
      <w:r w:rsidRPr="00C83EDC">
        <w:rPr>
          <w:lang w:val="en-GB"/>
        </w:rPr>
        <w:lastRenderedPageBreak/>
        <w:t>expressed serine protease is primarily produced by the prostate epithelial cells</w:t>
      </w:r>
      <w:r w:rsidRPr="00C83EDC">
        <w:rPr>
          <w:lang w:val="en-GB"/>
        </w:rPr>
        <w:fldChar w:fldCharType="begin" w:fldLock="1"/>
      </w:r>
      <w:r w:rsidR="000C069C">
        <w:rPr>
          <w:lang w:val="en-GB"/>
        </w:rPr>
        <w:instrText>ADDIN CSL_CITATION {"citationItems":[{"id":"ITEM-1","itemData":{"DOI":"10.1200/JCO.2003.02.083","ISSN":"0732-183X","abstract":"Prostate-specific antigen (PSA) is an androgen-regulated serine protease produced by both prostate epithelial cells and prostate cancer (PCa) and is the most commonly used serum marker for cancer. It is a member of the tissue kallikrein family, some of the members of which are also prostate specific. PSA is a major protein in semen, where its function is to cleave semenogelins in the seminal coagulum. PSA is secreted into prostatic ducts as an inactive 244–amino acid proenzyme (proPSA) that is activated by cleavage of seven N-terminal amino acids. PSA that enters the circulation intact is rapidly bound by protease inhibitors, primarily alpha1-antichymotrypsin, although a fraction is inactivated in the lumen by proteolysis and circulates as free PSA. This proteolytic inactivation, as well as the cleavage of proPSA to PSA, is less efficient in PCa. Serum total PSA levels are increased in PCa, and PSA screening has dramatically altered PCa presentation and management. Unfortunately, although high PSA levels are predictive of advanced PCa, a large fraction of organ-confined cancers present with much lower total PSA values that overlap those levels found in men without PCa. Measurement of free versus total PSA can increase specificity for PCa, and tests under development to measure forms of proPSA may further enhance the ability to detect early-stage PCa. PSA is also widely used to monitor responses to therapy and is under investigation as a therapeutic target. Finally, recent data indicate that there may be additional roles for PSA in the pathogenesis of PCa.","author":[{"dropping-particle":"","family":"Balk","given":"Steven P.","non-dropping-particle":"","parse-names":false,"suffix":""},{"dropping-particle":"","family":"Ko","given":"Yoo-joung","non-dropping-particle":"","parse-names":false,"suffix":""},{"dropping-particle":"","family":"Bubley","given":"Glenn J","non-dropping-particle":"","parse-names":false,"suffix":""}],"container-title":"Journal of Clinical Oncology","id":"ITEM-1","issue":"2","issued":{"date-parts":[["2003","1","15"]]},"page":"383-391","title":"Biology of Prostate-Specific Antigen","type":"article-journal","volume":"21"},"uris":["http://www.mendeley.com/documents/?uuid=6b4332b8-9f1c-4c20-bab6-4ac154caea02"]}],"mendeley":{"formattedCitation":"&lt;sup&gt;44&lt;/sup&gt;","plainTextFormattedCitation":"44","previouslyFormattedCitation":"[44]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44</w:t>
      </w:r>
      <w:r w:rsidRPr="00C83EDC">
        <w:rPr>
          <w:lang w:val="en-GB"/>
        </w:rPr>
        <w:fldChar w:fldCharType="end"/>
      </w:r>
      <w:r w:rsidRPr="00C83EDC">
        <w:rPr>
          <w:lang w:val="en-GB"/>
        </w:rPr>
        <w:t>. The use of PSA as a biomarker for detecting prostate cancer is based on the observation of a ten-fold higher PSA serum concentration that is attributed to prostate cancer tissue compared to the equivalent amount of benign prostate tissue</w:t>
      </w:r>
      <w:r w:rsidRPr="00C83EDC">
        <w:rPr>
          <w:lang w:val="en-GB"/>
        </w:rPr>
        <w:fldChar w:fldCharType="begin" w:fldLock="1"/>
      </w:r>
      <w:r w:rsidR="000C069C">
        <w:rPr>
          <w:lang w:val="en-GB"/>
        </w:rPr>
        <w:instrText>ADDIN CSL_CITATION {"citationItems":[{"id":"ITEM-1","itemData":{"DOI":"10.1016/j.canlet.2006.12.022","ISSN":"03043835","abstract":"Currently, in the United States (US), most prostate cancers are diagnosed through screening with digital rectal examination (DRE) and measurement of serum prostate-specific antigen (PSA). The serum PSA level correlates directly with prostate cancer risk and aggressiveness, as well as the outcomes after treatment. PSA testing is also useful in monitoring patients for tumor recurrence after treatment. PSA testing has limited specificity for prostate cancer detection, and its appropriate clinical application has been the topic of debate. Accordingly, several variations on the PSA measurement have emerged as useful adjuncts for prostate cancer screening. These take into consideration additional factors, such as the proportion of different PSA isoforms (free PSA, complexed PSA, pro-PSA and B PSA), the prostate volume (PSA density), and the rate of change in PSA levels over time (PSA velocity or PSA doubling time). Widespread PSA screening is associated with a 75% reduction in the proportion of men who present with metastatic disease since 1985-89 in the US and a 32.5% reduction in the age-adjusted prostate cancer mortality rate through 2003. The history and evidence underlying each of these parameters are reviewed in the following article. © 2006 Elsevier Ireland Ltd. All rights reserved.","author":[{"dropping-particle":"","family":"Loeb","given":"Stacy","non-dropping-particle":"","parse-names":false,"suffix":""},{"dropping-particle":"","family":"Catalona","given":"William J.","non-dropping-particle":"","parse-names":false,"suffix":""}],"container-title":"Cancer Letters","id":"ITEM-1","issue":"1","issued":{"date-parts":[["2007"]]},"page":"30-39","title":"Prostate-specific antigen in clinical practice","type":"article-journal","volume":"249"},"uris":["http://www.mendeley.com/documents/?uuid=bcdd9e5d-b629-4b83-9d15-5da85cb009f1"]}],"mendeley":{"formattedCitation":"&lt;sup&gt;45&lt;/sup&gt;","plainTextFormattedCitation":"45","previouslyFormattedCitation":"[45]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45</w:t>
      </w:r>
      <w:r w:rsidRPr="00C83EDC">
        <w:rPr>
          <w:lang w:val="en-GB"/>
        </w:rPr>
        <w:fldChar w:fldCharType="end"/>
      </w:r>
      <w:r w:rsidRPr="00C83EDC">
        <w:rPr>
          <w:lang w:val="en-GB"/>
        </w:rPr>
        <w:t>. In a multicentre clinical trial, PSA was shown to be superior to DRE as it was able to detect significantly more tumours in early stages of prostate cancer than DRE – 82% vs 55%, respectively</w:t>
      </w:r>
      <w:r w:rsidRPr="00C83EDC">
        <w:rPr>
          <w:lang w:val="en-GB"/>
        </w:rPr>
        <w:fldChar w:fldCharType="begin" w:fldLock="1"/>
      </w:r>
      <w:r w:rsidR="000C069C">
        <w:rPr>
          <w:lang w:val="en-GB"/>
        </w:rPr>
        <w:instrText>ADDIN CSL_CITATION {"citationItems":[{"id":"ITEM-1","itemData":{"DOI":"10.1016/S0022-5347(17)35233-3","ISSN":"0022-5347","author":[{"dropping-particle":"","family":"Catalona","given":"William J.","non-dropping-particle":"","parse-names":false,"suffix":""},{"dropping-particle":"","family":"Richie","given":"Jerome P.","non-dropping-particle":"","parse-names":false,"suffix":""},{"dropping-particle":"","family":"Ahmann","given":"Frederick R.","non-dropping-particle":"","parse-names":false,"suffix":""},{"dropping-particle":"","family":"Hudson","given":"M’Liss A.","non-dropping-particle":"","parse-names":false,"suffix":""},{"dropping-particle":"","family":"Scardino","given":"Peter T.","non-dropping-particle":"","parse-names":false,"suffix":""},{"dropping-particle":"","family":"Flanigan","given":"Robert C.","non-dropping-particle":"","parse-names":false,"suffix":""},{"dropping-particle":"","family":"Dekernion","given":"Jean B.","non-dropping-particle":"","parse-names":false,"suffix":""},{"dropping-particle":"","family":"Ratliff","given":"Timothy L.","non-dropping-particle":"","parse-names":false,"suffix":""},{"dropping-particle":"","family":"Kavoussi","given":"Louis R.","non-dropping-particle":"","parse-names":false,"suffix":""},{"dropping-particle":"","family":"Dalkin","given":"Bruce L.","non-dropping-particle":"","parse-names":false,"suffix":""},{"dropping-particle":"","family":"Waters","given":"W. Bedford","non-dropping-particle":"","parse-names":false,"suffix":""},{"dropping-particle":"","family":"Macfarlane","given":"Michael T.","non-dropping-particle":"","parse-names":false,"suffix":""},{"dropping-particle":"","family":"Southwick","given":"Paula C.","non-dropping-particle":"","parse-names":false,"suffix":""}],"container-title":"Journal of Urology","id":"ITEM-1","issue":"5","issued":{"date-parts":[["1994","5"]]},"page":"1283-1290","title":"Comparison of Digital Rectal Examination and Serum Prostate Specific Antigen in the Early Detection of Prostate Cancer: Results of a Multicenter Clinical Trial of 6,630 Men","type":"article-journal","volume":"151"},"uris":["http://www.mendeley.com/documents/?uuid=f6498ba0-dca3-4454-8bcf-b421965e0190"]}],"mendeley":{"formattedCitation":"&lt;sup&gt;46&lt;/sup&gt;","plainTextFormattedCitation":"46","previouslyFormattedCitation":"[46]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46</w:t>
      </w:r>
      <w:r w:rsidRPr="00C83EDC">
        <w:rPr>
          <w:lang w:val="en-GB"/>
        </w:rPr>
        <w:fldChar w:fldCharType="end"/>
      </w:r>
      <w:r w:rsidRPr="00C83EDC">
        <w:rPr>
          <w:lang w:val="en-GB"/>
        </w:rPr>
        <w:t xml:space="preserve">. </w:t>
      </w:r>
    </w:p>
    <w:p w14:paraId="490A4978" w14:textId="0E17448E" w:rsidR="00EE7EB3" w:rsidRPr="00C83EDC" w:rsidRDefault="00EE7EB3" w:rsidP="00EE7EB3">
      <w:pPr>
        <w:pStyle w:val="Dalodstavce"/>
        <w:rPr>
          <w:lang w:val="en-GB"/>
        </w:rPr>
      </w:pPr>
      <w:r w:rsidRPr="00C83EDC">
        <w:rPr>
          <w:lang w:val="en-GB"/>
        </w:rPr>
        <w:t xml:space="preserve">PSA was approved by </w:t>
      </w:r>
      <w:r w:rsidRPr="00EF7305">
        <w:rPr>
          <w:lang w:val="en-GB"/>
        </w:rPr>
        <w:t xml:space="preserve">Food and Drug Administration </w:t>
      </w:r>
      <w:r>
        <w:rPr>
          <w:lang w:val="en-GB"/>
        </w:rPr>
        <w:t>(</w:t>
      </w:r>
      <w:r w:rsidRPr="00C83EDC">
        <w:rPr>
          <w:lang w:val="en-GB"/>
        </w:rPr>
        <w:t>FDA</w:t>
      </w:r>
      <w:r>
        <w:rPr>
          <w:lang w:val="en-GB"/>
        </w:rPr>
        <w:t>)</w:t>
      </w:r>
      <w:r w:rsidRPr="00C83EDC">
        <w:rPr>
          <w:lang w:val="en-GB"/>
        </w:rPr>
        <w:t xml:space="preserve"> in 1986 for monitoring the progress of prostate cancer patients, and in 1994 as a diagnostic tool. PSA based screening caused a sharp increase in prostate cancer incidence and lowered the number of diagnosed metastatic or locally advanced tumours. However, routine clinical screening also led to overdiagnosis and unnecessary treatment of indolent cancers that do not pose threat to life or health. Besides, PSA is prostate- but not cancer specific marker and may be elevated in benign prostate diseases such as prostatitis or benign prostatic hyperplasia</w:t>
      </w:r>
      <w:r w:rsidRPr="00C83EDC">
        <w:rPr>
          <w:lang w:val="en-GB"/>
        </w:rPr>
        <w:fldChar w:fldCharType="begin" w:fldLock="1"/>
      </w:r>
      <w:r w:rsidR="000C069C">
        <w:rPr>
          <w:lang w:val="en-GB"/>
        </w:rPr>
        <w:instrText>ADDIN CSL_CITATION {"citationItems":[{"id":"ITEM-1","itemData":{"DOI":"10.1038/nrc2351","ISSN":"1474-175X","author":[{"dropping-particle":"","family":"Lilja","given":"Hans","non-dropping-particle":"","parse-names":false,"suffix":""},{"dropping-particle":"","family":"Ulmert","given":"David","non-dropping-particle":"","parse-names":false,"suffix":""},{"dropping-particle":"","family":"Vickers","given":"Andrew J","non-dropping-particle":"","parse-names":false,"suffix":""}],"container-title":"Nature Reviews Cancer","id":"ITEM-1","issue":"4","issued":{"date-parts":[["2008","4"]]},"page":"268-278","title":"Prostate-specific antigen and prostate cancer: prediction, detection and monitoring","type":"article-journal","volume":"8"},"uris":["http://www.mendeley.com/documents/?uuid=5c4ca87f-821f-40d9-8c90-a9e4846bfbcc"]}],"mendeley":{"formattedCitation":"&lt;sup&gt;42&lt;/sup&gt;","plainTextFormattedCitation":"42","previouslyFormattedCitation":"[42]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42</w:t>
      </w:r>
      <w:r w:rsidRPr="00C83EDC">
        <w:rPr>
          <w:lang w:val="en-GB"/>
        </w:rPr>
        <w:fldChar w:fldCharType="end"/>
      </w:r>
      <w:r w:rsidRPr="00C83EDC">
        <w:rPr>
          <w:lang w:val="en-GB"/>
        </w:rPr>
        <w:t>. Adverse effects of overdiagnosis include psychological harm of false-positive test result, pain, bleeding, fever, infection, and urinary problems connected to prostate biopsy. Subsequent cancer treatment can cause erectile dysfunction, urinary incontinence, bowel dysfunction and possibly premature death. In 2012, US Preventive Services Task Force recommended against using PSA-based screening for prostate cancer in general population regardless of the age</w:t>
      </w:r>
      <w:r w:rsidRPr="00C83EDC">
        <w:rPr>
          <w:lang w:val="en-GB"/>
        </w:rPr>
        <w:fldChar w:fldCharType="begin" w:fldLock="1"/>
      </w:r>
      <w:r w:rsidR="000C069C">
        <w:rPr>
          <w:lang w:val="en-GB"/>
        </w:rPr>
        <w:instrText>ADDIN CSL_CITATION {"citationItems":[{"id":"ITEM-1","itemData":{"DOI":"10.7326/0003-4819-157-2-201207170-00459","ISSN":"15393704","PMID":"22801674","abstract":"Description: Update of the 2008 U.S. Preventive Services Task Force (USPSTF) recommendation statement on screening for prostate cancer. Methods: The USPSTF reviewed new evidence on the benefits and harms of prostate-specific antigen (PSA)-based screening for prostate cancer, as well as the benefits and harms of treatment of localized prostate cancer. Recommendation: The USPSTF recommends against PSA-based screening for prostate cancer (grade D recommendation). This recommendation applies to men in the general U.S. population, regardless of age. This recommendation does not include the use of the PSA test for surveillance after diagnosis or treatment of prostate cancer; the use of the PSA test for this indication is outside the scope of the USPSTF. © 2012 American College of Physicians.","author":[{"dropping-particle":"","family":"Moyer","given":"Virginia A.","non-dropping-particle":"","parse-names":false,"suffix":""}],"container-title":"Annals of Internal Medicine","id":"ITEM-1","issue":"2","issued":{"date-parts":[["2012"]]},"page":"120-134","title":"Screening for prostate cancer: U.S. preventive services task force recommendation statement","type":"article-journal","volume":"157"},"uris":["http://www.mendeley.com/documents/?uuid=1bca6290-3fe2-40fd-8af4-b8285d04e054"]}],"mendeley":{"formattedCitation":"&lt;sup&gt;47&lt;/sup&gt;","plainTextFormattedCitation":"47","previouslyFormattedCitation":"[47]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47</w:t>
      </w:r>
      <w:r w:rsidRPr="00C83EDC">
        <w:rPr>
          <w:lang w:val="en-GB"/>
        </w:rPr>
        <w:fldChar w:fldCharType="end"/>
      </w:r>
      <w:r w:rsidRPr="00C83EDC">
        <w:rPr>
          <w:lang w:val="en-GB"/>
        </w:rPr>
        <w:t>. Their recently updated guidelines specified that men in the age category 55–69 can undergo regular PSA screening based on their personal preference, but the decision should be made after discussing potential gains and harms with their clinicians. In men of 70 years and older, the benefits of regular screening do not outweigh the expected harms</w:t>
      </w:r>
      <w:r w:rsidRPr="00C83EDC">
        <w:rPr>
          <w:lang w:val="en-GB"/>
        </w:rPr>
        <w:fldChar w:fldCharType="begin" w:fldLock="1"/>
      </w:r>
      <w:r w:rsidR="000C069C">
        <w:rPr>
          <w:lang w:val="en-GB"/>
        </w:rPr>
        <w:instrText>ADDIN CSL_CITATION {"citationItems":[{"id":"ITEM-1","itemData":{"DOI":"10.1001/jama.2018.3710","ISSN":"0098-7484","PMID":"29801017","abstract":"IMPORTANCE In the United States, the lifetime risk of being diagnosed with prostate cancer is approximately 13%, and the lifetime risk of dying of prostate cancer is 2.5%. The median age of death from prostate cancer is 80 years. Many men with prostate cancer never experience symptoms and, without screening, would never know they have the disease. African American men and men with a family history of prostate cancer have an increased risk of prostate cancer compared with other men. OBJECTIVE To update the 2012 US Preventive Services Task Force (USPSTF) recommendation on prostate-specific antigen (PSA)-based screening for prostate cancer. EVIDENCE REVIEW The USPSTF reviewed the evidence on the benefits and harms of PSA-based screening for prostate cancer and subsequent treatment of screen-detected prostate cancer. The USPSTF also commissioned a review of existing decision analysis models and the overdiagnosis rate of PSA-based screening. The reviews also examined the benefits and harms of PSA-based screening in patient subpopulations at higher risk of prostate cancer, including older men, African American men, and men with a family history of prostate cancer. FINDINGS Adequate evidence from randomized clinical trials shows that PSA-based screening programs in men aged 55 to 69 years may prevent approximately 1.3 deaths from prostate cancer over approximately 13 years per 1000 men screened. Screening programs may also prevent approximately 3 cases ofmetastatic prostate cancer per 1000 men screened. Potential harms of screening include frequent false-positive results and psychological harms. Harms of prostate cancer treatment include erectile dysfunction, urinary incontinence, and bowel symptoms. About 1 in 5 men who undergo radical prostatectomy develop long-Term urinary incontinence, and 2 in 3 men will experience long-Term erectile dysfunction. Adequate evidence shows that the harms of screening in men older than 70 years are at least moderate and greater than in younger men because of increased risk of false-positive results, diagnostic harms from biopsies, and harms from treatment. The USPSTF concludes with moderate certainty that the net benefit of PSA-based screening for prostate cancer in men aged 55 to 69 years is small for some men. How each man weighs specific benefits and harms will determine whether the overall net benefit is small. The USPSTF concludes with moderate certainty that the potential benefits of PSA-based screening for prostate can…","author":[{"dropping-particle":"","family":"Grossman","given":"David C.","non-dropping-particle":"","parse-names":false,"suffix":""},{"dropping-particle":"","family":"Curry","given":"Susan J.","non-dropping-particle":"","parse-names":false,"suffix":""},{"dropping-particle":"","family":"Owens","given":"Douglas K.","non-dropping-particle":"","parse-names":false,"suffix":""},{"dropping-particle":"","family":"Bibbins-Domingo","given":"Kirsten","non-dropping-particle":"","parse-names":false,"suffix":""},{"dropping-particle":"","family":"Caughey","given":"Aaron B.","non-dropping-particle":"","parse-names":false,"suffix":""},{"dropping-particle":"","family":"Davidson","given":"Karina W.","non-dropping-particle":"","parse-names":false,"suffix":""},{"dropping-particle":"","family":"Doubeni","given":"Chyke A.","non-dropping-particle":"","parse-names":false,"suffix":""},{"dropping-particle":"","family":"Ebell","given":"Mark","non-dropping-particle":"","parse-names":false,"suffix":""},{"dropping-particle":"","family":"Epling","given":"John W.","non-dropping-particle":"","parse-names":false,"suffix":""},{"dropping-particle":"","family":"Kemper","given":"Alex R.","non-dropping-particle":"","parse-names":false,"suffix":""},{"dropping-particle":"","family":"Krist","given":"Alex H.","non-dropping-particle":"","parse-names":false,"suffix":""},{"dropping-particle":"","family":"Kubik","given":"Martha","non-dropping-particle":"","parse-names":false,"suffix":""},{"dropping-particle":"","family":"Landefeld","given":"C. Seth","non-dropping-particle":"","parse-names":false,"suffix":""},{"dropping-particle":"","family":"Mangione","given":"Carol M.","non-dropping-particle":"","parse-names":false,"suffix":""},{"dropping-particle":"","family":"Silverstein","given":"Michael","non-dropping-particle":"","parse-names":false,"suffix":""},{"dropping-particle":"","family":"Simon","given":"Melissa A.","non-dropping-particle":"","parse-names":false,"suffix":""},{"dropping-particle":"","family":"Siu","given":"Albert L.","non-dropping-particle":"","parse-names":false,"suffix":""},{"dropping-particle":"","family":"Tseng","given":"Chien-Wen","non-dropping-particle":"","parse-names":false,"suffix":""}],"container-title":"JAMA","id":"ITEM-1","issue":"18","issued":{"date-parts":[["2018","5","8"]]},"page":"1901","title":"Screening for Prostate Cancer","type":"article-journal","volume":"319"},"uris":["http://www.mendeley.com/documents/?uuid=c89a407d-93a4-47fc-bd7f-0ad6b7b9f75a"]}],"mendeley":{"formattedCitation":"&lt;sup&gt;48&lt;/sup&gt;","plainTextFormattedCitation":"48","previouslyFormattedCitation":"[48]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48</w:t>
      </w:r>
      <w:r w:rsidRPr="00C83EDC">
        <w:rPr>
          <w:lang w:val="en-GB"/>
        </w:rPr>
        <w:fldChar w:fldCharType="end"/>
      </w:r>
      <w:r w:rsidRPr="00C83EDC">
        <w:rPr>
          <w:lang w:val="en-GB"/>
        </w:rPr>
        <w:t xml:space="preserve">. The data collected in the control group of the Prostate Cancer Prevention Trial suggest that there is no clear cut-off of PSA for early detection of </w:t>
      </w:r>
      <w:proofErr w:type="spellStart"/>
      <w:r w:rsidRPr="00C83EDC">
        <w:rPr>
          <w:lang w:val="en-GB"/>
        </w:rPr>
        <w:t>PCa</w:t>
      </w:r>
      <w:proofErr w:type="spellEnd"/>
      <w:r w:rsidRPr="00C83EDC">
        <w:rPr>
          <w:lang w:val="en-GB"/>
        </w:rPr>
        <w:t xml:space="preserve"> with acceptable sensitivity and specificity</w:t>
      </w:r>
      <w:r w:rsidRPr="00C83EDC">
        <w:rPr>
          <w:lang w:val="en-GB"/>
        </w:rPr>
        <w:fldChar w:fldCharType="begin" w:fldLock="1"/>
      </w:r>
      <w:r w:rsidR="000C069C">
        <w:rPr>
          <w:lang w:val="en-GB"/>
        </w:rPr>
        <w:instrText>ADDIN CSL_CITATION {"citationItems":[{"id":"ITEM-1","itemData":{"DOI":"10.1016/j.eururo.2007.10.047","ISSN":"03022838","abstract":"Objective: This is the first of two review papers attempting to clarify the best way to detect prostate cancer (PCa) in 2007. Screening for PCa has not yet been shown to lower PCa mortality. Still, opportunistic screening is wide spread in Europe and in most other parts of the world. Methods: Current literature and data from screening studies are reviewed and discussed. Prostate-specific antigen (PSA) has been and remains one of the corner stones of early detection of PCa. Traditionally used cut-off values cannot be applied in an uncritical fashion after it was shown that a significant amount of overdiagnosis and that large proportions of cancers and poorly differentiated cancers are present in the low PSA ranges. The paper addresses the continued relevance of PSA cut-off values. The diagnostic value of PSA velocity is reviewed in conjunction with PSA cut-off values and as a possible replacement of total PSA. A need for more selective screening in the low PSA ranges is pointed out. Results and conclusions: The data show that men presenting initially with PSA values below 1 do not have to be rescreened for a period of 8 yr. In the PSA range 1-2.9 ng/ml, new parameters are needed that improve specificity and are selective for screening for aggressive lesions. PSA velocity so far has not been shown to be useful in the early detection of PCa but may be useful in detecting aggressive PCa selectively. For the time being, it seems sensible to continue using PSA cut-off values such as 3.0 or 4.0 ng/ml provided overtreatment is decreased by using available nomograms. © 2007 European Association of Urology.","author":[{"dropping-particle":"","family":"Schröder","given":"Fritz H.","non-dropping-particle":"","parse-names":false,"suffix":""},{"dropping-particle":"","family":"Carter","given":"H. Ballentine","non-dropping-particle":"","parse-names":false,"suffix":""},{"dropping-particle":"","family":"Wolters","given":"Tineke","non-dropping-particle":"","parse-names":false,"suffix":""},{"dropping-particle":"","family":"Bergh","given":"Roderick C.N.","non-dropping-particle":"van den","parse-names":false,"suffix":""},{"dropping-particle":"","family":"Gosselaar","given":"Claartje","non-dropping-particle":"","parse-names":false,"suffix":""},{"dropping-particle":"","family":"Bangma","given":"Chris H.","non-dropping-particle":"","parse-names":false,"suffix":""},{"dropping-particle":"","family":"Roobol","given":"Monique J.","non-dropping-particle":"","parse-names":false,"suffix":""}],"container-title":"European Urology","id":"ITEM-1","issue":"3","issued":{"date-parts":[["2008"]]},"page":"468-477","title":"Early Detection of Prostate Cancer in 2007. Part 1: PSA and PSA Kinetics","type":"article-journal","volume":"53"},"uris":["http://www.mendeley.com/documents/?uuid=21df3195-b13c-4c43-be46-366051ca7867"]}],"mendeley":{"formattedCitation":"&lt;sup&gt;49&lt;/sup&gt;","plainTextFormattedCitation":"49","previouslyFormattedCitation":"[49]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49</w:t>
      </w:r>
      <w:r w:rsidRPr="00C83EDC">
        <w:rPr>
          <w:lang w:val="en-GB"/>
        </w:rPr>
        <w:fldChar w:fldCharType="end"/>
      </w:r>
      <w:r w:rsidRPr="00C83EDC">
        <w:rPr>
          <w:lang w:val="en-GB"/>
        </w:rPr>
        <w:t xml:space="preserve">. </w:t>
      </w:r>
      <w:r>
        <w:rPr>
          <w:lang w:val="en-GB"/>
        </w:rPr>
        <w:t xml:space="preserve">The </w:t>
      </w:r>
      <w:r w:rsidRPr="00D72874">
        <w:rPr>
          <w:lang w:val="en-GB"/>
        </w:rPr>
        <w:t>specificity and sensitivity range from 20 to 40% and 70</w:t>
      </w:r>
      <w:r>
        <w:rPr>
          <w:lang w:val="en-GB"/>
        </w:rPr>
        <w:t xml:space="preserve"> to 90%, respectively, depending on the cut-off value used (for example, 3.0 versus </w:t>
      </w:r>
      <w:r>
        <w:rPr>
          <w:lang w:val="en-GB"/>
        </w:rPr>
        <w:br/>
      </w:r>
      <w:r w:rsidRPr="00C83EDC">
        <w:rPr>
          <w:lang w:val="en-GB"/>
        </w:rPr>
        <w:t>4.0</w:t>
      </w:r>
      <w:r>
        <w:rPr>
          <w:lang w:val="en-GB"/>
        </w:rPr>
        <w:t xml:space="preserve"> </w:t>
      </w:r>
      <w:r w:rsidRPr="00C83EDC">
        <w:rPr>
          <w:lang w:val="en-GB"/>
        </w:rPr>
        <w:t>ng·ml</w:t>
      </w:r>
      <w:r w:rsidRPr="00C83EDC">
        <w:rPr>
          <w:vertAlign w:val="superscript"/>
          <w:lang w:val="en-GB"/>
        </w:rPr>
        <w:t>−1</w:t>
      </w:r>
      <w:r>
        <w:rPr>
          <w:lang w:val="en-GB"/>
        </w:rPr>
        <w:t>)</w:t>
      </w:r>
      <w:r>
        <w:rPr>
          <w:lang w:val="en-GB"/>
        </w:rPr>
        <w:fldChar w:fldCharType="begin" w:fldLock="1"/>
      </w:r>
      <w:r w:rsidR="000C069C">
        <w:rPr>
          <w:lang w:val="en-GB"/>
        </w:rPr>
        <w:instrText>ADDIN CSL_CITATION {"citationItems":[{"id":"ITEM-1","itemData":{"DOI":"10.1126/scitranslmed.3003180","ISSN":"19466234","PMID":"22461644","abstract":"Since the introduction of serum prostate-specific antigen (PSA) screening 25 years ago, prostate cancer diagnosis and management have been guided by this biomarker. Yet, PSA has proven controversial as a screening assay owing to several inherent limitations. The next wave of prostate cancer biomarkers has emerged, introducing new assays in serum and urine that may supplement or, in time, replace PSA because of their higher cancer specificity. This expanding universe of biomarkers has been facilitated, in large part, by new genomic technologies that have enabled an unbiased look at cancer biology. Such efforts have produced several notable success stories that involve rapidly moving biomarkers from the bench to the clinic. However, biomarker research has centered on disease diagnostics, rather than prognosis and prediction, which would address disease management. The development of biomarkers to stratify risk of prostate cancer aggressiveness at the time of screening remains the greatest unmet clinical need in prostate cancer. We review the current state of prostate cancer biomarker research, including the PSA revolution, its impact on early cancer detection, the recent advances in biomarker discovery, and the future efforts that promise to improve clinical management of this disease.","author":[{"dropping-particle":"","family":"Prensner","given":"John R.","non-dropping-particle":"","parse-names":false,"suffix":""},{"dropping-particle":"","family":"Rubin","given":"Mark A.","non-dropping-particle":"","parse-names":false,"suffix":""},{"dropping-particle":"","family":"Wei","given":"John T.","non-dropping-particle":"","parse-names":false,"suffix":""},{"dropping-particle":"","family":"Chinnaiyan","given":"Arul M.","non-dropping-particle":"","parse-names":false,"suffix":""}],"container-title":"Science Translational Medicine","id":"ITEM-1","issue":"127","issued":{"date-parts":[["2012"]]},"title":"Beyond PSA: The next generation of prostate cancer biomarkers","type":"article-journal","volume":"4"},"uris":["http://www.mendeley.com/documents/?uuid=55cf1895-6403-4d96-ac5d-748faabff539"]}],"mendeley":{"formattedCitation":"&lt;sup&gt;43&lt;/sup&gt;","plainTextFormattedCitation":"43","previouslyFormattedCitation":"[43]"},"properties":{"noteIndex":0},"schema":"https://github.com/citation-style-language/schema/raw/master/csl-citation.json"}</w:instrText>
      </w:r>
      <w:r>
        <w:rPr>
          <w:lang w:val="en-GB"/>
        </w:rPr>
        <w:fldChar w:fldCharType="separate"/>
      </w:r>
      <w:r w:rsidR="000C069C" w:rsidRPr="000C069C">
        <w:rPr>
          <w:noProof/>
          <w:vertAlign w:val="superscript"/>
          <w:lang w:val="en-GB"/>
        </w:rPr>
        <w:t>43</w:t>
      </w:r>
      <w:r>
        <w:rPr>
          <w:lang w:val="en-GB"/>
        </w:rPr>
        <w:fldChar w:fldCharType="end"/>
      </w:r>
      <w:r>
        <w:rPr>
          <w:lang w:val="en-GB"/>
        </w:rPr>
        <w:t>.</w:t>
      </w:r>
    </w:p>
    <w:p w14:paraId="2AB14A2D" w14:textId="0577516E" w:rsidR="00EE7EB3" w:rsidRPr="00C83EDC" w:rsidRDefault="00EE7EB3" w:rsidP="00EE7EB3">
      <w:pPr>
        <w:pStyle w:val="Dalodstavce"/>
        <w:rPr>
          <w:lang w:val="en-GB"/>
        </w:rPr>
      </w:pPr>
      <w:r w:rsidRPr="00C83EDC">
        <w:rPr>
          <w:lang w:val="en-GB"/>
        </w:rPr>
        <w:t xml:space="preserve"> In addition to the total serum concentration, several clinically important variations on the PSA quantification are utilised in disease monitoring and management. Free and complexed PSA are two main forms of PSA in the blood serum that are measured either as PSA bound to protease inhibitors such as α</w:t>
      </w:r>
      <w:r w:rsidRPr="00C83EDC">
        <w:rPr>
          <w:vertAlign w:val="subscript"/>
          <w:lang w:val="en-GB"/>
        </w:rPr>
        <w:t>1</w:t>
      </w:r>
      <w:r w:rsidRPr="00C83EDC">
        <w:rPr>
          <w:lang w:val="en-GB"/>
        </w:rPr>
        <w:t>-antichymotrypsin or as the free form (</w:t>
      </w:r>
      <w:proofErr w:type="spellStart"/>
      <w:r w:rsidRPr="00C83EDC">
        <w:rPr>
          <w:lang w:val="en-GB"/>
        </w:rPr>
        <w:t>fPSA</w:t>
      </w:r>
      <w:proofErr w:type="spellEnd"/>
      <w:r w:rsidRPr="00C83EDC">
        <w:rPr>
          <w:lang w:val="en-GB"/>
        </w:rPr>
        <w:t xml:space="preserve">). FDA approved </w:t>
      </w:r>
      <w:proofErr w:type="spellStart"/>
      <w:r w:rsidRPr="00C83EDC">
        <w:rPr>
          <w:lang w:val="en-GB"/>
        </w:rPr>
        <w:t>fPSA</w:t>
      </w:r>
      <w:proofErr w:type="spellEnd"/>
      <w:r w:rsidRPr="00C83EDC">
        <w:rPr>
          <w:lang w:val="en-GB"/>
        </w:rPr>
        <w:t xml:space="preserve"> test improves specificity in prostate cancer detection and helps to distinguish men with BPH from men with cancer</w:t>
      </w:r>
      <w:r w:rsidRPr="00C83EDC">
        <w:rPr>
          <w:lang w:val="en-GB"/>
        </w:rPr>
        <w:fldChar w:fldCharType="begin" w:fldLock="1"/>
      </w:r>
      <w:r w:rsidR="000C069C">
        <w:rPr>
          <w:lang w:val="en-GB"/>
        </w:rPr>
        <w:instrText>ADDIN CSL_CITATION {"citationItems":[{"id":"ITEM-1","itemData":{"DOI":"10.1126/scitranslmed.3003180","ISSN":"19466234","PMID":"22461644","abstract":"Since the introduction of serum prostate-specific antigen (PSA) screening 25 years ago, prostate cancer diagnosis and management have been guided by this biomarker. Yet, PSA has proven controversial as a screening assay owing to several inherent limitations. The next wave of prostate cancer biomarkers has emerged, introducing new assays in serum and urine that may supplement or, in time, replace PSA because of their higher cancer specificity. This expanding universe of biomarkers has been facilitated, in large part, by new genomic technologies that have enabled an unbiased look at cancer biology. Such efforts have produced several notable success stories that involve rapidly moving biomarkers from the bench to the clinic. However, biomarker research has centered on disease diagnostics, rather than prognosis and prediction, which would address disease management. The development of biomarkers to stratify risk of prostate cancer aggressiveness at the time of screening remains the greatest unmet clinical need in prostate cancer. We review the current state of prostate cancer biomarker research, including the PSA revolution, its impact on early cancer detection, the recent advances in biomarker discovery, and the future efforts that promise to improve clinical management of this disease.","author":[{"dropping-particle":"","family":"Prensner","given":"John R.","non-dropping-particle":"","parse-names":false,"suffix":""},{"dropping-particle":"","family":"Rubin","given":"Mark A.","non-dropping-particle":"","parse-names":false,"suffix":""},{"dropping-particle":"","family":"Wei","given":"John T.","non-dropping-particle":"","parse-names":false,"suffix":""},{"dropping-particle":"","family":"Chinnaiyan","given":"Arul M.","non-dropping-particle":"","parse-names":false,"suffix":""}],"container-title":"Science Translational Medicine","id":"ITEM-1","issue":"127","issued":{"date-parts":[["2012"]]},"title":"Beyond PSA: The next generation of prostate cancer biomarkers","type":"article-journal","volume":"4"},"uris":["http://www.mendeley.com/documents/?uuid=55cf1895-6403-4d96-ac5d-748faabff539"]},{"id":"ITEM-2","itemData":{"DOI":"10.1001/jama.279.19.1542","ISSN":"0098-7484","author":[{"dropping-particle":"","family":"Catalona","given":"William J","non-dropping-particle":"","parse-names":false,"suffix":""},{"dropping-particle":"","family":"Partin","given":"Alan W","non-dropping-particle":"","parse-names":false,"suffix":""},{"dropping-particle":"","family":"Slawin","given":"Kevin M","non-dropping-particle":"","parse-names":false,"suffix":""},{"dropping-particle":"","family":"Brawer","given":"Michael K","non-dropping-particle":"","parse-names":false,"suffix":""},{"dropping-particle":"","family":"Flanigan","given":"Robert C","non-dropping-particle":"","parse-names":false,"suffix":""},{"dropping-particle":"","family":"Patel","given":"Anup","non-dropping-particle":"","parse-names":false,"suffix":""},{"dropping-particle":"","family":"Richie","given":"Jerome P","non-dropping-particle":"","parse-names":false,"suffix":""},{"dropping-particle":"","family":"DeKernion","given":"Jean B.","non-dropping-particle":"","parse-names":false,"suffix":""},{"dropping-particle":"","family":"Walsh","given":"Patrick C","non-dropping-particle":"","parse-names":false,"suffix":""},{"dropping-particle":"","family":"Scardino","given":"Peter T","non-dropping-particle":"","parse-names":false,"suffix":""},{"dropping-particle":"","family":"Lange","given":"Paul H","non-dropping-particle":"","parse-names":false,"suffix":""},{"dropping-particle":"","family":"Subong","given":"Eric N P","non-dropping-particle":"","parse-names":false,"suffix":""},{"dropping-particle":"","family":"Parson","given":"Robert E","non-dropping-particle":"","parse-names":false,"suffix":""},{"dropping-particle":"","family":"Gasior","given":"Gail H","non-dropping-particle":"","parse-names":false,"suffix":""},{"dropping-particle":"","family":"Loveland","given":"Kathleen G","non-dropping-particle":"","parse-names":false,"suffix":""},{"dropping-particle":"","family":"Southwick","given":"Paula C","non-dropping-particle":"","parse-names":false,"suffix":""}],"container-title":"JAMA","id":"ITEM-2","issue":"19","issued":{"date-parts":[["1998","5","20"]]},"page":"1542","title":"Use of the Percentage of Free Prostate-Specific Antigen to Enhance Differentiation of Prostate Cancer From Benign Prostatic Disease","type":"article-journal","volume":"279"},"uris":["http://www.mendeley.com/documents/?uuid=d162f865-8ce9-4a99-8569-30433809003a"]}],"mendeley":{"formattedCitation":"&lt;sup&gt;43,50&lt;/sup&gt;","plainTextFormattedCitation":"43,50","previouslyFormattedCitation":"[43], [50]"},"properties":{"noteIndex":0},"schema":"https://github.com/citation-style-language/schema/raw/master/csl-citation.json"}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43,50</w:t>
      </w:r>
      <w:r w:rsidRPr="00C83EDC">
        <w:rPr>
          <w:lang w:val="en-GB"/>
        </w:rPr>
        <w:fldChar w:fldCharType="end"/>
      </w:r>
      <w:r w:rsidRPr="00C83EDC">
        <w:rPr>
          <w:lang w:val="en-GB"/>
        </w:rPr>
        <w:t xml:space="preserve">. The threshold of 25% or less </w:t>
      </w:r>
      <w:proofErr w:type="spellStart"/>
      <w:r>
        <w:rPr>
          <w:lang w:val="en-GB"/>
        </w:rPr>
        <w:t>f</w:t>
      </w:r>
      <w:r w:rsidRPr="00C83EDC">
        <w:rPr>
          <w:lang w:val="en-GB"/>
        </w:rPr>
        <w:t>PSA</w:t>
      </w:r>
      <w:proofErr w:type="spellEnd"/>
      <w:r w:rsidRPr="00C83EDC">
        <w:rPr>
          <w:lang w:val="en-GB"/>
        </w:rPr>
        <w:t xml:space="preserve"> provides 95% sensitivity </w:t>
      </w:r>
      <w:r w:rsidRPr="00C83EDC">
        <w:rPr>
          <w:lang w:val="en-GB"/>
        </w:rPr>
        <w:lastRenderedPageBreak/>
        <w:t>for patients with normal DRE result and total PSA levels of 4.0 to 10.0 ng·ml</w:t>
      </w:r>
      <w:r w:rsidRPr="00C83EDC">
        <w:rPr>
          <w:vertAlign w:val="superscript"/>
          <w:lang w:val="en-GB"/>
        </w:rPr>
        <w:t>−1</w:t>
      </w:r>
      <w:r w:rsidRPr="00C83EDC">
        <w:rPr>
          <w:lang w:val="en-GB"/>
        </w:rPr>
        <w:t>, whilst sparing 20%</w:t>
      </w:r>
      <w:r>
        <w:rPr>
          <w:lang w:val="en-GB"/>
        </w:rPr>
        <w:t xml:space="preserve"> of</w:t>
      </w:r>
      <w:r w:rsidRPr="00C83EDC">
        <w:rPr>
          <w:lang w:val="en-GB"/>
        </w:rPr>
        <w:t xml:space="preserve"> patients with BPH from biopsy</w:t>
      </w:r>
      <w:r w:rsidRPr="00C83EDC">
        <w:rPr>
          <w:lang w:val="en-GB"/>
        </w:rPr>
        <w:fldChar w:fldCharType="begin" w:fldLock="1"/>
      </w:r>
      <w:r w:rsidR="000C069C">
        <w:rPr>
          <w:lang w:val="en-GB"/>
        </w:rPr>
        <w:instrText>ADDIN CSL_CITATION {"citationItems":[{"id":"ITEM-1","itemData":{"DOI":"10.1001/jama.279.19.1542","ISSN":"0098-7484","author":[{"dropping-particle":"","family":"Catalona","given":"William J","non-dropping-particle":"","parse-names":false,"suffix":""},{"dropping-particle":"","family":"Partin","given":"Alan W","non-dropping-particle":"","parse-names":false,"suffix":""},{"dropping-particle":"","family":"Slawin","given":"Kevin M","non-dropping-particle":"","parse-names":false,"suffix":""},{"dropping-particle":"","family":"Brawer","given":"Michael K","non-dropping-particle":"","parse-names":false,"suffix":""},{"dropping-particle":"","family":"Flanigan","given":"Robert C","non-dropping-particle":"","parse-names":false,"suffix":""},{"dropping-particle":"","family":"Patel","given":"Anup","non-dropping-particle":"","parse-names":false,"suffix":""},{"dropping-particle":"","family":"Richie","given":"Jerome P","non-dropping-particle":"","parse-names":false,"suffix":""},{"dropping-particle":"","family":"DeKernion","given":"Jean B.","non-dropping-particle":"","parse-names":false,"suffix":""},{"dropping-particle":"","family":"Walsh","given":"Patrick C","non-dropping-particle":"","parse-names":false,"suffix":""},{"dropping-particle":"","family":"Scardino","given":"Peter T","non-dropping-particle":"","parse-names":false,"suffix":""},{"dropping-particle":"","family":"Lange","given":"Paul H","non-dropping-particle":"","parse-names":false,"suffix":""},{"dropping-particle":"","family":"Subong","given":"Eric N P","non-dropping-particle":"","parse-names":false,"suffix":""},{"dropping-particle":"","family":"Parson","given":"Robert E","non-dropping-particle":"","parse-names":false,"suffix":""},{"dropping-particle":"","family":"Gasior","given":"Gail H","non-dropping-particle":"","parse-names":false,"suffix":""},{"dropping-particle":"","family":"Loveland","given":"Kathleen G","non-dropping-particle":"","parse-names":false,"suffix":""},{"dropping-particle":"","family":"Southwick","given":"Paula C","non-dropping-particle":"","parse-names":false,"suffix":""}],"container-title":"JAMA","id":"ITEM-1","issue":"19","issued":{"date-parts":[["1998","5","20"]]},"page":"1542","title":"Use of the Percentage of Free Prostate-Specific Antigen to Enhance Differentiation of Prostate Cancer From Benign Prostatic Disease","type":"article-journal","volume":"279"},"uris":["http://www.mendeley.com/documents/?uuid=d162f865-8ce9-4a99-8569-30433809003a"]}],"mendeley":{"formattedCitation":"&lt;sup&gt;50&lt;/sup&gt;","plainTextFormattedCitation":"50","previouslyFormattedCitation":"[50]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50</w:t>
      </w:r>
      <w:r w:rsidRPr="00C83EDC">
        <w:rPr>
          <w:lang w:val="en-GB"/>
        </w:rPr>
        <w:fldChar w:fldCharType="end"/>
      </w:r>
      <w:r w:rsidRPr="00C83EDC">
        <w:rPr>
          <w:lang w:val="en-GB"/>
        </w:rPr>
        <w:t>.</w:t>
      </w:r>
    </w:p>
    <w:p w14:paraId="6E77620F" w14:textId="6F661698" w:rsidR="00EE7EB3" w:rsidRPr="00C83EDC" w:rsidRDefault="00EE7EB3" w:rsidP="00EE7EB3">
      <w:pPr>
        <w:pStyle w:val="Dalodstavce"/>
        <w:rPr>
          <w:lang w:val="en-GB"/>
        </w:rPr>
      </w:pPr>
      <w:r w:rsidRPr="00C83EDC">
        <w:rPr>
          <w:lang w:val="en-GB"/>
        </w:rPr>
        <w:t>Apart from the main PSA forms, there are several additional isoforms of PSA proenzyme that can be elevated in PCa</w:t>
      </w:r>
      <w:r w:rsidRPr="00C83EDC">
        <w:rPr>
          <w:lang w:val="en-GB"/>
        </w:rPr>
        <w:fldChar w:fldCharType="begin" w:fldLock="1"/>
      </w:r>
      <w:r w:rsidR="000C069C">
        <w:rPr>
          <w:lang w:val="en-GB"/>
        </w:rPr>
        <w:instrText>ADDIN CSL_CITATION {"citationItems":[{"id":"ITEM-1","itemData":{"DOI":"10.1200/JCO.2003.02.083","ISSN":"0732-183X","abstract":"Prostate-specific antigen (PSA) is an androgen-regulated serine protease produced by both prostate epithelial cells and prostate cancer (PCa) and is the most commonly used serum marker for cancer. It is a member of the tissue kallikrein family, some of the members of which are also prostate specific. PSA is a major protein in semen, where its function is to cleave semenogelins in the seminal coagulum. PSA is secreted into prostatic ducts as an inactive 244–amino acid proenzyme (proPSA) that is activated by cleavage of seven N-terminal amino acids. PSA that enters the circulation intact is rapidly bound by protease inhibitors, primarily alpha1-antichymotrypsin, although a fraction is inactivated in the lumen by proteolysis and circulates as free PSA. This proteolytic inactivation, as well as the cleavage of proPSA to PSA, is less efficient in PCa. Serum total PSA levels are increased in PCa, and PSA screening has dramatically altered PCa presentation and management. Unfortunately, although high PSA levels are predictive of advanced PCa, a large fraction of organ-confined cancers present with much lower total PSA values that overlap those levels found in men without PCa. Measurement of free versus total PSA can increase specificity for PCa, and tests under development to measure forms of proPSA may further enhance the ability to detect early-stage PCa. PSA is also widely used to monitor responses to therapy and is under investigation as a therapeutic target. Finally, recent data indicate that there may be additional roles for PSA in the pathogenesis of PCa.","author":[{"dropping-particle":"","family":"Balk","given":"Steven P.","non-dropping-particle":"","parse-names":false,"suffix":""},{"dropping-particle":"","family":"Ko","given":"Yoo-joung","non-dropping-particle":"","parse-names":false,"suffix":""},{"dropping-particle":"","family":"Bubley","given":"Glenn J","non-dropping-particle":"","parse-names":false,"suffix":""}],"container-title":"Journal of Clinical Oncology","id":"ITEM-1","issue":"2","issued":{"date-parts":[["2003","1","15"]]},"page":"383-391","title":"Biology of Prostate-Specific Antigen","type":"article-journal","volume":"21"},"uris":["http://www.mendeley.com/documents/?uuid=6b4332b8-9f1c-4c20-bab6-4ac154caea02"]}],"mendeley":{"formattedCitation":"&lt;sup&gt;44&lt;/sup&gt;","plainTextFormattedCitation":"44","previouslyFormattedCitation":"[44]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44</w:t>
      </w:r>
      <w:r w:rsidRPr="00C83EDC">
        <w:rPr>
          <w:lang w:val="en-GB"/>
        </w:rPr>
        <w:fldChar w:fldCharType="end"/>
      </w:r>
      <w:r w:rsidRPr="00C83EDC">
        <w:rPr>
          <w:lang w:val="en-GB"/>
        </w:rPr>
        <w:t xml:space="preserve">. The serum concentration of truncated </w:t>
      </w:r>
      <w:proofErr w:type="spellStart"/>
      <w:r w:rsidRPr="00C83EDC">
        <w:rPr>
          <w:lang w:val="en-GB"/>
        </w:rPr>
        <w:t>proPSA</w:t>
      </w:r>
      <w:proofErr w:type="spellEnd"/>
      <w:r w:rsidRPr="00C83EDC">
        <w:rPr>
          <w:lang w:val="en-GB"/>
        </w:rPr>
        <w:t xml:space="preserve"> forms including [−2]</w:t>
      </w:r>
      <w:proofErr w:type="spellStart"/>
      <w:r w:rsidRPr="00C83EDC">
        <w:rPr>
          <w:lang w:val="en-GB"/>
        </w:rPr>
        <w:t>pPSA</w:t>
      </w:r>
      <w:proofErr w:type="spellEnd"/>
      <w:r w:rsidRPr="00C83EDC">
        <w:rPr>
          <w:lang w:val="en-GB"/>
        </w:rPr>
        <w:t>, was found to increase specificity of prostate cancer detection to 31% among men with PSA levels of 4.0 to 10.0 ng·ml</w:t>
      </w:r>
      <w:r w:rsidRPr="00C83EDC">
        <w:rPr>
          <w:vertAlign w:val="superscript"/>
          <w:lang w:val="en-GB"/>
        </w:rPr>
        <w:t>−1</w:t>
      </w:r>
      <w:r w:rsidRPr="00C83EDC">
        <w:rPr>
          <w:lang w:val="en-GB"/>
        </w:rPr>
        <w:t xml:space="preserve"> compared to the specificity of 20% for % fPSA</w:t>
      </w:r>
      <w:r w:rsidRPr="00C83EDC">
        <w:rPr>
          <w:lang w:val="en-GB"/>
        </w:rPr>
        <w:fldChar w:fldCharType="begin" w:fldLock="1"/>
      </w:r>
      <w:r w:rsidR="000C069C">
        <w:rPr>
          <w:lang w:val="en-GB"/>
        </w:rPr>
        <w:instrText>ADDIN CSL_CITATION {"citationItems":[{"id":"ITEM-1","itemData":{"DOI":"10.1097/01.ju.0000095460.12999.43","ISSN":"00225347","abstract":"Purpose: Pro prostate specific antigen (pPSA) is a precursor form of PSA enriched in tumor compared to benign prostate tissues that may be a more specific serum marker for prostate cancer. Serum pPSA was measured in the clinically relevant early detection PSA range of 2 to 10 ng/ml. Materials and Methods: Research use immunoassays were used to measure native and truncated forms of pPSA. The subject cohort contained 1,091 serum specimens from men enrolled in prostate cancer screening studies at 2 sites who had undergone prostate biopsy and were divided into PSA ranges of 2 to 4 ng/ml (benign 320, cancer 235) and 4 to 10 ng/ml (benign 315, cancer 221). Results: In PSA ranges 2 to 4, 2 to 6, 4 to 10 and 2 to 10 ng/ml, pPSA in a ratio with free PSA (%pPSA) gave the highest cancer specificity. At 2 to 4 ng/ml and 90% sensitivity, %pPSA spared 19% of unnecessary biopsies compared to 10% for free PSA and 11% for complexed PSA (p &lt;0.001). Similar results were obtained at PSA 2 to 6 ng/ml. At 90% sensitivity in the PSA 4 to 10 ng/ml range, %pPSA spared 31% of unnecessary biopsies compared to 20% for % free PSA and 19% for complexed PSA (p &lt;0.0001). In the combined 2 to 10 ng/ml range, %pPSA spared 21% of unnecessary biopsies compared to 13% for % free PSA and 9% for complexed PSA (p &lt;0.0001). Conclusions: The %pPSA significantly improved specificity for cancer detection and decreased the number of unnecessary biopsies in the PSA 2 to 4 ng/ml range. This relative improvement of %pPSA compared to % free PSA and complexed PSA was maintained throughout the PSA range of 2 to 10 ng/ml.","author":[{"dropping-particle":"","family":"Catalona","given":"William J.","non-dropping-particle":"","parse-names":false,"suffix":""},{"dropping-particle":"","family":"Bartsch","given":"Georg","non-dropping-particle":"","parse-names":false,"suffix":""},{"dropping-particle":"","family":"Rittenhouse","given":"Harry G.","non-dropping-particle":"","parse-names":false,"suffix":""},{"dropping-particle":"","family":"Evans","given":"Cindy L.","non-dropping-particle":"","parse-names":false,"suffix":""},{"dropping-particle":"","family":"Linton","given":"Harry J.","non-dropping-particle":"","parse-names":false,"suffix":""},{"dropping-particle":"","family":"Amirkhan","given":"Anna","non-dropping-particle":"","parse-names":false,"suffix":""},{"dropping-particle":"","family":"Horninger","given":"Wolfgang","non-dropping-particle":"","parse-names":false,"suffix":""},{"dropping-particle":"","family":"Klocker","given":"Helmut","non-dropping-particle":"","parse-names":false,"suffix":""},{"dropping-particle":"","family":"Mikolajczyk","given":"Stephen D.","non-dropping-particle":"","parse-names":false,"suffix":""}],"container-title":"Journal of Urology","id":"ITEM-1","issue":"6 I","issued":{"date-parts":[["2003"]]},"page":"2181-2185","title":"Serum Pro prostate specific antigen improves cancer detection compared to free and complexed prostate specific antigen in men with prostate specific antigen 2 to 4 ng/ml","type":"article-journal","volume":"170"},"uris":["http://www.mendeley.com/documents/?uuid=fdf03ebc-46e6-4a94-ba42-a70440811c7b"]}],"mendeley":{"formattedCitation":"&lt;sup&gt;51&lt;/sup&gt;","plainTextFormattedCitation":"51","previouslyFormattedCitation":"[51]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51</w:t>
      </w:r>
      <w:r w:rsidRPr="00C83EDC">
        <w:rPr>
          <w:lang w:val="en-GB"/>
        </w:rPr>
        <w:fldChar w:fldCharType="end"/>
      </w:r>
      <w:r w:rsidRPr="00C83EDC">
        <w:rPr>
          <w:lang w:val="en-GB"/>
        </w:rPr>
        <w:t xml:space="preserve">. To further improve the performance of PSA measurement, a new formula called The Prostate Health Index (PHI) was introduced to aid with biopsy indication, risk stratification and treatment decisions. </w:t>
      </w:r>
      <w:bookmarkStart w:id="34" w:name="_Hlk42523167"/>
      <w:r w:rsidRPr="00C83EDC">
        <w:rPr>
          <w:lang w:val="en-GB"/>
        </w:rPr>
        <w:t xml:space="preserve">This FDA approved </w:t>
      </w:r>
      <w:bookmarkEnd w:id="34"/>
      <w:r w:rsidRPr="00C83EDC">
        <w:rPr>
          <w:lang w:val="en-GB"/>
        </w:rPr>
        <w:t>test represents a score calculated from the combination of three forms of serum PSA: total PSA,</w:t>
      </w:r>
      <w:r>
        <w:rPr>
          <w:lang w:val="en-GB"/>
        </w:rPr>
        <w:t xml:space="preserve"> </w:t>
      </w:r>
      <w:proofErr w:type="spellStart"/>
      <w:r>
        <w:rPr>
          <w:lang w:val="en-GB"/>
        </w:rPr>
        <w:t>f</w:t>
      </w:r>
      <w:r w:rsidRPr="00C83EDC">
        <w:rPr>
          <w:lang w:val="en-GB"/>
        </w:rPr>
        <w:t>PSA</w:t>
      </w:r>
      <w:proofErr w:type="spellEnd"/>
      <w:r w:rsidRPr="00C83EDC">
        <w:rPr>
          <w:lang w:val="en-GB"/>
        </w:rPr>
        <w:t>, and [−2]pPSA</w:t>
      </w:r>
      <w:r w:rsidRPr="00C83EDC">
        <w:rPr>
          <w:lang w:val="en-GB"/>
        </w:rPr>
        <w:fldChar w:fldCharType="begin" w:fldLock="1"/>
      </w:r>
      <w:r w:rsidR="000C069C">
        <w:rPr>
          <w:lang w:val="en-GB"/>
        </w:rPr>
        <w:instrText>ADDIN CSL_CITATION {"citationItems":[{"id":"ITEM-1","itemData":{"DOI":"10.1177/1756287213513488","ISSN":"17562880","abstract":"A major focus in urologic research is the identification of new biomarkers with improved specificity for clinically-significant prostate cancer. A promising new test based on prostate-specific antigen (PSA) is called the Prostate Health Index (PHI), which has recently been approved in the United States, Europe and Australia. PHI is a mathematical formula that combines total PSA, free PSA and [-2] proPSA. Numerous international studies have consistently shown that PHI outperforms its individual components for the prediction of overall and high-grade prostate cancer on biopsy. PHI also predicts the likelihood of progression during active surveillance, providing another noninvasive modality to potentially select and monitor this patient population. This article reviews the evidence on this new blood test with significant promise for both prostate cancer screening and treatment decision-making. © 2013, SAGE Publications. All rights reserved.","author":[{"dropping-particle":"","family":"Loeb","given":"Stacy","non-dropping-particle":"","parse-names":false,"suffix":""},{"dropping-particle":"","family":"Catalona","given":"William J.","non-dropping-particle":"","parse-names":false,"suffix":""}],"container-title":"Therapeutic Advances in Urology","id":"ITEM-1","issue":"2","issued":{"date-parts":[["2014"]]},"page":"74-77","title":"The Prostate Health Index: A new test for the detection of prostate cancer","type":"article-journal","volume":"6"},"uris":["http://www.mendeley.com/documents/?uuid=aa5ecdce-d6a4-425a-a1c1-652223c75bca"]}],"mendeley":{"formattedCitation":"&lt;sup&gt;52&lt;/sup&gt;","plainTextFormattedCitation":"52","previouslyFormattedCitation":"[52]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52</w:t>
      </w:r>
      <w:r w:rsidRPr="00C83EDC">
        <w:rPr>
          <w:lang w:val="en-GB"/>
        </w:rPr>
        <w:fldChar w:fldCharType="end"/>
      </w:r>
      <w:r w:rsidRPr="00C83EDC">
        <w:rPr>
          <w:lang w:val="en-GB"/>
        </w:rPr>
        <w:t xml:space="preserve">. In a large multicentre trial, PHI showed 26% specificity (at 90% sensitivity) for biopsy indication compared to 18% specificity of free-to-total PSA ratio in the </w:t>
      </w:r>
      <w:proofErr w:type="spellStart"/>
      <w:r w:rsidRPr="00C83EDC">
        <w:rPr>
          <w:lang w:val="en-GB"/>
        </w:rPr>
        <w:t>PCa</w:t>
      </w:r>
      <w:proofErr w:type="spellEnd"/>
      <w:r w:rsidRPr="00C83EDC">
        <w:rPr>
          <w:lang w:val="en-GB"/>
        </w:rPr>
        <w:t xml:space="preserve"> patients with</w:t>
      </w:r>
      <w:r>
        <w:rPr>
          <w:lang w:val="en-GB"/>
        </w:rPr>
        <w:t xml:space="preserve"> </w:t>
      </w:r>
      <w:r w:rsidRPr="00C83EDC">
        <w:rPr>
          <w:lang w:val="en-GB"/>
        </w:rPr>
        <w:t>2.0 to 10.0 ng·ml</w:t>
      </w:r>
      <w:r w:rsidRPr="00C83EDC">
        <w:rPr>
          <w:vertAlign w:val="superscript"/>
          <w:lang w:val="en-GB"/>
        </w:rPr>
        <w:t>−1</w:t>
      </w:r>
      <w:r w:rsidRPr="00C83EDC">
        <w:rPr>
          <w:lang w:val="en-GB"/>
        </w:rPr>
        <w:t xml:space="preserve"> PSA</w:t>
      </w:r>
      <w:r>
        <w:rPr>
          <w:lang w:val="en-GB"/>
        </w:rPr>
        <w:t xml:space="preserve"> levels</w:t>
      </w:r>
      <w:r w:rsidRPr="00C83EDC">
        <w:rPr>
          <w:lang w:val="en-GB"/>
        </w:rPr>
        <w:fldChar w:fldCharType="begin" w:fldLock="1"/>
      </w:r>
      <w:r w:rsidR="000C069C">
        <w:rPr>
          <w:lang w:val="en-GB"/>
        </w:rPr>
        <w:instrText>ADDIN CSL_CITATION {"citationItems":[{"id":"ITEM-1","itemData":{"DOI":"10.1016/j.juro.2010.12.032","ISSN":"00225347","abstract":"Purpose: Prostate specific antigen and free prostate specific antigen have limited specificity to detect clinically significant, curable prostate cancer, leading to unnecessary biopsy, and detection and treatment of some indolent tumors. Specificity to detect clinically significant prostate cancer may be improved by [-2]pro-prostate specific antigen. We evaluated [-2]pro-prostate specific antigen, free prostate specific antigen and prostate specific antigen using the formula, ([-2]pro-prostate specific antigen/free prostate specific antigen × prostate specific antigen1/2) to enhance specificity to detect overall and high grade prostate cancer. Materials and Methods: We enrolled 892 men with no history of prostate cancer, normal rectal examination, prostate specific antigen 2 to 10 ng/ml and 6-core or greater prostate biopsy in a prospective multi-institutional trial. We examined the relationship of serum prostate specific antigen, free-to-total prostate specific antigen and the prostate health index with biopsy results. Primary end points were specificity and AUC using the prostate health index to detect overall and Gleason 7 or greater prostate cancer on biopsy compared with those of free-to-total prostate specific antigen. Results: In the 2 to 10 ng/ml prostate specific antigen range at 80% to 95% sensitivity the specificity and AUC (0.703) of the prostate health index exceeded those of prostate specific antigen and free-to-total prostate specific antigen. An increasing prostate health index was associated with a 4.7-fold increased risk of prostate cancer and a 1.61-fold increased risk of Gleason score greater than or equal to 4 + 3 = 7 disease on biopsy. The AUC of the index exceeded that of free-to-total prostate specific antigen (0.724 vs 0.670) to discriminate prostate cancer with Gleason 4 or greater + 3 from lower grade disease or negative biopsy. Prostate health index results were not associated with age and prostate volume. Conclusions: The prostate health index may be useful in prostate cancer screening to decrease unnecessary biopsy in men 50 years old or older with prostate specific antigen 2 to 10 ng/ml and negative digital rectal examination with minimal loss in sensitivity. © 2011 American Urological Association Education and Research, Inc.","author":[{"dropping-particle":"","family":"Catalona","given":"William J.","non-dropping-particle":"","parse-names":false,"suffix":""},{"dropping-particle":"","family":"Partin","given":"Alan W.","non-dropping-particle":"","parse-names":false,"suffix":""},{"dropping-particle":"","family":"Sanda","given":"Martin G.","non-dropping-particle":"","parse-names":false,"suffix":""},{"dropping-particle":"","family":"Wei","given":"John T.","non-dropping-particle":"","parse-names":false,"suffix":""},{"dropping-particle":"","family":"Klee","given":"George G.","non-dropping-particle":"","parse-names":false,"suffix":""},{"dropping-particle":"","family":"Bangma","given":"Chris H.","non-dropping-particle":"","parse-names":false,"suffix":""},{"dropping-particle":"","family":"Slawin","given":"Kevin M.","non-dropping-particle":"","parse-names":false,"suffix":""},{"dropping-particle":"","family":"Marks","given":"Leonard S.","non-dropping-particle":"","parse-names":false,"suffix":""},{"dropping-particle":"","family":"Loeb","given":"Stacy","non-dropping-particle":"","parse-names":false,"suffix":""},{"dropping-particle":"","family":"Broyles","given":"Dennis L.","non-dropping-particle":"","parse-names":false,"suffix":""},{"dropping-particle":"","family":"Shin","given":"Sanghyuk S.","non-dropping-particle":"","parse-names":false,"suffix":""},{"dropping-particle":"","family":"Cruz","given":"Amabelle B.","non-dropping-particle":"","parse-names":false,"suffix":""},{"dropping-particle":"","family":"Chan","given":"Daniel W.","non-dropping-particle":"","parse-names":false,"suffix":""},{"dropping-particle":"","family":"Sokoll","given":"Lori J.","non-dropping-particle":"","parse-names":false,"suffix":""},{"dropping-particle":"","family":"Roberts","given":"William L.","non-dropping-particle":"","parse-names":false,"suffix":""},{"dropping-particle":"","family":"Schaik","given":"Ron H.N.","non-dropping-particle":"Van","parse-names":false,"suffix":""},{"dropping-particle":"","family":"Mizrahi","given":"Isaac A.","non-dropping-particle":"","parse-names":false,"suffix":""}],"container-title":"Journal of Urology","id":"ITEM-1","issue":"5","issued":{"date-parts":[["2011"]]},"page":"1650-1655","publisher":"American Urological Association Education and Research, Inc.","title":"A multicenter study of [-2]pro-prostate specific antigen combined with prostate specific antigen and free prostate specific antigen for prostate cancer detection in the 2.0 to 10.0 ng/ml prostate specific antigen range","type":"article-journal","volume":"185"},"uris":["http://www.mendeley.com/documents/?uuid=4a0b088c-b580-4ab0-8b71-26ce876c12ea"]}],"mendeley":{"formattedCitation":"&lt;sup&gt;53&lt;/sup&gt;","plainTextFormattedCitation":"53","previouslyFormattedCitation":"[53]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53</w:t>
      </w:r>
      <w:r w:rsidRPr="00C83EDC">
        <w:rPr>
          <w:lang w:val="en-GB"/>
        </w:rPr>
        <w:fldChar w:fldCharType="end"/>
      </w:r>
      <w:r w:rsidRPr="00C83EDC">
        <w:rPr>
          <w:lang w:val="en-GB"/>
        </w:rPr>
        <w:t>.</w:t>
      </w:r>
      <w:r>
        <w:rPr>
          <w:lang w:val="en-GB"/>
        </w:rPr>
        <w:t xml:space="preserve"> </w:t>
      </w:r>
    </w:p>
    <w:p w14:paraId="74F9BEC0" w14:textId="2A6CC7B6" w:rsidR="00EE7EB3" w:rsidRPr="00C83EDC" w:rsidRDefault="00EE7EB3" w:rsidP="00EE7EB3">
      <w:pPr>
        <w:pStyle w:val="Dalodstavce"/>
        <w:rPr>
          <w:lang w:val="en-GB"/>
        </w:rPr>
      </w:pPr>
      <w:r w:rsidRPr="00C83EDC">
        <w:rPr>
          <w:lang w:val="en-GB"/>
        </w:rPr>
        <w:t xml:space="preserve">Another established parameter to evaluate the need for prostate biopsy is PSA density. </w:t>
      </w:r>
      <w:r>
        <w:rPr>
          <w:lang w:val="en-GB"/>
        </w:rPr>
        <w:br/>
      </w:r>
      <w:r w:rsidRPr="00C83EDC">
        <w:rPr>
          <w:lang w:val="en-GB"/>
        </w:rPr>
        <w:t xml:space="preserve">It is defined as PSA serum divided by prostate volume and its value should correspond to the tumour size within the gland. It has been shown that a PSA density increase is associated with higher Gleason score and more aggressive form of the disease. It can also be used as an additional parameter for </w:t>
      </w:r>
      <w:r>
        <w:rPr>
          <w:lang w:val="en-GB"/>
        </w:rPr>
        <w:t xml:space="preserve">the </w:t>
      </w:r>
      <w:r w:rsidRPr="00C83EDC">
        <w:rPr>
          <w:lang w:val="en-GB"/>
        </w:rPr>
        <w:t>prediction of insignificant cancers after radical prostatectomy of organ confined tumours</w:t>
      </w:r>
      <w:r w:rsidRPr="00C83EDC">
        <w:rPr>
          <w:lang w:val="en-GB"/>
        </w:rPr>
        <w:fldChar w:fldCharType="begin" w:fldLock="1"/>
      </w:r>
      <w:r w:rsidR="000C069C">
        <w:rPr>
          <w:lang w:val="en-GB"/>
        </w:rPr>
        <w:instrText>ADDIN CSL_CITATION {"citationItems":[{"id":"ITEM-1","itemData":{"DOI":"10.1016/j.juro.2006.09.039","ISSN":"0022-5347","author":[{"dropping-particle":"","family":"Kundu","given":"Shilajit D","non-dropping-particle":"","parse-names":false,"suffix":""},{"dropping-particle":"","family":"Roehl","given":"Kimberly A","non-dropping-particle":"","parse-names":false,"suffix":""},{"dropping-particle":"","family":"Yu","given":"Xiaoying","non-dropping-particle":"","parse-names":false,"suffix":""},{"dropping-particle":"V","family":"Antenor","given":"Jo Ann","non-dropping-particle":"","parse-names":false,"suffix":""},{"dropping-particle":"","family":"Suarez","given":"Brian K","non-dropping-particle":"","parse-names":false,"suffix":""},{"dropping-particle":"","family":"Catalona","given":"William J","non-dropping-particle":"","parse-names":false,"suffix":""}],"container-title":"Journal of Urology","id":"ITEM-1","issue":"2","issued":{"date-parts":[["2007","2"]]},"page":"505-509","title":"Prostate Specific Antigen Density Correlates With Features of Prostate Cancer Aggressiveness","type":"article-journal","volume":"177"},"uris":["http://www.mendeley.com/documents/?uuid=97a43339-d37a-4cdb-a27f-37e7467be5d4"]}],"mendeley":{"formattedCitation":"&lt;sup&gt;54&lt;/sup&gt;","plainTextFormattedCitation":"54","previouslyFormattedCitation":"[54]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54</w:t>
      </w:r>
      <w:r w:rsidRPr="00C83EDC">
        <w:rPr>
          <w:lang w:val="en-GB"/>
        </w:rPr>
        <w:fldChar w:fldCharType="end"/>
      </w:r>
      <w:r w:rsidRPr="00C83EDC">
        <w:rPr>
          <w:lang w:val="en-GB"/>
        </w:rPr>
        <w:t xml:space="preserve">. However, PSA density is not recommended to evaluate the need for biopsy (at 0.15 cut-off) because it might miss more than half of the cancers in men </w:t>
      </w:r>
      <w:r>
        <w:rPr>
          <w:lang w:val="en-GB"/>
        </w:rPr>
        <w:t xml:space="preserve">with a </w:t>
      </w:r>
      <w:r w:rsidRPr="00C83EDC">
        <w:rPr>
          <w:lang w:val="en-GB"/>
        </w:rPr>
        <w:t>normal DRE or TRUS result and PSA level between 4.1 and 9.9 ng·ml</w:t>
      </w:r>
      <w:r w:rsidRPr="00C83EDC">
        <w:rPr>
          <w:vertAlign w:val="superscript"/>
          <w:lang w:val="en-GB"/>
        </w:rPr>
        <w:t>−1</w:t>
      </w:r>
      <w:r w:rsidRPr="00C83EDC">
        <w:rPr>
          <w:lang w:val="en-GB"/>
        </w:rPr>
        <w:t xml:space="preserve"> compared with the decision based on the PSA serum concentration in the same group of patients</w:t>
      </w:r>
      <w:r w:rsidRPr="00C83EDC">
        <w:rPr>
          <w:lang w:val="en-GB"/>
        </w:rPr>
        <w:fldChar w:fldCharType="begin" w:fldLock="1"/>
      </w:r>
      <w:r w:rsidR="000C069C">
        <w:rPr>
          <w:lang w:val="en-GB"/>
        </w:rPr>
        <w:instrText>ADDIN CSL_CITATION {"citationItems":[{"id":"ITEM-1","itemData":{"DOI":"10.1016/S0022-5347(17)32299-1","ISSN":"00225347","abstract":"We present the results of a prospective multicenter clinical trial of nearly 5,000 men in which prostate specific antigen (PSA) density was compared to the serum PSA concentration alone for early detection of prostate cancer. All men were evaluated with PSA and digital rectal examination. If PSA was elevated (greater than 4 ng./ml., Hybritech Tandem assay) or digital rectal examination was suspicious, transrectal ultrasound guided biopsies were recommended. Prostate volume was estimated by transrectal ultrasound measurements using a prolate ellipse volume calculation and PSA density was calculated by dividing serum PSA concentration by gland volume. Using a PSA density cutoff of 0.15 as recommended in the literature enhanced specificity but at the cost of missing half of the tumors. Of the organ confined neoplasms 47% were detected by a PSA of greater than 4.0 ng./ml. but they were missed by a PSA density of more than 0.15. PSA density may not be predictive for cancer because accurate estimation of transrectal ultrasound volume is difficult (r = 0.61 for estimated transrectal ultrasound volume versus pathological prostate weight). However, a relationship does exist among transrectal ultrasound volume, PSA and positive predictive value for cancer. PSA concentrations of less than 4.0 ng./ml. did not indicate a need for biopsy (positive predictive value 12 to 17%) unless the digital rectal examination findings were suspicious for cancer. A high percentage of patients with a PSA of more than 10 ng./ml. had cancer (30 to 75%), regardless of gland size. Patients with intermediate PSA concentrations (4.1 to 9.9 ng./ml.) and a gland size of 50 cc or less had a 35 to 51% positive predictive value, while those with intermediate PSA concentrations and a large gland (more than 50 cc) had a 15% positive predictive value. We conclude that in men with a PSA level of 4.1 to 9.9 ng./ml., and normal digital rectal examination and transrectal ultrasound findings, the use of a PSA density cutoff of more than 0.15 for biopsy results in half of the tumors being missed. Thus, we recommend that men in this group undergo biopsy based upon serum PSA concentration rather than PSA density.","author":[{"dropping-particle":"","family":"Catalona","given":"W. J.","non-dropping-particle":"","parse-names":false,"suffix":""},{"dropping-particle":"","family":"Richie","given":"J. P.","non-dropping-particle":"","parse-names":false,"suffix":""},{"dropping-particle":"","family":"DeKernion","given":"J. B.","non-dropping-particle":"","parse-names":false,"suffix":""},{"dropping-particle":"","family":"Ahmann","given":"F. R.","non-dropping-particle":"","parse-names":false,"suffix":""},{"dropping-particle":"","family":"Ratliff","given":"T. L.","non-dropping-particle":"","parse-names":false,"suffix":""},{"dropping-particle":"","family":"Dalkin","given":"B. L.","non-dropping-particle":"","parse-names":false,"suffix":""},{"dropping-particle":"","family":"Kavoussi","given":"L. R.","non-dropping-particle":"","parse-names":false,"suffix":""},{"dropping-particle":"","family":"MacFarlane","given":"M. T.","non-dropping-particle":"","parse-names":false,"suffix":""},{"dropping-particle":"","family":"Southwick","given":"P. C.","non-dropping-particle":"","parse-names":false,"suffix":""}],"container-title":"Journal of Urology","id":"ITEM-1","issue":"6 I","issued":{"date-parts":[["1994"]]},"page":"2031-2036","publisher":"The American Urological Association Education and Research, Inc.","title":"Comparison of prostate specific antigen concentration versus prostate specific antigen density in the early detection of prostate cancer: Receiver operating characteristic curves","type":"article-journal","volume":"152"},"uris":["http://www.mendeley.com/documents/?uuid=b945570a-53ef-4b17-8797-5970882a2342"]}],"mendeley":{"formattedCitation":"&lt;sup&gt;55&lt;/sup&gt;","plainTextFormattedCitation":"55","previouslyFormattedCitation":"[55]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55</w:t>
      </w:r>
      <w:r w:rsidRPr="00C83EDC">
        <w:rPr>
          <w:lang w:val="en-GB"/>
        </w:rPr>
        <w:fldChar w:fldCharType="end"/>
      </w:r>
      <w:r w:rsidRPr="00C83EDC">
        <w:rPr>
          <w:lang w:val="en-GB"/>
        </w:rPr>
        <w:t>.</w:t>
      </w:r>
      <w:r>
        <w:rPr>
          <w:vertAlign w:val="superscript"/>
          <w:lang w:val="en-GB"/>
        </w:rPr>
        <w:t xml:space="preserve"> </w:t>
      </w:r>
    </w:p>
    <w:p w14:paraId="2C17BBC5" w14:textId="2BED5857" w:rsidR="00EE7EB3" w:rsidRPr="00C83EDC" w:rsidRDefault="00EE7EB3" w:rsidP="00EE7EB3">
      <w:pPr>
        <w:pStyle w:val="Dalodstavce"/>
        <w:rPr>
          <w:lang w:val="en-GB"/>
        </w:rPr>
      </w:pPr>
      <w:r w:rsidRPr="00C83EDC">
        <w:rPr>
          <w:lang w:val="en-GB"/>
        </w:rPr>
        <w:t>PSA velocity (PSAV) together with PSA doubling time (PSADT) are dynamic parameters that are dependent on the baseline PSA value and show its rate of change over time. PSAV is defined as a change of PSA concentration per year and its higher rate has been associated with the occurrence of prostate cancer</w:t>
      </w:r>
      <w:r w:rsidRPr="00C83EDC">
        <w:rPr>
          <w:lang w:val="en-GB"/>
        </w:rPr>
        <w:fldChar w:fldCharType="begin" w:fldLock="1"/>
      </w:r>
      <w:r w:rsidR="000C069C">
        <w:rPr>
          <w:lang w:val="en-GB"/>
        </w:rPr>
        <w:instrText>ADDIN CSL_CITATION {"citationItems":[{"id":"ITEM-1","itemData":{"DOI":"10.1126/scitranslmed.3003180","ISSN":"19466234","PMID":"22461644","abstract":"Since the introduction of serum prostate-specific antigen (PSA) screening 25 years ago, prostate cancer diagnosis and management have been guided by this biomarker. Yet, PSA has proven controversial as a screening assay owing to several inherent limitations. The next wave of prostate cancer biomarkers has emerged, introducing new assays in serum and urine that may supplement or, in time, replace PSA because of their higher cancer specificity. This expanding universe of biomarkers has been facilitated, in large part, by new genomic technologies that have enabled an unbiased look at cancer biology. Such efforts have produced several notable success stories that involve rapidly moving biomarkers from the bench to the clinic. However, biomarker research has centered on disease diagnostics, rather than prognosis and prediction, which would address disease management. The development of biomarkers to stratify risk of prostate cancer aggressiveness at the time of screening remains the greatest unmet clinical need in prostate cancer. We review the current state of prostate cancer biomarker research, including the PSA revolution, its impact on early cancer detection, the recent advances in biomarker discovery, and the future efforts that promise to improve clinical management of this disease.","author":[{"dropping-particle":"","family":"Prensner","given":"John R.","non-dropping-particle":"","parse-names":false,"suffix":""},{"dropping-particle":"","family":"Rubin","given":"Mark A.","non-dropping-particle":"","parse-names":false,"suffix":""},{"dropping-particle":"","family":"Wei","given":"John T.","non-dropping-particle":"","parse-names":false,"suffix":""},{"dropping-particle":"","family":"Chinnaiyan","given":"Arul M.","non-dropping-particle":"","parse-names":false,"suffix":""}],"container-title":"Science Translational Medicine","id":"ITEM-1","issue":"127","issued":{"date-parts":[["2012"]]},"title":"Beyond PSA: The next generation of prostate cancer biomarkers","type":"article-journal","volume":"4"},"uris":["http://www.mendeley.com/documents/?uuid=55cf1895-6403-4d96-ac5d-748faabff539"]},{"id":"ITEM-2","itemData":{"DOI":"10.1002/pros.2990270106","ISSN":"10970045","abstract":"Androgens are thought to play a role in the pathogenesis of prostate cancer. We evaluated androgen levels in 3 age‐matched groups of men who were part of the Baltimore Longitudinal Study of Aging: 1) 16 men with no prostatic disease by urologic history and exam (control group); 2) 20 men with a histologic diagnosis of benign prostatic hyperplasia (BPH) who had undergone simple prostatectomy; and 3) 20 men with a histologic diagnosis of prostate cancer (16 with local/regional cancer, and 4 with metastatic cancer). Luteinizing hormone (LH), total testosterone (T), and free T were measured on stored AM sera by radioimmunoassay (RIA). Free T was also calculated from the measured concentrations of total T and sex hormone binding globulin (SHBG). The median number of repeated sex steroid measurements ranged from 6–9 over a period from 7–25 years prior to the diagnosis of prostate disease. There were no significant differences in age‐adjusted LH, total T, SHBG, or calculated free T levels among the groups at 0–5, 5–10, and 10–15 years before diagnosis. These data suggest that there are no measurable differences in serum testosterone levels among men who are destined to develop prostate cancer and those without the disease. © 1995 Wiley‐Liss, Inc. Copyright © 1995 Wiley‐Liss, Inc., A Wiley Company","author":[{"dropping-particle":"","family":"Carter","given":"H. Ballentine","non-dropping-particle":"","parse-names":false,"suffix":""},{"dropping-particle":"","family":"Pearson","given":"Jay D.","non-dropping-particle":"","parse-names":false,"suffix":""},{"dropping-particle":"","family":"Metter","given":"E. Jeffrey","non-dropping-particle":"","parse-names":false,"suffix":""},{"dropping-particle":"","family":"Chan","given":"Daniel W.","non-dropping-particle":"","parse-names":false,"suffix":""},{"dropping-particle":"","family":"Andres","given":"Reubin","non-dropping-particle":"","parse-names":false,"suffix":""},{"dropping-particle":"","family":"Fozard","given":"James L.","non-dropping-particle":"","parse-names":false,"suffix":""},{"dropping-particle":"","family":"Rosner","given":"William","non-dropping-particle":"","parse-names":false,"suffix":""},{"dropping-particle":"","family":"Walsh","given":"Patrick C.","non-dropping-particle":"","parse-names":false,"suffix":""}],"container-title":"The Prostate","id":"ITEM-2","issue":"1","issued":{"date-parts":[["1995"]]},"page":"25-31","title":"Longitudinal evaluation of serum androgen levels in men with and without prostate cancer","type":"article-journal","volume":"27"},"uris":["http://www.mendeley.com/documents/?uuid=314654d8-1fa5-4727-99c0-ec5a35795416"]}],"mendeley":{"formattedCitation":"&lt;sup&gt;43,56&lt;/sup&gt;","plainTextFormattedCitation":"43,56","previouslyFormattedCitation":"[43], [56]"},"properties":{"noteIndex":0},"schema":"https://github.com/citation-style-language/schema/raw/master/csl-citation.json"}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43,56</w:t>
      </w:r>
      <w:r w:rsidRPr="00C83EDC">
        <w:rPr>
          <w:lang w:val="en-GB"/>
        </w:rPr>
        <w:fldChar w:fldCharType="end"/>
      </w:r>
      <w:r w:rsidRPr="00C83EDC">
        <w:rPr>
          <w:lang w:val="en-GB"/>
        </w:rPr>
        <w:t xml:space="preserve">. D’ Amico </w:t>
      </w:r>
      <w:r w:rsidRPr="00C83EDC">
        <w:rPr>
          <w:i/>
          <w:iCs/>
          <w:lang w:val="en-GB"/>
        </w:rPr>
        <w:t>et al.</w:t>
      </w:r>
      <w:r w:rsidRPr="00C83EDC">
        <w:rPr>
          <w:lang w:val="en-GB"/>
        </w:rPr>
        <w:t xml:space="preserve"> evaluated the risk of men dying from prostate cancer after radical prostatectomy and concluded that annual PSA</w:t>
      </w:r>
      <w:r>
        <w:rPr>
          <w:lang w:val="en-GB"/>
        </w:rPr>
        <w:t>V</w:t>
      </w:r>
      <w:r w:rsidRPr="00C83EDC">
        <w:rPr>
          <w:lang w:val="en-GB"/>
        </w:rPr>
        <w:t xml:space="preserve"> over </w:t>
      </w:r>
      <w:r>
        <w:rPr>
          <w:lang w:val="en-GB"/>
        </w:rPr>
        <w:br/>
      </w:r>
      <w:r w:rsidRPr="00C83EDC">
        <w:rPr>
          <w:lang w:val="en-GB"/>
        </w:rPr>
        <w:t>2.0 ng·ml</w:t>
      </w:r>
      <w:r w:rsidRPr="00C83EDC">
        <w:rPr>
          <w:vertAlign w:val="superscript"/>
          <w:lang w:val="en-GB"/>
        </w:rPr>
        <w:t>−1</w:t>
      </w:r>
      <w:r w:rsidRPr="00C83EDC">
        <w:rPr>
          <w:lang w:val="en-GB"/>
        </w:rPr>
        <w:t xml:space="preserve"> was associated with </w:t>
      </w:r>
      <w:r>
        <w:rPr>
          <w:lang w:val="en-GB"/>
        </w:rPr>
        <w:t xml:space="preserve">an </w:t>
      </w:r>
      <w:r w:rsidRPr="00C83EDC">
        <w:rPr>
          <w:lang w:val="en-GB"/>
        </w:rPr>
        <w:t xml:space="preserve">almost ten times higher relative risk of death </w:t>
      </w:r>
      <w:r>
        <w:rPr>
          <w:lang w:val="en-GB"/>
        </w:rPr>
        <w:t xml:space="preserve">when </w:t>
      </w:r>
      <w:r w:rsidRPr="00C83EDC">
        <w:rPr>
          <w:lang w:val="en-GB"/>
        </w:rPr>
        <w:t>compared to the</w:t>
      </w:r>
      <w:r>
        <w:rPr>
          <w:lang w:val="en-GB"/>
        </w:rPr>
        <w:t xml:space="preserve"> value of </w:t>
      </w:r>
      <w:r w:rsidRPr="00C83EDC">
        <w:rPr>
          <w:lang w:val="en-GB"/>
        </w:rPr>
        <w:t>2.0 ng·ml</w:t>
      </w:r>
      <w:r w:rsidRPr="00C83EDC">
        <w:rPr>
          <w:vertAlign w:val="superscript"/>
          <w:lang w:val="en-GB"/>
        </w:rPr>
        <w:t>−1</w:t>
      </w:r>
      <w:r w:rsidRPr="00C83EDC">
        <w:rPr>
          <w:lang w:val="en-GB"/>
        </w:rPr>
        <w:t xml:space="preserve"> or less</w:t>
      </w:r>
      <w:r w:rsidRPr="00C83EDC">
        <w:rPr>
          <w:lang w:val="en-GB"/>
        </w:rPr>
        <w:fldChar w:fldCharType="begin" w:fldLock="1"/>
      </w:r>
      <w:r w:rsidR="000C069C">
        <w:rPr>
          <w:lang w:val="en-GB"/>
        </w:rPr>
        <w:instrText>ADDIN CSL_CITATION {"citationItems":[{"id":"ITEM-1","itemData":{"DOI":"10.1056/NEJMoa032975","ISSN":"0028-4793","author":[{"dropping-particle":"V.","family":"D'Amico","given":"Anthony","non-dropping-particle":"","parse-names":false,"suffix":""},{"dropping-particle":"","family":"Chen","given":"Ming-Hui","non-dropping-particle":"","parse-names":false,"suffix":""},{"dropping-particle":"","family":"Roehl","given":"Kimberly A.","non-dropping-particle":"","parse-names":false,"suffix":""},{"dropping-particle":"","family":"Catalona","given":"William J.","non-dropping-particle":"","parse-names":false,"suffix":""}],"container-title":"New England Journal of Medicine","id":"ITEM-1","issue":"2","issued":{"date-parts":[["2004","7","8"]]},"page":"125-135","title":"Preoperative PSA Velocity and the Risk of Death from Prostate Cancer after Radical Prostatectomy","type":"article-journal","volume":"351"},"uris":["http://www.mendeley.com/documents/?uuid=470a18ce-acf0-4708-890b-da86561f1463"]}],"mendeley":{"formattedCitation":"&lt;sup&gt;57&lt;/sup&gt;","plainTextFormattedCitation":"57","previouslyFormattedCitation":"[57]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57</w:t>
      </w:r>
      <w:r w:rsidRPr="00C83EDC">
        <w:rPr>
          <w:lang w:val="en-GB"/>
        </w:rPr>
        <w:fldChar w:fldCharType="end"/>
      </w:r>
      <w:r w:rsidRPr="00C83EDC">
        <w:rPr>
          <w:lang w:val="en-GB"/>
        </w:rPr>
        <w:t>. Another study found significantly increased PSA</w:t>
      </w:r>
      <w:r>
        <w:rPr>
          <w:lang w:val="en-GB"/>
        </w:rPr>
        <w:t>V</w:t>
      </w:r>
      <w:r w:rsidRPr="00C83EDC">
        <w:rPr>
          <w:lang w:val="en-GB"/>
        </w:rPr>
        <w:t xml:space="preserve"> in men with prostate cancer up to 20 years before diagnosis. However, when the authors compared predictive accuracy of PSA</w:t>
      </w:r>
      <w:r>
        <w:rPr>
          <w:lang w:val="en-GB"/>
        </w:rPr>
        <w:t>V</w:t>
      </w:r>
      <w:r w:rsidRPr="00C83EDC">
        <w:rPr>
          <w:lang w:val="en-GB"/>
        </w:rPr>
        <w:t xml:space="preserve"> with PSA alone, they have found no additional predictive value contributed by PSAV</w:t>
      </w:r>
      <w:r w:rsidRPr="00C83EDC">
        <w:rPr>
          <w:lang w:val="en-GB"/>
        </w:rPr>
        <w:fldChar w:fldCharType="begin" w:fldLock="1"/>
      </w:r>
      <w:r w:rsidR="000C069C">
        <w:rPr>
          <w:lang w:val="en-GB"/>
        </w:rPr>
        <w:instrText>ADDIN CSL_CITATION {"citationItems":[{"id":"ITEM-1","itemData":{"DOI":"10.1200/JCO.2007.13.1490","ISSN":"0732183X","abstract":"Purpose: We tested whether total prostate-specific antigen velocity (tPSAv) improves accuracy of a model using PSA level to predict long-term risk of prostate cancer diagnosis. Methods: During 1974 to 1986 in a preventive medicine study in Sweden, 5,722 men aged ≤ 50 gave two blood samples about 6 years apart. We measured free (fPSA) and total PSA (tPSA) in archived plasma samples from 4,907 participants. Prostate cancer was subsequently diagnosed in 443 (9%) men. Cox proportional hazards regression was used to evaluate tPSA and tPSAv as predictors of prostate cancer. Predictive accuracy was assessed by the concordance index. Results: The median time from second blood draw to cancer diagnosis was 16 years; median follow-up for men without prostate cancer was 21 years. In univariate models, tPSA level at second assessment and tPSAv between first and second assessments were associated with prostate cancer (both P &lt; .001). tPSAv was highly correlated with tPSA level (r = 0.93). Twenty-year probabilities of cancer for men at 50th, 90th, and 95th percentile of tPSA and tPSAv were 10.6%, 17.1%, and 21.2% for tPSA, and 9.1%, 11.8%, and 14.1% for tPSAv, respectively. The concordance index for tPSA level was 0.771. Adding tPSAv, fPSA, %fPSA or velocities of fPSA and %fPSA did not importantly increase accuracy of tPSA to predict prostate cancer. Results were unchanged if the analysis was restricted to patients with advanced cancer at diagnosis. Conclusion: Although PSA velocity is significantly increased in men with prostate cancer up to two decades before diagnosis, it does not aid long-term prediction of prostate cancer. © 2008 by American Society of Clinical Oncology.","author":[{"dropping-particle":"","family":"Ulmert","given":"David","non-dropping-particle":"","parse-names":false,"suffix":""},{"dropping-particle":"","family":"Serio","given":"Angel M.","non-dropping-particle":"","parse-names":false,"suffix":""},{"dropping-particle":"","family":"O'Brien","given":"Matthew F.","non-dropping-particle":"","parse-names":false,"suffix":""},{"dropping-particle":"","family":"Becker","given":"Charlotte","non-dropping-particle":"","parse-names":false,"suffix":""},{"dropping-particle":"","family":"Eastham","given":"James A.","non-dropping-particle":"","parse-names":false,"suffix":""},{"dropping-particle":"","family":"Scardino","given":"Peter T.","non-dropping-particle":"","parse-names":false,"suffix":""},{"dropping-particle":"","family":"Björk","given":"Thomas","non-dropping-particle":"","parse-names":false,"suffix":""},{"dropping-particle":"","family":"Berglund","given":"Göran","non-dropping-particle":"","parse-names":false,"suffix":""},{"dropping-particle":"","family":"Vickers","given":"Andrew J.","non-dropping-particle":"","parse-names":false,"suffix":""},{"dropping-particle":"","family":"Lilja","given":"Hans","non-dropping-particle":"","parse-names":false,"suffix":""}],"container-title":"Journal of Clinical Oncology","id":"ITEM-1","issue":"6","issued":{"date-parts":[["2008"]]},"page":"835-841","title":"Long-term prediction of prostate cancer: Prostate-specific antigen (PSA) velocity is predictive but does not improve the predictive accuracy of a single PSA measurement 15 years or more before cancer diagnosis in a large, representative, unscreened popula","type":"article-journal","volume":"26"},"uris":["http://www.mendeley.com/documents/?uuid=5c746a05-986e-4a16-b887-1106902c5be8"]}],"mendeley":{"formattedCitation":"&lt;sup&gt;58&lt;/sup&gt;","plainTextFormattedCitation":"58","previouslyFormattedCitation":"[58]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58</w:t>
      </w:r>
      <w:r w:rsidRPr="00C83EDC">
        <w:rPr>
          <w:lang w:val="en-GB"/>
        </w:rPr>
        <w:fldChar w:fldCharType="end"/>
      </w:r>
      <w:r w:rsidRPr="00C83EDC">
        <w:rPr>
          <w:lang w:val="en-GB"/>
        </w:rPr>
        <w:t>.</w:t>
      </w:r>
    </w:p>
    <w:p w14:paraId="258B3D53" w14:textId="378654F1" w:rsidR="00EE7EB3" w:rsidRPr="00C83EDC" w:rsidRDefault="00EE7EB3" w:rsidP="00EE7EB3">
      <w:pPr>
        <w:pStyle w:val="Dalodstavce"/>
        <w:rPr>
          <w:lang w:val="en-GB"/>
        </w:rPr>
      </w:pPr>
      <w:r w:rsidRPr="00C83EDC">
        <w:rPr>
          <w:lang w:val="en-GB"/>
        </w:rPr>
        <w:t>PSA</w:t>
      </w:r>
      <w:r>
        <w:rPr>
          <w:lang w:val="en-GB"/>
        </w:rPr>
        <w:t>DT</w:t>
      </w:r>
      <w:r w:rsidRPr="00C83EDC">
        <w:rPr>
          <w:lang w:val="en-GB"/>
        </w:rPr>
        <w:t xml:space="preserve"> represent</w:t>
      </w:r>
      <w:r>
        <w:rPr>
          <w:lang w:val="en-GB"/>
        </w:rPr>
        <w:t>s</w:t>
      </w:r>
      <w:r w:rsidRPr="00C83EDC">
        <w:rPr>
          <w:lang w:val="en-GB"/>
        </w:rPr>
        <w:t xml:space="preserve"> the time </w:t>
      </w:r>
      <w:r>
        <w:rPr>
          <w:lang w:val="en-GB"/>
        </w:rPr>
        <w:t>i</w:t>
      </w:r>
      <w:r w:rsidRPr="00C83EDC">
        <w:rPr>
          <w:lang w:val="en-GB"/>
        </w:rPr>
        <w:t>t takes for the baseline PSA to double. It is most often used for predicting treatment outcomes and is associated with the length of survival</w:t>
      </w:r>
      <w:r w:rsidRPr="00C83EDC">
        <w:rPr>
          <w:lang w:val="en-GB"/>
        </w:rPr>
        <w:fldChar w:fldCharType="begin" w:fldLock="1"/>
      </w:r>
      <w:r w:rsidR="000C069C">
        <w:rPr>
          <w:lang w:val="en-GB"/>
        </w:rPr>
        <w:instrText>ADDIN CSL_CITATION {"citationItems":[{"id":"ITEM-1","itemData":{"DOI":"10.1016/j.canlet.2006.12.022","ISSN":"03043835","abstract":"Currently, in the United States (US), most prostate cancers are diagnosed through screening with digital rectal examination (DRE) and measurement of serum prostate-specific antigen (PSA). The serum PSA level correlates directly with prostate cancer risk and aggressiveness, as well as the outcomes after treatment. PSA testing is also useful in monitoring patients for tumor recurrence after treatment. PSA testing has limited specificity for prostate cancer detection, and its appropriate clinical application has been the topic of debate. Accordingly, several variations on the PSA measurement have emerged as useful adjuncts for prostate cancer screening. These take into consideration additional factors, such as the proportion of different PSA isoforms (free PSA, complexed PSA, pro-PSA and B PSA), the prostate volume (PSA density), and the rate of change in PSA levels over time (PSA velocity or PSA doubling time). Widespread PSA screening is associated with a 75% reduction in the proportion of men who present with metastatic disease since 1985-89 in the US and a 32.5% reduction in the age-adjusted prostate cancer mortality rate through 2003. The history and evidence underlying each of these parameters are reviewed in the following article. © 2006 Elsevier Ireland Ltd. All rights reserved.","author":[{"dropping-particle":"","family":"Loeb","given":"Stacy","non-dropping-particle":"","parse-names":false,"suffix":""},{"dropping-particle":"","family":"Catalona","given":"William J.","non-dropping-particle":"","parse-names":false,"suffix":""}],"container-title":"Cancer Letters","id":"ITEM-1","issue":"1","issued":{"date-parts":[["2007"]]},"page":"30-39","title":"Prostate-specific antigen in clinical practice","type":"article-journal","volume":"249"},"uris":["http://www.mendeley.com/documents/?uuid=bcdd9e5d-b629-4b83-9d15-5da85cb009f1"]}],"mendeley":{"formattedCitation":"&lt;sup&gt;45&lt;/sup&gt;","plainTextFormattedCitation":"45","previouslyFormattedCitation":"[45]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45</w:t>
      </w:r>
      <w:r w:rsidRPr="00C83EDC">
        <w:rPr>
          <w:lang w:val="en-GB"/>
        </w:rPr>
        <w:fldChar w:fldCharType="end"/>
      </w:r>
      <w:r w:rsidRPr="00C83EDC">
        <w:rPr>
          <w:lang w:val="en-GB"/>
        </w:rPr>
        <w:t xml:space="preserve">. As </w:t>
      </w:r>
      <w:r w:rsidR="0048503A">
        <w:rPr>
          <w:lang w:val="en-GB"/>
        </w:rPr>
        <w:br/>
      </w:r>
      <w:r w:rsidRPr="00C83EDC">
        <w:rPr>
          <w:lang w:val="en-GB"/>
        </w:rPr>
        <w:lastRenderedPageBreak/>
        <w:t xml:space="preserve">a prognostic tool, it can be used in patients after radiation therapy or radical prostatectomy. For instance, </w:t>
      </w:r>
      <w:r>
        <w:rPr>
          <w:lang w:val="en-GB"/>
        </w:rPr>
        <w:t>PSADT</w:t>
      </w:r>
      <w:r w:rsidRPr="00C83EDC">
        <w:rPr>
          <w:lang w:val="en-GB"/>
        </w:rPr>
        <w:t xml:space="preserve"> of less than three months has been associated with high risk cancer and disease mortality of almost 100%</w:t>
      </w:r>
      <w:bookmarkStart w:id="35" w:name="_Hlk43140903"/>
      <w:r w:rsidRPr="00C83EDC">
        <w:rPr>
          <w:lang w:val="en-GB"/>
        </w:rPr>
        <w:fldChar w:fldCharType="begin" w:fldLock="1"/>
      </w:r>
      <w:r w:rsidR="000C069C">
        <w:rPr>
          <w:lang w:val="en-GB"/>
        </w:rPr>
        <w:instrText>ADDIN CSL_CITATION {"citationItems":[{"id":"ITEM-1","itemData":{"DOI":"10.1016/j.juro.2008.01.099","ISBN":"3014028606","ISSN":"00225347","abstract":"Purpose: Prostate specific antigen is a glycoprotein found almost exclusively in normal and neoplastic prostate cells. Prostate specific antigen doubling time, or the change in prostate specific antigen over time, has emerged as a useful predictive marker for assessing disease outcome in patients with prostate cancer. It is important to agree on definitions and values for the calculation of prostate specific antigen doubling time, and to develop a common approach to outcome analysis and reporting. Materials and Methods: In September 2006 a conference was held at the National Cancer Institute in Bethesda, Maryland to define these parameters and develop guidelines for their use. Results: The Prostate Specific Antigen Working Group defined criteria regarding prostate specific antigen doubling time including the calculation of prostate specific antigen doubling time, evidence to support prostate specific antigen doubling time as a predictive factor in the setting of biochemical recurrence and the use of prostate specific antigen doubling time as a stratification factor in clinical trials. Conclusions: We propose that investigators calculate prostate specific antigen doubling time before enrolling patients in clinical studies and calculate it as an additional measurement of therapeutic activity. We believe we have developed practical guidelines for the calculation of prostate specific antigen doubling time and its use as a measurement of prognosis and outcome. Furthermore, the use of common standards for prostate specific antigen doubling time in clinical trials is important as we determine which treatments should progress to randomized trials in which \"hard\" end points such as survival will be used. © 2008 American Urological Association.","author":[{"dropping-particle":"","family":"Arlen","given":"Philip M.","non-dropping-particle":"","parse-names":false,"suffix":""},{"dropping-particle":"","family":"Bianco","given":"Fernando","non-dropping-particle":"","parse-names":false,"suffix":""},{"dropping-particle":"","family":"Dahut","given":"William L.","non-dropping-particle":"","parse-names":false,"suffix":""},{"dropping-particle":"","family":"D'Amico","given":"Anthony","non-dropping-particle":"","parse-names":false,"suffix":""},{"dropping-particle":"","family":"Figg","given":"William D.","non-dropping-particle":"","parse-names":false,"suffix":""},{"dropping-particle":"","family":"Freedland","given":"Stephen J.","non-dropping-particle":"","parse-names":false,"suffix":""},{"dropping-particle":"","family":"Gulley","given":"James L.","non-dropping-particle":"","parse-names":false,"suffix":""},{"dropping-particle":"","family":"Kantoff","given":"Philip W.","non-dropping-particle":"","parse-names":false,"suffix":""},{"dropping-particle":"","family":"Kattan","given":"Michael W.","non-dropping-particle":"","parse-names":false,"suffix":""},{"dropping-particle":"","family":"Lee","given":"Andrew","non-dropping-particle":"","parse-names":false,"suffix":""},{"dropping-particle":"","family":"Regan","given":"Meredith M.","non-dropping-particle":"","parse-names":false,"suffix":""},{"dropping-particle":"","family":"Sartor","given":"Oliver","non-dropping-particle":"","parse-names":false,"suffix":""}],"container-title":"Journal of Urology","id":"ITEM-1","issue":"6","issued":{"date-parts":[["2008"]]},"page":"2181-2186","title":"Prostate Specific Antigen Working Group Guidelines on Prostate Specific Antigen Doubling Time","type":"article-journal","volume":"179"},"uris":["http://www.mendeley.com/documents/?uuid=f1bbb53d-4f29-4d10-ab99-791bb043407a"]}],"mendeley":{"formattedCitation":"&lt;sup&gt;59&lt;/sup&gt;","plainTextFormattedCitation":"59","previouslyFormattedCitation":"[59]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59</w:t>
      </w:r>
      <w:r w:rsidRPr="00C83EDC">
        <w:rPr>
          <w:lang w:val="en-GB"/>
        </w:rPr>
        <w:fldChar w:fldCharType="end"/>
      </w:r>
      <w:bookmarkEnd w:id="35"/>
      <w:r w:rsidRPr="00C83EDC">
        <w:rPr>
          <w:lang w:val="en-GB"/>
        </w:rPr>
        <w:t xml:space="preserve">. Although both </w:t>
      </w:r>
      <w:r>
        <w:rPr>
          <w:lang w:val="en-GB"/>
        </w:rPr>
        <w:t xml:space="preserve">PSAV and PSADT </w:t>
      </w:r>
      <w:r w:rsidRPr="00C83EDC">
        <w:rPr>
          <w:lang w:val="en-GB"/>
        </w:rPr>
        <w:t xml:space="preserve">have a prognostic role during prostate cancer treatment, they are not recommended for diagnostic purposes because of interfering factors (total prostate volume, and BPH), different intervals between PSA measurements, </w:t>
      </w:r>
      <w:r>
        <w:rPr>
          <w:lang w:val="en-GB"/>
        </w:rPr>
        <w:t xml:space="preserve">and </w:t>
      </w:r>
      <w:r w:rsidRPr="00C83EDC">
        <w:rPr>
          <w:lang w:val="en-GB"/>
        </w:rPr>
        <w:t xml:space="preserve">acceleration/deceleration of PSAV and PSADT over time. Their predictive accuracy </w:t>
      </w:r>
      <w:r>
        <w:rPr>
          <w:lang w:val="en-GB"/>
        </w:rPr>
        <w:t xml:space="preserve">for diagnosis </w:t>
      </w:r>
      <w:r w:rsidRPr="00C83EDC">
        <w:rPr>
          <w:lang w:val="en-GB"/>
        </w:rPr>
        <w:t>is comparable to using PSA alone</w:t>
      </w:r>
      <w:r w:rsidRPr="00C83EDC">
        <w:rPr>
          <w:lang w:val="en-GB"/>
        </w:rPr>
        <w:fldChar w:fldCharType="begin" w:fldLock="1"/>
      </w:r>
      <w:r w:rsidR="000C069C">
        <w:rPr>
          <w:lang w:val="en-GB"/>
        </w:rPr>
        <w:instrText>ADDIN CSL_CITATION {"citationItems":[{"id":"ITEM-1","itemData":{"ISBN":"978-94-92671-05-9","author":[{"dropping-particle":"","family":"N. Mottet","given":"van den Bergh","non-dropping-particle":"","parse-names":false,"suffix":""},{"dropping-particle":"","family":"E. Briers","given":"P. Cornford","non-dropping-particle":"","parse-names":false,"suffix":""},{"dropping-particle":"","family":"J. Grummet","given":"A.M. Henry M. De Santis S. Fanti S. Gillessen","non-dropping-particle":"","parse-names":false,"suffix":""},{"dropping-particle":"","family":"T.H. van der Kwast","given":"H.G. van der Poel T.B. Lam M.D. Mason","non-dropping-particle":"","parse-names":false,"suffix":""},{"dropping-particle":"","family":"D. Tilki","given":"T. Wiegel O. Rouvière","non-dropping-particle":"","parse-names":false,"suffix":""},{"dropping-particle":"","family":"Guidelines Associates: T. Van den Broeck","given":"M. Cumberbatch","non-dropping-particle":"","parse-names":false,"suffix":""},{"dropping-particle":"","family":"L. Moris","given":"I.G. Schoots N. Fossati T. Gross M. Lardas M. Liew","non-dropping-particle":"","parse-names":false,"suffix":""},{"dropping-particle":"","family":"Willemse","given":"P-P.M.","non-dropping-particle":"","parse-names":false,"suffix":""}],"container-title":"European Association of Urology Guidelines 2019","id":"ITEM-1","issued":{"date-parts":[["2019"]]},"number-of-pages":"1-161","title":"EAU - EANM - ESTRO - ESUR - SIOG Guidelines on Prostate Cancer 2019","type":"book","volume":"53"},"uris":["http://www.mendeley.com/documents/?uuid=4af825b6-f2a0-4cc7-9a5a-61ee5d11b8e8"]}],"mendeley":{"formattedCitation":"&lt;sup&gt;41&lt;/sup&gt;","plainTextFormattedCitation":"41","previouslyFormattedCitation":"[41]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41</w:t>
      </w:r>
      <w:r w:rsidRPr="00C83EDC">
        <w:rPr>
          <w:lang w:val="en-GB"/>
        </w:rPr>
        <w:fldChar w:fldCharType="end"/>
      </w:r>
      <w:r w:rsidRPr="00C83EDC">
        <w:rPr>
          <w:lang w:val="en-GB"/>
        </w:rPr>
        <w:t>.</w:t>
      </w:r>
    </w:p>
    <w:p w14:paraId="69BC5AF0" w14:textId="57A000D6" w:rsidR="00EE7EB3" w:rsidRPr="00C83EDC" w:rsidRDefault="00EE7EB3" w:rsidP="00EE7EB3">
      <w:pPr>
        <w:pStyle w:val="Odstavec1"/>
        <w:ind w:firstLine="482"/>
        <w:rPr>
          <w:lang w:val="en-GB"/>
        </w:rPr>
      </w:pPr>
      <w:r w:rsidRPr="00C83EDC">
        <w:rPr>
          <w:lang w:val="en-GB"/>
        </w:rPr>
        <w:t>Apart from PSA derivatives, attempts to improve low PSA specificity include detection of circulating tumour cells, cell-free DNA, circulating RNA, proteins, peptides, as well as exosomes</w:t>
      </w:r>
      <w:r w:rsidRPr="00C83EDC">
        <w:rPr>
          <w:lang w:val="en-GB"/>
        </w:rPr>
        <w:fldChar w:fldCharType="begin" w:fldLock="1"/>
      </w:r>
      <w:r w:rsidR="000C069C">
        <w:rPr>
          <w:lang w:val="en-GB"/>
        </w:rPr>
        <w:instrText>ADDIN CSL_CITATION {"citationItems":[{"id":"ITEM-1","itemData":{"DOI":"10.1186/s12943-017-0644-5","ISSN":"14764598","PMID":"28410618","abstract":"There is a growing trend towards exploring the use of a minimally invasive \"liquid biopsy\" to identify biomarkers in a number of cancers, including urologic malignancies. Multiple aspects can be assessed in circulating cell-free DNA, including cell-free DNA levels, integrity, methylation and mutations. Other prospective liquid biopsy markers include circulating tumor cells, circulating RNAs (miRNA, lncRNAs and mRNAs), cell-free proteins, peptides and exosomes have also emerged as non-invasive cancer biomarkers. These circulating molecules can be detected in various biological fluids, including blood, urine, saliva and seminal plasma. Liquid biopsies hold great promise for personalized medicine due to their ability to provide multiple non-invasive global snapshots of the primary and metastatic tumors. Molecular profiling of circulating molecules has been a stepping-stone to the successful introduction of several non-invasive multi-marker tests into the clinic. In this review, we provide an overview of the current state of cell-free DNA-based kidney, prostate and bladder cancer biomarker research and discuss the potential utility other circulating molecules. We will also discuss the challenges and limitations facing non-invasive cancer biomarker discovery and the benefits of this growing area of translational research.","author":[{"dropping-particle":"","family":"Meo","given":"Ashley","non-dropping-particle":"Di","parse-names":false,"suffix":""},{"dropping-particle":"","family":"Bartlett","given":"Jenni","non-dropping-particle":"","parse-names":false,"suffix":""},{"dropping-particle":"","family":"Cheng","given":"Yufeng","non-dropping-particle":"","parse-names":false,"suffix":""},{"dropping-particle":"","family":"Pasic","given":"Maria D.","non-dropping-particle":"","parse-names":false,"suffix":""},{"dropping-particle":"","family":"Yousef","given":"George M.","non-dropping-particle":"","parse-names":false,"suffix":""}],"container-title":"Molecular Cancer","id":"ITEM-1","issue":"1","issued":{"date-parts":[["2017"]]},"page":"1-14","publisher":"Molecular Cancer","title":"Liquid biopsy: A step forward towards precision medicine in urologic malignancies","type":"article-journal","volume":"16"},"uris":["http://www.mendeley.com/documents/?uuid=8d0cb6ad-8445-4a7a-8f87-8cb6ad5f14f5"]}],"mendeley":{"formattedCitation":"&lt;sup&gt;60&lt;/sup&gt;","plainTextFormattedCitation":"60","previouslyFormattedCitation":"[60]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60</w:t>
      </w:r>
      <w:r w:rsidRPr="00C83EDC">
        <w:rPr>
          <w:lang w:val="en-GB"/>
        </w:rPr>
        <w:fldChar w:fldCharType="end"/>
      </w:r>
      <w:r w:rsidRPr="00C83EDC">
        <w:rPr>
          <w:lang w:val="en-GB"/>
        </w:rPr>
        <w:t>. The gene coding for prostate cancer gene 3 (</w:t>
      </w:r>
      <w:r w:rsidRPr="00C83EDC">
        <w:rPr>
          <w:i/>
          <w:iCs/>
          <w:lang w:val="en-GB"/>
        </w:rPr>
        <w:t>PCA3</w:t>
      </w:r>
      <w:r w:rsidRPr="00C83EDC">
        <w:rPr>
          <w:lang w:val="en-GB"/>
        </w:rPr>
        <w:t xml:space="preserve">) is located on chromosome </w:t>
      </w:r>
      <w:r>
        <w:rPr>
          <w:lang w:val="en-GB"/>
        </w:rPr>
        <w:br/>
      </w:r>
      <w:r w:rsidRPr="00C83EDC">
        <w:rPr>
          <w:lang w:val="en-GB"/>
        </w:rPr>
        <w:t>9q21–22. The gene transcript, a non-coding RNA, is specific to normal prostate and BPH tissue and its overexpression was detected in prostate cancer tissue samples</w:t>
      </w:r>
      <w:r w:rsidRPr="00C83EDC">
        <w:rPr>
          <w:lang w:val="en-GB"/>
        </w:rPr>
        <w:fldChar w:fldCharType="begin" w:fldLock="1"/>
      </w:r>
      <w:r w:rsidR="000C069C">
        <w:rPr>
          <w:lang w:val="en-GB"/>
        </w:rPr>
        <w:instrText>ADDIN CSL_CITATION {"citationItems":[{"id":"ITEM-1","itemData":{"ISSN":"00085472","PMID":"10606244","abstract":"Prostate cancer is the most commonly diagnosed malignancy and the second leading cause of cancer-related deaths in the Western male population. Despite the tremendous efforts that have been made to improve the early detection of this disease and to design new treatment modalities, there is still an urgent need for new markers and therapeutic targets for the management of prostate cancer patients. Using differential display analysis to compare the mRNA expression patterns of normal versus tumor tissue of the human prostate, we identified a cDNA, DD3, which is highly overexpressed in 53 of 56 prostatic tumors in comparison to nonneoplastic prostatic tissue of the same patients. Reverse transcription-PCR analysis using DD3-specific primers indicated that the expression of DD3 is very prostate specific because no product could be amplified in 18 different normal human tissues studied. Also, in a sampling of other tumor types and a large number of cell lines, no expression of DD3 could be detected. Molecular characterization of the DD3 transcription unit revealed that alternative splicing and alternative poly-adenylation occur. The fact that no extensive open reading frame could be found suggests that DD3 may function as a noncoding RNA. The DD3 gene was mapped to chromosome 9q21-22, and no homology of DD3 to any gene present in the computer databases was found. Our data indicate that DD3 is one of the most prostate cancer-specific genes yet described, and this makes DD3 a promising marker for the early diagnosis of prostate cancer and provides a powerful tool for the development of new treatment strategies for prostate cancer patients.","author":[{"dropping-particle":"","family":"Bussemakers","given":"Marion J.G.","non-dropping-particle":"","parse-names":false,"suffix":""},{"dropping-particle":"","family":"Bokhoven","given":"Adrie","non-dropping-particle":"Van","parse-names":false,"suffix":""},{"dropping-particle":"","family":"Verhaegh","given":"Gerald W.","non-dropping-particle":"","parse-names":false,"suffix":""},{"dropping-particle":"","family":"Smit","given":"Frank P.","non-dropping-particle":"","parse-names":false,"suffix":""},{"dropping-particle":"","family":"Karthaus","given":"Herbert F.M.","non-dropping-particle":"","parse-names":false,"suffix":""},{"dropping-particle":"","family":"Schalken","given":"Jack A.","non-dropping-particle":"","parse-names":false,"suffix":""},{"dropping-particle":"","family":"Debruyne","given":"Frans M.J.","non-dropping-particle":"","parse-names":false,"suffix":""},{"dropping-particle":"","family":"Ru","given":"Ning","non-dropping-particle":"","parse-names":false,"suffix":""},{"dropping-particle":"","family":"Isaacs","given":"William B.","non-dropping-particle":"","parse-names":false,"suffix":""}],"container-title":"Cancer Research","id":"ITEM-1","issue":"23","issued":{"date-parts":[["1999"]]},"page":"5975-5979","title":"DD3: A new prostate-specific gene, highly overexpressed in prostate cancer","type":"article-journal","volume":"59"},"uris":["http://www.mendeley.com/documents/?uuid=12df3dc4-6943-419e-820b-440dcc194282"]}],"mendeley":{"formattedCitation":"&lt;sup&gt;61&lt;/sup&gt;","plainTextFormattedCitation":"61","previouslyFormattedCitation":"[61]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61</w:t>
      </w:r>
      <w:r w:rsidRPr="00C83EDC">
        <w:rPr>
          <w:lang w:val="en-GB"/>
        </w:rPr>
        <w:fldChar w:fldCharType="end"/>
      </w:r>
      <w:r w:rsidRPr="00C83EDC">
        <w:rPr>
          <w:lang w:val="en-GB"/>
        </w:rPr>
        <w:t xml:space="preserve">. Because </w:t>
      </w:r>
      <w:r w:rsidRPr="00C83EDC">
        <w:rPr>
          <w:i/>
          <w:iCs/>
          <w:lang w:val="en-GB"/>
        </w:rPr>
        <w:t>PCA3</w:t>
      </w:r>
      <w:r w:rsidRPr="00C83EDC">
        <w:rPr>
          <w:lang w:val="en-GB"/>
        </w:rPr>
        <w:t xml:space="preserve"> mRNA is present also in noncancer prostate cells, its signal is normalized to the copy number of </w:t>
      </w:r>
      <w:r w:rsidRPr="00C83EDC">
        <w:rPr>
          <w:i/>
          <w:iCs/>
          <w:lang w:val="en-GB"/>
        </w:rPr>
        <w:t>PSA</w:t>
      </w:r>
      <w:r w:rsidRPr="00C83EDC">
        <w:rPr>
          <w:lang w:val="en-GB"/>
        </w:rPr>
        <w:t xml:space="preserve"> mRNA that shows similar expression levels in benign and prostate cancer cells. Unlike</w:t>
      </w:r>
      <w:r>
        <w:rPr>
          <w:lang w:val="en-GB"/>
        </w:rPr>
        <w:t xml:space="preserve"> the</w:t>
      </w:r>
      <w:r w:rsidRPr="00C83EDC">
        <w:rPr>
          <w:lang w:val="en-GB"/>
        </w:rPr>
        <w:t xml:space="preserve"> PSA serum test, the resulting ratio of </w:t>
      </w:r>
      <w:r w:rsidRPr="00C83EDC">
        <w:rPr>
          <w:i/>
          <w:iCs/>
          <w:lang w:val="en-GB"/>
        </w:rPr>
        <w:t>PCA3/PSA</w:t>
      </w:r>
      <w:r w:rsidRPr="00C83EDC">
        <w:rPr>
          <w:lang w:val="en-GB"/>
        </w:rPr>
        <w:t xml:space="preserve"> mRNA concentrations is not influenced by prostate size and its increased values correlate with the probability of a prostate biopsy positive for prostate cancer. A decreased ratio is associated with a low risk/low volume disease</w:t>
      </w:r>
      <w:r w:rsidRPr="00C83EDC">
        <w:rPr>
          <w:lang w:val="en-GB"/>
        </w:rPr>
        <w:fldChar w:fldCharType="begin" w:fldLock="1"/>
      </w:r>
      <w:r w:rsidR="000C069C">
        <w:rPr>
          <w:lang w:val="en-GB"/>
        </w:rPr>
        <w:instrText>ADDIN CSL_CITATION {"citationItems":[{"id":"ITEM-1","itemData":{"DOI":"10.1373/clinchem.2012.198739","ISSN":"00099147","author":[{"dropping-particle":"","family":"Rittenhouse","given":"Harry","non-dropping-particle":"","parse-names":false,"suffix":""},{"dropping-particle":"","family":"Blase","given":"Amy","non-dropping-particle":"","parse-names":false,"suffix":""},{"dropping-particle":"","family":"Shamel","given":"Blair","non-dropping-particle":"","parse-names":false,"suffix":""},{"dropping-particle":"","family":"Schalken","given":"Jack","non-dropping-particle":"","parse-names":false,"suffix":""},{"dropping-particle":"","family":"Groskopf","given":"Jack","non-dropping-particle":"","parse-names":false,"suffix":""}],"container-title":"Clinical Chemistry","id":"ITEM-1","issue":"1","issued":{"date-parts":[["2013"]]},"page":"32-34","title":"The long and winding road to FDA approval of a novel prostate cancer test: Our story","type":"article-journal","volume":"59"},"uris":["http://www.mendeley.com/documents/?uuid=1107cdd2-b0ca-4e3f-b56a-ff8c7d3dd308"]},{"id":"ITEM-2","itemData":{"DOI":"10.1373/clinchem.2005.063289","ISSN":"00099147","abstract":"Background: Prostate cancer gene 3 (PCA3) encodes a prostate-specific mRNA that has shown promise as a prostate cancer diagnostic tool. This report describes the characterization of a prototype quantitative PCA3-based test for whole urine. Methods: Whole-urine specimens were collected after digital rectal examination from 3 groups: men scheduled for prostate biopsy (n = 70), healthy men (&lt;45 years of age with no known prostate cancer risk factors; n = 52), and men who had undergone radical prostatectomy (n = 21). PCA3 and prostate-specific antigen (PSA) mRNAs were isolated, amplified, and quantified by use of Gen-Probe DTS400® Systems. Prostate biopsy results were correlated with the PCA3/PSA mRNA ratio, and PSA mRNA concentrations were used to normalize PCA3 signals and confirm the yield of prostate-specific RNA. Assay precision, specimen stability, and mRNA yield were also evaluated. Results: The specimen informative rate (fraction of specimens yielding sufficient RNA for analysis) was 98.2%. In this clinical research study, ROC curve analysis of prebiopsy specimens yielded an area under the curve of 0.746; sensitivity was 69% and specificity 79%. Serum PSA assay specificity was 28% for this same group. PCA3 and PSA mRNAs were undetectable in postprostatectomy specimens except for one man with recurrent prostate cancer. Assay interrun CVs were ≤12%. Both mRNAs were stable in processed urine up to 5 days at 4 °C and after 5 freeze-thaw cycles. Conclusion: The APTIMA® PCA3 assay combines simple specimen processing with precise assays and existing instruments and could add specificity to the current algorithm for prostate cancer diagnosis. © 2006 American Association for Clinical Chemistry.","author":[{"dropping-particle":"","family":"Groskopf","given":"Jack","non-dropping-particle":"","parse-names":false,"suffix":""},{"dropping-particle":"","family":"Aubin","given":"Sheila M.J.","non-dropping-particle":"","parse-names":false,"suffix":""},{"dropping-particle":"","family":"Deras","given":"Ina Lim","non-dropping-particle":"","parse-names":false,"suffix":""},{"dropping-particle":"","family":"Blase","given":"Amy","non-dropping-particle":"","parse-names":false,"suffix":""},{"dropping-particle":"","family":"Bodrug","given":"Sharon","non-dropping-particle":"","parse-names":false,"suffix":""},{"dropping-particle":"","family":"Clark","given":"Craig","non-dropping-particle":"","parse-names":false,"suffix":""},{"dropping-particle":"","family":"Brentano","given":"Steven","non-dropping-particle":"","parse-names":false,"suffix":""},{"dropping-particle":"","family":"Mathis","given":"Jeannette","non-dropping-particle":"","parse-names":false,"suffix":""},{"dropping-particle":"","family":"Pham","given":"Jimmykim","non-dropping-particle":"","parse-names":false,"suffix":""},{"dropping-particle":"","family":"Meyer","given":"Troels","non-dropping-particle":"","parse-names":false,"suffix":""},{"dropping-particle":"","family":"Cass","given":"Michelle","non-dropping-particle":"","parse-names":false,"suffix":""},{"dropping-particle":"","family":"Hodge","given":"Petrea","non-dropping-particle":"","parse-names":false,"suffix":""},{"dropping-particle":"","family":"Macairan","given":"Maria Luz","non-dropping-particle":"","parse-names":false,"suffix":""},{"dropping-particle":"","family":"Marks","given":"Leonard S.","non-dropping-particle":"","parse-names":false,"suffix":""},{"dropping-particle":"","family":"Rittenhouse","given":"Harry","non-dropping-particle":"","parse-names":false,"suffix":""}],"container-title":"Clinical Chemistry","id":"ITEM-2","issue":"6","issued":{"date-parts":[["2006"]]},"page":"1089-1095","title":"APTIMA PCA3 molecular urine test: Development of a method to aid in the diagnosis of prostate cancer","type":"article-journal","volume":"52"},"uris":["http://www.mendeley.com/documents/?uuid=236af2fd-1192-4389-8b4d-0f283d95bc1e"]}],"mendeley":{"formattedCitation":"&lt;sup&gt;62,63&lt;/sup&gt;","plainTextFormattedCitation":"62,63","previouslyFormattedCitation":"[62], [63]"},"properties":{"noteIndex":0},"schema":"https://github.com/citation-style-language/schema/raw/master/csl-citation.json"}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62,63</w:t>
      </w:r>
      <w:r w:rsidRPr="00C83EDC">
        <w:rPr>
          <w:lang w:val="en-GB"/>
        </w:rPr>
        <w:fldChar w:fldCharType="end"/>
      </w:r>
      <w:r w:rsidRPr="00C83EDC">
        <w:rPr>
          <w:lang w:val="en-GB"/>
        </w:rPr>
        <w:t xml:space="preserve">. The FDA approved assay measures </w:t>
      </w:r>
      <w:r w:rsidRPr="00C83EDC">
        <w:rPr>
          <w:i/>
          <w:iCs/>
          <w:lang w:val="en-GB"/>
        </w:rPr>
        <w:t>PCA3</w:t>
      </w:r>
      <w:r w:rsidRPr="00C83EDC">
        <w:rPr>
          <w:lang w:val="en-GB"/>
        </w:rPr>
        <w:t xml:space="preserve"> levels in whole urine relative to prostatic biopsy outcome with sensitivity of 78% and specificity of 57% </w:t>
      </w:r>
      <w:r>
        <w:rPr>
          <w:lang w:val="en-GB"/>
        </w:rPr>
        <w:t>(</w:t>
      </w:r>
      <w:r w:rsidRPr="00C83EDC">
        <w:rPr>
          <w:lang w:val="en-GB"/>
        </w:rPr>
        <w:t>cut-off value ≥ 25</w:t>
      </w:r>
      <w:r>
        <w:rPr>
          <w:lang w:val="en-GB"/>
        </w:rPr>
        <w:t>)</w:t>
      </w:r>
      <w:r w:rsidRPr="00C83EDC">
        <w:rPr>
          <w:lang w:val="en-GB"/>
        </w:rPr>
        <w:fldChar w:fldCharType="begin" w:fldLock="1"/>
      </w:r>
      <w:r w:rsidR="000C069C">
        <w:rPr>
          <w:lang w:val="en-GB"/>
        </w:rPr>
        <w:instrText>ADDIN CSL_CITATION {"citationItems":[{"id":"ITEM-1","itemData":{"author":[{"dropping-particle":"","family":"Use","given":"Intended","non-dropping-particle":"","parse-names":false,"suffix":""},{"dropping-particle":"","family":"Results","given":"Study","non-dropping-particle":"","parse-names":false,"suffix":""}],"id":"ITEM-1","issued":{"date-parts":[["0"]]},"title":"Physician Brochure for the PROGENSA PCA3 Assay","type":"article-journal"},"uris":["http://www.mendeley.com/documents/?uuid=63fcedb6-b1ce-44df-80af-9b22528c1291"]}],"mendeley":{"formattedCitation":"&lt;sup&gt;64&lt;/sup&gt;","plainTextFormattedCitation":"64","previouslyFormattedCitation":"[64]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64</w:t>
      </w:r>
      <w:r w:rsidRPr="00C83EDC">
        <w:rPr>
          <w:lang w:val="en-GB"/>
        </w:rPr>
        <w:fldChar w:fldCharType="end"/>
      </w:r>
      <w:r w:rsidRPr="00C83EDC">
        <w:rPr>
          <w:lang w:val="en-GB"/>
        </w:rPr>
        <w:t>.</w:t>
      </w:r>
    </w:p>
    <w:p w14:paraId="79F99575" w14:textId="2AE2A61A" w:rsidR="00EE7EB3" w:rsidRPr="00C83EDC" w:rsidRDefault="00EE7EB3" w:rsidP="00EE7EB3">
      <w:pPr>
        <w:pStyle w:val="Dalodstavce"/>
        <w:rPr>
          <w:lang w:val="en-GB"/>
        </w:rPr>
      </w:pPr>
      <w:r w:rsidRPr="00C83EDC">
        <w:rPr>
          <w:lang w:val="en-GB"/>
        </w:rPr>
        <w:t>To further improve operating characteristics of PSA for prostate cancer detection, researchers developed diagnostic tests that integrate several biomarkers in one panel. 4Kscore combines serum concentration of four kallikreins (t</w:t>
      </w:r>
      <w:r>
        <w:rPr>
          <w:lang w:val="en-GB"/>
        </w:rPr>
        <w:t xml:space="preserve">otal </w:t>
      </w:r>
      <w:r w:rsidRPr="00C83EDC">
        <w:rPr>
          <w:lang w:val="en-GB"/>
        </w:rPr>
        <w:t xml:space="preserve">PSA, </w:t>
      </w:r>
      <w:proofErr w:type="spellStart"/>
      <w:r w:rsidRPr="00C83EDC">
        <w:rPr>
          <w:lang w:val="en-GB"/>
        </w:rPr>
        <w:t>fPSA</w:t>
      </w:r>
      <w:proofErr w:type="spellEnd"/>
      <w:r w:rsidRPr="00C83EDC">
        <w:rPr>
          <w:lang w:val="en-GB"/>
        </w:rPr>
        <w:t>, intact PSA, and human kallikrein 2) with clinical parameters that include age, a DRE result, and a biopsy outcome. Interestingly, when a study compared the diagnostic ability of predicting GS ≥ 7 cancer in the group of men with PSA levels of 3–15 ng·ml</w:t>
      </w:r>
      <w:r w:rsidRPr="00C83EDC">
        <w:rPr>
          <w:vertAlign w:val="superscript"/>
          <w:lang w:val="en-GB"/>
        </w:rPr>
        <w:t>−1</w:t>
      </w:r>
      <w:r w:rsidRPr="00C83EDC">
        <w:rPr>
          <w:lang w:val="en-GB"/>
        </w:rPr>
        <w:t>, 4Kscore and PHI tests performed similarly with</w:t>
      </w:r>
      <w:r>
        <w:rPr>
          <w:lang w:val="en-GB"/>
        </w:rPr>
        <w:t xml:space="preserve"> areas under curve (AUC)</w:t>
      </w:r>
      <w:r w:rsidRPr="00C83EDC">
        <w:rPr>
          <w:lang w:val="en-GB"/>
        </w:rPr>
        <w:t xml:space="preserve"> of 0.718 and 0.711, respectively</w:t>
      </w:r>
      <w:r w:rsidRPr="00C83EDC">
        <w:rPr>
          <w:lang w:val="en-GB"/>
        </w:rPr>
        <w:fldChar w:fldCharType="begin" w:fldLock="1"/>
      </w:r>
      <w:r w:rsidR="000C069C">
        <w:rPr>
          <w:lang w:val="en-GB"/>
        </w:rPr>
        <w:instrText>ADDIN CSL_CITATION {"citationItems":[{"id":"ITEM-1","itemData":{"DOI":"10.21037/tau.2018.06.02","ISSN":"22234691","abstract":"Prostate cancer is the most common non-cutaneous cancer among men in the United States. In the last decade there has been a rapid expansion in the field of biomarker assays for diagnosis, prognosis, and treatment prediction in prostate cancer. The evidence base for these assays is rapidly evolving. With several commercial assays available at each stage of the disease, deciding which genomic assays are appropriate for which patients can be nuanced for physicians. In an effort to help guide these decisions in clinical practice, we aim to give an update on the current status of the biomarker field of prostate cancer.","author":[{"dropping-particle":"","family":"Kornberg","given":"Zachary","non-dropping-particle":"","parse-names":false,"suffix":""},{"dropping-particle":"","family":"Cooperberg","given":"Matthew R.","non-dropping-particle":"","parse-names":false,"suffix":""},{"dropping-particle":"","family":"Spratt","given":"Daniel E.","non-dropping-particle":"","parse-names":false,"suffix":""},{"dropping-particle":"","family":"Feng","given":"Felix Y.","non-dropping-particle":"","parse-names":false,"suffix":""}],"container-title":"Translational Andrology and Urology","id":"ITEM-1","issue":"3","issued":{"date-parts":[["2018"]]},"page":"459-471","title":"Genomic biomarkers in prostate cancer","type":"article-journal","volume":"7"},"uris":["http://www.mendeley.com/documents/?uuid=e8f75dee-430d-4127-9910-6ebbd4690cf6"]}],"mendeley":{"formattedCitation":"&lt;sup&gt;65&lt;/sup&gt;","plainTextFormattedCitation":"65","previouslyFormattedCitation":"[65]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65</w:t>
      </w:r>
      <w:r w:rsidRPr="00C83EDC">
        <w:rPr>
          <w:lang w:val="en-GB"/>
        </w:rPr>
        <w:fldChar w:fldCharType="end"/>
      </w:r>
      <w:r w:rsidRPr="00C83EDC">
        <w:rPr>
          <w:lang w:val="en-GB"/>
        </w:rPr>
        <w:t xml:space="preserve">. Mi-Prostate score is another algorithm that utilizes a combination of PSA, PCA3 and TMPRSS2-ERG gene fusion urine biomarkers to detect aggressive prostate cancer. </w:t>
      </w:r>
      <w:proofErr w:type="spellStart"/>
      <w:r w:rsidRPr="00C83EDC">
        <w:rPr>
          <w:lang w:val="en-GB"/>
        </w:rPr>
        <w:t>Sanda</w:t>
      </w:r>
      <w:proofErr w:type="spellEnd"/>
      <w:r w:rsidRPr="00C83EDC">
        <w:rPr>
          <w:lang w:val="en-GB"/>
        </w:rPr>
        <w:t xml:space="preserve"> </w:t>
      </w:r>
      <w:r w:rsidRPr="00C83EDC">
        <w:rPr>
          <w:i/>
          <w:iCs/>
          <w:lang w:val="en-GB"/>
        </w:rPr>
        <w:t>et al</w:t>
      </w:r>
      <w:r w:rsidRPr="00C83EDC">
        <w:rPr>
          <w:lang w:val="en-GB"/>
        </w:rPr>
        <w:t>. confirmed 33% specificity of the assay for predicting GS ≥ 7 cancer at initial biopsy and concluded that up to 42% unnecessary biopsies could have been avoided in the group of participants with either PSA levels higher than 10 ng·ml</w:t>
      </w:r>
      <w:r w:rsidRPr="00C83EDC">
        <w:rPr>
          <w:vertAlign w:val="superscript"/>
          <w:lang w:val="en-GB"/>
        </w:rPr>
        <w:t>−1</w:t>
      </w:r>
      <w:r w:rsidRPr="00C83EDC">
        <w:rPr>
          <w:lang w:val="en-GB"/>
        </w:rPr>
        <w:t>, or a positive PCA3, or a positive TMPRSS2-ERG test</w:t>
      </w:r>
      <w:r w:rsidRPr="00C83EDC">
        <w:rPr>
          <w:lang w:val="en-GB"/>
        </w:rPr>
        <w:fldChar w:fldCharType="begin" w:fldLock="1"/>
      </w:r>
      <w:r w:rsidR="000C069C">
        <w:rPr>
          <w:lang w:val="en-GB"/>
        </w:rPr>
        <w:instrText>ADDIN CSL_CITATION {"citationItems":[{"id":"ITEM-1","itemData":{"DOI":"10.1007/s00261-019-02305-8","ISBN":"0123456789","ISSN":"23660058","abstract":"Purpose: To review available prostate cancer biomarkers and their performance in a clinical order, from prostate cancer detection, to treatment of localized and advanced disease. Methods: We used an electronic literature search of the PubMed database using the key words “prostate biomarkers,” “genomic markers,” and “prostate cancer screening,” as well as specific biomarkers, until March 2019. Results: Prostate-specific antigen (PSA) lacks sensitivity for prostate cancer detection, and PSA derivatives have slightly improved its specificity, but have not resolved the limitations of PSA screening. Prostate cancer biomarkers have emerged as an ancillary tool to guide the clinical decision-making in different clinical scenarios. Urine-based tests can identify patients who may benefit from a prostate biopsy, and issue-based markers are helpful in guiding the decision regarding a second biopsy, stratifying patient with newly diagnosed prostate cancer to active surveillance or treatment, and identifying patients who may benefit from adjuvant treatment after surgery. Conclusions: New biomarkers have improved risk stratification in diagnosing and treating prostate cancer. Many of these markers are still considered experimental, and their efficacy and cost utility have not been determined.","author":[{"dropping-particle":"","family":"Nevo","given":"Amihay","non-dropping-particle":"","parse-names":false,"suffix":""},{"dropping-particle":"","family":"Navaratnam","given":"Anojan","non-dropping-particle":"","parse-names":false,"suffix":""},{"dropping-particle":"","family":"Andrews","given":"Paul","non-dropping-particle":"","parse-names":false,"suffix":""}],"container-title":"Abdominal Radiology","id":"ITEM-1","issue":"0123456789","issued":{"date-parts":[["2019"]]},"publisher":"Springer US","title":"Prostate cancer and the role of biomarkers","type":"article-journal"},"uris":["http://www.mendeley.com/documents/?uuid=4554b29a-2592-4999-8510-87b1f528ded8"]},{"id":"ITEM-2","itemData":{"DOI":"10.1001/jamaoncol.2017.0177","ISSN":"23742445","PMID":"28520829","abstract":"IMPORTANCE: Potential survival benefits from treating aggressive (Gleason score, ≥7) early-stage prostate cancer are undermined by harms from unnecessary prostate biopsy and overdiagnosis of indolent disease. OBJECTIVE: To evaluate the a priori primary hypothesis that combined measurement of PCA3 and TMPRSS2:ERG (T2:ERG) RNA in the urine after digital rectal examination would improve specificity over measurement of prostate-specific antigen alone for detecting cancer with Gleason score of 7 or higher. As a secondary objective, to evaluate the potential effect of such urine RNA testing on health care costs. DESIGN, SETTING, AND PARTICIPANTS: Prospective, multicenter diagnostic evaluation and validation in academic and community-based ambulatory urology clinics. Participants were a referred sample of men presenting for first-time prostate biopsy without preexisting prostate cancer: 516 eligible participants from among 748 prospective cohort participants in the developmental cohort and 561 eligible participants from 928 in the validation cohort. INTERVENTIONS/EXPOSURES: Urinary PCA3 and T2:ERG RNA measurement before prostate biopsy. MAIN OUTCOMES AND MEASURES: Presence of prostate cancer having Gleason score of 7 or higher on prostate biopsy. Pathology testing was blinded to urine assay results. In the developmental cohort, a multiplex decision algorithm was constructed using urine RNA assays to optimize specificity while maintaining 95% sensitivity for predicting aggressive prostate cancer at initial biopsy. Findings were validated in a separate multicenter cohort via prespecified analysis, blinded per prospective-specimen-collection, retrospective-blinded-evaluation (PRoBE) criteria. Cost effects of the urinary testing strategy were evaluated by modeling observed biopsy results and previously reported treatment outcomes. RESULTS: Among the 516 men in the developmental cohort (mean age, 62 years; range, 33-85 years) combining testing of urinary T2:ERG and PCA3 at thresholds that preserved 95% sensitivity for detecting aggressive prostate cancer improved specificity from 18% to 39%. Among the 561 men in the validation cohort (mean age, 62 years; range, 27-86 years), analysis confirmed improvement in specificity (from 17% to 33%; lower bound of 1-sided 95% CI, 0.73%; prespecified 1-sided P = .04), while high sensitivity (93%) was preserved for aggressive prostate cancer detection. Forty-two percent of unnecessary prostate biopsies would have been averted by…","author":[{"dropping-particle":"","family":"Sanda","given":"Martin G.","non-dropping-particle":"","parse-names":false,"suffix":""},{"dropping-particle":"","family":"Feng","given":"Ziding","non-dropping-particle":"","parse-names":false,"suffix":""},{"dropping-particle":"","family":"Howard","given":"David H.","non-dropping-particle":"","parse-names":false,"suffix":""},{"dropping-particle":"","family":"Tomlins","given":"Scott A.","non-dropping-particle":"","parse-names":false,"suffix":""},{"dropping-particle":"","family":"Sokoll","given":"Lori J.","non-dropping-particle":"","parse-names":false,"suffix":""},{"dropping-particle":"","family":"Chan","given":"Daniel W.","non-dropping-particle":"","parse-names":false,"suffix":""},{"dropping-particle":"","family":"Regan","given":"Meredith M.","non-dropping-particle":"","parse-names":false,"suffix":""},{"dropping-particle":"","family":"Groskopf","given":"Jack","non-dropping-particle":"","parse-names":false,"suffix":""},{"dropping-particle":"","family":"Chipman","given":"Jonathan","non-dropping-particle":"","parse-names":false,"suffix":""},{"dropping-particle":"","family":"Patil","given":"Dattatraya H.","non-dropping-particle":"","parse-names":false,"suffix":""},{"dropping-particle":"","family":"Salami","given":"Simpa S.","non-dropping-particle":"","parse-names":false,"suffix":""},{"dropping-particle":"","family":"Scherr","given":"Douglas S.","non-dropping-particle":"","parse-names":false,"suffix":""},{"dropping-particle":"","family":"Kagan","given":"Jacob","non-dropping-particle":"","parse-names":false,"suffix":""},{"dropping-particle":"","family":"Srivastava","given":"Sudhir","non-dropping-particle":"","parse-names":false,"suffix":""},{"dropping-particle":"","family":"Thompson","given":"Ian M.","non-dropping-particle":"","parse-names":false,"suffix":""},{"dropping-particle":"","family":"Siddiqui","given":"Javed","non-dropping-particle":"","parse-names":false,"suffix":""},{"dropping-particle":"","family":"Fan","given":"Jing","non-dropping-particle":"","parse-names":false,"suffix":""},{"dropping-particle":"","family":"Joon","given":"Aron Y.","non-dropping-particle":"","parse-names":false,"suffix":""},{"dropping-particle":"","family":"Bantis","given":"Leonidas E.","non-dropping-particle":"","parse-names":false,"suffix":""},{"dropping-particle":"","family":"Rubin","given":"Mark A.","non-dropping-particle":"","parse-names":false,"suffix":""},{"dropping-particle":"","family":"Chinnayian","given":"Arul M.","non-dropping-particle":"","parse-names":false,"suffix":""},{"dropping-particle":"","family":"Wei","given":"John T.","non-dropping-particle":"","parse-names":false,"suffix":""},{"dropping-particle":"","family":"Bidair","given":"Mohamed","non-dropping-particle":"","parse-names":false,"suffix":""},{"dropping-particle":"","family":"Kibel","given":"Adam","non-dropping-particle":"","parse-names":false,"suffix":""},{"dropping-particle":"","family":"Lin","given":"Daniel W.","non-dropping-particle":"","parse-names":false,"suffix":""},{"dropping-particle":"","family":"Lotan","given":"Yair","non-dropping-particle":"","parse-names":false,"suffix":""},{"dropping-particle":"","family":"Partin","given":"Alan","non-dropping-particle":"","parse-names":false,"suffix":""},{"dropping-particle":"","family":"Taneja","given":"Samir","non-dropping-particle":"","parse-names":false,"suffix":""}],"container-title":"JAMA Oncology","id":"ITEM-2","issue":"8","issued":{"date-parts":[["2017"]]},"page":"1085-1093","title":"Association between combined TMPRSS2:ERG and PCA3 RNA urinary testing and detection of aggressive prostate cancer","type":"article-journal","volume":"3"},"uris":["http://www.mendeley.com/documents/?uuid=dd9c5695-ac56-4266-b649-3891330347f5"]}],"mendeley":{"formattedCitation":"&lt;sup&gt;66,67&lt;/sup&gt;","plainTextFormattedCitation":"66,67","previouslyFormattedCitation":"[66], [67]"},"properties":{"noteIndex":0},"schema":"https://github.com/citation-style-language/schema/raw/master/csl-citation.json"}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66,67</w:t>
      </w:r>
      <w:r w:rsidRPr="00C83EDC">
        <w:rPr>
          <w:lang w:val="en-GB"/>
        </w:rPr>
        <w:fldChar w:fldCharType="end"/>
      </w:r>
      <w:r w:rsidRPr="00C83EDC">
        <w:rPr>
          <w:lang w:val="en-GB"/>
        </w:rPr>
        <w:t xml:space="preserve">. </w:t>
      </w:r>
      <w:proofErr w:type="spellStart"/>
      <w:r w:rsidRPr="00C83EDC">
        <w:rPr>
          <w:lang w:val="en-GB"/>
        </w:rPr>
        <w:t>ExoDX</w:t>
      </w:r>
      <w:proofErr w:type="spellEnd"/>
      <w:r w:rsidRPr="00C83EDC">
        <w:rPr>
          <w:lang w:val="en-GB"/>
        </w:rPr>
        <w:t xml:space="preserve"> Prostate </w:t>
      </w:r>
      <w:proofErr w:type="spellStart"/>
      <w:r w:rsidRPr="00C83EDC">
        <w:rPr>
          <w:lang w:val="en-GB"/>
        </w:rPr>
        <w:t>IntelliScore</w:t>
      </w:r>
      <w:proofErr w:type="spellEnd"/>
      <w:r w:rsidRPr="00C83EDC">
        <w:rPr>
          <w:lang w:val="en-GB"/>
        </w:rPr>
        <w:t xml:space="preserve"> also detects urinary mRNA levels of </w:t>
      </w:r>
      <w:r w:rsidRPr="00C83EDC">
        <w:rPr>
          <w:i/>
          <w:iCs/>
          <w:lang w:val="en-GB"/>
        </w:rPr>
        <w:t>TMPRSS2-ERG</w:t>
      </w:r>
      <w:r w:rsidRPr="00C83EDC">
        <w:rPr>
          <w:lang w:val="en-GB"/>
        </w:rPr>
        <w:t xml:space="preserve"> and </w:t>
      </w:r>
      <w:r w:rsidRPr="00C83EDC">
        <w:rPr>
          <w:i/>
          <w:iCs/>
          <w:lang w:val="en-GB"/>
        </w:rPr>
        <w:t>PCA3</w:t>
      </w:r>
      <w:r w:rsidRPr="00C83EDC">
        <w:rPr>
          <w:lang w:val="en-GB"/>
        </w:rPr>
        <w:t xml:space="preserve"> genes but the measured RNA is derived from exosomes. The assay’s predictive performance plus parameters </w:t>
      </w:r>
      <w:r w:rsidRPr="00C83EDC">
        <w:rPr>
          <w:lang w:val="en-GB"/>
        </w:rPr>
        <w:lastRenderedPageBreak/>
        <w:t>of standard of care (PSA serum level, age, race, and family history) demonstrated AUC of 0.73 in discrimination between GS ≥ 7 and benign disease, and a reduction of 27% in unnecessary biopsies</w:t>
      </w:r>
      <w:r w:rsidRPr="00C83EDC">
        <w:rPr>
          <w:lang w:val="en-GB"/>
        </w:rPr>
        <w:fldChar w:fldCharType="begin" w:fldLock="1"/>
      </w:r>
      <w:r w:rsidR="000C069C">
        <w:rPr>
          <w:lang w:val="en-GB"/>
        </w:rPr>
        <w:instrText>ADDIN CSL_CITATION {"citationItems":[{"id":"ITEM-1","itemData":{"DOI":"10.1001/jamaoncol.2016.0097","ISSN":"2374-2437","abstract":"Importance: Overdiagnosis and overtreatment of indolent prostate cancer (PCA) is a serious health issue in most developed countries. There is an unmet clinical need for noninvasive, easy to administer, diagnostic assays to help assess whether a prostate biopsy is warranted. Objective: To determine the performance of a novel urine exosome gene expression assay (the ExoDx Prostate IntelliScore urine exosome assay) plus standard of care (SOC) (ie, prostate-specific antigen [PSA] level, age, race, and family history) vs SOC alone for discriminating between Gleason score (GS)7 and GS6 and benign disease on initial biopsy. Design, Setting, and Participants: In training, using reverse-transcriptase polymerase chain reaction (PCR), we compared the urine exosome gene expression assay with biopsy outcomes in 499 patients with prostate-specific antigen (PSA) levels of 2 to 20 ng/mL. The derived prognostic score was then validated in 1064 patients from 22 community practice and academic urology clinic sites in the United States. Eligible participants included PCA-free men, 50 years or older, scheduled for an initial or repeated prostate needle biopsy due to suspicious digital rectal examination (DRE) findings and/or PSA levels (limit range, 2.0-20.0 ng/mL). Main Outcomes and Measures: Evaluate the assay using the area under receiver operating characteristic curve (AUC) in discrimination of GS7 or greater from GS6 and benign disease on initial biopsy. Results: In 255 men in the training target population (median age 62 years and median PSA level 5.0 ng/mL, and initial biopsy), the urine exosome gene expression assay plus SOC was associated with improved discrimination between GS7 or greater and GS6 and benign disease: AUC 0.77 (95%CI, 0.71-0.83) vs SOC AUC 0.66 (95%CI, 0.58-0.72) (P &lt; .001). Independent validation in 519 patients' urine exosome gene expression assay plus SOC AUC 0.73 (95%CI, 0.68-0.77) was superior to SOC AUC 0.63 (95%CI, 0.58-0.68) (P &lt; .001). Using a predefined cut point, 138 of 519 (27%) biopsies would have been avoided, missing only 5%of patients with dominant pattern 4 high-risk GS7 disease. Conclusions and Relevance: This urine exosome gene expression assay is a noninvasive, urinary 3-gene expression assay that discriminates high-grade (≥GS7) from low-grade (GS6) cancer and benign disease. In this study, the urine exosome gene expression assay was associated with improved identification of patients with higher-grade prostate cancer among men w…","author":[{"dropping-particle":"","family":"McKiernan","given":"James","non-dropping-particle":"","parse-names":false,"suffix":""},{"dropping-particle":"","family":"Donovan","given":"Michael J.","non-dropping-particle":"","parse-names":false,"suffix":""},{"dropping-particle":"","family":"O’Neill","given":"Vince","non-dropping-particle":"","parse-names":false,"suffix":""},{"dropping-particle":"","family":"Bentink","given":"Stefan","non-dropping-particle":"","parse-names":false,"suffix":""},{"dropping-particle":"","family":"Noerholm","given":"Mikkel","non-dropping-particle":"","parse-names":false,"suffix":""},{"dropping-particle":"","family":"Belzer","given":"Susan","non-dropping-particle":"","parse-names":false,"suffix":""},{"dropping-particle":"","family":"Skog","given":"Johan","non-dropping-particle":"","parse-names":false,"suffix":""},{"dropping-particle":"","family":"Kattan","given":"Michael W.","non-dropping-particle":"","parse-names":false,"suffix":""},{"dropping-particle":"","family":"Partin","given":"Alan","non-dropping-particle":"","parse-names":false,"suffix":""},{"dropping-particle":"","family":"Andriole","given":"Gerald","non-dropping-particle":"","parse-names":false,"suffix":""},{"dropping-particle":"","family":"Brown","given":"Gordon","non-dropping-particle":"","parse-names":false,"suffix":""},{"dropping-particle":"","family":"Wei","given":"John T.","non-dropping-particle":"","parse-names":false,"suffix":""},{"dropping-particle":"","family":"Thompson","given":"Ian M.","non-dropping-particle":"","parse-names":false,"suffix":""},{"dropping-particle":"","family":"Carroll","given":"Peter","non-dropping-particle":"","parse-names":false,"suffix":""}],"container-title":"JAMA Oncology","id":"ITEM-1","issue":"7","issued":{"date-parts":[["2016","7","1"]]},"page":"882","title":"A Novel Urine Exosome Gene Expression Assay to Predict High-grade Prostate Cancer at Initial Biopsy","type":"article-journal","volume":"2"},"uris":["http://www.mendeley.com/documents/?uuid=856f86a2-b5da-499a-b3b4-49278e135b7b"]}],"mendeley":{"formattedCitation":"&lt;sup&gt;68&lt;/sup&gt;","plainTextFormattedCitation":"68","previouslyFormattedCitation":"[68]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68</w:t>
      </w:r>
      <w:r w:rsidRPr="00C83EDC">
        <w:rPr>
          <w:lang w:val="en-GB"/>
        </w:rPr>
        <w:fldChar w:fldCharType="end"/>
      </w:r>
      <w:r w:rsidRPr="00C83EDC">
        <w:rPr>
          <w:lang w:val="en-GB"/>
        </w:rPr>
        <w:t xml:space="preserve">. Post-DRE urine test called </w:t>
      </w:r>
      <w:proofErr w:type="spellStart"/>
      <w:r w:rsidRPr="00C83EDC">
        <w:rPr>
          <w:lang w:val="en-GB"/>
        </w:rPr>
        <w:t>SelectMDx</w:t>
      </w:r>
      <w:r w:rsidRPr="00C83EDC">
        <w:rPr>
          <w:vertAlign w:val="superscript"/>
          <w:lang w:val="en-GB"/>
        </w:rPr>
        <w:t>TM</w:t>
      </w:r>
      <w:proofErr w:type="spellEnd"/>
      <w:r w:rsidRPr="00C83EDC">
        <w:rPr>
          <w:lang w:val="en-GB"/>
        </w:rPr>
        <w:t xml:space="preserve"> is based on the quantification of mRNA of the </w:t>
      </w:r>
      <w:r w:rsidRPr="00C83EDC">
        <w:rPr>
          <w:i/>
          <w:iCs/>
          <w:lang w:val="en-GB"/>
        </w:rPr>
        <w:t>DLX1</w:t>
      </w:r>
      <w:r w:rsidRPr="00C83EDC">
        <w:rPr>
          <w:lang w:val="en-GB"/>
        </w:rPr>
        <w:t xml:space="preserve"> and </w:t>
      </w:r>
      <w:r w:rsidRPr="00C83EDC">
        <w:rPr>
          <w:i/>
          <w:iCs/>
          <w:lang w:val="en-GB"/>
        </w:rPr>
        <w:t>HOXC6</w:t>
      </w:r>
      <w:r w:rsidRPr="00C83EDC">
        <w:rPr>
          <w:lang w:val="en-GB"/>
        </w:rPr>
        <w:t xml:space="preserve"> genes. Their expression levels showed AUC of 0.76 for prediction of high-grade (GS ≥ 7) prostate cancer on biopsy, and AUC of 0.9 when clinical parameters such as PSA density, DRE result and prior cancer-negative biopsies were included in the assay</w:t>
      </w:r>
      <w:r w:rsidRPr="00C83EDC">
        <w:rPr>
          <w:lang w:val="en-GB"/>
        </w:rPr>
        <w:fldChar w:fldCharType="begin" w:fldLock="1"/>
      </w:r>
      <w:r w:rsidR="000C069C">
        <w:rPr>
          <w:lang w:val="en-GB"/>
        </w:rPr>
        <w:instrText>ADDIN CSL_CITATION {"citationItems":[{"id":"ITEM-1","itemData":{"DOI":"10.1007/s00261-019-02305-8","ISBN":"0123456789","ISSN":"23660058","abstract":"Purpose: To review available prostate cancer biomarkers and their performance in a clinical order, from prostate cancer detection, to treatment of localized and advanced disease. Methods: We used an electronic literature search of the PubMed database using the key words “prostate biomarkers,” “genomic markers,” and “prostate cancer screening,” as well as specific biomarkers, until March 2019. Results: Prostate-specific antigen (PSA) lacks sensitivity for prostate cancer detection, and PSA derivatives have slightly improved its specificity, but have not resolved the limitations of PSA screening. Prostate cancer biomarkers have emerged as an ancillary tool to guide the clinical decision-making in different clinical scenarios. Urine-based tests can identify patients who may benefit from a prostate biopsy, and issue-based markers are helpful in guiding the decision regarding a second biopsy, stratifying patient with newly diagnosed prostate cancer to active surveillance or treatment, and identifying patients who may benefit from adjuvant treatment after surgery. Conclusions: New biomarkers have improved risk stratification in diagnosing and treating prostate cancer. Many of these markers are still considered experimental, and their efficacy and cost utility have not been determined.","author":[{"dropping-particle":"","family":"Nevo","given":"Amihay","non-dropping-particle":"","parse-names":false,"suffix":""},{"dropping-particle":"","family":"Navaratnam","given":"Anojan","non-dropping-particle":"","parse-names":false,"suffix":""},{"dropping-particle":"","family":"Andrews","given":"Paul","non-dropping-particle":"","parse-names":false,"suffix":""}],"container-title":"Abdominal Radiology","id":"ITEM-1","issue":"0123456789","issued":{"date-parts":[["2019"]]},"publisher":"Springer US","title":"Prostate cancer and the role of biomarkers","type":"article-journal"},"uris":["http://www.mendeley.com/documents/?uuid=4554b29a-2592-4999-8510-87b1f528ded8"]},{"id":"ITEM-2","itemData":{"DOI":"10.1016/j.eururo.2016.04.012","ISSN":"18737560","abstract":"Background To reduce overdiagnosis and overtreatment, a test is urgently needed to detect clinically significant prostate cancer (PCa). Objective To develop a multimodal model, incorporating previously identified messenger RNA (mRNA) biomarkers and traditional risk factors that could be used to identify patients with high-grade PCa (Gleason score ≥7) on prostate biopsy. Design, setting, and participants In two prospective multicenter studies, urine was collected for mRNA profiling after digital rectal examination (DRE) and prior to prostate biopsy. The multimodal risk score was developed on a first cohort (n = 519) and subsequently validated clinically in an independent cohort (n = 386). Outcome measurements and statistical analysis The mRNA levels were measured using reverse transcription quantitative polymerase chain reaction. Logistic regression was used to model patient risk and combine risk factors. Models were compared using the area under the curve (AUC) of the receiver operating characteristic, and clinical utility was evaluated with a decision curve analysis (DCA). Results and limitations HOXC6 and DLX1 mRNA levels were shown to be good predictors for the detection of high-grade PCa. The multimodal approach reached an overall AUC of 0.90 (95% confidence interval [CI], 0.85–0.95) in the validation cohort (AUC 0.86 in the training cohort), with the mRNA signature, prostate-specific antigen (PSA) density, and previous cancer-negative prostate biopsies as the strongest, most significant components, in addition to nonsignificant model contributions of PSA, age, and family history. For another model, which included DRE as an additional risk factor, an AUC of 0.86 (95% CI, 0.80–0.92) was obtained (AUC 0.90 in the training cohort). Both models were successfully validated, with no significant change in AUC in the validation cohort, and DCA indicated a strong net benefit and the best reduction in unnecessary biopsies compared with other clinical decision-making tools, such as the Prostate Cancer Prevention Trial risk calculator and the PCA3 assay. Conclusions The risk score based on the mRNA liquid biopsy assay combined with traditional clinical risk factors identified men at risk of harboring high-grade PCa and resulted in a better patient risk stratification compared with current methods in clinical practice. Therefore, the risk score could reduce the number of unnecessary prostate biopsies. Patient summary This study evaluated a novel urine-based assa…","author":[{"dropping-particle":"","family":"Neste","given":"Leander","non-dropping-particle":"Van","parse-names":false,"suffix":""},{"dropping-particle":"","family":"Hendriks","given":"Rianne J.","non-dropping-particle":"","parse-names":false,"suffix":""},{"dropping-particle":"","family":"Dijkstra","given":"Siebren","non-dropping-particle":"","parse-names":false,"suffix":""},{"dropping-particle":"","family":"Trooskens","given":"Geert","non-dropping-particle":"","parse-names":false,"suffix":""},{"dropping-particle":"","family":"Cornel","given":"Erik B.","non-dropping-particle":"","parse-names":false,"suffix":""},{"dropping-particle":"","family":"Jannink","given":"Sander A.","non-dropping-particle":"","parse-names":false,"suffix":""},{"dropping-particle":"","family":"Jong","given":"Hans","non-dropping-particle":"de","parse-names":false,"suffix":""},{"dropping-particle":"","family":"Hessels","given":"Daphne","non-dropping-particle":"","parse-names":false,"suffix":""},{"dropping-particle":"","family":"Smit","given":"Frank P.","non-dropping-particle":"","parse-names":false,"suffix":""},{"dropping-particle":"","family":"Melchers","given":"Willem J.G.","non-dropping-particle":"","parse-names":false,"suffix":""},{"dropping-particle":"","family":"Leyten","given":"Gisèle H.J.M.","non-dropping-particle":"","parse-names":false,"suffix":""},{"dropping-particle":"","family":"Reijke","given":"Theo M.","non-dropping-particle":"de","parse-names":false,"suffix":""},{"dropping-particle":"","family":"Vergunst","given":"Henk","non-dropping-particle":"","parse-names":false,"suffix":""},{"dropping-particle":"","family":"Kil","given":"Paul","non-dropping-particle":"","parse-names":false,"suffix":""},{"dropping-particle":"","family":"Knipscheer","given":"Ben C.","non-dropping-particle":"","parse-names":false,"suffix":""},{"dropping-particle":"","family":"Hulsbergen-van de Kaa","given":"Christina A.","non-dropping-particle":"","parse-names":false,"suffix":""},{"dropping-particle":"","family":"Mulders","given":"Peter F.A.","non-dropping-particle":"","parse-names":false,"suffix":""},{"dropping-particle":"","family":"Oort","given":"Inge M.","non-dropping-particle":"van","parse-names":false,"suffix":""},{"dropping-particle":"","family":"Criekinge","given":"Wim","non-dropping-particle":"Van","parse-names":false,"suffix":""},{"dropping-particle":"","family":"Schalken","given":"Jack A.","non-dropping-particle":"","parse-names":false,"suffix":""}],"container-title":"European Urology","id":"ITEM-2","issue":"5","issued":{"date-parts":[["2016"]]},"page":"740-748","title":"Detection of High-grade Prostate Cancer Using a Urinary Molecular Biomarker–Based Risk Score","type":"article-journal","volume":"70"},"uris":["http://www.mendeley.com/documents/?uuid=a388a1db-713a-4906-a59a-69c25d1a3b42"]}],"mendeley":{"formattedCitation":"&lt;sup&gt;66,69&lt;/sup&gt;","plainTextFormattedCitation":"66,69","previouslyFormattedCitation":"[66], [69]"},"properties":{"noteIndex":0},"schema":"https://github.com/citation-style-language/schema/raw/master/csl-citation.json"}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66,69</w:t>
      </w:r>
      <w:r w:rsidRPr="00C83EDC">
        <w:rPr>
          <w:lang w:val="en-GB"/>
        </w:rPr>
        <w:fldChar w:fldCharType="end"/>
      </w:r>
      <w:r w:rsidRPr="00C83EDC">
        <w:rPr>
          <w:lang w:val="en-GB"/>
        </w:rPr>
        <w:t>.</w:t>
      </w:r>
    </w:p>
    <w:p w14:paraId="76E79566" w14:textId="77777777" w:rsidR="00EE7EB3" w:rsidRPr="00C83EDC" w:rsidRDefault="00EE7EB3" w:rsidP="00EE7EB3">
      <w:pPr>
        <w:pStyle w:val="Dalodstavce"/>
        <w:rPr>
          <w:lang w:val="en-GB"/>
        </w:rPr>
      </w:pPr>
      <w:r w:rsidRPr="00C83EDC">
        <w:rPr>
          <w:lang w:val="en-GB"/>
        </w:rPr>
        <w:t>Despite advances in diagnosis</w:t>
      </w:r>
      <w:r>
        <w:rPr>
          <w:lang w:val="en-GB"/>
        </w:rPr>
        <w:t xml:space="preserve"> summarized in </w:t>
      </w:r>
      <w:r w:rsidRPr="00B77386">
        <w:rPr>
          <w:lang w:val="en-GB"/>
        </w:rPr>
        <w:t xml:space="preserve">Table </w:t>
      </w:r>
      <w:r>
        <w:rPr>
          <w:lang w:val="en-GB"/>
        </w:rPr>
        <w:t>IV</w:t>
      </w:r>
      <w:r w:rsidRPr="00C83EDC">
        <w:rPr>
          <w:lang w:val="en-GB"/>
        </w:rPr>
        <w:t>, there is a lack of a biomarker that would have a sufficient specificity and would also be able to distinguish between indolent and aggressive tumours or</w:t>
      </w:r>
      <w:r>
        <w:rPr>
          <w:lang w:val="en-GB"/>
        </w:rPr>
        <w:t xml:space="preserve"> to</w:t>
      </w:r>
      <w:r w:rsidRPr="00C83EDC">
        <w:rPr>
          <w:lang w:val="en-GB"/>
        </w:rPr>
        <w:t xml:space="preserve"> indicate patients for biopsy/</w:t>
      </w:r>
      <w:proofErr w:type="spellStart"/>
      <w:r w:rsidRPr="00C83EDC">
        <w:rPr>
          <w:lang w:val="en-GB"/>
        </w:rPr>
        <w:t>rebiopsy</w:t>
      </w:r>
      <w:proofErr w:type="spellEnd"/>
      <w:r w:rsidRPr="00C83EDC">
        <w:rPr>
          <w:lang w:val="en-GB"/>
        </w:rPr>
        <w:t xml:space="preserve">. This gap could be filled by </w:t>
      </w:r>
      <w:r>
        <w:rPr>
          <w:lang w:val="en-GB"/>
        </w:rPr>
        <w:br/>
      </w:r>
      <w:r w:rsidRPr="00C83EDC">
        <w:rPr>
          <w:lang w:val="en-GB"/>
        </w:rPr>
        <w:t xml:space="preserve">miRNAs thanks to their characteristics and </w:t>
      </w:r>
      <w:r>
        <w:rPr>
          <w:lang w:val="en-GB"/>
        </w:rPr>
        <w:t>key role</w:t>
      </w:r>
      <w:r w:rsidRPr="00C83EDC">
        <w:rPr>
          <w:lang w:val="en-GB"/>
        </w:rPr>
        <w:t xml:space="preserve"> in cancer development and progression.</w:t>
      </w:r>
    </w:p>
    <w:p w14:paraId="2D5B5979" w14:textId="6FA737CD" w:rsidR="00EE7EB3" w:rsidRPr="00C83EDC" w:rsidRDefault="00EE7EB3" w:rsidP="00EE7EB3">
      <w:pPr>
        <w:pStyle w:val="Titulektabulky"/>
        <w:jc w:val="left"/>
        <w:rPr>
          <w:lang w:val="en-GB"/>
        </w:rPr>
      </w:pPr>
      <w:bookmarkStart w:id="36" w:name="_Toc47541137"/>
      <w:r w:rsidRPr="00C83EDC">
        <w:rPr>
          <w:lang w:val="en-GB"/>
        </w:rPr>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IV</w:t>
      </w:r>
      <w:r>
        <w:rPr>
          <w:noProof/>
          <w:lang w:val="en-GB"/>
        </w:rPr>
        <w:fldChar w:fldCharType="end"/>
      </w:r>
      <w:r w:rsidRPr="00C83EDC">
        <w:rPr>
          <w:lang w:val="en-GB"/>
        </w:rPr>
        <w:t xml:space="preserve">. </w:t>
      </w:r>
      <w:r w:rsidRPr="00C83EDC">
        <w:rPr>
          <w:b w:val="0"/>
          <w:bCs w:val="0"/>
          <w:lang w:val="en-GB"/>
        </w:rPr>
        <w:t xml:space="preserve">Diagnostic accuracy of available biomarker tests for predicting aggressive (GS ≥7) or overall prostate cancer (GS </w:t>
      </w:r>
      <w:r>
        <w:rPr>
          <w:b w:val="0"/>
          <w:bCs w:val="0"/>
          <w:lang w:val="en-GB"/>
        </w:rPr>
        <w:t xml:space="preserve">≥ </w:t>
      </w:r>
      <w:r w:rsidRPr="00C83EDC">
        <w:rPr>
          <w:b w:val="0"/>
          <w:bCs w:val="0"/>
          <w:lang w:val="en-GB"/>
        </w:rPr>
        <w:t>6).</w:t>
      </w:r>
      <w:bookmarkEnd w:id="36"/>
    </w:p>
    <w:tbl>
      <w:tblPr>
        <w:tblStyle w:val="Tabulkasmkou4zvraznn31"/>
        <w:tblW w:w="9067" w:type="dxa"/>
        <w:tblLook w:val="0720" w:firstRow="1" w:lastRow="0" w:firstColumn="0" w:lastColumn="1" w:noHBand="1" w:noVBand="1"/>
      </w:tblPr>
      <w:tblGrid>
        <w:gridCol w:w="1555"/>
        <w:gridCol w:w="1275"/>
        <w:gridCol w:w="992"/>
        <w:gridCol w:w="992"/>
        <w:gridCol w:w="992"/>
        <w:gridCol w:w="993"/>
        <w:gridCol w:w="1533"/>
        <w:gridCol w:w="735"/>
      </w:tblGrid>
      <w:tr w:rsidR="00EE7EB3" w:rsidRPr="00784B41" w14:paraId="45301583"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1555" w:type="dxa"/>
            <w:shd w:val="clear" w:color="auto" w:fill="E7E6E6" w:themeFill="background2"/>
            <w:vAlign w:val="center"/>
          </w:tcPr>
          <w:p w14:paraId="248454B2" w14:textId="77777777" w:rsidR="00EE7EB3" w:rsidRPr="00784B41" w:rsidRDefault="00EE7EB3" w:rsidP="00F233D4">
            <w:pPr>
              <w:jc w:val="center"/>
              <w:rPr>
                <w:rFonts w:ascii="Cambria" w:hAnsi="Cambria" w:cstheme="minorHAnsi"/>
                <w:color w:val="3B3838" w:themeColor="background2" w:themeShade="40"/>
                <w:sz w:val="20"/>
                <w:szCs w:val="20"/>
              </w:rPr>
            </w:pPr>
            <w:bookmarkStart w:id="37" w:name="_Hlk43551730"/>
            <w:r w:rsidRPr="00784B41">
              <w:rPr>
                <w:rFonts w:ascii="Cambria" w:hAnsi="Cambria" w:cstheme="minorHAnsi"/>
                <w:color w:val="3B3838" w:themeColor="background2" w:themeShade="40"/>
                <w:sz w:val="20"/>
                <w:szCs w:val="20"/>
              </w:rPr>
              <w:t>T</w:t>
            </w:r>
            <w:r>
              <w:rPr>
                <w:rFonts w:ascii="Cambria" w:hAnsi="Cambria" w:cstheme="minorHAnsi"/>
                <w:color w:val="3B3838" w:themeColor="background2" w:themeShade="40"/>
                <w:sz w:val="20"/>
                <w:szCs w:val="20"/>
              </w:rPr>
              <w:t>est</w:t>
            </w:r>
          </w:p>
        </w:tc>
        <w:tc>
          <w:tcPr>
            <w:tcW w:w="1275" w:type="dxa"/>
            <w:shd w:val="clear" w:color="auto" w:fill="E7E6E6" w:themeFill="background2"/>
            <w:vAlign w:val="center"/>
          </w:tcPr>
          <w:p w14:paraId="03B1ED0F" w14:textId="77777777" w:rsidR="00EE7EB3" w:rsidRPr="006B01E2" w:rsidRDefault="00EE7EB3" w:rsidP="00F233D4">
            <w:pPr>
              <w:jc w:val="center"/>
              <w:rPr>
                <w:rFonts w:ascii="Cambria" w:hAnsi="Cambria" w:cstheme="minorHAnsi"/>
                <w:b w:val="0"/>
                <w:bCs w:val="0"/>
                <w:color w:val="3B3838" w:themeColor="background2" w:themeShade="40"/>
                <w:sz w:val="20"/>
                <w:szCs w:val="20"/>
              </w:rPr>
            </w:pPr>
            <w:r w:rsidRPr="00784B41">
              <w:rPr>
                <w:rFonts w:ascii="Cambria" w:hAnsi="Cambria" w:cstheme="minorHAnsi"/>
                <w:color w:val="3B3838" w:themeColor="background2" w:themeShade="40"/>
                <w:sz w:val="20"/>
                <w:szCs w:val="20"/>
              </w:rPr>
              <w:t>C</w:t>
            </w:r>
            <w:r>
              <w:rPr>
                <w:rFonts w:ascii="Cambria" w:hAnsi="Cambria" w:cstheme="minorHAnsi"/>
                <w:color w:val="3B3838" w:themeColor="background2" w:themeShade="40"/>
                <w:sz w:val="20"/>
                <w:szCs w:val="20"/>
              </w:rPr>
              <w:t>ut-off value</w:t>
            </w:r>
          </w:p>
        </w:tc>
        <w:tc>
          <w:tcPr>
            <w:tcW w:w="992" w:type="dxa"/>
            <w:shd w:val="clear" w:color="auto" w:fill="E7E6E6" w:themeFill="background2"/>
            <w:vAlign w:val="center"/>
          </w:tcPr>
          <w:p w14:paraId="5BE01B5C" w14:textId="77777777" w:rsidR="00EE7EB3" w:rsidRPr="00784B41" w:rsidRDefault="00EE7EB3" w:rsidP="00F233D4">
            <w:pPr>
              <w:jc w:val="center"/>
              <w:rPr>
                <w:rFonts w:ascii="Cambria" w:hAnsi="Cambria" w:cstheme="minorHAnsi"/>
                <w:b w:val="0"/>
                <w:bCs w:val="0"/>
                <w:color w:val="3B3838" w:themeColor="background2" w:themeShade="40"/>
                <w:sz w:val="20"/>
                <w:szCs w:val="20"/>
              </w:rPr>
            </w:pPr>
            <w:r w:rsidRPr="00784B41">
              <w:rPr>
                <w:rFonts w:ascii="Cambria" w:hAnsi="Cambria" w:cstheme="minorHAnsi"/>
                <w:color w:val="3B3838" w:themeColor="background2" w:themeShade="40"/>
                <w:sz w:val="20"/>
                <w:szCs w:val="20"/>
              </w:rPr>
              <w:t>SE %</w:t>
            </w:r>
          </w:p>
          <w:p w14:paraId="3F867A2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95% CI</w:t>
            </w:r>
          </w:p>
        </w:tc>
        <w:tc>
          <w:tcPr>
            <w:tcW w:w="992" w:type="dxa"/>
            <w:shd w:val="clear" w:color="auto" w:fill="E7E6E6" w:themeFill="background2"/>
            <w:vAlign w:val="center"/>
          </w:tcPr>
          <w:p w14:paraId="2508186F" w14:textId="77777777" w:rsidR="00EE7EB3" w:rsidRPr="00784B41" w:rsidRDefault="00EE7EB3" w:rsidP="00F233D4">
            <w:pPr>
              <w:jc w:val="center"/>
              <w:rPr>
                <w:rFonts w:ascii="Cambria" w:hAnsi="Cambria" w:cstheme="minorHAnsi"/>
                <w:b w:val="0"/>
                <w:bCs w:val="0"/>
                <w:color w:val="3B3838" w:themeColor="background2" w:themeShade="40"/>
                <w:sz w:val="20"/>
                <w:szCs w:val="20"/>
              </w:rPr>
            </w:pPr>
            <w:r w:rsidRPr="00784B41">
              <w:rPr>
                <w:rFonts w:ascii="Cambria" w:hAnsi="Cambria" w:cstheme="minorHAnsi"/>
                <w:color w:val="3B3838" w:themeColor="background2" w:themeShade="40"/>
                <w:sz w:val="20"/>
                <w:szCs w:val="20"/>
              </w:rPr>
              <w:t>SP %</w:t>
            </w:r>
          </w:p>
          <w:p w14:paraId="429E290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95% CI</w:t>
            </w:r>
          </w:p>
        </w:tc>
        <w:tc>
          <w:tcPr>
            <w:tcW w:w="992" w:type="dxa"/>
            <w:shd w:val="clear" w:color="auto" w:fill="E7E6E6" w:themeFill="background2"/>
            <w:vAlign w:val="center"/>
          </w:tcPr>
          <w:p w14:paraId="4897B433" w14:textId="77777777" w:rsidR="00EE7EB3" w:rsidRPr="00784B41" w:rsidRDefault="00EE7EB3" w:rsidP="00F233D4">
            <w:pPr>
              <w:jc w:val="center"/>
              <w:rPr>
                <w:rFonts w:ascii="Cambria" w:hAnsi="Cambria" w:cstheme="minorHAnsi"/>
                <w:b w:val="0"/>
                <w:bCs w:val="0"/>
                <w:color w:val="3B3838" w:themeColor="background2" w:themeShade="40"/>
                <w:sz w:val="20"/>
                <w:szCs w:val="20"/>
              </w:rPr>
            </w:pPr>
            <w:r w:rsidRPr="00784B41">
              <w:rPr>
                <w:rFonts w:ascii="Cambria" w:hAnsi="Cambria" w:cstheme="minorHAnsi"/>
                <w:color w:val="3B3838" w:themeColor="background2" w:themeShade="40"/>
                <w:sz w:val="20"/>
                <w:szCs w:val="20"/>
              </w:rPr>
              <w:t>PPV %</w:t>
            </w:r>
          </w:p>
          <w:p w14:paraId="7EE8E22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95% CI</w:t>
            </w:r>
          </w:p>
        </w:tc>
        <w:tc>
          <w:tcPr>
            <w:tcW w:w="993" w:type="dxa"/>
            <w:shd w:val="clear" w:color="auto" w:fill="E7E6E6" w:themeFill="background2"/>
            <w:vAlign w:val="center"/>
          </w:tcPr>
          <w:p w14:paraId="47386235" w14:textId="77777777" w:rsidR="00EE7EB3" w:rsidRPr="00784B41" w:rsidRDefault="00EE7EB3" w:rsidP="00F233D4">
            <w:pPr>
              <w:jc w:val="center"/>
              <w:rPr>
                <w:rFonts w:ascii="Cambria" w:hAnsi="Cambria" w:cstheme="minorHAnsi"/>
                <w:b w:val="0"/>
                <w:bCs w:val="0"/>
                <w:color w:val="3B3838" w:themeColor="background2" w:themeShade="40"/>
                <w:sz w:val="20"/>
                <w:szCs w:val="20"/>
              </w:rPr>
            </w:pPr>
            <w:r w:rsidRPr="00784B41">
              <w:rPr>
                <w:rFonts w:ascii="Cambria" w:hAnsi="Cambria" w:cstheme="minorHAnsi"/>
                <w:color w:val="3B3838" w:themeColor="background2" w:themeShade="40"/>
                <w:sz w:val="20"/>
                <w:szCs w:val="20"/>
              </w:rPr>
              <w:t>NPV %</w:t>
            </w:r>
          </w:p>
          <w:p w14:paraId="591C711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95% CI</w:t>
            </w:r>
          </w:p>
        </w:tc>
        <w:tc>
          <w:tcPr>
            <w:tcW w:w="1533" w:type="dxa"/>
            <w:shd w:val="clear" w:color="auto" w:fill="E7E6E6" w:themeFill="background2"/>
            <w:vAlign w:val="center"/>
          </w:tcPr>
          <w:p w14:paraId="332B06B3"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Note</w:t>
            </w:r>
          </w:p>
        </w:tc>
        <w:tc>
          <w:tcPr>
            <w:cnfStyle w:val="000100000000" w:firstRow="0" w:lastRow="0" w:firstColumn="0" w:lastColumn="1" w:oddVBand="0" w:evenVBand="0" w:oddHBand="0" w:evenHBand="0" w:firstRowFirstColumn="0" w:firstRowLastColumn="0" w:lastRowFirstColumn="0" w:lastRowLastColumn="0"/>
            <w:tcW w:w="735" w:type="dxa"/>
            <w:shd w:val="clear" w:color="auto" w:fill="E7E6E6" w:themeFill="background2"/>
            <w:vAlign w:val="center"/>
          </w:tcPr>
          <w:p w14:paraId="14ACD33A"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Ref</w:t>
            </w:r>
            <w:r w:rsidRPr="00784B41">
              <w:rPr>
                <w:rFonts w:ascii="Cambria" w:hAnsi="Cambria" w:cstheme="minorHAnsi"/>
                <w:color w:val="3B3838" w:themeColor="background2" w:themeShade="40"/>
                <w:sz w:val="20"/>
                <w:szCs w:val="20"/>
              </w:rPr>
              <w:t>.</w:t>
            </w:r>
          </w:p>
        </w:tc>
      </w:tr>
      <w:tr w:rsidR="00EE7EB3" w:rsidRPr="00784B41" w14:paraId="69F81132" w14:textId="77777777" w:rsidTr="00F233D4">
        <w:trPr>
          <w:trHeight w:val="340"/>
        </w:trPr>
        <w:tc>
          <w:tcPr>
            <w:tcW w:w="1555" w:type="dxa"/>
            <w:vAlign w:val="center"/>
          </w:tcPr>
          <w:p w14:paraId="60B61A54" w14:textId="77777777" w:rsidR="00EE7EB3" w:rsidRPr="00784B41" w:rsidRDefault="00EE7EB3" w:rsidP="00F233D4">
            <w:pPr>
              <w:jc w:val="center"/>
              <w:rPr>
                <w:rFonts w:ascii="Cambria" w:hAnsi="Cambria" w:cstheme="minorHAnsi"/>
                <w:color w:val="3B3838" w:themeColor="background2" w:themeShade="40"/>
                <w:sz w:val="20"/>
                <w:szCs w:val="20"/>
                <w:lang w:eastAsia="en-GB"/>
              </w:rPr>
            </w:pPr>
            <w:proofErr w:type="spellStart"/>
            <w:r w:rsidRPr="00784B41">
              <w:rPr>
                <w:rFonts w:ascii="Cambria" w:hAnsi="Cambria" w:cstheme="minorHAnsi"/>
                <w:color w:val="3B3838" w:themeColor="background2" w:themeShade="40"/>
                <w:sz w:val="20"/>
                <w:szCs w:val="20"/>
                <w:lang w:eastAsia="en-GB"/>
              </w:rPr>
              <w:t>Progensa</w:t>
            </w:r>
            <w:proofErr w:type="spellEnd"/>
            <w:r w:rsidRPr="00784B41">
              <w:rPr>
                <w:rFonts w:ascii="Cambria" w:hAnsi="Cambria" w:cstheme="minorHAnsi"/>
                <w:color w:val="3B3838" w:themeColor="background2" w:themeShade="40"/>
                <w:sz w:val="20"/>
                <w:szCs w:val="20"/>
                <w:lang w:eastAsia="en-GB"/>
              </w:rPr>
              <w:t xml:space="preserve"> PCA3</w:t>
            </w:r>
          </w:p>
        </w:tc>
        <w:tc>
          <w:tcPr>
            <w:tcW w:w="1275" w:type="dxa"/>
            <w:vAlign w:val="center"/>
          </w:tcPr>
          <w:p w14:paraId="451CFD41"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lang w:eastAsia="en-GB"/>
              </w:rPr>
              <w:t>25</w:t>
            </w:r>
          </w:p>
        </w:tc>
        <w:tc>
          <w:tcPr>
            <w:tcW w:w="992" w:type="dxa"/>
            <w:vAlign w:val="center"/>
          </w:tcPr>
          <w:p w14:paraId="042C804E"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lang w:eastAsia="en-GB"/>
              </w:rPr>
              <w:t>78</w:t>
            </w:r>
          </w:p>
          <w:p w14:paraId="3A42F412"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lang w:eastAsia="en-GB"/>
              </w:rPr>
              <w:t>(68–85)</w:t>
            </w:r>
          </w:p>
        </w:tc>
        <w:tc>
          <w:tcPr>
            <w:tcW w:w="992" w:type="dxa"/>
            <w:vAlign w:val="center"/>
          </w:tcPr>
          <w:p w14:paraId="359A382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57</w:t>
            </w:r>
          </w:p>
          <w:p w14:paraId="7869BD7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(52–62)</w:t>
            </w:r>
          </w:p>
        </w:tc>
        <w:tc>
          <w:tcPr>
            <w:tcW w:w="992" w:type="dxa"/>
            <w:vAlign w:val="center"/>
          </w:tcPr>
          <w:p w14:paraId="0B962AA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34</w:t>
            </w:r>
          </w:p>
          <w:p w14:paraId="1AEF8AA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(30–37)</w:t>
            </w:r>
          </w:p>
        </w:tc>
        <w:tc>
          <w:tcPr>
            <w:tcW w:w="993" w:type="dxa"/>
            <w:vAlign w:val="center"/>
          </w:tcPr>
          <w:p w14:paraId="72A7332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90</w:t>
            </w:r>
          </w:p>
          <w:p w14:paraId="136192F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(87–93)</w:t>
            </w:r>
          </w:p>
        </w:tc>
        <w:tc>
          <w:tcPr>
            <w:tcW w:w="1533" w:type="dxa"/>
            <w:vAlign w:val="center"/>
          </w:tcPr>
          <w:p w14:paraId="214FF21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Overall </w:t>
            </w:r>
            <w:proofErr w:type="spellStart"/>
            <w:r w:rsidRPr="00784B41">
              <w:rPr>
                <w:rFonts w:ascii="Cambria" w:hAnsi="Cambria" w:cstheme="minorHAnsi"/>
                <w:color w:val="3B3838" w:themeColor="background2" w:themeShade="40"/>
                <w:sz w:val="20"/>
                <w:szCs w:val="20"/>
              </w:rPr>
              <w:t>PCa</w:t>
            </w:r>
            <w:proofErr w:type="spellEnd"/>
            <w:r w:rsidRPr="00784B41">
              <w:rPr>
                <w:rFonts w:ascii="Cambria" w:hAnsi="Cambria" w:cstheme="minorHAnsi"/>
                <w:color w:val="3B3838" w:themeColor="background2" w:themeShade="40"/>
                <w:sz w:val="20"/>
                <w:szCs w:val="20"/>
              </w:rPr>
              <w:t>;</w:t>
            </w:r>
            <w:r w:rsidRPr="00784B41">
              <w:rPr>
                <w:rFonts w:ascii="Cambria" w:hAnsi="Cambria" w:cstheme="minorHAnsi"/>
                <w:color w:val="3B3838" w:themeColor="background2" w:themeShade="40"/>
                <w:sz w:val="20"/>
                <w:szCs w:val="20"/>
              </w:rPr>
              <w:br/>
              <w:t>FDA approved</w:t>
            </w:r>
          </w:p>
        </w:tc>
        <w:tc>
          <w:tcPr>
            <w:cnfStyle w:val="000100000000" w:firstRow="0" w:lastRow="0" w:firstColumn="0" w:lastColumn="1" w:oddVBand="0" w:evenVBand="0" w:oddHBand="0" w:evenHBand="0" w:firstRowFirstColumn="0" w:firstRowLastColumn="0" w:lastRowFirstColumn="0" w:lastRowLastColumn="0"/>
            <w:tcW w:w="735" w:type="dxa"/>
            <w:vAlign w:val="center"/>
          </w:tcPr>
          <w:p w14:paraId="13060B9C" w14:textId="61F8E49D" w:rsidR="00EE7EB3" w:rsidRPr="00784B41" w:rsidRDefault="00EE7EB3" w:rsidP="00F233D4">
            <w:pPr>
              <w:jc w:val="center"/>
              <w:rPr>
                <w:rFonts w:ascii="Cambria" w:hAnsi="Cambria" w:cstheme="minorHAnsi"/>
                <w:b w:val="0"/>
                <w:bCs w:val="0"/>
                <w:color w:val="3B3838" w:themeColor="background2" w:themeShade="40"/>
                <w:sz w:val="20"/>
                <w:szCs w:val="20"/>
              </w:rPr>
            </w:pPr>
            <w:r w:rsidRPr="00784B41">
              <w:rPr>
                <w:rFonts w:cstheme="minorHAnsi"/>
                <w:color w:val="3B3838" w:themeColor="background2" w:themeShade="40"/>
                <w:sz w:val="20"/>
                <w:szCs w:val="20"/>
              </w:rPr>
              <w:fldChar w:fldCharType="begin" w:fldLock="1"/>
            </w:r>
            <w:r w:rsidR="000C069C">
              <w:rPr>
                <w:rFonts w:ascii="Cambria" w:hAnsi="Cambria" w:cstheme="minorHAnsi"/>
                <w:b w:val="0"/>
                <w:bCs w:val="0"/>
                <w:color w:val="3B3838" w:themeColor="background2" w:themeShade="40"/>
                <w:sz w:val="20"/>
                <w:szCs w:val="20"/>
              </w:rPr>
              <w:instrText>ADDIN CSL_CITATION {"citationItems":[{"id":"ITEM-1","itemData":{"author":[{"dropping-particle":"","family":"Hologic","given":"Inc.","non-dropping-particle":"","parse-names":false,"suffix":""}],"id":"ITEM-1","issued":{"date-parts":[["2019"]]},"number-of-pages":"1-45","title":"Progensa PCA3 Assay","type":"book"},"uris":["http://www.mendeley.com/documents/?uuid=c4a1017d-bda5-4dec-9e99-f548acb101e1"]}],"mendeley":{"formattedCitation":"&lt;sup&gt;70&lt;/sup&gt;","plainTextFormattedCitation":"70","previouslyFormattedCitation":"[70]"},"properties":{"noteIndex":0},"schema":"https://github.com/citation-style-language/schema/raw/master/csl-citation.json"}</w:instrText>
            </w:r>
            <w:r w:rsidRPr="00784B41">
              <w:rPr>
                <w:rFonts w:cstheme="minorHAnsi"/>
                <w:color w:val="3B3838" w:themeColor="background2" w:themeShade="40"/>
                <w:sz w:val="20"/>
                <w:szCs w:val="20"/>
              </w:rPr>
              <w:fldChar w:fldCharType="separate"/>
            </w:r>
            <w:r w:rsidR="000C069C" w:rsidRPr="000C069C">
              <w:rPr>
                <w:rFonts w:ascii="Cambria" w:hAnsi="Cambria" w:cstheme="minorHAnsi"/>
                <w:b w:val="0"/>
                <w:bCs w:val="0"/>
                <w:noProof/>
                <w:color w:val="3B3838" w:themeColor="background2" w:themeShade="40"/>
                <w:sz w:val="20"/>
                <w:szCs w:val="20"/>
                <w:vertAlign w:val="superscript"/>
              </w:rPr>
              <w:t>70</w:t>
            </w:r>
            <w:r w:rsidRPr="00784B41">
              <w:rPr>
                <w:rFonts w:cstheme="minorHAnsi"/>
                <w:color w:val="3B3838" w:themeColor="background2" w:themeShade="40"/>
                <w:sz w:val="20"/>
                <w:szCs w:val="20"/>
              </w:rPr>
              <w:fldChar w:fldCharType="end"/>
            </w:r>
          </w:p>
        </w:tc>
      </w:tr>
      <w:tr w:rsidR="00EE7EB3" w:rsidRPr="00784B41" w14:paraId="4D038D92" w14:textId="77777777" w:rsidTr="00F233D4">
        <w:trPr>
          <w:trHeight w:val="340"/>
        </w:trPr>
        <w:tc>
          <w:tcPr>
            <w:tcW w:w="1555" w:type="dxa"/>
            <w:vAlign w:val="center"/>
          </w:tcPr>
          <w:p w14:paraId="6CB8ADD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4Kscore</w:t>
            </w:r>
          </w:p>
        </w:tc>
        <w:tc>
          <w:tcPr>
            <w:tcW w:w="1275" w:type="dxa"/>
            <w:vAlign w:val="center"/>
          </w:tcPr>
          <w:p w14:paraId="03F1E28E"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20; 12</w:t>
            </w:r>
          </w:p>
        </w:tc>
        <w:tc>
          <w:tcPr>
            <w:tcW w:w="992" w:type="dxa"/>
            <w:vAlign w:val="center"/>
          </w:tcPr>
          <w:p w14:paraId="718D262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74</w:t>
            </w:r>
          </w:p>
          <w:p w14:paraId="4EFD3AF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(73–76)</w:t>
            </w:r>
          </w:p>
        </w:tc>
        <w:tc>
          <w:tcPr>
            <w:tcW w:w="992" w:type="dxa"/>
            <w:vAlign w:val="center"/>
          </w:tcPr>
          <w:p w14:paraId="63CD35A8"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lang w:eastAsia="en-GB"/>
              </w:rPr>
              <w:t>60</w:t>
            </w:r>
          </w:p>
          <w:p w14:paraId="529052E2"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lang w:eastAsia="en-GB"/>
              </w:rPr>
              <w:t>(59–61)</w:t>
            </w:r>
          </w:p>
        </w:tc>
        <w:tc>
          <w:tcPr>
            <w:tcW w:w="992" w:type="dxa"/>
            <w:vAlign w:val="center"/>
          </w:tcPr>
          <w:p w14:paraId="05C894A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59–92</w:t>
            </w:r>
          </w:p>
        </w:tc>
        <w:tc>
          <w:tcPr>
            <w:tcW w:w="993" w:type="dxa"/>
            <w:vAlign w:val="center"/>
          </w:tcPr>
          <w:p w14:paraId="7AFC6BE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28–64</w:t>
            </w:r>
          </w:p>
        </w:tc>
        <w:tc>
          <w:tcPr>
            <w:tcW w:w="1533" w:type="dxa"/>
            <w:vAlign w:val="center"/>
          </w:tcPr>
          <w:p w14:paraId="40C3E8C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Overall </w:t>
            </w:r>
            <w:proofErr w:type="spellStart"/>
            <w:r w:rsidRPr="00784B41">
              <w:rPr>
                <w:rFonts w:ascii="Cambria" w:hAnsi="Cambria" w:cstheme="minorHAnsi"/>
                <w:color w:val="3B3838" w:themeColor="background2" w:themeShade="40"/>
                <w:sz w:val="20"/>
                <w:szCs w:val="20"/>
              </w:rPr>
              <w:t>PCa</w:t>
            </w:r>
            <w:proofErr w:type="spellEnd"/>
            <w:r w:rsidRPr="00784B41">
              <w:rPr>
                <w:rFonts w:ascii="Cambria" w:hAnsi="Cambria" w:cstheme="minorHAnsi"/>
                <w:color w:val="3B3838" w:themeColor="background2" w:themeShade="40"/>
                <w:sz w:val="20"/>
                <w:szCs w:val="20"/>
              </w:rPr>
              <w:t>;</w:t>
            </w:r>
            <w:r w:rsidRPr="00784B41">
              <w:rPr>
                <w:rFonts w:ascii="Cambria" w:hAnsi="Cambria" w:cstheme="minorHAnsi"/>
                <w:color w:val="3B3838" w:themeColor="background2" w:themeShade="40"/>
                <w:sz w:val="20"/>
                <w:szCs w:val="20"/>
              </w:rPr>
              <w:br/>
            </w:r>
          </w:p>
        </w:tc>
        <w:tc>
          <w:tcPr>
            <w:cnfStyle w:val="000100000000" w:firstRow="0" w:lastRow="0" w:firstColumn="0" w:lastColumn="1" w:oddVBand="0" w:evenVBand="0" w:oddHBand="0" w:evenHBand="0" w:firstRowFirstColumn="0" w:firstRowLastColumn="0" w:lastRowFirstColumn="0" w:lastRowLastColumn="0"/>
            <w:tcW w:w="735" w:type="dxa"/>
            <w:vAlign w:val="center"/>
          </w:tcPr>
          <w:p w14:paraId="36C56013" w14:textId="4564AC1D" w:rsidR="00EE7EB3" w:rsidRPr="00784B41" w:rsidRDefault="00EE7EB3" w:rsidP="00F233D4">
            <w:pPr>
              <w:jc w:val="center"/>
              <w:rPr>
                <w:rFonts w:ascii="Cambria" w:hAnsi="Cambria" w:cstheme="minorHAnsi"/>
                <w:color w:val="3B3838" w:themeColor="background2" w:themeShade="40"/>
                <w:sz w:val="20"/>
                <w:szCs w:val="20"/>
              </w:rPr>
            </w:pPr>
            <w:r w:rsidRPr="00784B41">
              <w:rPr>
                <w:rFonts w:cstheme="minorHAnsi"/>
                <w:color w:val="3B3838" w:themeColor="background2" w:themeShade="40"/>
                <w:sz w:val="20"/>
                <w:szCs w:val="20"/>
              </w:rPr>
              <w:fldChar w:fldCharType="begin" w:fldLock="1"/>
            </w:r>
            <w:r w:rsidR="000C069C">
              <w:rPr>
                <w:rFonts w:ascii="Cambria" w:hAnsi="Cambria" w:cstheme="minorHAnsi"/>
                <w:color w:val="3B3838" w:themeColor="background2" w:themeShade="40"/>
                <w:sz w:val="20"/>
                <w:szCs w:val="20"/>
              </w:rPr>
              <w:instrText>ADDIN CSL_CITATION {"citationItems":[{"id":"ITEM-1","itemData":{"DOI":"10.1016/j.clgc.2016.12.022","ISSN":"19380682","abstract":"Markers for prostate cancer (PCa) have progressed over recent years. In particular, the prostate health index (PHI) and the 4-kallikrein (4K) panel have been demonstrated to improve the diagnosis of PCa. We aimed to review the diagnostic accuracy of PHI and the 4K panel for PCa detection. We performed a systematic literature search of PubMed, EMBASE, Cochrane, and Academic One File databases until July 2016. We included diagnostic accuracy studies that used PHI or 4K panel for the diagnosis of PCa or high-grade PCa. The methodological quality was assessed using the Quality Assessment of Diagnostic Accuracy Studies (QUADAS-2) tool. Twenty-eight studies including 16,762 patients have been included for the analysis. The pooled data showed a sensitivity of 0.89 and 0.74 for PHI and 4K panel, respectively, for PCa detection and a pooled specificity of 0.34 and 0.60 for PHI and 4K panel, respectively. The derived area under the curve (AUC) from the hierarchical summary receiver operating characteristic (HSROC) showed an accuracy of 0.76 and 0.72 for PHI and 4K panel respectively. For high-grade PCa detection, the pooled sensitivity was 0.93 and 0.87 for PHI and 4K panel, respectively, whereas the pooled specificity was 0.34 and 0.61 for PHI and 4K panel, respectively. The derived AUC from the HSROC showed an accuracy of 0.82 and 0.81 for PHI and 4K panel, respectively. Both PHI and the 4K panel provided good diagnostic accuracy in detecting overall and high-grade PCa.","author":[{"dropping-particle":"","family":"Russo","given":"Giorgio Ivan","non-dropping-particle":"","parse-names":false,"suffix":""},{"dropping-particle":"","family":"Regis","given":"Federica","non-dropping-particle":"","parse-names":false,"suffix":""},{"dropping-particle":"","family":"Castelli","given":"Tommaso","non-dropping-particle":"","parse-names":false,"suffix":""},{"dropping-particle":"","family":"Favilla","given":"Vincenzo","non-dropping-particle":"","parse-names":false,"suffix":""},{"dropping-particle":"","family":"Privitera","given":"Salvatore","non-dropping-particle":"","parse-names":false,"suffix":""},{"dropping-particle":"","family":"Giardina","given":"Raimondo","non-dropping-particle":"","parse-names":false,"suffix":""},{"dropping-particle":"","family":"Cimino","given":"Sebastiano","non-dropping-particle":"","parse-names":false,"suffix":""},{"dropping-particle":"","family":"Morgia","given":"Giuseppe","non-dropping-particle":"","parse-names":false,"suffix":""}],"container-title":"Clinical Genitourinary Cancer","id":"ITEM-1","issue":"4","issued":{"date-parts":[["2017"]]},"page":"429-439.e1","publisher":"Elsevier Inc.","title":"A Systematic Review and Meta-analysis of the Diagnostic Accuracy of Prostate Health Index and 4-Kallikrein Panel Score in Predicting Overall and High-grade Prostate Cancer","type":"article-journal","volume":"15"},"uris":["http://www.mendeley.com/documents/?uuid=9de65319-f9b7-4996-9f93-5f27ec139e7e"]}],"mendeley":{"formattedCitation":"&lt;sup&gt;71&lt;/sup&gt;","plainTextFormattedCitation":"71","previouslyFormattedCitation":"[71]"},"properties":{"noteIndex":0},"schema":"https://github.com/citation-style-language/schema/raw/master/csl-citation.json"}</w:instrText>
            </w:r>
            <w:r w:rsidRPr="00784B41">
              <w:rPr>
                <w:rFonts w:cstheme="minorHAnsi"/>
                <w:color w:val="3B3838" w:themeColor="background2" w:themeShade="40"/>
                <w:sz w:val="20"/>
                <w:szCs w:val="20"/>
              </w:rPr>
              <w:fldChar w:fldCharType="separate"/>
            </w:r>
            <w:r w:rsidR="000C069C" w:rsidRPr="000C069C">
              <w:rPr>
                <w:rFonts w:ascii="Cambria" w:hAnsi="Cambria" w:cstheme="minorHAnsi"/>
                <w:b w:val="0"/>
                <w:noProof/>
                <w:color w:val="3B3838" w:themeColor="background2" w:themeShade="40"/>
                <w:sz w:val="20"/>
                <w:szCs w:val="20"/>
                <w:vertAlign w:val="superscript"/>
              </w:rPr>
              <w:t>71</w:t>
            </w:r>
            <w:r w:rsidRPr="00784B41">
              <w:rPr>
                <w:rFonts w:cstheme="minorHAnsi"/>
                <w:color w:val="3B3838" w:themeColor="background2" w:themeShade="40"/>
                <w:sz w:val="20"/>
                <w:szCs w:val="20"/>
              </w:rPr>
              <w:fldChar w:fldCharType="end"/>
            </w:r>
          </w:p>
        </w:tc>
      </w:tr>
      <w:tr w:rsidR="00EE7EB3" w:rsidRPr="00784B41" w14:paraId="601B17EB" w14:textId="77777777" w:rsidTr="00F233D4">
        <w:trPr>
          <w:trHeight w:val="340"/>
        </w:trPr>
        <w:tc>
          <w:tcPr>
            <w:tcW w:w="1555" w:type="dxa"/>
            <w:vAlign w:val="center"/>
          </w:tcPr>
          <w:p w14:paraId="1C5AFD9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PHI</w:t>
            </w:r>
          </w:p>
        </w:tc>
        <w:tc>
          <w:tcPr>
            <w:tcW w:w="1275" w:type="dxa"/>
            <w:vAlign w:val="center"/>
          </w:tcPr>
          <w:p w14:paraId="69C07F9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20.9–48.5</w:t>
            </w:r>
          </w:p>
        </w:tc>
        <w:tc>
          <w:tcPr>
            <w:tcW w:w="992" w:type="dxa"/>
            <w:vAlign w:val="center"/>
          </w:tcPr>
          <w:p w14:paraId="18EBEB5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89</w:t>
            </w:r>
          </w:p>
          <w:p w14:paraId="2DAF815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(88–90)</w:t>
            </w:r>
          </w:p>
        </w:tc>
        <w:tc>
          <w:tcPr>
            <w:tcW w:w="992" w:type="dxa"/>
            <w:vAlign w:val="center"/>
          </w:tcPr>
          <w:p w14:paraId="41024E5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34</w:t>
            </w:r>
          </w:p>
          <w:p w14:paraId="1084F22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(32–35)</w:t>
            </w:r>
          </w:p>
        </w:tc>
        <w:tc>
          <w:tcPr>
            <w:tcW w:w="992" w:type="dxa"/>
            <w:vAlign w:val="center"/>
          </w:tcPr>
          <w:p w14:paraId="574A3D4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76–98</w:t>
            </w:r>
          </w:p>
        </w:tc>
        <w:tc>
          <w:tcPr>
            <w:tcW w:w="993" w:type="dxa"/>
            <w:vAlign w:val="center"/>
          </w:tcPr>
          <w:p w14:paraId="561E6DDE"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lang w:eastAsia="en-GB"/>
              </w:rPr>
              <w:t>15–63</w:t>
            </w:r>
          </w:p>
        </w:tc>
        <w:tc>
          <w:tcPr>
            <w:tcW w:w="1533" w:type="dxa"/>
            <w:vAlign w:val="center"/>
          </w:tcPr>
          <w:p w14:paraId="6869AEA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Overall </w:t>
            </w:r>
            <w:proofErr w:type="spellStart"/>
            <w:r w:rsidRPr="00784B41">
              <w:rPr>
                <w:rFonts w:ascii="Cambria" w:hAnsi="Cambria" w:cstheme="minorHAnsi"/>
                <w:color w:val="3B3838" w:themeColor="background2" w:themeShade="40"/>
                <w:sz w:val="20"/>
                <w:szCs w:val="20"/>
              </w:rPr>
              <w:t>PCa</w:t>
            </w:r>
            <w:proofErr w:type="spellEnd"/>
            <w:r w:rsidRPr="00784B41">
              <w:rPr>
                <w:rFonts w:ascii="Cambria" w:hAnsi="Cambria" w:cstheme="minorHAnsi"/>
                <w:color w:val="3B3838" w:themeColor="background2" w:themeShade="40"/>
                <w:sz w:val="20"/>
                <w:szCs w:val="20"/>
              </w:rPr>
              <w:t>;</w:t>
            </w:r>
            <w:r w:rsidRPr="00784B41">
              <w:rPr>
                <w:rFonts w:ascii="Cambria" w:hAnsi="Cambria" w:cstheme="minorHAnsi"/>
                <w:color w:val="3B3838" w:themeColor="background2" w:themeShade="40"/>
                <w:sz w:val="20"/>
                <w:szCs w:val="20"/>
              </w:rPr>
              <w:br/>
              <w:t>FDA approved.</w:t>
            </w:r>
          </w:p>
        </w:tc>
        <w:tc>
          <w:tcPr>
            <w:cnfStyle w:val="000100000000" w:firstRow="0" w:lastRow="0" w:firstColumn="0" w:lastColumn="1" w:oddVBand="0" w:evenVBand="0" w:oddHBand="0" w:evenHBand="0" w:firstRowFirstColumn="0" w:firstRowLastColumn="0" w:lastRowFirstColumn="0" w:lastRowLastColumn="0"/>
            <w:tcW w:w="735" w:type="dxa"/>
            <w:vAlign w:val="center"/>
          </w:tcPr>
          <w:p w14:paraId="395DD758" w14:textId="6E6965CC"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cstheme="minorHAnsi"/>
                <w:color w:val="3B3838" w:themeColor="background2" w:themeShade="40"/>
                <w:sz w:val="20"/>
                <w:szCs w:val="20"/>
              </w:rPr>
              <w:fldChar w:fldCharType="begin" w:fldLock="1"/>
            </w:r>
            <w:r w:rsidR="000C069C">
              <w:rPr>
                <w:rFonts w:ascii="Cambria" w:hAnsi="Cambria" w:cstheme="minorHAnsi"/>
                <w:color w:val="3B3838" w:themeColor="background2" w:themeShade="40"/>
                <w:sz w:val="20"/>
                <w:szCs w:val="20"/>
              </w:rPr>
              <w:instrText>ADDIN CSL_CITATION {"citationItems":[{"id":"ITEM-1","itemData":{"DOI":"10.1016/j.clgc.2016.12.022","ISSN":"19380682","abstract":"Markers for prostate cancer (PCa) have progressed over recent years. In particular, the prostate health index (PHI) and the 4-kallikrein (4K) panel have been demonstrated to improve the diagnosis of PCa. We aimed to review the diagnostic accuracy of PHI and the 4K panel for PCa detection. We performed a systematic literature search of PubMed, EMBASE, Cochrane, and Academic One File databases until July 2016. We included diagnostic accuracy studies that used PHI or 4K panel for the diagnosis of PCa or high-grade PCa. The methodological quality was assessed using the Quality Assessment of Diagnostic Accuracy Studies (QUADAS-2) tool. Twenty-eight studies including 16,762 patients have been included for the analysis. The pooled data showed a sensitivity of 0.89 and 0.74 for PHI and 4K panel, respectively, for PCa detection and a pooled specificity of 0.34 and 0.60 for PHI and 4K panel, respectively. The derived area under the curve (AUC) from the hierarchical summary receiver operating characteristic (HSROC) showed an accuracy of 0.76 and 0.72 for PHI and 4K panel respectively. For high-grade PCa detection, the pooled sensitivity was 0.93 and 0.87 for PHI and 4K panel, respectively, whereas the pooled specificity was 0.34 and 0.61 for PHI and 4K panel, respectively. The derived AUC from the HSROC showed an accuracy of 0.82 and 0.81 for PHI and 4K panel, respectively. Both PHI and the 4K panel provided good diagnostic accuracy in detecting overall and high-grade PCa.","author":[{"dropping-particle":"","family":"Russo","given":"Giorgio Ivan","non-dropping-particle":"","parse-names":false,"suffix":""},{"dropping-particle":"","family":"Regis","given":"Federica","non-dropping-particle":"","parse-names":false,"suffix":""},{"dropping-particle":"","family":"Castelli","given":"Tommaso","non-dropping-particle":"","parse-names":false,"suffix":""},{"dropping-particle":"","family":"Favilla","given":"Vincenzo","non-dropping-particle":"","parse-names":false,"suffix":""},{"dropping-particle":"","family":"Privitera","given":"Salvatore","non-dropping-particle":"","parse-names":false,"suffix":""},{"dropping-particle":"","family":"Giardina","given":"Raimondo","non-dropping-particle":"","parse-names":false,"suffix":""},{"dropping-particle":"","family":"Cimino","given":"Sebastiano","non-dropping-particle":"","parse-names":false,"suffix":""},{"dropping-particle":"","family":"Morgia","given":"Giuseppe","non-dropping-particle":"","parse-names":false,"suffix":""}],"container-title":"Clinical Genitourinary Cancer","id":"ITEM-1","issue":"4","issued":{"date-parts":[["2017"]]},"page":"429-439.e1","publisher":"Elsevier Inc.","title":"A Systematic Review and Meta-analysis of the Diagnostic Accuracy of Prostate Health Index and 4-Kallikrein Panel Score in Predicting Overall and High-grade Prostate Cancer","type":"article-journal","volume":"15"},"uris":["http://www.mendeley.com/documents/?uuid=9de65319-f9b7-4996-9f93-5f27ec139e7e"]}],"mendeley":{"formattedCitation":"&lt;sup&gt;71&lt;/sup&gt;","plainTextFormattedCitation":"71","previouslyFormattedCitation":"[71]"},"properties":{"noteIndex":0},"schema":"https://github.com/citation-style-language/schema/raw/master/csl-citation.json"}</w:instrText>
            </w:r>
            <w:r w:rsidRPr="00784B41">
              <w:rPr>
                <w:rFonts w:cstheme="minorHAnsi"/>
                <w:color w:val="3B3838" w:themeColor="background2" w:themeShade="40"/>
                <w:sz w:val="20"/>
                <w:szCs w:val="20"/>
              </w:rPr>
              <w:fldChar w:fldCharType="separate"/>
            </w:r>
            <w:r w:rsidR="000C069C" w:rsidRPr="000C069C">
              <w:rPr>
                <w:rFonts w:ascii="Cambria" w:hAnsi="Cambria" w:cstheme="minorHAnsi"/>
                <w:b w:val="0"/>
                <w:noProof/>
                <w:color w:val="3B3838" w:themeColor="background2" w:themeShade="40"/>
                <w:sz w:val="20"/>
                <w:szCs w:val="20"/>
                <w:vertAlign w:val="superscript"/>
              </w:rPr>
              <w:t>71</w:t>
            </w:r>
            <w:r w:rsidRPr="00784B41">
              <w:rPr>
                <w:rFonts w:cstheme="minorHAnsi"/>
                <w:color w:val="3B3838" w:themeColor="background2" w:themeShade="40"/>
                <w:sz w:val="20"/>
                <w:szCs w:val="20"/>
              </w:rPr>
              <w:fldChar w:fldCharType="end"/>
            </w:r>
          </w:p>
        </w:tc>
      </w:tr>
      <w:tr w:rsidR="00EE7EB3" w:rsidRPr="00784B41" w14:paraId="0984088C" w14:textId="77777777" w:rsidTr="00F233D4">
        <w:trPr>
          <w:trHeight w:val="340"/>
        </w:trPr>
        <w:tc>
          <w:tcPr>
            <w:tcW w:w="1555" w:type="dxa"/>
            <w:vAlign w:val="center"/>
          </w:tcPr>
          <w:p w14:paraId="0A71811E"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Mi-Prostate score</w:t>
            </w:r>
          </w:p>
        </w:tc>
        <w:tc>
          <w:tcPr>
            <w:tcW w:w="1275" w:type="dxa"/>
            <w:vAlign w:val="center"/>
          </w:tcPr>
          <w:p w14:paraId="3F73213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PSA &gt; 10 T</w:t>
            </w:r>
            <w:proofErr w:type="gramStart"/>
            <w:r w:rsidRPr="00784B41">
              <w:rPr>
                <w:rFonts w:ascii="Cambria" w:hAnsi="Cambria" w:cstheme="minorHAnsi"/>
                <w:color w:val="3B3838" w:themeColor="background2" w:themeShade="40"/>
                <w:sz w:val="20"/>
                <w:szCs w:val="20"/>
              </w:rPr>
              <w:t>2:ERG</w:t>
            </w:r>
            <w:proofErr w:type="gramEnd"/>
            <w:r w:rsidRPr="00784B41">
              <w:rPr>
                <w:rFonts w:ascii="Cambria" w:hAnsi="Cambria" w:cstheme="minorHAnsi"/>
                <w:color w:val="3B3838" w:themeColor="background2" w:themeShade="40"/>
                <w:sz w:val="20"/>
                <w:szCs w:val="20"/>
              </w:rPr>
              <w:t xml:space="preserve"> &gt; 8</w:t>
            </w:r>
          </w:p>
          <w:p w14:paraId="3ECDC8C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PCA3 &gt; 20</w:t>
            </w:r>
          </w:p>
        </w:tc>
        <w:tc>
          <w:tcPr>
            <w:tcW w:w="992" w:type="dxa"/>
            <w:vAlign w:val="center"/>
          </w:tcPr>
          <w:p w14:paraId="779BF13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93</w:t>
            </w:r>
          </w:p>
          <w:p w14:paraId="348218B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(88–97)</w:t>
            </w:r>
          </w:p>
        </w:tc>
        <w:tc>
          <w:tcPr>
            <w:tcW w:w="992" w:type="dxa"/>
            <w:vAlign w:val="center"/>
          </w:tcPr>
          <w:p w14:paraId="7DFBB60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33</w:t>
            </w:r>
          </w:p>
          <w:p w14:paraId="3C83A45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(29–38)</w:t>
            </w:r>
          </w:p>
        </w:tc>
        <w:tc>
          <w:tcPr>
            <w:tcW w:w="992" w:type="dxa"/>
            <w:vAlign w:val="center"/>
          </w:tcPr>
          <w:p w14:paraId="2145015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33</w:t>
            </w:r>
          </w:p>
          <w:p w14:paraId="6F50342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(31–35)</w:t>
            </w:r>
          </w:p>
        </w:tc>
        <w:tc>
          <w:tcPr>
            <w:tcW w:w="993" w:type="dxa"/>
            <w:vAlign w:val="center"/>
          </w:tcPr>
          <w:p w14:paraId="72EC963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93</w:t>
            </w:r>
          </w:p>
          <w:p w14:paraId="794B15F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(88–96)</w:t>
            </w:r>
          </w:p>
        </w:tc>
        <w:tc>
          <w:tcPr>
            <w:tcW w:w="1533" w:type="dxa"/>
            <w:vAlign w:val="center"/>
          </w:tcPr>
          <w:p w14:paraId="509787A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Aggressive </w:t>
            </w:r>
            <w:proofErr w:type="spellStart"/>
            <w:r w:rsidRPr="00784B41">
              <w:rPr>
                <w:rFonts w:ascii="Cambria" w:hAnsi="Cambria" w:cstheme="minorHAnsi"/>
                <w:color w:val="3B3838" w:themeColor="background2" w:themeShade="40"/>
                <w:sz w:val="20"/>
                <w:szCs w:val="20"/>
              </w:rPr>
              <w:t>PCa</w:t>
            </w:r>
            <w:proofErr w:type="spellEnd"/>
          </w:p>
        </w:tc>
        <w:tc>
          <w:tcPr>
            <w:cnfStyle w:val="000100000000" w:firstRow="0" w:lastRow="0" w:firstColumn="0" w:lastColumn="1" w:oddVBand="0" w:evenVBand="0" w:oddHBand="0" w:evenHBand="0" w:firstRowFirstColumn="0" w:firstRowLastColumn="0" w:lastRowFirstColumn="0" w:lastRowLastColumn="0"/>
            <w:tcW w:w="735" w:type="dxa"/>
            <w:vAlign w:val="center"/>
          </w:tcPr>
          <w:p w14:paraId="603C6F3B" w14:textId="4A025315" w:rsidR="00EE7EB3" w:rsidRPr="00784B41" w:rsidRDefault="00EE7EB3" w:rsidP="00F233D4">
            <w:pPr>
              <w:jc w:val="center"/>
              <w:rPr>
                <w:rFonts w:ascii="Cambria" w:hAnsi="Cambria" w:cstheme="minorHAnsi"/>
                <w:color w:val="3B3838" w:themeColor="background2" w:themeShade="40"/>
                <w:sz w:val="20"/>
                <w:szCs w:val="20"/>
              </w:rPr>
            </w:pPr>
            <w:r w:rsidRPr="00784B41">
              <w:rPr>
                <w:rFonts w:cstheme="minorHAnsi"/>
                <w:color w:val="3B3838" w:themeColor="background2" w:themeShade="40"/>
                <w:sz w:val="20"/>
                <w:szCs w:val="20"/>
              </w:rPr>
              <w:fldChar w:fldCharType="begin" w:fldLock="1"/>
            </w:r>
            <w:r w:rsidR="000C069C">
              <w:rPr>
                <w:rFonts w:ascii="Cambria" w:hAnsi="Cambria" w:cstheme="minorHAnsi"/>
                <w:color w:val="3B3838" w:themeColor="background2" w:themeShade="40"/>
                <w:sz w:val="20"/>
                <w:szCs w:val="20"/>
              </w:rPr>
              <w:instrText>ADDIN CSL_CITATION {"citationItems":[{"id":"ITEM-1","itemData":{"DOI":"10.1001/jamaoncol.2017.0177","ISSN":"23742445","PMID":"28520829","abstract":"IMPORTANCE: Potential survival benefits from treating aggressive (Gleason score, ≥7) early-stage prostate cancer are undermined by harms from unnecessary prostate biopsy and overdiagnosis of indolent disease. OBJECTIVE: To evaluate the a priori primary hypothesis that combined measurement of PCA3 and TMPRSS2:ERG (T2:ERG) RNA in the urine after digital rectal examination would improve specificity over measurement of prostate-specific antigen alone for detecting cancer with Gleason score of 7 or higher. As a secondary objective, to evaluate the potential effect of such urine RNA testing on health care costs. DESIGN, SETTING, AND PARTICIPANTS: Prospective, multicenter diagnostic evaluation and validation in academic and community-based ambulatory urology clinics. Participants were a referred sample of men presenting for first-time prostate biopsy without preexisting prostate cancer: 516 eligible participants from among 748 prospective cohort participants in the developmental cohort and 561 eligible participants from 928 in the validation cohort. INTERVENTIONS/EXPOSURES: Urinary PCA3 and T2:ERG RNA measurement before prostate biopsy. MAIN OUTCOMES AND MEASURES: Presence of prostate cancer having Gleason score of 7 or higher on prostate biopsy. Pathology testing was blinded to urine assay results. In the developmental cohort, a multiplex decision algorithm was constructed using urine RNA assays to optimize specificity while maintaining 95% sensitivity for predicting aggressive prostate cancer at initial biopsy. Findings were validated in a separate multicenter cohort via prespecified analysis, blinded per prospective-specimen-collection, retrospective-blinded-evaluation (PRoBE) criteria. Cost effects of the urinary testing strategy were evaluated by modeling observed biopsy results and previously reported treatment outcomes. RESULTS: Among the 516 men in the developmental cohort (mean age, 62 years; range, 33-85 years) combining testing of urinary T2:ERG and PCA3 at thresholds that preserved 95% sensitivity for detecting aggressive prostate cancer improved specificity from 18% to 39%. Among the 561 men in the validation cohort (mean age, 62 years; range, 27-86 years), analysis confirmed improvement in specificity (from 17% to 33%; lower bound of 1-sided 95% CI, 0.73%; prespecified 1-sided P = .04), while high sensitivity (93%) was preserved for aggressive prostate cancer detection. Forty-two percent of unnecessary prostate biopsies would have been averted by…","author":[{"dropping-particle":"","family":"Sanda","given":"Martin G.","non-dropping-particle":"","parse-names":false,"suffix":""},{"dropping-particle":"","family":"Feng","given":"Ziding","non-dropping-particle":"","parse-names":false,"suffix":""},{"dropping-particle":"","family":"Howard","given":"David H.","non-dropping-particle":"","parse-names":false,"suffix":""},{"dropping-particle":"","family":"Tomlins","given":"Scott A.","non-dropping-particle":"","parse-names":false,"suffix":""},{"dropping-particle":"","family":"Sokoll","given":"Lori J.","non-dropping-particle":"","parse-names":false,"suffix":""},{"dropping-particle":"","family":"Chan","given":"Daniel W.","non-dropping-particle":"","parse-names":false,"suffix":""},{"dropping-particle":"","family":"Regan","given":"Meredith M.","non-dropping-particle":"","parse-names":false,"suffix":""},{"dropping-particle":"","family":"Groskopf","given":"Jack","non-dropping-particle":"","parse-names":false,"suffix":""},{"dropping-particle":"","family":"Chipman","given":"Jonathan","non-dropping-particle":"","parse-names":false,"suffix":""},{"dropping-particle":"","family":"Patil","given":"Dattatraya H.","non-dropping-particle":"","parse-names":false,"suffix":""},{"dropping-particle":"","family":"Salami","given":"Simpa S.","non-dropping-particle":"","parse-names":false,"suffix":""},{"dropping-particle":"","family":"Scherr","given":"Douglas S.","non-dropping-particle":"","parse-names":false,"suffix":""},{"dropping-particle":"","family":"Kagan","given":"Jacob","non-dropping-particle":"","parse-names":false,"suffix":""},{"dropping-particle":"","family":"Srivastava","given":"Sudhir","non-dropping-particle":"","parse-names":false,"suffix":""},{"dropping-particle":"","family":"Thompson","given":"Ian M.","non-dropping-particle":"","parse-names":false,"suffix":""},{"dropping-particle":"","family":"Siddiqui","given":"Javed","non-dropping-particle":"","parse-names":false,"suffix":""},{"dropping-particle":"","family":"Fan","given":"Jing","non-dropping-particle":"","parse-names":false,"suffix":""},{"dropping-particle":"","family":"Joon","given":"Aron Y.","non-dropping-particle":"","parse-names":false,"suffix":""},{"dropping-particle":"","family":"Bantis","given":"Leonidas E.","non-dropping-particle":"","parse-names":false,"suffix":""},{"dropping-particle":"","family":"Rubin","given":"Mark A.","non-dropping-particle":"","parse-names":false,"suffix":""},{"dropping-particle":"","family":"Chinnayian","given":"Arul M.","non-dropping-particle":"","parse-names":false,"suffix":""},{"dropping-particle":"","family":"Wei","given":"John T.","non-dropping-particle":"","parse-names":false,"suffix":""},{"dropping-particle":"","family":"Bidair","given":"Mohamed","non-dropping-particle":"","parse-names":false,"suffix":""},{"dropping-particle":"","family":"Kibel","given":"Adam","non-dropping-particle":"","parse-names":false,"suffix":""},{"dropping-particle":"","family":"Lin","given":"Daniel W.","non-dropping-particle":"","parse-names":false,"suffix":""},{"dropping-particle":"","family":"Lotan","given":"Yair","non-dropping-particle":"","parse-names":false,"suffix":""},{"dropping-particle":"","family":"Partin","given":"Alan","non-dropping-particle":"","parse-names":false,"suffix":""},{"dropping-particle":"","family":"Taneja","given":"Samir","non-dropping-particle":"","parse-names":false,"suffix":""}],"container-title":"JAMA Oncology","id":"ITEM-1","issue":"8","issued":{"date-parts":[["2017"]]},"page":"1085-1093","title":"Association between combined TMPRSS2:ERG and PCA3 RNA urinary testing and detection of aggressive prostate cancer","type":"article-journal","volume":"3"},"uris":["http://www.mendeley.com/documents/?uuid=dd9c5695-ac56-4266-b649-3891330347f5"]}],"mendeley":{"formattedCitation":"&lt;sup&gt;67&lt;/sup&gt;","plainTextFormattedCitation":"67","previouslyFormattedCitation":"[67]"},"properties":{"noteIndex":0},"schema":"https://github.com/citation-style-language/schema/raw/master/csl-citation.json"}</w:instrText>
            </w:r>
            <w:r w:rsidRPr="00784B41">
              <w:rPr>
                <w:rFonts w:cstheme="minorHAnsi"/>
                <w:color w:val="3B3838" w:themeColor="background2" w:themeShade="40"/>
                <w:sz w:val="20"/>
                <w:szCs w:val="20"/>
              </w:rPr>
              <w:fldChar w:fldCharType="separate"/>
            </w:r>
            <w:r w:rsidR="000C069C" w:rsidRPr="000C069C">
              <w:rPr>
                <w:rFonts w:ascii="Cambria" w:hAnsi="Cambria" w:cstheme="minorHAnsi"/>
                <w:b w:val="0"/>
                <w:noProof/>
                <w:color w:val="3B3838" w:themeColor="background2" w:themeShade="40"/>
                <w:sz w:val="20"/>
                <w:szCs w:val="20"/>
                <w:vertAlign w:val="superscript"/>
              </w:rPr>
              <w:t>67</w:t>
            </w:r>
            <w:r w:rsidRPr="00784B41">
              <w:rPr>
                <w:rFonts w:cstheme="minorHAnsi"/>
                <w:color w:val="3B3838" w:themeColor="background2" w:themeShade="40"/>
                <w:sz w:val="20"/>
                <w:szCs w:val="20"/>
              </w:rPr>
              <w:fldChar w:fldCharType="end"/>
            </w:r>
          </w:p>
        </w:tc>
      </w:tr>
      <w:tr w:rsidR="00EE7EB3" w:rsidRPr="00784B41" w14:paraId="1F83EC20" w14:textId="77777777" w:rsidTr="00F233D4">
        <w:trPr>
          <w:trHeight w:val="340"/>
        </w:trPr>
        <w:tc>
          <w:tcPr>
            <w:tcW w:w="1555" w:type="dxa"/>
            <w:vAlign w:val="center"/>
          </w:tcPr>
          <w:p w14:paraId="29489BBB" w14:textId="77777777" w:rsidR="00EE7EB3" w:rsidRPr="00784B41" w:rsidRDefault="00EE7EB3" w:rsidP="00F233D4">
            <w:pPr>
              <w:jc w:val="center"/>
              <w:rPr>
                <w:rFonts w:ascii="Cambria" w:hAnsi="Cambria" w:cstheme="minorHAnsi"/>
                <w:color w:val="3B3838" w:themeColor="background2" w:themeShade="40"/>
                <w:sz w:val="20"/>
                <w:szCs w:val="20"/>
              </w:rPr>
            </w:pPr>
            <w:proofErr w:type="spellStart"/>
            <w:r w:rsidRPr="00784B41">
              <w:rPr>
                <w:rFonts w:ascii="Cambria" w:hAnsi="Cambria" w:cstheme="minorHAnsi"/>
                <w:color w:val="3B3838" w:themeColor="background2" w:themeShade="40"/>
                <w:sz w:val="20"/>
                <w:szCs w:val="20"/>
              </w:rPr>
              <w:t>ExoDx</w:t>
            </w:r>
            <w:proofErr w:type="spellEnd"/>
            <w:r w:rsidRPr="00784B41">
              <w:rPr>
                <w:rFonts w:ascii="Cambria" w:hAnsi="Cambria" w:cstheme="minorHAnsi"/>
                <w:color w:val="3B3838" w:themeColor="background2" w:themeShade="40"/>
                <w:sz w:val="20"/>
                <w:szCs w:val="20"/>
              </w:rPr>
              <w:t xml:space="preserve"> Prostate </w:t>
            </w:r>
            <w:proofErr w:type="spellStart"/>
            <w:r w:rsidRPr="00784B41">
              <w:rPr>
                <w:rFonts w:ascii="Cambria" w:hAnsi="Cambria" w:cstheme="minorHAnsi"/>
                <w:color w:val="3B3838" w:themeColor="background2" w:themeShade="40"/>
                <w:sz w:val="20"/>
                <w:szCs w:val="20"/>
              </w:rPr>
              <w:t>IntelliScore</w:t>
            </w:r>
            <w:proofErr w:type="spellEnd"/>
          </w:p>
        </w:tc>
        <w:tc>
          <w:tcPr>
            <w:tcW w:w="1275" w:type="dxa"/>
            <w:vAlign w:val="center"/>
          </w:tcPr>
          <w:p w14:paraId="618B299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15.6</w:t>
            </w:r>
          </w:p>
        </w:tc>
        <w:tc>
          <w:tcPr>
            <w:tcW w:w="992" w:type="dxa"/>
            <w:vAlign w:val="center"/>
          </w:tcPr>
          <w:p w14:paraId="32C7DC87"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92</w:t>
            </w:r>
          </w:p>
          <w:p w14:paraId="3863E9E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(88–96)</w:t>
            </w:r>
          </w:p>
        </w:tc>
        <w:tc>
          <w:tcPr>
            <w:tcW w:w="992" w:type="dxa"/>
            <w:vAlign w:val="center"/>
          </w:tcPr>
          <w:p w14:paraId="6C10377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34</w:t>
            </w:r>
          </w:p>
          <w:p w14:paraId="452D1BE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(29–39)</w:t>
            </w:r>
          </w:p>
        </w:tc>
        <w:tc>
          <w:tcPr>
            <w:tcW w:w="992" w:type="dxa"/>
            <w:vAlign w:val="center"/>
          </w:tcPr>
          <w:p w14:paraId="6E93A1E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36</w:t>
            </w:r>
          </w:p>
          <w:p w14:paraId="30B76EA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(31–41)</w:t>
            </w:r>
          </w:p>
        </w:tc>
        <w:tc>
          <w:tcPr>
            <w:tcW w:w="993" w:type="dxa"/>
            <w:vAlign w:val="center"/>
          </w:tcPr>
          <w:p w14:paraId="081D55E4"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91</w:t>
            </w:r>
          </w:p>
          <w:p w14:paraId="6874AF0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(87–96)</w:t>
            </w:r>
          </w:p>
        </w:tc>
        <w:tc>
          <w:tcPr>
            <w:tcW w:w="1533" w:type="dxa"/>
            <w:vAlign w:val="center"/>
          </w:tcPr>
          <w:p w14:paraId="5F6C211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Aggressive </w:t>
            </w:r>
            <w:proofErr w:type="spellStart"/>
            <w:r w:rsidRPr="00784B41">
              <w:rPr>
                <w:rFonts w:ascii="Cambria" w:hAnsi="Cambria" w:cstheme="minorHAnsi"/>
                <w:color w:val="3B3838" w:themeColor="background2" w:themeShade="40"/>
                <w:sz w:val="20"/>
                <w:szCs w:val="20"/>
              </w:rPr>
              <w:t>PCa</w:t>
            </w:r>
            <w:proofErr w:type="spellEnd"/>
          </w:p>
        </w:tc>
        <w:tc>
          <w:tcPr>
            <w:cnfStyle w:val="000100000000" w:firstRow="0" w:lastRow="0" w:firstColumn="0" w:lastColumn="1" w:oddVBand="0" w:evenVBand="0" w:oddHBand="0" w:evenHBand="0" w:firstRowFirstColumn="0" w:firstRowLastColumn="0" w:lastRowFirstColumn="0" w:lastRowLastColumn="0"/>
            <w:tcW w:w="735" w:type="dxa"/>
            <w:vAlign w:val="center"/>
          </w:tcPr>
          <w:p w14:paraId="523D94D7" w14:textId="2A96B8CA" w:rsidR="00EE7EB3" w:rsidRPr="00784B41" w:rsidRDefault="00EE7EB3" w:rsidP="00F233D4">
            <w:pPr>
              <w:jc w:val="center"/>
              <w:rPr>
                <w:rFonts w:ascii="Cambria" w:hAnsi="Cambria" w:cstheme="minorHAnsi"/>
                <w:color w:val="3B3838" w:themeColor="background2" w:themeShade="40"/>
                <w:sz w:val="20"/>
                <w:szCs w:val="20"/>
              </w:rPr>
            </w:pPr>
            <w:r w:rsidRPr="00784B41">
              <w:rPr>
                <w:rFonts w:cstheme="minorHAnsi"/>
                <w:color w:val="3B3838" w:themeColor="background2" w:themeShade="40"/>
                <w:sz w:val="20"/>
                <w:szCs w:val="20"/>
              </w:rPr>
              <w:fldChar w:fldCharType="begin" w:fldLock="1"/>
            </w:r>
            <w:r w:rsidR="000C069C">
              <w:rPr>
                <w:rFonts w:ascii="Cambria" w:hAnsi="Cambria" w:cstheme="minorHAnsi"/>
                <w:color w:val="3B3838" w:themeColor="background2" w:themeShade="40"/>
                <w:sz w:val="20"/>
                <w:szCs w:val="20"/>
              </w:rPr>
              <w:instrText>ADDIN CSL_CITATION {"citationItems":[{"id":"ITEM-1","itemData":{"DOI":"10.1001/jamaoncol.2016.0097","ISSN":"2374-2437","abstract":"Importance: Overdiagnosis and overtreatment of indolent prostate cancer (PCA) is a serious health issue in most developed countries. There is an unmet clinical need for noninvasive, easy to administer, diagnostic assays to help assess whether a prostate biopsy is warranted. Objective: To determine the performance of a novel urine exosome gene expression assay (the ExoDx Prostate IntelliScore urine exosome assay) plus standard of care (SOC) (ie, prostate-specific antigen [PSA] level, age, race, and family history) vs SOC alone for discriminating between Gleason score (GS)7 and GS6 and benign disease on initial biopsy. Design, Setting, and Participants: In training, using reverse-transcriptase polymerase chain reaction (PCR), we compared the urine exosome gene expression assay with biopsy outcomes in 499 patients with prostate-specific antigen (PSA) levels of 2 to 20 ng/mL. The derived prognostic score was then validated in 1064 patients from 22 community practice and academic urology clinic sites in the United States. Eligible participants included PCA-free men, 50 years or older, scheduled for an initial or repeated prostate needle biopsy due to suspicious digital rectal examination (DRE) findings and/or PSA levels (limit range, 2.0-20.0 ng/mL). Main Outcomes and Measures: Evaluate the assay using the area under receiver operating characteristic curve (AUC) in discrimination of GS7 or greater from GS6 and benign disease on initial biopsy. Results: In 255 men in the training target population (median age 62 years and median PSA level 5.0 ng/mL, and initial biopsy), the urine exosome gene expression assay plus SOC was associated with improved discrimination between GS7 or greater and GS6 and benign disease: AUC 0.77 (95%CI, 0.71-0.83) vs SOC AUC 0.66 (95%CI, 0.58-0.72) (P &lt; .001). Independent validation in 519 patients' urine exosome gene expression assay plus SOC AUC 0.73 (95%CI, 0.68-0.77) was superior to SOC AUC 0.63 (95%CI, 0.58-0.68) (P &lt; .001). Using a predefined cut point, 138 of 519 (27%) biopsies would have been avoided, missing only 5%of patients with dominant pattern 4 high-risk GS7 disease. Conclusions and Relevance: This urine exosome gene expression assay is a noninvasive, urinary 3-gene expression assay that discriminates high-grade (≥GS7) from low-grade (GS6) cancer and benign disease. In this study, the urine exosome gene expression assay was associated with improved identification of patients with higher-grade prostate cancer among men w…","author":[{"dropping-particle":"","family":"McKiernan","given":"James","non-dropping-particle":"","parse-names":false,"suffix":""},{"dropping-particle":"","family":"Donovan","given":"Michael J.","non-dropping-particle":"","parse-names":false,"suffix":""},{"dropping-particle":"","family":"O’Neill","given":"Vince","non-dropping-particle":"","parse-names":false,"suffix":""},{"dropping-particle":"","family":"Bentink","given":"Stefan","non-dropping-particle":"","parse-names":false,"suffix":""},{"dropping-particle":"","family":"Noerholm","given":"Mikkel","non-dropping-particle":"","parse-names":false,"suffix":""},{"dropping-particle":"","family":"Belzer","given":"Susan","non-dropping-particle":"","parse-names":false,"suffix":""},{"dropping-particle":"","family":"Skog","given":"Johan","non-dropping-particle":"","parse-names":false,"suffix":""},{"dropping-particle":"","family":"Kattan","given":"Michael W.","non-dropping-particle":"","parse-names":false,"suffix":""},{"dropping-particle":"","family":"Partin","given":"Alan","non-dropping-particle":"","parse-names":false,"suffix":""},{"dropping-particle":"","family":"Andriole","given":"Gerald","non-dropping-particle":"","parse-names":false,"suffix":""},{"dropping-particle":"","family":"Brown","given":"Gordon","non-dropping-particle":"","parse-names":false,"suffix":""},{"dropping-particle":"","family":"Wei","given":"John T.","non-dropping-particle":"","parse-names":false,"suffix":""},{"dropping-particle":"","family":"Thompson","given":"Ian M.","non-dropping-particle":"","parse-names":false,"suffix":""},{"dropping-particle":"","family":"Carroll","given":"Peter","non-dropping-particle":"","parse-names":false,"suffix":""}],"container-title":"JAMA Oncology","id":"ITEM-1","issue":"7","issued":{"date-parts":[["2016","7","1"]]},"page":"882","title":"A Novel Urine Exosome Gene Expression Assay to Predict High-grade Prostate Cancer at Initial Biopsy","type":"article-journal","volume":"2"},"uris":["http://www.mendeley.com/documents/?uuid=856f86a2-b5da-499a-b3b4-49278e135b7b"]}],"mendeley":{"formattedCitation":"&lt;sup&gt;68&lt;/sup&gt;","plainTextFormattedCitation":"68","previouslyFormattedCitation":"[68]"},"properties":{"noteIndex":0},"schema":"https://github.com/citation-style-language/schema/raw/master/csl-citation.json"}</w:instrText>
            </w:r>
            <w:r w:rsidRPr="00784B41">
              <w:rPr>
                <w:rFonts w:cstheme="minorHAnsi"/>
                <w:color w:val="3B3838" w:themeColor="background2" w:themeShade="40"/>
                <w:sz w:val="20"/>
                <w:szCs w:val="20"/>
              </w:rPr>
              <w:fldChar w:fldCharType="separate"/>
            </w:r>
            <w:r w:rsidR="000C069C" w:rsidRPr="000C069C">
              <w:rPr>
                <w:rFonts w:ascii="Cambria" w:hAnsi="Cambria" w:cstheme="minorHAnsi"/>
                <w:b w:val="0"/>
                <w:noProof/>
                <w:color w:val="3B3838" w:themeColor="background2" w:themeShade="40"/>
                <w:sz w:val="20"/>
                <w:szCs w:val="20"/>
                <w:vertAlign w:val="superscript"/>
              </w:rPr>
              <w:t>68</w:t>
            </w:r>
            <w:r w:rsidRPr="00784B41">
              <w:rPr>
                <w:rFonts w:cstheme="minorHAnsi"/>
                <w:color w:val="3B3838" w:themeColor="background2" w:themeShade="40"/>
                <w:sz w:val="20"/>
                <w:szCs w:val="20"/>
              </w:rPr>
              <w:fldChar w:fldCharType="end"/>
            </w:r>
          </w:p>
        </w:tc>
      </w:tr>
      <w:tr w:rsidR="00EE7EB3" w:rsidRPr="00784B41" w14:paraId="4FC37A06" w14:textId="77777777" w:rsidTr="00F233D4">
        <w:trPr>
          <w:trHeight w:val="340"/>
        </w:trPr>
        <w:tc>
          <w:tcPr>
            <w:tcW w:w="1555" w:type="dxa"/>
            <w:vAlign w:val="center"/>
          </w:tcPr>
          <w:p w14:paraId="2306504F" w14:textId="77777777" w:rsidR="00EE7EB3" w:rsidRPr="00784B41" w:rsidRDefault="00EE7EB3" w:rsidP="00F233D4">
            <w:pPr>
              <w:jc w:val="center"/>
              <w:rPr>
                <w:rFonts w:ascii="Cambria" w:hAnsi="Cambria" w:cstheme="minorHAnsi"/>
                <w:color w:val="3B3838" w:themeColor="background2" w:themeShade="40"/>
                <w:sz w:val="20"/>
                <w:szCs w:val="20"/>
              </w:rPr>
            </w:pPr>
            <w:proofErr w:type="spellStart"/>
            <w:r w:rsidRPr="00784B41">
              <w:rPr>
                <w:rFonts w:ascii="Cambria" w:hAnsi="Cambria" w:cstheme="minorHAnsi"/>
                <w:color w:val="3B3838" w:themeColor="background2" w:themeShade="40"/>
                <w:sz w:val="20"/>
                <w:szCs w:val="20"/>
              </w:rPr>
              <w:t>SelectMDx</w:t>
            </w:r>
            <w:r w:rsidRPr="00784B41">
              <w:rPr>
                <w:rFonts w:ascii="Cambria" w:hAnsi="Cambria" w:cstheme="minorHAnsi"/>
                <w:color w:val="3B3838" w:themeColor="background2" w:themeShade="40"/>
                <w:sz w:val="20"/>
                <w:szCs w:val="20"/>
                <w:vertAlign w:val="superscript"/>
              </w:rPr>
              <w:t>TM</w:t>
            </w:r>
            <w:proofErr w:type="spellEnd"/>
          </w:p>
        </w:tc>
        <w:tc>
          <w:tcPr>
            <w:tcW w:w="1275" w:type="dxa"/>
            <w:vAlign w:val="center"/>
          </w:tcPr>
          <w:p w14:paraId="4443A185"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27.5</w:t>
            </w:r>
          </w:p>
        </w:tc>
        <w:tc>
          <w:tcPr>
            <w:tcW w:w="992" w:type="dxa"/>
            <w:vAlign w:val="center"/>
          </w:tcPr>
          <w:p w14:paraId="7198355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91</w:t>
            </w:r>
          </w:p>
        </w:tc>
        <w:tc>
          <w:tcPr>
            <w:tcW w:w="992" w:type="dxa"/>
            <w:vAlign w:val="center"/>
          </w:tcPr>
          <w:p w14:paraId="77435C7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36</w:t>
            </w:r>
          </w:p>
        </w:tc>
        <w:tc>
          <w:tcPr>
            <w:tcW w:w="992" w:type="dxa"/>
            <w:vAlign w:val="center"/>
          </w:tcPr>
          <w:p w14:paraId="6E401A6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27</w:t>
            </w:r>
          </w:p>
        </w:tc>
        <w:tc>
          <w:tcPr>
            <w:tcW w:w="993" w:type="dxa"/>
            <w:vAlign w:val="center"/>
          </w:tcPr>
          <w:p w14:paraId="2C429A8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94</w:t>
            </w:r>
          </w:p>
        </w:tc>
        <w:tc>
          <w:tcPr>
            <w:tcW w:w="1533" w:type="dxa"/>
            <w:vAlign w:val="center"/>
          </w:tcPr>
          <w:p w14:paraId="122FA35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Aggressive </w:t>
            </w:r>
            <w:proofErr w:type="spellStart"/>
            <w:r w:rsidRPr="00784B41">
              <w:rPr>
                <w:rFonts w:ascii="Cambria" w:hAnsi="Cambria" w:cstheme="minorHAnsi"/>
                <w:color w:val="3B3838" w:themeColor="background2" w:themeShade="40"/>
                <w:sz w:val="20"/>
                <w:szCs w:val="20"/>
              </w:rPr>
              <w:t>PCa</w:t>
            </w:r>
            <w:proofErr w:type="spellEnd"/>
          </w:p>
        </w:tc>
        <w:tc>
          <w:tcPr>
            <w:cnfStyle w:val="000100000000" w:firstRow="0" w:lastRow="0" w:firstColumn="0" w:lastColumn="1" w:oddVBand="0" w:evenVBand="0" w:oddHBand="0" w:evenHBand="0" w:firstRowFirstColumn="0" w:firstRowLastColumn="0" w:lastRowFirstColumn="0" w:lastRowLastColumn="0"/>
            <w:tcW w:w="735" w:type="dxa"/>
            <w:vAlign w:val="center"/>
          </w:tcPr>
          <w:p w14:paraId="4899CFBE" w14:textId="02A5E22D" w:rsidR="00EE7EB3" w:rsidRPr="00784B41" w:rsidRDefault="00EE7EB3" w:rsidP="00F233D4">
            <w:pPr>
              <w:jc w:val="center"/>
              <w:rPr>
                <w:rFonts w:ascii="Cambria" w:hAnsi="Cambria" w:cstheme="minorHAnsi"/>
                <w:color w:val="3B3838" w:themeColor="background2" w:themeShade="40"/>
                <w:sz w:val="20"/>
                <w:szCs w:val="20"/>
              </w:rPr>
            </w:pPr>
            <w:r w:rsidRPr="00784B41">
              <w:rPr>
                <w:rFonts w:cstheme="minorHAnsi"/>
                <w:color w:val="3B3838" w:themeColor="background2" w:themeShade="40"/>
                <w:sz w:val="20"/>
                <w:szCs w:val="20"/>
              </w:rPr>
              <w:fldChar w:fldCharType="begin" w:fldLock="1"/>
            </w:r>
            <w:r w:rsidR="000C069C">
              <w:rPr>
                <w:rFonts w:ascii="Cambria" w:hAnsi="Cambria" w:cstheme="minorHAnsi"/>
                <w:color w:val="3B3838" w:themeColor="background2" w:themeShade="40"/>
                <w:sz w:val="20"/>
                <w:szCs w:val="20"/>
              </w:rPr>
              <w:instrText>ADDIN CSL_CITATION {"citationItems":[{"id":"ITEM-1","itemData":{"DOI":"10.1016/j.eururo.2016.04.012","ISSN":"18737560","abstract":"Background To reduce overdiagnosis and overtreatment, a test is urgently needed to detect clinically significant prostate cancer (PCa). Objective To develop a multimodal model, incorporating previously identified messenger RNA (mRNA) biomarkers and traditional risk factors that could be used to identify patients with high-grade PCa (Gleason score ≥7) on prostate biopsy. Design, setting, and participants In two prospective multicenter studies, urine was collected for mRNA profiling after digital rectal examination (DRE) and prior to prostate biopsy. The multimodal risk score was developed on a first cohort (n = 519) and subsequently validated clinically in an independent cohort (n = 386). Outcome measurements and statistical analysis The mRNA levels were measured using reverse transcription quantitative polymerase chain reaction. Logistic regression was used to model patient risk and combine risk factors. Models were compared using the area under the curve (AUC) of the receiver operating characteristic, and clinical utility was evaluated with a decision curve analysis (DCA). Results and limitations HOXC6 and DLX1 mRNA levels were shown to be good predictors for the detection of high-grade PCa. The multimodal approach reached an overall AUC of 0.90 (95% confidence interval [CI], 0.85–0.95) in the validation cohort (AUC 0.86 in the training cohort), with the mRNA signature, prostate-specific antigen (PSA) density, and previous cancer-negative prostate biopsies as the strongest, most significant components, in addition to nonsignificant model contributions of PSA, age, and family history. For another model, which included DRE as an additional risk factor, an AUC of 0.86 (95% CI, 0.80–0.92) was obtained (AUC 0.90 in the training cohort). Both models were successfully validated, with no significant change in AUC in the validation cohort, and DCA indicated a strong net benefit and the best reduction in unnecessary biopsies compared with other clinical decision-making tools, such as the Prostate Cancer Prevention Trial risk calculator and the PCA3 assay. Conclusions The risk score based on the mRNA liquid biopsy assay combined with traditional clinical risk factors identified men at risk of harboring high-grade PCa and resulted in a better patient risk stratification compared with current methods in clinical practice. Therefore, the risk score could reduce the number of unnecessary prostate biopsies. Patient summary This study evaluated a novel urine-based assa…","author":[{"dropping-particle":"","family":"Neste","given":"Leander","non-dropping-particle":"Van","parse-names":false,"suffix":""},{"dropping-particle":"","family":"Hendriks","given":"Rianne J.","non-dropping-particle":"","parse-names":false,"suffix":""},{"dropping-particle":"","family":"Dijkstra","given":"Siebren","non-dropping-particle":"","parse-names":false,"suffix":""},{"dropping-particle":"","family":"Trooskens","given":"Geert","non-dropping-particle":"","parse-names":false,"suffix":""},{"dropping-particle":"","family":"Cornel","given":"Erik B.","non-dropping-particle":"","parse-names":false,"suffix":""},{"dropping-particle":"","family":"Jannink","given":"Sander A.","non-dropping-particle":"","parse-names":false,"suffix":""},{"dropping-particle":"","family":"Jong","given":"Hans","non-dropping-particle":"de","parse-names":false,"suffix":""},{"dropping-particle":"","family":"Hessels","given":"Daphne","non-dropping-particle":"","parse-names":false,"suffix":""},{"dropping-particle":"","family":"Smit","given":"Frank P.","non-dropping-particle":"","parse-names":false,"suffix":""},{"dropping-particle":"","family":"Melchers","given":"Willem J.G.","non-dropping-particle":"","parse-names":false,"suffix":""},{"dropping-particle":"","family":"Leyten","given":"Gisèle H.J.M.","non-dropping-particle":"","parse-names":false,"suffix":""},{"dropping-particle":"","family":"Reijke","given":"Theo M.","non-dropping-particle":"de","parse-names":false,"suffix":""},{"dropping-particle":"","family":"Vergunst","given":"Henk","non-dropping-particle":"","parse-names":false,"suffix":""},{"dropping-particle":"","family":"Kil","given":"Paul","non-dropping-particle":"","parse-names":false,"suffix":""},{"dropping-particle":"","family":"Knipscheer","given":"Ben C.","non-dropping-particle":"","parse-names":false,"suffix":""},{"dropping-particle":"","family":"Hulsbergen-van de Kaa","given":"Christina A.","non-dropping-particle":"","parse-names":false,"suffix":""},{"dropping-particle":"","family":"Mulders","given":"Peter F.A.","non-dropping-particle":"","parse-names":false,"suffix":""},{"dropping-particle":"","family":"Oort","given":"Inge M.","non-dropping-particle":"van","parse-names":false,"suffix":""},{"dropping-particle":"","family":"Criekinge","given":"Wim","non-dropping-particle":"Van","parse-names":false,"suffix":""},{"dropping-particle":"","family":"Schalken","given":"Jack A.","non-dropping-particle":"","parse-names":false,"suffix":""}],"container-title":"European Urology","id":"ITEM-1","issue":"5","issued":{"date-parts":[["2016"]]},"page":"740-748","title":"Detection of High-grade Prostate Cancer Using a Urinary Molecular Biomarker–Based Risk Score","type":"article-journal","volume":"70"},"uris":["http://www.mendeley.com/documents/?uuid=a388a1db-713a-4906-a59a-69c25d1a3b42"]}],"mendeley":{"formattedCitation":"&lt;sup&gt;69&lt;/sup&gt;","plainTextFormattedCitation":"69","previouslyFormattedCitation":"[69]"},"properties":{"noteIndex":0},"schema":"https://github.com/citation-style-language/schema/raw/master/csl-citation.json"}</w:instrText>
            </w:r>
            <w:r w:rsidRPr="00784B41">
              <w:rPr>
                <w:rFonts w:cstheme="minorHAnsi"/>
                <w:color w:val="3B3838" w:themeColor="background2" w:themeShade="40"/>
                <w:sz w:val="20"/>
                <w:szCs w:val="20"/>
              </w:rPr>
              <w:fldChar w:fldCharType="separate"/>
            </w:r>
            <w:r w:rsidR="000C069C" w:rsidRPr="000C069C">
              <w:rPr>
                <w:rFonts w:ascii="Cambria" w:hAnsi="Cambria" w:cstheme="minorHAnsi"/>
                <w:b w:val="0"/>
                <w:noProof/>
                <w:color w:val="3B3838" w:themeColor="background2" w:themeShade="40"/>
                <w:sz w:val="20"/>
                <w:szCs w:val="20"/>
                <w:vertAlign w:val="superscript"/>
              </w:rPr>
              <w:t>69</w:t>
            </w:r>
            <w:r w:rsidRPr="00784B41">
              <w:rPr>
                <w:rFonts w:cstheme="minorHAnsi"/>
                <w:color w:val="3B3838" w:themeColor="background2" w:themeShade="40"/>
                <w:sz w:val="20"/>
                <w:szCs w:val="20"/>
              </w:rPr>
              <w:fldChar w:fldCharType="end"/>
            </w:r>
          </w:p>
        </w:tc>
      </w:tr>
      <w:tr w:rsidR="00EE7EB3" w:rsidRPr="00784B41" w14:paraId="719A75AA" w14:textId="77777777" w:rsidTr="00F233D4">
        <w:trPr>
          <w:trHeight w:val="340"/>
        </w:trPr>
        <w:tc>
          <w:tcPr>
            <w:cnfStyle w:val="000100000000" w:firstRow="0" w:lastRow="0" w:firstColumn="0" w:lastColumn="1" w:oddVBand="0" w:evenVBand="0" w:oddHBand="0" w:evenHBand="0" w:firstRowFirstColumn="0" w:firstRowLastColumn="0" w:lastRowFirstColumn="0" w:lastRowLastColumn="0"/>
            <w:tcW w:w="9067" w:type="dxa"/>
            <w:gridSpan w:val="8"/>
          </w:tcPr>
          <w:p w14:paraId="192D1565" w14:textId="77777777" w:rsidR="00EE7EB3" w:rsidRPr="00784B41" w:rsidRDefault="00EE7EB3" w:rsidP="00F233D4">
            <w:pPr>
              <w:rPr>
                <w:rFonts w:ascii="Cambria" w:hAnsi="Cambria" w:cstheme="minorHAnsi"/>
                <w:b w:val="0"/>
                <w:bCs w:val="0"/>
                <w:color w:val="3B3838" w:themeColor="background2" w:themeShade="40"/>
                <w:sz w:val="20"/>
                <w:szCs w:val="20"/>
              </w:rPr>
            </w:pPr>
            <w:r w:rsidRPr="00784B41">
              <w:rPr>
                <w:rFonts w:ascii="Cambria" w:hAnsi="Cambria" w:cstheme="minorHAnsi"/>
                <w:b w:val="0"/>
                <w:bCs w:val="0"/>
                <w:color w:val="3B3838" w:themeColor="background2" w:themeShade="40"/>
                <w:sz w:val="20"/>
                <w:szCs w:val="20"/>
              </w:rPr>
              <w:t xml:space="preserve">Abbreviations: SE, sensitivity; SP, specificity; PPV, positive predictive value; NPV, negative predictive value; CI, confidence interval; </w:t>
            </w:r>
          </w:p>
        </w:tc>
      </w:tr>
    </w:tbl>
    <w:p w14:paraId="4DA100E1" w14:textId="1F7C9433" w:rsidR="00F233D4" w:rsidRDefault="00F233D4" w:rsidP="00EE7EB3">
      <w:pPr>
        <w:pStyle w:val="Dalodstavce"/>
        <w:rPr>
          <w:lang w:val="en-GB"/>
        </w:rPr>
      </w:pPr>
      <w:bookmarkStart w:id="38" w:name="_Toc47889318"/>
      <w:bookmarkEnd w:id="37"/>
    </w:p>
    <w:p w14:paraId="094E24C6" w14:textId="77777777" w:rsidR="00F233D4" w:rsidRDefault="00F233D4">
      <w:pPr>
        <w:rPr>
          <w:rFonts w:ascii="Times New Roman" w:hAnsi="Times New Roman"/>
          <w:lang w:val="en-GB"/>
        </w:rPr>
      </w:pPr>
      <w:r>
        <w:rPr>
          <w:lang w:val="en-GB"/>
        </w:rPr>
        <w:br w:type="page"/>
      </w:r>
    </w:p>
    <w:p w14:paraId="34AB96F9" w14:textId="45FE54F6" w:rsidR="00EE7EB3" w:rsidRPr="00C83EDC" w:rsidRDefault="00EE7EB3" w:rsidP="00EE7EB3">
      <w:pPr>
        <w:pStyle w:val="Nadpis1"/>
        <w:rPr>
          <w:lang w:val="en-GB"/>
        </w:rPr>
      </w:pPr>
      <w:bookmarkStart w:id="39" w:name="_Toc48160989"/>
      <w:proofErr w:type="spellStart"/>
      <w:r w:rsidRPr="00C83EDC">
        <w:rPr>
          <w:lang w:val="en-GB"/>
        </w:rPr>
        <w:lastRenderedPageBreak/>
        <w:t>mi</w:t>
      </w:r>
      <w:r w:rsidR="00F233D4">
        <w:rPr>
          <w:lang w:val="en-GB"/>
        </w:rPr>
        <w:t>kro</w:t>
      </w:r>
      <w:r w:rsidRPr="00C83EDC">
        <w:rPr>
          <w:lang w:val="en-GB"/>
        </w:rPr>
        <w:t>RNA</w:t>
      </w:r>
      <w:bookmarkEnd w:id="38"/>
      <w:bookmarkEnd w:id="39"/>
      <w:proofErr w:type="spellEnd"/>
    </w:p>
    <w:p w14:paraId="35CBA320" w14:textId="77777777" w:rsidR="00EE7EB3" w:rsidRPr="00C83EDC" w:rsidRDefault="00EE7EB3" w:rsidP="00EE7EB3">
      <w:pPr>
        <w:pStyle w:val="Nadpis2"/>
        <w:rPr>
          <w:lang w:val="en-GB"/>
        </w:rPr>
      </w:pPr>
      <w:bookmarkStart w:id="40" w:name="_Toc47889319"/>
      <w:bookmarkStart w:id="41" w:name="_Toc48160990"/>
      <w:r w:rsidRPr="00C83EDC">
        <w:rPr>
          <w:lang w:val="en-GB"/>
        </w:rPr>
        <w:t>Biogenesis and function</w:t>
      </w:r>
      <w:bookmarkEnd w:id="40"/>
      <w:bookmarkEnd w:id="41"/>
    </w:p>
    <w:p w14:paraId="603DE634" w14:textId="4491D104" w:rsidR="00EE7EB3" w:rsidRPr="00C83EDC" w:rsidRDefault="00EE7EB3" w:rsidP="00EE7EB3">
      <w:pPr>
        <w:pStyle w:val="Odstavec1"/>
        <w:rPr>
          <w:lang w:val="en-GB"/>
        </w:rPr>
      </w:pPr>
      <w:r w:rsidRPr="00C83EDC">
        <w:rPr>
          <w:lang w:val="en-GB"/>
        </w:rPr>
        <w:t>miRNA</w:t>
      </w:r>
      <w:r>
        <w:rPr>
          <w:lang w:val="en-GB"/>
        </w:rPr>
        <w:t>s</w:t>
      </w:r>
      <w:r w:rsidRPr="00C83EDC">
        <w:rPr>
          <w:lang w:val="en-GB"/>
        </w:rPr>
        <w:t xml:space="preserve"> </w:t>
      </w:r>
      <w:proofErr w:type="gramStart"/>
      <w:r w:rsidRPr="00C83EDC">
        <w:rPr>
          <w:lang w:val="en-GB"/>
        </w:rPr>
        <w:t>is</w:t>
      </w:r>
      <w:proofErr w:type="gramEnd"/>
      <w:r w:rsidRPr="00C83EDC">
        <w:rPr>
          <w:lang w:val="en-GB"/>
        </w:rPr>
        <w:t xml:space="preserve"> a class of small non-coding RNAs that regulate gene expression at the post-transcriptional level. They are 20–24 nucleotide long and have an indispensable function in many biological processes such as cell development, differentiation and proliferation, DNA damage repair, apoptosis, or cellular communication. According to their genomic location</w:t>
      </w:r>
      <w:r>
        <w:rPr>
          <w:lang w:val="en-GB"/>
        </w:rPr>
        <w:t>,</w:t>
      </w:r>
      <w:r w:rsidRPr="00C83EDC">
        <w:rPr>
          <w:lang w:val="en-GB"/>
        </w:rPr>
        <w:t xml:space="preserve"> miRNA</w:t>
      </w:r>
      <w:r>
        <w:rPr>
          <w:lang w:val="en-GB"/>
        </w:rPr>
        <w:t>s</w:t>
      </w:r>
      <w:r w:rsidRPr="00C83EDC">
        <w:rPr>
          <w:lang w:val="en-GB"/>
        </w:rPr>
        <w:t xml:space="preserve"> can be distinguished as intergenic or intragenic. Whilst intragenic miRNA’s loci can be found in </w:t>
      </w:r>
      <w:proofErr w:type="spellStart"/>
      <w:r w:rsidRPr="00C83EDC">
        <w:rPr>
          <w:lang w:val="en-GB"/>
        </w:rPr>
        <w:t>exonic</w:t>
      </w:r>
      <w:proofErr w:type="spellEnd"/>
      <w:r w:rsidRPr="00C83EDC">
        <w:rPr>
          <w:lang w:val="en-GB"/>
        </w:rPr>
        <w:t xml:space="preserve"> or intronic regions of protein-coding or non-coding genes and are usually co-transcribed with their host genes, intergenic miRNAs (located between genes) have their own polymerase II or III promoters</w:t>
      </w:r>
      <w:r w:rsidRPr="00C83EDC">
        <w:rPr>
          <w:lang w:val="en-GB"/>
        </w:rPr>
        <w:fldChar w:fldCharType="begin" w:fldLock="1"/>
      </w:r>
      <w:r w:rsidR="000C069C">
        <w:rPr>
          <w:lang w:val="en-GB"/>
        </w:rPr>
        <w:instrText>ADDIN CSL_CITATION {"citationItems":[{"id":"ITEM-1","itemData":{"DOI":"10.1093/bfgp/elz002","ISSN":"20412657","PMID":"30785618","abstract":"MicroRNAs (miRNAs) are small endogenous non-coding functional RNAs that post-transcriptionally regulate gene expression. They play essential roles in nearly all biological processes including cell development and differentiation, DNA damage repair, cell death as well as intercellular communication. They are highly involved in cancer, acting as tumor suppressors and/or promoters to modulate cell proliferation, epithelial-mesenchymal transition and tumor invasion and metastasis. Recent studies have shown that more than half of miRNAs are located within protein-coding or non-coding genes. Intragenic miRNAs and their host genes either share the promoter or have independent transcription. Meanwhile, miRNAs work as partners or antagonists of their host genes by fine-tuning their target genes functionally associated with host genes. This review outlined the complicated relationship between intragenic miRNAs and host genes. Focusing on miRNAs known as oncogenes or tumor suppressors in specific cancer types, it studied co-expression relationships between these miRNAs and host genes in the cancer types using TCGA data sets, which validated previous findings and revealed common, tumor-specific and even subtype-specific patterns. These observations will help understand the function of intragenic miRNAs and further develop miRNA therapeutics in cancer.","author":[{"dropping-particle":"","family":"Liu","given":"Baohong","non-dropping-particle":"","parse-names":false,"suffix":""},{"dropping-particle":"","family":"Shyr","given":"Yu","non-dropping-particle":"","parse-names":false,"suffix":""},{"dropping-particle":"","family":"Cai","given":"Jianping","non-dropping-particle":"","parse-names":false,"suffix":""},{"dropping-particle":"","family":"Liu","given":"Qi","non-dropping-particle":"","parse-names":false,"suffix":""}],"container-title":"Briefings in Functional Genomics","id":"ITEM-1","issue":"4","issued":{"date-parts":[["2018"]]},"page":"255-266","title":"Interplay between miRNAs and host genes and their role in cancer","type":"article-journal","volume":"18"},"uris":["http://www.mendeley.com/documents/?uuid=7cf30466-83b7-4e2b-8e54-4e1329541ccc"]}],"mendeley":{"formattedCitation":"&lt;sup&gt;72&lt;/sup&gt;","plainTextFormattedCitation":"72","previouslyFormattedCitation":"[72]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72</w:t>
      </w:r>
      <w:r w:rsidRPr="00C83EDC">
        <w:rPr>
          <w:lang w:val="en-GB"/>
        </w:rPr>
        <w:fldChar w:fldCharType="end"/>
      </w:r>
      <w:r w:rsidRPr="00C83EDC">
        <w:rPr>
          <w:lang w:val="en-GB"/>
        </w:rPr>
        <w:t xml:space="preserve">. </w:t>
      </w:r>
    </w:p>
    <w:p w14:paraId="41B54217" w14:textId="5CABC59E" w:rsidR="00EE7EB3" w:rsidRPr="00C83EDC" w:rsidRDefault="00EE7EB3" w:rsidP="00EE7EB3">
      <w:pPr>
        <w:pStyle w:val="Dalodstavce"/>
        <w:rPr>
          <w:lang w:val="en-GB"/>
        </w:rPr>
      </w:pPr>
      <w:r w:rsidRPr="00C83EDC">
        <w:rPr>
          <w:lang w:val="en-GB"/>
        </w:rPr>
        <w:t>About half of mammalian miRNA loci are positioned near other miRNAs forming clusters which are transcribed from a single polycistronic transcription unit. The primary transcripts (</w:t>
      </w:r>
      <w:proofErr w:type="spellStart"/>
      <w:r w:rsidRPr="00C83EDC">
        <w:rPr>
          <w:lang w:val="en-GB"/>
        </w:rPr>
        <w:t>pri</w:t>
      </w:r>
      <w:proofErr w:type="spellEnd"/>
      <w:r w:rsidRPr="00C83EDC">
        <w:rPr>
          <w:lang w:val="en-GB"/>
        </w:rPr>
        <w:t>‑miRNAs) can be several kilobases long, they are capped, polyadenylated and in some cases spliced</w:t>
      </w:r>
      <w:r w:rsidRPr="00C83EDC">
        <w:rPr>
          <w:lang w:val="en-GB"/>
        </w:rPr>
        <w:fldChar w:fldCharType="begin" w:fldLock="1"/>
      </w:r>
      <w:r w:rsidR="000C069C">
        <w:rPr>
          <w:lang w:val="en-GB"/>
        </w:rPr>
        <w:instrText>ADDIN CSL_CITATION {"citationItems":[{"id":"ITEM-1","itemData":{"DOI":"10.1038/nrm2632","ISSN":"14710072","abstract":"Small RNAs of 20-30 nucleotides can target both chromatin and transcripts, and thereby keep both the genome and the transcriptome under extensive surveillance. Recent progress in high-throughput sequencing has uncovered an astounding landscape of small RNAs in eukaryotic cells. Various small RNAs of distinctive characteristics have been found and can be classified into three classes based on their biogenesis mechanism and the type of Argonaute protein that they are associated with: microRNAs (miRNAs), endogenous small interfering RNAs (endo-siRNAs or esiRNAs) and Piwi-interacting RNAs (piRNAs). This Review summarizes our current knowledge of how these intriguing molecules are generated in animal cells. © 2009 Macmillan Publishers Limited. All rights reserved.","author":[{"dropping-particle":"","family":"Kim","given":"V. Narry","non-dropping-particle":"","parse-names":false,"suffix":""},{"dropping-particle":"","family":"Han","given":"Jinju","non-dropping-particle":"","parse-names":false,"suffix":""},{"dropping-particle":"","family":"Siomi","given":"Mikiko C.","non-dropping-particle":"","parse-names":false,"suffix":""}],"container-title":"Nature Reviews Molecular Cell Biology","id":"ITEM-1","issue":"2","issued":{"date-parts":[["2009"]]},"page":"126-139","title":"Biogenesis of small RNAs in animals","type":"article-journal","volume":"10"},"uris":["http://www.mendeley.com/documents/?uuid=7dd86a2b-a224-4d45-8e63-22a9d7e45354"]}],"mendeley":{"formattedCitation":"&lt;sup&gt;73&lt;/sup&gt;","plainTextFormattedCitation":"73","previouslyFormattedCitation":"[73]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73</w:t>
      </w:r>
      <w:r w:rsidRPr="00C83EDC">
        <w:rPr>
          <w:lang w:val="en-GB"/>
        </w:rPr>
        <w:fldChar w:fldCharType="end"/>
      </w:r>
      <w:r w:rsidRPr="00C83EDC">
        <w:rPr>
          <w:lang w:val="en-GB"/>
        </w:rPr>
        <w:t xml:space="preserve">. In the nucleus, </w:t>
      </w:r>
      <w:proofErr w:type="spellStart"/>
      <w:r w:rsidRPr="00C83EDC">
        <w:rPr>
          <w:lang w:val="en-GB"/>
        </w:rPr>
        <w:t>pri</w:t>
      </w:r>
      <w:proofErr w:type="spellEnd"/>
      <w:r w:rsidRPr="00C83EDC">
        <w:rPr>
          <w:lang w:val="en-GB"/>
        </w:rPr>
        <w:t xml:space="preserve">-miRNA is processed by </w:t>
      </w:r>
      <w:proofErr w:type="spellStart"/>
      <w:r w:rsidRPr="00C83EDC">
        <w:rPr>
          <w:lang w:val="en-GB"/>
        </w:rPr>
        <w:t>RNAse</w:t>
      </w:r>
      <w:proofErr w:type="spellEnd"/>
      <w:r w:rsidRPr="00C83EDC">
        <w:rPr>
          <w:lang w:val="en-GB"/>
        </w:rPr>
        <w:t xml:space="preserve"> III Drosha into an approximately 70-nucleotide pre-miRNA that contains a stem-loop structure</w:t>
      </w:r>
      <w:r w:rsidRPr="00C83EDC">
        <w:rPr>
          <w:lang w:val="en-GB"/>
        </w:rPr>
        <w:fldChar w:fldCharType="begin" w:fldLock="1"/>
      </w:r>
      <w:r w:rsidR="000C069C">
        <w:rPr>
          <w:lang w:val="en-GB"/>
        </w:rPr>
        <w:instrText>ADDIN CSL_CITATION {"citationItems":[{"id":"ITEM-1","itemData":{"DOI":"10.1093/emboj/cdf476","ISSN":"02614189","PMID":"12198168","abstract":"MicroRNAs (miRNAs) constitute a novel, phylogenetically extensive family of small RNAs (</w:instrText>
      </w:r>
      <w:r w:rsidR="000C069C">
        <w:rPr>
          <w:rFonts w:ascii="Cambria Math" w:hAnsi="Cambria Math" w:cs="Cambria Math"/>
          <w:lang w:val="en-GB"/>
        </w:rPr>
        <w:instrText>∼</w:instrText>
      </w:r>
      <w:r w:rsidR="000C069C">
        <w:rPr>
          <w:lang w:val="en-GB"/>
        </w:rPr>
        <w:instrText xml:space="preserve">22 nucleotides) with potential roles in gene regulation. Apart from the finding that miRNAs are produced by Dicer from the precursors of </w:instrText>
      </w:r>
      <w:r w:rsidR="000C069C">
        <w:rPr>
          <w:rFonts w:ascii="Cambria Math" w:hAnsi="Cambria Math" w:cs="Cambria Math"/>
          <w:lang w:val="en-GB"/>
        </w:rPr>
        <w:instrText>∼</w:instrText>
      </w:r>
      <w:r w:rsidR="000C069C">
        <w:rPr>
          <w:lang w:val="en-GB"/>
        </w:rPr>
        <w:instrText xml:space="preserve">70 nucleotides (pre-miRNAs), little is known about miRNA biogenesis. Some miRNA genes have been found in close conjunction, suggesting that they are expressed as single transcriptional units. Here, we present in vivo and in vitro evidence that these clustered miRNAs are expressed polycistronically and are processed through at least two sequential steps: (i) generation of the </w:instrText>
      </w:r>
      <w:r w:rsidR="000C069C">
        <w:rPr>
          <w:rFonts w:ascii="Cambria Math" w:hAnsi="Cambria Math" w:cs="Cambria Math"/>
          <w:lang w:val="en-GB"/>
        </w:rPr>
        <w:instrText>∼</w:instrText>
      </w:r>
      <w:r w:rsidR="000C069C">
        <w:rPr>
          <w:lang w:val="en-GB"/>
        </w:rPr>
        <w:instrText xml:space="preserve">70 nucleotide pre-miRNAs from the longer transcripts (termed pri-miRNAs); and (ii) processing of pre-miRNAs into mature miRNAs. Subcellular localization studies showed that the first and second steps are compartmentalized into the nucleus and cytoplasm, respectively, and that the pre-miRNA serves as the substrate for nuclear export. Our study suggests that the regulation of miRNA expression may occur at multiple levels, including the two processing steps and the nuclear export step. These data will provide a framework for further studies on miRNA biogenesis.","author":[{"dropping-particle":"","family":"Lee","given":"Yoontae","non-dropping-particle":"","parse-names":false,"suffix":""},{"dropping-particle":"","family":"Jeon","given":"Kipyoung","non-dropping-particle":"","parse-names":false,"suffix":""},{"dropping-particle":"","family":"Lee","given":"Jun Tae","non-dropping-particle":"","parse-names":false,"suffix":""},{"dropping-particle":"","family":"Kim","given":"Sunyoung","non-dropping-particle":"","parse-names":false,"suffix":""},{"dropping-particle":"","family":"Kim","given":"V. Narry","non-dropping-particle":"","parse-names":false,"suffix":""}],"container-title":"EMBO Journal","id":"ITEM-1","issue":"17","issued":{"date-parts":[["2002"]]},"page":"4663-4670","title":"MicroRNA maturation: Stepwise processing and subcellular localization","type":"article-journal","volume":"21"},"uris":["http://www.mendeley.com/documents/?uuid=6a3008b7-a592-4fc9-a9eb-6fa89429410f"]},{"id":"ITEM-2","itemData":{"DOI":"10.1038/nature01957","ISSN":"00280836","PMID":"14508493","abstract":"Hundreds of small RNAs of </w:instrText>
      </w:r>
      <w:r w:rsidR="000C069C">
        <w:rPr>
          <w:rFonts w:ascii="Cambria Math" w:hAnsi="Cambria Math" w:cs="Cambria Math"/>
          <w:lang w:val="en-GB"/>
        </w:rPr>
        <w:instrText>∼</w:instrText>
      </w:r>
      <w:r w:rsidR="000C069C">
        <w:rPr>
          <w:lang w:val="en-GB"/>
        </w:rPr>
        <w:instrText xml:space="preserve">22 nucleotides, collectively named microRNAs (miRNAs), have been discovered recently in animals and plants. Although their functions are being unravelled, their mechanism of biogenesis remains poorly understood. miRNAs are transcribed as long primary transcripts (pri-miRNAs) whose maturation occurs through sequential processing events: the nuclear processing of the pri-miRNAs into stem-loop precursors of </w:instrText>
      </w:r>
      <w:r w:rsidR="000C069C">
        <w:rPr>
          <w:rFonts w:ascii="Cambria Math" w:hAnsi="Cambria Math" w:cs="Cambria Math"/>
          <w:lang w:val="en-GB"/>
        </w:rPr>
        <w:instrText>∼</w:instrText>
      </w:r>
      <w:r w:rsidR="000C069C">
        <w:rPr>
          <w:lang w:val="en-GB"/>
        </w:rPr>
        <w:instrText>70 nucleotides (pre-miRNAs), and the cytoplasmic processing of pre-miRNAs into mature miRNAs. Dicer, a member of the RNase III superfamily of bidentate nucleases, mediates the latter step, whereas the processing enzyme for the former step is unknown. Here we identify another RNase III, human Drosha, as the core nuclease that executes the initiation step of miRNA processing in the nucleus. Immunopurified Drosha cleaved pri-miRNA to release pre-miRNA in vitro. Furthermore, RNA interference of Drosha resulted in the strong accumulation of pri-miRNA and the reduction of pre-miRNA and mature miRNA in vivo. Thus, the two RNase III proteins, Drosha and Dicer, may collaborate in the stepwise processing of miRNAs, and have key roles in miRNA-mediated gene regulation in processes such as development and differentiation.","author":[{"dropping-particle":"","family":"Lee","given":"Yoontae","non-dropping-particle":"","parse-names":false,"suffix":""},{"dropping-particle":"","family":"Ahn","given":"Chiyoung","non-dropping-particle":"","parse-names":false,"suffix":""},{"dropping-particle":"","family":"Han","given":"Jinju","non-dropping-particle":"","parse-names":false,"suffix":""},{"dropping-particle":"","family":"Choi","given":"Hyounjeong","non-dropping-particle":"","parse-names":false,"suffix":""},{"dropping-particle":"","family":"Kim","given":"Jaekwang","non-dropping-particle":"","parse-names":false,"suffix":""},{"dropping-particle":"","family":"Yim","given":"Jeongbin","non-dropping-particle":"","parse-names":false,"suffix":""},{"dropping-particle":"","family":"Lee","given":"Junho","non-dropping-particle":"","parse-names":false,"suffix":""},{"dropping-particle":"","family":"Provost","given":"Patrick","non-dropping-particle":"","parse-names":false,"suffix":""},{"dropping-particle":"","family":"Rådmark","given":"Olof","non-dropping-particle":"","parse-names":false,"suffix":""},{"dropping-particle":"","family":"Kim","given":"Sunyoung","non-dropping-particle":"","parse-names":false,"suffix":""},{"dropping-particle":"","family":"Kim","given":"V. Narry","non-dropping-particle":"","parse-names":false,"suffix":""}],"container-title":"Nature","id":"ITEM-2","issue":"6956","issued":{"date-parts":[["2003"]]},"page":"415-419","title":"The nuclear RNase III Drosha initiates microRNA processing","type":"article-journal","volume":"425"},"uris":["http://www.mendeley.com/documents/?uuid=d13cd023-9356-45ee-8d6c-b1e5e342903b"]}],"mendeley":{"formattedCitation":"&lt;sup&gt;74,75&lt;/sup&gt;","plainTextFormattedCitation":"74,75","previouslyFormattedCitation":"[74], [75]"},"properties":{"noteIndex":0},"schema":"https://github.com/citation-style-language/schema/raw/master/csl-citation.json"}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74,75</w:t>
      </w:r>
      <w:r w:rsidRPr="00C83EDC">
        <w:rPr>
          <w:lang w:val="en-GB"/>
        </w:rPr>
        <w:fldChar w:fldCharType="end"/>
      </w:r>
      <w:r w:rsidRPr="00C83EDC">
        <w:rPr>
          <w:lang w:val="en-GB"/>
        </w:rPr>
        <w:t>. Drosha is part of a microprocessor complex in which it is associated with DGCR8/Pasha, a double stranded RNA binding domain (</w:t>
      </w:r>
      <w:proofErr w:type="spellStart"/>
      <w:r w:rsidRPr="00C83EDC">
        <w:rPr>
          <w:lang w:val="en-GB"/>
        </w:rPr>
        <w:t>dsRBD</w:t>
      </w:r>
      <w:proofErr w:type="spellEnd"/>
      <w:r w:rsidRPr="00C83EDC">
        <w:rPr>
          <w:lang w:val="en-GB"/>
        </w:rPr>
        <w:t>) protein</w:t>
      </w:r>
      <w:r w:rsidRPr="00C83EDC">
        <w:rPr>
          <w:lang w:val="en-GB"/>
        </w:rPr>
        <w:fldChar w:fldCharType="begin" w:fldLock="1"/>
      </w:r>
      <w:r w:rsidR="000C069C">
        <w:rPr>
          <w:lang w:val="en-GB"/>
        </w:rPr>
        <w:instrText xml:space="preserve">ADDIN CSL_CITATION {"citationItems":[{"id":"ITEM-1","itemData":{"DOI":"10.1038/nature03049","ISSN":"00280836","PMID":"15531879","abstract":"Mature microRNAs (miRNAs) are generated via a two-step processing pathway to yield </w:instrText>
      </w:r>
      <w:r w:rsidR="000C069C">
        <w:rPr>
          <w:rFonts w:ascii="Cambria Math" w:hAnsi="Cambria Math" w:cs="Cambria Math"/>
          <w:lang w:val="en-GB"/>
        </w:rPr>
        <w:instrText>∼</w:instrText>
      </w:r>
      <w:r w:rsidR="000C069C">
        <w:rPr>
          <w:lang w:val="en-GB"/>
        </w:rPr>
        <w:instrText>22-nucleotide small RNAs that regulate gene expression at the post-transcriptional level. Initial cleavage is catalysed by Drosha, a nuclease of the RNase III family, which acts on primary miRNA transcripts (pri-miRNAs) in the nucleus. Here we show that Drosha exists in a multi-protein complex, the Microprocessor, and begin the process of deconstructing that complex into its constituent components. Along with Drosha, the Microprocessor also contains Pasha (partner of Drosha), a double-stranded RNA binding protein. Suppression of Pasha expression in Drosophila cells or Caenorhabditis elegans interferes with pri-miRNA processing, leading to an accumulation of pri-miRNAs and a reduction in mature miRNAs. Finally, depletion or mutation of pash-1 in C. elegans causes de-repression of a let-7 reporter and the appearance of phenotypic defects overlapping those observed upon examination of worms with lesions in Dicer (dcr-1) or Drosha (drsh-1). Considered together, these results indicate a role for Pasha in miRNA maturation and miRNA-mediated gene regulation.","author":[{"dropping-particle":"","family":"Denli","given":"Ahmet M.","non-dropping-particle":"","parse-names":false,"suffix":""},{"dropping-particle":"","family":"Tops","given":"Bastiaan B.J.","non-dropping-particle":"","parse-names":false,"suffix":""},{"dropping-particle":"","family":"Plasterk","given":"Ronald H.A.","non-dropping-particle":"","parse-names":false,"suffix":""},{"dropping-particle":"","family":"Ketting","given":"René F.","non-dropping-particle":"","parse-names":false,"suffix":""},{"dropping-particle":"","family":"Hannon","given":"Gregory J.","non-dropping-particle":"","parse-names":false,"suffix":""}],"container-title":"Nature","id":"ITEM-1","issue":"7014","issued":{"date-parts":[["2004"]]},"page":"231-235","title":"Processing of primary microRNAs by the Microprocessor complex","type":"article-journal","volume":"432"},"uris":["http://www.mendeley.com/documents/?uuid=6805b1ed-c96d-48f9-bc9a-8bbfe228a1ee"]}],"mendeley":{"formattedCitation":"&lt;sup&gt;76&lt;/sup&gt;","plainTextFormattedCitation":"76","previouslyFormattedCitation":"[76]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76</w:t>
      </w:r>
      <w:r w:rsidRPr="00C83EDC">
        <w:rPr>
          <w:lang w:val="en-GB"/>
        </w:rPr>
        <w:fldChar w:fldCharType="end"/>
      </w:r>
      <w:r w:rsidRPr="00C83EDC">
        <w:rPr>
          <w:lang w:val="en-GB"/>
        </w:rPr>
        <w:t xml:space="preserve">. The cleaving by </w:t>
      </w:r>
      <w:proofErr w:type="spellStart"/>
      <w:r w:rsidRPr="00C83EDC">
        <w:rPr>
          <w:lang w:val="en-GB"/>
        </w:rPr>
        <w:t>RNAse</w:t>
      </w:r>
      <w:proofErr w:type="spellEnd"/>
      <w:r w:rsidRPr="00C83EDC">
        <w:rPr>
          <w:lang w:val="en-GB"/>
        </w:rPr>
        <w:t xml:space="preserve"> III leaves a two</w:t>
      </w:r>
      <w:r w:rsidRPr="00C83EDC">
        <w:rPr>
          <w:lang w:val="en-GB"/>
        </w:rPr>
        <w:noBreakHyphen/>
        <w:t>nucleotide 3’ overhang that is necessary for the pre-miRNA export from the nucleus. Pre-miRNA’s transport to the cytoplasm is facilitated by the formation of a complex with Exportin 5 and GTP-bound Ran cofactor. The subsequent hydrolysis of Ran causes a release of pre-miRNA from the bond</w:t>
      </w:r>
      <w:r w:rsidRPr="00C83EDC">
        <w:rPr>
          <w:lang w:val="en-GB"/>
        </w:rPr>
        <w:fldChar w:fldCharType="begin" w:fldLock="1"/>
      </w:r>
      <w:r w:rsidR="000C069C">
        <w:rPr>
          <w:lang w:val="en-GB"/>
        </w:rPr>
        <w:instrText>ADDIN CSL_CITATION {"citationItems":[{"id":"ITEM-1","itemData":{"DOI":"10.1093/nar/gkh824","ISSN":"03051048","abstract":"The biogenesis and function of mature human microRNAs is dependent on the nuclear export of pre-microRNA precursors by Exportin 5 (Exp5). The precursor for the human miR-30 microRNA, which is a 63 nt long RNA hairpin bearing a 2 nt 3′ overhang, forms a specific complex with Exp5 and the Ran-GTP cofactor. Here, we have examined the structural requirements for pre-microRNA binding by Exp5. Our data indicate that pre-miR-30 binding requires an RNA stem of &gt;16 bp and is facilitated by a 3′ overhang. Although a blunt-ended derivative of the pre-miR-30 stem-loop remained capable of binding Exp5, 5′ overhangs were inhibitory. miR-30 variants that had lost the ability to bind Exp5 effectively were not efficiently exported from the nucleus and were also expressed at reduced levels. Furthermore, formation of a pre-microRNA/Exp5/Ran-GTP complex inhibited exonucleolytic digestion of the pre-miRNA in vitro. Together, these data demonstrate that pre-microRNA binding by Exp5 involves recognition of almost all of the RNA hairpin, with the exception of the terminal loop. Moreover, these results argue that Exp5 binding not only mediates pre-microRNA nuclear export but also prevents nuclear pre-microRNA degradation. © Oxford University Press 2004; all rights reserved.","author":[{"dropping-particle":"","family":"Zeng","given":"Yan","non-dropping-particle":"","parse-names":false,"suffix":""},{"dropping-particle":"","family":"Cullen","given":"Bryan R.","non-dropping-particle":"","parse-names":false,"suffix":""}],"container-title":"Nucleic Acids Research","id":"ITEM-1","issue":"16","issued":{"date-parts":[["2004"]]},"page":"4776-4785","title":"Structural requirements for pre-microRNA binding and nuclear export by Exportin 5","type":"article-journal","volume":"32"},"uris":["http://www.mendeley.com/documents/?uuid=62dc9ffa-7554-4c3a-8b96-a5c7cdc9b854"]}],"mendeley":{"formattedCitation":"&lt;sup&gt;77&lt;/sup&gt;","plainTextFormattedCitation":"77","previouslyFormattedCitation":"[77]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77</w:t>
      </w:r>
      <w:r w:rsidRPr="00C83EDC">
        <w:rPr>
          <w:lang w:val="en-GB"/>
        </w:rPr>
        <w:fldChar w:fldCharType="end"/>
      </w:r>
      <w:r w:rsidRPr="00C83EDC">
        <w:rPr>
          <w:lang w:val="en-GB"/>
        </w:rPr>
        <w:t xml:space="preserve">. </w:t>
      </w:r>
    </w:p>
    <w:p w14:paraId="61B54718" w14:textId="7861D1A2" w:rsidR="00EE7EB3" w:rsidRPr="00C83EDC" w:rsidRDefault="00EE7EB3" w:rsidP="00EE7EB3">
      <w:pPr>
        <w:pStyle w:val="Dalodstavce"/>
        <w:rPr>
          <w:lang w:val="en-GB"/>
        </w:rPr>
      </w:pPr>
      <w:r w:rsidRPr="00C83EDC">
        <w:rPr>
          <w:lang w:val="en-GB"/>
        </w:rPr>
        <w:t xml:space="preserve">Dicer is another </w:t>
      </w:r>
      <w:proofErr w:type="spellStart"/>
      <w:r w:rsidRPr="00C83EDC">
        <w:rPr>
          <w:lang w:val="en-GB"/>
        </w:rPr>
        <w:t>RNAse</w:t>
      </w:r>
      <w:proofErr w:type="spellEnd"/>
      <w:r w:rsidRPr="00C83EDC">
        <w:rPr>
          <w:lang w:val="en-GB"/>
        </w:rPr>
        <w:t xml:space="preserve"> III enzyme that is involved in pre-miRNA processing. In cooperation with </w:t>
      </w:r>
      <w:proofErr w:type="spellStart"/>
      <w:r w:rsidRPr="00C83EDC">
        <w:rPr>
          <w:lang w:val="en-GB"/>
        </w:rPr>
        <w:t>dsRBD</w:t>
      </w:r>
      <w:proofErr w:type="spellEnd"/>
      <w:r w:rsidRPr="00C83EDC">
        <w:rPr>
          <w:lang w:val="en-GB"/>
        </w:rPr>
        <w:t xml:space="preserve"> proteins, TRBP or PACT, Dicer generates </w:t>
      </w:r>
      <w:r>
        <w:rPr>
          <w:lang w:val="en-GB"/>
        </w:rPr>
        <w:t xml:space="preserve">a </w:t>
      </w:r>
      <w:r w:rsidRPr="00C83EDC">
        <w:rPr>
          <w:lang w:val="en-GB"/>
        </w:rPr>
        <w:t xml:space="preserve">⁓22 </w:t>
      </w:r>
      <w:proofErr w:type="spellStart"/>
      <w:r w:rsidRPr="00C83EDC">
        <w:rPr>
          <w:lang w:val="en-GB"/>
        </w:rPr>
        <w:t>nt</w:t>
      </w:r>
      <w:proofErr w:type="spellEnd"/>
      <w:r w:rsidRPr="00C83EDC">
        <w:rPr>
          <w:lang w:val="en-GB"/>
        </w:rPr>
        <w:t xml:space="preserve"> long miRNA duplex, which is further loaded onto RNA-induced silencing complex (RISC) containing Argonaut (Ago) proteins </w:t>
      </w:r>
      <w:r w:rsidRPr="00C83EDC">
        <w:rPr>
          <w:lang w:val="en-GB"/>
        </w:rPr>
        <w:fldChar w:fldCharType="begin" w:fldLock="1"/>
      </w:r>
      <w:r w:rsidR="000C069C">
        <w:rPr>
          <w:lang w:val="en-GB"/>
        </w:rPr>
        <w:instrText xml:space="preserve">ADDIN CSL_CITATION {"citationItems":[{"id":"ITEM-1","itemData":{"DOI":"10.1038/sj.emboj.7600942","ISSN":"02614189","abstract":"Small RNA-mediated gene silencing (RNA silencing) has emerged as a major regulatory pathway in eukaryotes. Identification of the key factors involved in this pathway has been a subject of rigorous investigation in recent years. In humans, small RNAs are generated by Dicer and assembled into the effector complex known as RNA-induced silencing complex (RISC) by multiple factors including hAgo2, the mRNA-targeting endonuclease, and TRBP (HIV-1 TAR RNA-binding protein), a dsRNA-binding protein that interacts with both Dicer and hAgo2. Here we describe an additional dsRNA-binding protein known as PACT, which is significant in RNA silencing. PACT is associated with an </w:instrText>
      </w:r>
      <w:r w:rsidR="000C069C">
        <w:rPr>
          <w:rFonts w:ascii="Cambria Math" w:hAnsi="Cambria Math" w:cs="Cambria Math"/>
          <w:lang w:val="en-GB"/>
        </w:rPr>
        <w:instrText>∼</w:instrText>
      </w:r>
      <w:r w:rsidR="000C069C">
        <w:rPr>
          <w:lang w:val="en-GB"/>
        </w:rPr>
        <w:instrText>500 kDa complex that contains Dicer, hAgo2, and TRBP. The interaction with Dicer involves the third dsRNA-binding domain (dsRBD) of PACT and the N-terminal region of Dicer containing the helicase motif. Like TRBP, PACT is not required for the pre-microRNA (miRNA) cleavage reaction step. However, the depletion of PACT strongly affects the accumulation of mature miRNA in vivo and moderately reduces the efficiency of small interfering RNA-induced RNA interference. Our study indicates that, unlike other RNase III type proteins, human Dicer may employ two different dsRBD-containing proteins that facilitate RISC assembly. © 2006 European Molecular Biology Organization | All Rights Reserved.","author":[{"dropping-particle":"","family":"Lee","given":"Yoontae","non-dropping-particle":"","parse-names":false,"suffix":""},{"dropping-particle":"","family":"Hur","given":"Inha","non-dropping-particle":"","parse-names":false,"suffix":""},{"dropping-particle":"","family":"Park","given":"Seong Yeon","non-dropping-particle":"","parse-names":false,"suffix":""},{"dropping-particle":"","family":"Kim","given":"Young Kook","non-dropping-particle":"","parse-names":false,"suffix":""},{"dropping-particle":"","family":"Mi","given":"Ra Suh","non-dropping-particle":"","parse-names":false,"suffix":""},{"dropping-particle":"","family":"Kim","given":"V. Narry","non-dropping-particle":"","parse-names":false,"suffix":""}],"container-title":"EMBO Journal","id":"ITEM-1","issue":"3","issued":{"date-parts":[["2006"]]},"page":"522-532","title":"The role of PACT in the RNA silencing pathway","type":"article-journal","volume":"25"},"uris":["http://www.mendeley.com/documents/?uuid=c3b29b50-fd1a-4e39-8bd6-320b97f0bb09"]},{"id":"ITEM-2","itemData":{"DOI":"10.1038/sj.embor.7400509","ISSN":"1469221X","abstract":"Dicer is a key enzyme involved in RNA interference (RNAi) and microRNA (miRNA) pathways. It is required for biogenesis of miRNAs and small interfering RNAs (siRNAs), and also has a role in the effector steps of RNA silencing. Apart from Argonautes, no proteins are known to associate with Dicer in mammalian cells. In this work, we describe the identification of TRBP (human immunodeficiency virus (HIV-1) transactivating response (TAR) RNA-binding protein) as a protein partner of human Dicer. We show that TRBP is required for optimal RNA silencing mediated by siRNAs and endogenous miRNAs, and that it facilitates cleavage of pre-miRNA in vitro. TRBP had previously been assigned several functions, including inhibition of the interferon-induced double-stranded RNA-regulated protein kinase PKR and modulation of HIV-1 gene expression by association with TAR. The TRBP -Dicer interaction shown raises interesting questions about the potential interplay between RNAi and interferon-PKR pathways. © 2005 European Molecular Biology Organization.","author":[{"dropping-particle":"","family":"Haase","given":"Astrid D.","non-dropping-particle":"","parse-names":false,"suffix":""},{"dropping-particle":"","family":"Jaskiewicz","given":"Lukasz","non-dropping-particle":"","parse-names":false,"suffix":""},{"dropping-particle":"","family":"Zhang","given":"Haidi","non-dropping-particle":"","parse-names":false,"suffix":""},{"dropping-particle":"","family":"Lainé","given":"Sébastien","non-dropping-particle":"","parse-names":false,"suffix":""},{"dropping-particle":"","family":"Sack","given":"Ragna","non-dropping-particle":"","parse-names":false,"suffix":""},{"dropping-particle":"","family":"Gatignol","given":"Anne","non-dropping-particle":"","parse-names":false,"suffix":""},{"dropping-particle":"","family":"Filipowicz","given":"Witold","non-dropping-particle":"","parse-names":false,"suffix":""}],"container-title":"EMBO Reports","id":"ITEM-2","issue":"10","issued":{"date-parts":[["2005"]]},"page":"961-967","title":"TRBP, a regulator of cellular PKR and HIV-1 virus expression, interacts with Dicer and functions in RNA silencing","type":"article-journal","volume":"6"},"uris":["http://www.mendeley.com/documents/?uuid=adfca325-5805-4202-ab4e-153429b99636"]}],"mendeley":{"formattedCitation":"&lt;sup&gt;78,79&lt;/sup&gt;","plainTextFormattedCitation":"78,79","previouslyFormattedCitation":"[78], [79]"},"properties":{"noteIndex":0},"schema":"https://github.com/citation-style-language/schema/raw/master/csl-citation.json"}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78,79</w:t>
      </w:r>
      <w:r w:rsidRPr="00C83EDC">
        <w:rPr>
          <w:lang w:val="en-GB"/>
        </w:rPr>
        <w:fldChar w:fldCharType="end"/>
      </w:r>
      <w:r w:rsidRPr="00C83EDC">
        <w:rPr>
          <w:lang w:val="en-GB"/>
        </w:rPr>
        <w:t>. In RISC, only the leading strand of the duplex is associated with one of the Argonaut protein isoforms, the other strand is unwound by helicase and degraded. After loading, the miRNA-RISC complex binds to</w:t>
      </w:r>
      <w:r>
        <w:rPr>
          <w:lang w:val="en-GB"/>
        </w:rPr>
        <w:t xml:space="preserve"> a</w:t>
      </w:r>
      <w:r w:rsidRPr="00C83EDC">
        <w:rPr>
          <w:lang w:val="en-GB"/>
        </w:rPr>
        <w:t xml:space="preserve"> 3’ untranslated region of the target mRNA which is silenced through degradation or translation inhibition</w:t>
      </w:r>
      <w:r w:rsidR="000C069C">
        <w:rPr>
          <w:lang w:val="en-GB"/>
        </w:rPr>
        <w:fldChar w:fldCharType="begin" w:fldLock="1"/>
      </w:r>
      <w:r w:rsidR="000C069C">
        <w:rPr>
          <w:lang w:val="en-GB"/>
        </w:rPr>
        <w:instrText>ADDIN CSL_CITATION {"citationItems":[{"id":"ITEM-1","itemData":{"DOI":"10.1016/j.bbamcr.2010.06.013","ISSN":"01674889","abstract":"MicroRNAs (miRNAs) are a class of small, endogenous RNAs of 21-25 nucleotides (nts) in length. They play an important regulatory role in animals and plants by targeting specific mRNAs for degradation or translation repression. Recent scientific advances have revealed the synthesis pathways and the regulatory mechanisms of miRNAs in animals and plants. miRNA-based regulation is implicated in disease etiology and has been studied for treatment. Furthermore, several preclinical and clinical trials have been initiated for miRNA-based therapeutics. In this review, the existing knowledge about miRNAs synthesis, mechanisms for regulation of the genome, and their widespread functions in animals and plants is summarized. The current status of preclinical and clinical trials regarding miRNA therapeutics is also reviewed. The recent findings in miRNA studies, summarized in this review, may add new dimensions to small RNA biology and miRNA therapeutics. © 2010 Elsevier B.V.","author":[{"dropping-particle":"","family":"Wahid","given":"Fazli","non-dropping-particle":"","parse-names":false,"suffix":""},{"dropping-particle":"","family":"Shehzad","given":"Adeeb","non-dropping-particle":"","parse-names":false,"suffix":""},{"dropping-particle":"","family":"Khan","given":"Taous","non-dropping-particle":"","parse-names":false,"suffix":""},{"dropping-particle":"","family":"Kim","given":"You Young","non-dropping-particle":"","parse-names":false,"suffix":""}],"container-title":"Biochimica et Biophysica Acta - Molecular Cell Research","id":"ITEM-1","issue":"11","issued":{"date-parts":[["2010"]]},"page":"1231-1243","publisher":"Elsevier B.V.","title":"MicroRNAs: Synthesis, mechanism, function, and recent clinical trials","type":"article-journal","volume":"1803"},"uris":["http://www.mendeley.com/documents/?uuid=c501f908-04c2-42e6-a0ba-21ed3c5c609f"]}],"mendeley":{"formattedCitation":"&lt;sup&gt;80&lt;/sup&gt;","plainTextFormattedCitation":"80","previouslyFormattedCitation":"[80]"},"properties":{"noteIndex":0},"schema":"https://github.com/citation-style-language/schema/raw/master/csl-citation.json"}</w:instrText>
      </w:r>
      <w:r w:rsidR="000C069C">
        <w:rPr>
          <w:lang w:val="en-GB"/>
        </w:rPr>
        <w:fldChar w:fldCharType="separate"/>
      </w:r>
      <w:r w:rsidR="000C069C" w:rsidRPr="000C069C">
        <w:rPr>
          <w:noProof/>
          <w:vertAlign w:val="superscript"/>
          <w:lang w:val="en-GB"/>
        </w:rPr>
        <w:t>80</w:t>
      </w:r>
      <w:r w:rsidR="000C069C">
        <w:rPr>
          <w:lang w:val="en-GB"/>
        </w:rPr>
        <w:fldChar w:fldCharType="end"/>
      </w:r>
      <w:r w:rsidRPr="00C83EDC">
        <w:rPr>
          <w:lang w:val="en-GB"/>
        </w:rPr>
        <w:t xml:space="preserve">. </w:t>
      </w:r>
      <w:r>
        <w:rPr>
          <w:lang w:val="en-GB"/>
        </w:rPr>
        <w:t>Figure 1 shows miRNA biogenesis.</w:t>
      </w:r>
    </w:p>
    <w:p w14:paraId="02753C4A" w14:textId="3D3390DB" w:rsidR="00EE7EB3" w:rsidRPr="00C83EDC" w:rsidRDefault="00EE7EB3" w:rsidP="00EE7EB3">
      <w:pPr>
        <w:pStyle w:val="Dalodstavce"/>
        <w:rPr>
          <w:lang w:val="en-GB"/>
        </w:rPr>
      </w:pPr>
      <w:r w:rsidRPr="00C83EDC">
        <w:rPr>
          <w:lang w:val="en-GB"/>
        </w:rPr>
        <w:t>The type of silencing mechanism depends on the level of their mutual complementarity: perfect pairing between miRNA and mRNA is most common in plants and warrants the mRNA sequence degradation by Ago protein, whereas partial complementarity of animal miRNA-mRNA interaction represses the initiation step of mRNA translation</w:t>
      </w:r>
      <w:r w:rsidRPr="00C83EDC">
        <w:rPr>
          <w:lang w:val="en-GB"/>
        </w:rPr>
        <w:fldChar w:fldCharType="begin" w:fldLock="1"/>
      </w:r>
      <w:r w:rsidR="000C069C">
        <w:rPr>
          <w:lang w:val="en-GB"/>
        </w:rPr>
        <w:instrText>ADDIN CSL_CITATION {"citationItems":[{"id":"ITEM-1","itemData":{"DOI":"10.1016/j.bbamcr.2010.06.013","ISSN":"01674889","abstract":"MicroRNAs (miRNAs) are a class of small, endogenous RNAs of 21-25 nucleotides (nts) in length. They play an important regulatory role in animals and plants by targeting specific mRNAs for degradation or translation repression. Recent scientific advances have revealed the synthesis pathways and the regulatory mechanisms of miRNAs in animals and plants. miRNA-based regulation is implicated in disease etiology and has been studied for treatment. Furthermore, several preclinical and clinical trials have been initiated for miRNA-based therapeutics. In this review, the existing knowledge about miRNAs synthesis, mechanisms for regulation of the genome, and their widespread functions in animals and plants is summarized. The current status of preclinical and clinical trials regarding miRNA therapeutics is also reviewed. The recent findings in miRNA studies, summarized in this review, may add new dimensions to small RNA biology and miRNA therapeutics. © 2010 Elsevier B.V.","author":[{"dropping-particle":"","family":"Wahid","given":"Fazli","non-dropping-particle":"","parse-names":false,"suffix":""},{"dropping-particle":"","family":"Shehzad","given":"Adeeb","non-dropping-particle":"","parse-names":false,"suffix":""},{"dropping-particle":"","family":"Khan","given":"Taous","non-dropping-particle":"","parse-names":false,"suffix":""},{"dropping-particle":"","family":"Kim","given":"You Young","non-dropping-particle":"","parse-names":false,"suffix":""}],"container-title":"Biochimica et Biophysica Acta - Molecular Cell Research","id":"ITEM-1","issue":"11","issued":{"date-parts":[["2010"]]},"page":"1231-1243","publisher":"Elsevier B.V.","title":"MicroRNAs: Synthesis, mechanism, function, and recent clinical trials","type":"article-journal","volume":"1803"},"uris":["http://www.mendeley.com/documents/?uuid=c501f908-04c2-42e6-a0ba-21ed3c5c609f"]}],"mendeley":{"formattedCitation":"&lt;sup&gt;80&lt;/sup&gt;","plainTextFormattedCitation":"80","previouslyFormattedCitation":"[80]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80</w:t>
      </w:r>
      <w:r w:rsidRPr="00C83EDC">
        <w:rPr>
          <w:lang w:val="en-GB"/>
        </w:rPr>
        <w:fldChar w:fldCharType="end"/>
      </w:r>
      <w:r w:rsidRPr="00C83EDC">
        <w:rPr>
          <w:lang w:val="en-GB"/>
        </w:rPr>
        <w:t xml:space="preserve">. </w:t>
      </w:r>
      <w:r>
        <w:rPr>
          <w:lang w:val="en-GB"/>
        </w:rPr>
        <w:t>A s</w:t>
      </w:r>
      <w:r w:rsidRPr="00C83EDC">
        <w:rPr>
          <w:lang w:val="en-GB"/>
        </w:rPr>
        <w:t xml:space="preserve">ingle miRNA guide </w:t>
      </w:r>
      <w:r w:rsidRPr="00C83EDC">
        <w:rPr>
          <w:lang w:val="en-GB"/>
        </w:rPr>
        <w:lastRenderedPageBreak/>
        <w:t>can bind various mRNA targets thus regulate expression of multiple genes and conversely different miRNAs can cooperatively regulate an individual mRNA target</w:t>
      </w:r>
      <w:r w:rsidRPr="00C83EDC">
        <w:rPr>
          <w:lang w:val="en-GB"/>
        </w:rPr>
        <w:fldChar w:fldCharType="begin" w:fldLock="1"/>
      </w:r>
      <w:r w:rsidR="000C069C">
        <w:rPr>
          <w:lang w:val="en-GB"/>
        </w:rPr>
        <w:instrText>ADDIN CSL_CITATION {"citationItems":[{"id":"ITEM-1","itemData":{"DOI":"10.1016/j.nbt.2010.02.016","ISSN":"18716784","abstract":"MicroRNAs (miRNAs) are a class of small noncoding RNAs that can regulate many genes by base pairing to sites in mRNAs. The functionality of miRNAs overlaps that of short interfering RNAs (siRNAs), and many features of miRNA targeting have been revealed experimentally by studying miRNA-mimicking siRNAs. This review outlines the features associated with animal miRNA targeting and describes currently available prediction tools. © 2010 Elsevier B.V. All rights reserved.","author":[{"dropping-particle":"","family":"Saito","given":"Takaya","non-dropping-particle":"","parse-names":false,"suffix":""},{"dropping-particle":"","family":"Sætrom","given":"Pal","non-dropping-particle":"","parse-names":false,"suffix":""}],"container-title":"New Biotechnology","id":"ITEM-1","issue":"3","issued":{"date-parts":[["2010"]]},"page":"243-249","title":"MicroRNAs - targeting and target prediction","type":"article-journal","volume":"27"},"uris":["http://www.mendeley.com/documents/?uuid=40c5e221-dc13-4519-af8e-49146d1f4111"]},{"id":"ITEM-2","itemData":{"DOI":"10.2174/138920210793175895","ISSN":"13892029","PMID":"21532838","abstract":"MicroRNAs are small, highly conserved non-coding RNA molecules involved in the regulation of gene expression. MicroRNAs are transcribed by RNA polymerases II and III, generating precursors that undergo a series of cleavage events to form mature microRNA. The conventional biogenesis pathway consists of two cleavage events, one nuclear and one cytoplasmic. However, alternative biogenesis pathways exist that differ in the number of cleavage events and enzymes responsible. How microRNA precursors are sorted to the different pathways is unclear but appears to be determined by the site of origin of the microRNA, its sequence and thermodynamic stability. The regulatory functions of microRNAs are accomplished through the RNA-induced silencing complex (RISC). MicroRNA assembles into RISC, activating the complex to target messenger RNA (mRNA) specified by the microRNA. Various RISC assembly models have been proposed and research continues to explore the mechanism(s) of RISC loading and activation. The degree and nature of the complementarity between the microRNA and target determine the gene silencing mechanism, slicer-dependent mRNA degradation or slicer-independent translation inhibition. Recent evidence indicates that P-bodies are essential for microRNA-mediated gene silencing and that RISC assembly and silencing occurs primarily within P-bodies. The P-body model outlines microRNA sorting and shuttling between specialized P-body compartments that house enzymes required for slicer -dependent and -independent silencing, addressing the reversibility of these silencing mechanisms. Detailed knowledge of the microRNA pathways is essential for understanding their physiological role and the implications associated with dysfunction and dysregulation.","author":[{"dropping-particle":"","family":"MacFarlane","given":"Leigh-Ann","non-dropping-particle":"","parse-names":false,"suffix":""},{"dropping-particle":"","family":"R. Murphy","given":"Paul","non-dropping-particle":"","parse-names":false,"suffix":""}],"container-title":"Current Genomics","id":"ITEM-2","issue":"7","issued":{"date-parts":[["2010"]]},"page":"537-561","title":"MicroRNA: Biogenesis, Function and Role in Cancer","type":"article-journal","volume":"11"},"uris":["http://www.mendeley.com/documents/?uuid=ac83e2b4-8255-461b-a7b9-612e2a61d902"]}],"mendeley":{"formattedCitation":"&lt;sup&gt;81,82&lt;/sup&gt;","plainTextFormattedCitation":"81,82","previouslyFormattedCitation":"[81], [82]"},"properties":{"noteIndex":0},"schema":"https://github.com/citation-style-language/schema/raw/master/csl-citation.json"}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81,82</w:t>
      </w:r>
      <w:r w:rsidRPr="00C83EDC">
        <w:rPr>
          <w:lang w:val="en-GB"/>
        </w:rPr>
        <w:fldChar w:fldCharType="end"/>
      </w:r>
      <w:r w:rsidRPr="00C83EDC">
        <w:rPr>
          <w:lang w:val="en-GB"/>
        </w:rPr>
        <w:t xml:space="preserve">. </w:t>
      </w:r>
    </w:p>
    <w:p w14:paraId="66968AD1" w14:textId="77777777" w:rsidR="00EE7EB3" w:rsidRPr="00C83EDC" w:rsidRDefault="00EE7EB3" w:rsidP="00EE7EB3">
      <w:pPr>
        <w:pStyle w:val="Obrzek"/>
        <w:rPr>
          <w:lang w:val="en-GB"/>
        </w:rPr>
      </w:pPr>
      <w:r w:rsidRPr="00C83EDC">
        <w:rPr>
          <w:noProof/>
          <w:lang w:val="en-GB"/>
        </w:rPr>
        <w:drawing>
          <wp:inline distT="0" distB="0" distL="0" distR="0" wp14:anchorId="6712B350" wp14:editId="5375E505">
            <wp:extent cx="4019550" cy="4019550"/>
            <wp:effectExtent l="0" t="0" r="0" b="0"/>
            <wp:docPr id="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tretch>
                      <a:fillRect/>
                    </a:stretch>
                  </pic:blipFill>
                  <pic:spPr bwMode="auto">
                    <a:xfrm>
                      <a:off x="0" y="0"/>
                      <a:ext cx="4019550" cy="4019550"/>
                    </a:xfrm>
                    <a:prstGeom prst="rect">
                      <a:avLst/>
                    </a:prstGeom>
                    <a:noFill/>
                    <a:ln>
                      <a:noFill/>
                    </a:ln>
                  </pic:spPr>
                </pic:pic>
              </a:graphicData>
            </a:graphic>
          </wp:inline>
        </w:drawing>
      </w:r>
    </w:p>
    <w:p w14:paraId="38586D03" w14:textId="4770A9BB" w:rsidR="00EE7EB3" w:rsidRPr="00C83EDC" w:rsidRDefault="00EE7EB3" w:rsidP="00EE7EB3">
      <w:pPr>
        <w:pStyle w:val="Titulek"/>
        <w:rPr>
          <w:b w:val="0"/>
          <w:bCs w:val="0"/>
          <w:lang w:val="en-GB"/>
        </w:rPr>
      </w:pPr>
      <w:bookmarkStart w:id="42" w:name="_Toc47541123"/>
      <w:r w:rsidRPr="00C83EDC">
        <w:rPr>
          <w:lang w:val="en-GB"/>
        </w:rPr>
        <w:t>Fig</w:t>
      </w:r>
      <w:r>
        <w:rPr>
          <w:lang w:val="en-GB"/>
        </w:rPr>
        <w:t>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1</w:t>
      </w:r>
      <w:r w:rsidRPr="00C83EDC">
        <w:rPr>
          <w:noProof/>
          <w:lang w:val="en-GB"/>
        </w:rPr>
        <w:fldChar w:fldCharType="end"/>
      </w:r>
      <w:r w:rsidRPr="00C83EDC">
        <w:rPr>
          <w:lang w:val="en-GB"/>
        </w:rPr>
        <w:t xml:space="preserve">. </w:t>
      </w:r>
      <w:r w:rsidRPr="00F8726D">
        <w:rPr>
          <w:lang w:val="en-GB"/>
        </w:rPr>
        <w:t>miRNA biogenesis</w:t>
      </w:r>
      <w:r w:rsidRPr="00C83EDC">
        <w:rPr>
          <w:lang w:val="en-GB"/>
        </w:rPr>
        <w:t xml:space="preserve">. </w:t>
      </w:r>
      <w:r w:rsidRPr="00DF41F6">
        <w:rPr>
          <w:b w:val="0"/>
          <w:bCs w:val="0"/>
          <w:i/>
          <w:iCs/>
          <w:lang w:val="en-GB"/>
        </w:rPr>
        <w:t xml:space="preserve">Adapted from </w:t>
      </w:r>
      <w:proofErr w:type="spellStart"/>
      <w:r w:rsidRPr="00DF41F6">
        <w:rPr>
          <w:b w:val="0"/>
          <w:bCs w:val="0"/>
          <w:i/>
          <w:iCs/>
          <w:lang w:val="en-GB"/>
        </w:rPr>
        <w:t>Terrinoni</w:t>
      </w:r>
      <w:proofErr w:type="spellEnd"/>
      <w:r w:rsidRPr="00DF41F6">
        <w:rPr>
          <w:b w:val="0"/>
          <w:bCs w:val="0"/>
          <w:i/>
          <w:iCs/>
          <w:lang w:val="en-GB"/>
        </w:rPr>
        <w:t xml:space="preserve"> et al</w:t>
      </w:r>
      <w:r>
        <w:rPr>
          <w:b w:val="0"/>
          <w:bCs w:val="0"/>
          <w:i/>
          <w:iCs/>
          <w:lang w:val="en-GB"/>
        </w:rPr>
        <w:t>.</w:t>
      </w:r>
      <w:r w:rsidRPr="00DF41F6">
        <w:rPr>
          <w:b w:val="0"/>
          <w:bCs w:val="0"/>
          <w:i/>
          <w:iCs/>
          <w:lang w:val="en-GB"/>
        </w:rPr>
        <w:t xml:space="preserve"> </w:t>
      </w:r>
      <w:r w:rsidRPr="00DF41F6">
        <w:rPr>
          <w:b w:val="0"/>
          <w:bCs w:val="0"/>
          <w:i/>
          <w:iCs/>
          <w:lang w:val="en-GB"/>
        </w:rPr>
        <w:fldChar w:fldCharType="begin" w:fldLock="1"/>
      </w:r>
      <w:r w:rsidR="000C069C">
        <w:rPr>
          <w:b w:val="0"/>
          <w:bCs w:val="0"/>
          <w:i/>
          <w:iCs/>
          <w:lang w:val="en-GB"/>
        </w:rPr>
        <w:instrText>ADDIN CSL_CITATION {"citationItems":[{"id":"ITEM-1","itemData":{"DOI":"10.1515/cclm-2018-0838","ISBN":"0000000202701","ISSN":"14374331","abstract":"A large portion of the human genome transcribes RNA sequences that do not code for any proteins. The first of these sequences was identified in 1993, and the best known noncoding RNAs are microRNA (miRNAs). It is now fully established that miRNAs regulate approximately 30% of the known genes that codify proteins. miRNAs are involved in several biological processes, like cell proliferation, differentiation, apoptosis and metastatization. These RNA products regulate gene expression at the post-transcriptional level, modulating or inhibiting protein expression by interacting with specific sequences of mRNAs. Mature miRNAs can be detected in blood plasma, serum and also in a wide variety of biological fluids. They can be found associated with proteins, lipids as well as enclosed in exosome vesicles. We know that circulating miRNAs (C-miRNAs) can regulate several key cellular processes in tissues different from the production site. C-miRNAs behave as endogenous mediators of RNA translation, and an extraordinary knowledge on their function has been obtained in the last years. They can be secreted in different tissue cells and associated with specific pathological conditions. Significant evidence indicates that the initiation and progression of several pathologies are \"highlighted\" by the presence of specific C-miRNAs, underlining their potential diagnostic relevance as clinical biomarkers. Here we review the current literature on the possible use of this new class of molecules as clinical biomarkers of diseases.","author":[{"dropping-particle":"","family":"Terrinoni","given":"Alessandro","non-dropping-particle":"","parse-names":false,"suffix":""},{"dropping-particle":"","family":"Calabrese","given":"Cosimo","non-dropping-particle":"","parse-names":false,"suffix":""},{"dropping-particle":"","family":"Basso","given":"Daniela","non-dropping-particle":"","parse-names":false,"suffix":""},{"dropping-particle":"","family":"Aita","given":"Ada","non-dropping-particle":"","parse-names":false,"suffix":""},{"dropping-particle":"","family":"Caporali","given":"Sabrina","non-dropping-particle":"","parse-names":false,"suffix":""},{"dropping-particle":"","family":"Plebani","given":"Mario","non-dropping-particle":"","parse-names":false,"suffix":""},{"dropping-particle":"","family":"Bernardini","given":"Sergio","non-dropping-particle":"","parse-names":false,"suffix":""}],"container-title":"Clinical Chemistry and Laboratory Medicine","id":"ITEM-1","issue":"7","issued":{"date-parts":[["2019"]]},"note":"mirna and where they can be detected\nrna interference pathway","page":"932-953","title":"The circulating miRNAs as diagnostic and prognostic markers","type":"article-journal","volume":"57"},"uris":["http://www.mendeley.com/documents/?uuid=a99f3239-3bee-43f2-bc2f-ee4a281ae351"]}],"mendeley":{"formattedCitation":"&lt;sup&gt;83&lt;/sup&gt;","plainTextFormattedCitation":"83","previouslyFormattedCitation":"[83]"},"properties":{"noteIndex":0},"schema":"https://github.com/citation-style-language/schema/raw/master/csl-citation.json"}</w:instrText>
      </w:r>
      <w:r w:rsidRPr="00DF41F6">
        <w:rPr>
          <w:b w:val="0"/>
          <w:bCs w:val="0"/>
          <w:i/>
          <w:iCs/>
          <w:lang w:val="en-GB"/>
        </w:rPr>
        <w:fldChar w:fldCharType="separate"/>
      </w:r>
      <w:r w:rsidR="000C069C" w:rsidRPr="000C069C">
        <w:rPr>
          <w:b w:val="0"/>
          <w:bCs w:val="0"/>
          <w:iCs/>
          <w:noProof/>
          <w:vertAlign w:val="superscript"/>
          <w:lang w:val="en-GB"/>
        </w:rPr>
        <w:t>83</w:t>
      </w:r>
      <w:r w:rsidRPr="00DF41F6">
        <w:rPr>
          <w:b w:val="0"/>
          <w:bCs w:val="0"/>
          <w:i/>
          <w:iCs/>
          <w:lang w:val="en-GB"/>
        </w:rPr>
        <w:fldChar w:fldCharType="end"/>
      </w:r>
      <w:bookmarkEnd w:id="42"/>
    </w:p>
    <w:p w14:paraId="335AEAF3" w14:textId="77777777" w:rsidR="00EE7EB3" w:rsidRPr="00C83EDC" w:rsidRDefault="00EE7EB3" w:rsidP="00EE7EB3">
      <w:pPr>
        <w:pStyle w:val="Nadpis2"/>
        <w:rPr>
          <w:lang w:val="en-GB"/>
        </w:rPr>
      </w:pPr>
      <w:bookmarkStart w:id="43" w:name="_Toc47889320"/>
      <w:bookmarkStart w:id="44" w:name="_Toc48160991"/>
      <w:r w:rsidRPr="00C83EDC">
        <w:rPr>
          <w:lang w:val="en-GB"/>
        </w:rPr>
        <w:t>miRNAs and their role in cancer</w:t>
      </w:r>
      <w:bookmarkEnd w:id="43"/>
      <w:bookmarkEnd w:id="44"/>
    </w:p>
    <w:p w14:paraId="41F44478" w14:textId="67A6F139" w:rsidR="00EE7EB3" w:rsidRPr="00C83EDC" w:rsidRDefault="00EE7EB3" w:rsidP="00EE7EB3">
      <w:pPr>
        <w:pStyle w:val="Odstavec1"/>
        <w:rPr>
          <w:lang w:val="en-GB"/>
        </w:rPr>
      </w:pPr>
      <w:r w:rsidRPr="00C83EDC">
        <w:rPr>
          <w:lang w:val="en-GB"/>
        </w:rPr>
        <w:t>As one miRNA regulate</w:t>
      </w:r>
      <w:r>
        <w:rPr>
          <w:lang w:val="en-GB"/>
        </w:rPr>
        <w:t>s</w:t>
      </w:r>
      <w:r w:rsidRPr="00C83EDC">
        <w:rPr>
          <w:lang w:val="en-GB"/>
        </w:rPr>
        <w:t xml:space="preserve"> many mRNAs, its dysregulated expression can have a profound effect on cellular homeostasis. Disrupted miRNA levels are implicated in molecular pathogenesis of cardiovascular and central nervous system disorders and various malignancies including solid tumours</w:t>
      </w:r>
      <w:r w:rsidRPr="00C83EDC">
        <w:rPr>
          <w:lang w:val="en-GB"/>
        </w:rPr>
        <w:fldChar w:fldCharType="begin" w:fldLock="1"/>
      </w:r>
      <w:r w:rsidR="000C069C">
        <w:rPr>
          <w:lang w:val="en-GB"/>
        </w:rPr>
        <w:instrText>ADDIN CSL_CITATION {"citationItems":[{"id":"ITEM-1","itemData":{"DOI":"10.2217/pgs.10.57","ISSN":"14622416","author":[{"dropping-particle":"","family":"Nana-Sinkam","given":"Patrick","non-dropping-particle":"","parse-names":false,"suffix":""},{"dropping-particle":"","family":"Croce","given":"Carlo M.","non-dropping-particle":"","parse-names":false,"suffix":""}],"container-title":"Pharmacogenomics","id":"ITEM-1","issue":"5","issued":{"date-parts":[["2010"]]},"page":"667-669","title":"MicroRNAs in diagnosis and prognosis in cancer: What does the future hold?","type":"article-journal","volume":"11"},"uris":["http://www.mendeley.com/documents/?uuid=aba8b9b5-358e-4d99-842e-887b7b613402"]},{"id":"ITEM-2","itemData":{"DOI":"10.1002/path.2638","ISSN":"00223417","abstract":"Thorough research on HIV is progressively enabling us to understand the intricate mechanisms that link HIV-1 infection to the onset of immunodeficiency. The infection and depletion of CD4(+) T cells represent the most fundamental events in HIV-1 infection. However, in recent years, the role played by chronic immune activation and inflammation in HIV pathogenesis has become increasingly apparent: quite paradoxically, immune activation levels are directly associated with HIV-1 disease progression. In addition, HIV-1-infected patients present intriguing similarities with individuals of old age: their immune systems are characterized by a loss of regenerative capacity and an accumulation of ageing T cells. In this review, we discuss the potential reasons for the establishment of sustained immune activation and inflammation from the early stages of HIV-1 infection, as well as the long-term consequences of this process on the host immune system and health. A simplified model of HIV pathogenesis is proposed, which links together the three major facets of HIV-1 infection: the massive depletion of CD4(+) T cells, the paradoxical immune activation and the exhaustion of regenerative capacity.","author":[{"dropping-particle":"","family":"Taft","given":"Ryan J","non-dropping-particle":"","parse-names":false,"suffix":""},{"dropping-particle":"","family":"Pang","given":"Ken C","non-dropping-particle":"","parse-names":false,"suffix":""},{"dropping-particle":"","family":"Mercer","given":"Timothy R","non-dropping-particle":"","parse-names":false,"suffix":""},{"dropping-particle":"","family":"Dinger","given":"Marcel","non-dropping-particle":"","parse-names":false,"suffix":""},{"dropping-particle":"","family":"Mattick","given":"John S","non-dropping-particle":"","parse-names":false,"suffix":""}],"container-title":"The Journal of Pathology","id":"ITEM-2","issue":"2","issued":{"date-parts":[["2010","1"]]},"page":"126-139","title":"Non-coding RNAs: regulators of disease","type":"article-journal","volume":"220"},"uris":["http://www.mendeley.com/documents/?uuid=c3bd3b3c-a0d3-41e4-a53c-efaf076ada0d"]},{"id":"ITEM-3","itemData":{"DOI":"10.1016/j.canlet.2018.02.029","ISSN":"18727980","abstract":"A plethora of tumours have characteristic oncogenic mutations which are the main causes of malignant transformation, exerting their effects through multiple signalling pathways. Downstream of such pathways, microRNAs are small non-coding RNAs that negatively regulate gene expression, assisting or antagonizing oncogenic signalling. The differential expression of microRNAs in cancer is well-documented and is considered a fundamental aspect of tumourigenesis. While data mapping the interaction between oncogenic lesions and microRNAs are accruing, we provide particular cases of such interaction. Except for notable, well-studied examples of microRNAs regulated by oncogenes, we examine the effect of this relationship in regard to tumour initiation, progression, metastasis and ultimately, its implications for the development of new therapeutics.","author":[{"dropping-particle":"","family":"Paliouras","given":"Athanasios R.","non-dropping-particle":"","parse-names":false,"suffix":""},{"dropping-particle":"","family":"Monteverde","given":"Tiziana","non-dropping-particle":"","parse-names":false,"suffix":""},{"dropping-particle":"","family":"Garofalo","given":"Michela","non-dropping-particle":"","parse-names":false,"suffix":""}],"container-title":"Cancer Letters","id":"ITEM-3","issued":{"date-parts":[["2018"]]},"page":"152-160","publisher":"Elsevier Ltd","title":"Oncogene-induced regulation of microRNA expression: Implications for cancer initiation, progression and therapy","type":"article-journal","volume":"421"},"uris":["http://www.mendeley.com/documents/?uuid=b3694210-834e-44be-aa69-11e612444291"]}],"mendeley":{"formattedCitation":"&lt;sup&gt;84–86&lt;/sup&gt;","plainTextFormattedCitation":"84–86","previouslyFormattedCitation":"[84]–[86]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84–86</w:t>
      </w:r>
      <w:r w:rsidRPr="00C83EDC">
        <w:rPr>
          <w:lang w:val="en-GB"/>
        </w:rPr>
        <w:fldChar w:fldCharType="end"/>
      </w:r>
      <w:r w:rsidRPr="00C83EDC">
        <w:rPr>
          <w:lang w:val="en-GB"/>
        </w:rPr>
        <w:t>. miRNAs play an important role in tumour initiation and development by acting either as tumour promoting (oncogenic) or tumour suppressing miRNAs. Whilst upregulated oncogenic miRNAs promote cancer by inhibiting expression of tumour suppressor genes, the downregulation of tumour-suppressing miRNAs causes a decrease in</w:t>
      </w:r>
      <w:r>
        <w:rPr>
          <w:lang w:val="en-GB"/>
        </w:rPr>
        <w:t xml:space="preserve"> the</w:t>
      </w:r>
      <w:r w:rsidRPr="00C83EDC">
        <w:rPr>
          <w:lang w:val="en-GB"/>
        </w:rPr>
        <w:t xml:space="preserve"> number of silenced oncogenes</w:t>
      </w:r>
      <w:r w:rsidRPr="00C83EDC">
        <w:rPr>
          <w:lang w:val="en-GB"/>
        </w:rPr>
        <w:fldChar w:fldCharType="begin" w:fldLock="1"/>
      </w:r>
      <w:r w:rsidR="000C069C">
        <w:rPr>
          <w:lang w:val="en-GB"/>
        </w:rPr>
        <w:instrText>ADDIN CSL_CITATION {"citationItems":[{"id":"ITEM-1","itemData":{"DOI":"10.3892/ijo.2016.3503","ISSN":"17912423","abstract":"MicroRNA (miRNA or miR) therapeutics in cancer are based on targeting or mimicking miRNAs involved in cancer onset, progression, angiogenesis, epithelial-mesenchymal transition and metastasis. Several studies conclusively have demonstrated that miRNAs are deeply involved in tumor onset and progression, either behaving as tumor-promoting miRNAs (oncomiRNAs and metastamiRNAs) or as tumor suppressor miRNAs. This review focuses on the most promising examples potentially leading to the development of anticancer, miRNAbased therapeutic protocols. The inhibition of miRNA activity can be readily achieved by the use of miRNA inhibitors and oligomers, including RNA, DNA and DNA analogues (miRNA antisense therapy), small molecule inhibitors, miRNA sponges or through miRNA masking. On the contrary, the enhancement of miRNA function (miRNA replacement therapy) can be achieved by the use of modified miRNA mimetics, such as plasmid or lentiviral vectors carrying miRNA sequences. Combination strategies have been recently developed based on the observation that i) the combined administration of different antagomiR molecules induces greater antitumor effects and ii) some anti-miR molecules can sensitize drug-resistant tumor cell lines to therapeutic drugs. In this review, we discuss two additional issues: i) the combination of miRNA replacement therapy with drug administration and ii) the combination of antagomiR and miRNA replacement therapy. One of the solid results emerging from different independent studies is that miRNA replacement therapy can enhance the antitumor effects of the antitumor drugs. The second important conclusion of the reviewed studies is that the combination of anti-miRNA and miRNA replacement strategies may lead to excellent results, in terms of antitumor effects.","author":[{"dropping-particle":"","family":"Gambari","given":"Roberto","non-dropping-particle":"","parse-names":false,"suffix":""},{"dropping-particle":"","family":"Brognara","given":"Eleonora","non-dropping-particle":"","parse-names":false,"suffix":""},{"dropping-particle":"","family":"Spandidos","given":"Demetrios A.","non-dropping-particle":"","parse-names":false,"suffix":""},{"dropping-particle":"","family":"Fabbri","given":"Enrica","non-dropping-particle":"","parse-names":false,"suffix":""}],"container-title":"International Journal of Oncology","id":"ITEM-1","issue":"1","issued":{"date-parts":[["2016"]]},"page":"5-32","title":"Targeting oncomiRNAs and mimicking tumor suppressor miRNAs: Ew trends in the development of miRNA therapeutic strategies in oncology (Review)","type":"article-journal","volume":"49"},"uris":["http://www.mendeley.com/documents/?uuid=7fb138b1-0f23-43c8-af0b-3fcfef9bc65f"]}],"mendeley":{"formattedCitation":"&lt;sup&gt;87&lt;/sup&gt;","plainTextFormattedCitation":"87","previouslyFormattedCitation":"[87]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87</w:t>
      </w:r>
      <w:r w:rsidRPr="00C83EDC">
        <w:rPr>
          <w:lang w:val="en-GB"/>
        </w:rPr>
        <w:fldChar w:fldCharType="end"/>
      </w:r>
      <w:r w:rsidRPr="00C83EDC">
        <w:rPr>
          <w:lang w:val="en-GB"/>
        </w:rPr>
        <w:t xml:space="preserve">. Considering that one miRNA can regulate various genes, some miRNAs naturally demonstrate both tumour-promoting and tumour supressing properties depending on </w:t>
      </w:r>
      <w:r>
        <w:rPr>
          <w:lang w:val="en-GB"/>
        </w:rPr>
        <w:t xml:space="preserve">the </w:t>
      </w:r>
      <w:r w:rsidRPr="00C83EDC">
        <w:rPr>
          <w:lang w:val="en-GB"/>
        </w:rPr>
        <w:t xml:space="preserve">tumour type and </w:t>
      </w:r>
      <w:r>
        <w:rPr>
          <w:lang w:val="en-GB"/>
        </w:rPr>
        <w:t xml:space="preserve">the </w:t>
      </w:r>
      <w:r w:rsidRPr="00C83EDC">
        <w:rPr>
          <w:lang w:val="en-GB"/>
        </w:rPr>
        <w:t>mRNA they target</w:t>
      </w:r>
      <w:r w:rsidRPr="00C83EDC">
        <w:rPr>
          <w:lang w:val="en-GB"/>
        </w:rPr>
        <w:fldChar w:fldCharType="begin" w:fldLock="1"/>
      </w:r>
      <w:r w:rsidR="000C069C">
        <w:rPr>
          <w:lang w:val="en-GB"/>
        </w:rPr>
        <w:instrText>ADDIN CSL_CITATION {"citationItems":[{"id":"ITEM-1","itemData":{"DOI":"10.1007/s40291-017-0285-9","ISSN":"11792000","abstract":"MicroRNAs (miRNAs) are post-transcriptional regulators of gene expression, involved in the silencing of messenger RNA (mRNA) translation. The importance of miRNA signatures in disease screening, prognosis, and progression of different tumor types and subtypes is increasing. miRNA expression levels change depending on numerous factors. In this review, we are describing the circumstances under which miRNA levels can change, these are named ‘levels’ of heterogeneity of miRNAs. miRNAs can have oncogenic, tumor suppressive, or both roles depending on tumor type and target mRNA whose translation they silence. The expression levels of a single miRNA may vary across different cancer types and subtypes, indicating that a miRNA signature may be tissue specific. miRNA levels of expression also vary during disease formation and propagation, indicating the presence of a time profile for their expression. The complexity of the miRNA-mRNA interference network mirrors different genetic and epigenetic changes that influence miRNA and mRNA availability to each other, and hence, their binding ability. The potential role of miRNAs as biomarkers is two-fold; first, for monitoring of the phases of cancer pathogenesis, and second, to characterize the particular type/subtype of cancer. It is important that a particular miRNA should be characterized by examining as many types and subtypes of cancers as are available, as well as being extracted from different types of samples, in order to obtain a complete picture of its behavior and importance in the disease pathology.","author":[{"dropping-particle":"","family":"Petrovic","given":"Nina","non-dropping-particle":"","parse-names":false,"suffix":""},{"dropping-particle":"","family":"Ergün","given":"Sercan","non-dropping-particle":"","parse-names":false,"suffix":""},{"dropping-particle":"","family":"Isenovic","given":"Esma R.","non-dropping-particle":"","parse-names":false,"suffix":""}],"container-title":"Molecular Diagnosis and Therapy","id":"ITEM-1","issue":"5","issued":{"date-parts":[["2017"]]},"page":"511-523","title":"Levels of MicroRNA Heterogeneity in Cancer Biology","type":"article-journal","volume":"21"},"uris":["http://www.mendeley.com/documents/?uuid=8dca1b66-04e9-483e-8088-58c28be527cc"]}],"mendeley":{"formattedCitation":"&lt;sup&gt;88&lt;/sup&gt;","plainTextFormattedCitation":"88","previouslyFormattedCitation":"[88]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88</w:t>
      </w:r>
      <w:r w:rsidRPr="00C83EDC">
        <w:rPr>
          <w:lang w:val="en-GB"/>
        </w:rPr>
        <w:fldChar w:fldCharType="end"/>
      </w:r>
      <w:r w:rsidRPr="00C83EDC">
        <w:rPr>
          <w:lang w:val="en-GB"/>
        </w:rPr>
        <w:t xml:space="preserve">. </w:t>
      </w:r>
    </w:p>
    <w:p w14:paraId="52F3816A" w14:textId="1DB6AB58" w:rsidR="00EE7EB3" w:rsidRPr="00C83EDC" w:rsidRDefault="00EE7EB3" w:rsidP="00EE7EB3">
      <w:pPr>
        <w:pStyle w:val="Dalodstavce"/>
        <w:rPr>
          <w:lang w:val="en-GB"/>
        </w:rPr>
      </w:pPr>
      <w:r w:rsidRPr="00C83EDC">
        <w:rPr>
          <w:lang w:val="en-GB"/>
        </w:rPr>
        <w:lastRenderedPageBreak/>
        <w:t xml:space="preserve">Cancer-promoting changes in miRNA expression have been associated with genetic and epigenetic alterations affecting miRNA loci and the components of their biogenesis. Significant number of human miRNA genes are positioned at fragile regions or in chromosomal regions that are deleted, amplified, or translocated in cancer. For example, overexpression of </w:t>
      </w:r>
      <w:r>
        <w:rPr>
          <w:lang w:val="en-GB"/>
        </w:rPr>
        <w:t xml:space="preserve">the </w:t>
      </w:r>
      <w:r w:rsidRPr="00C83EDC">
        <w:rPr>
          <w:i/>
          <w:iCs/>
          <w:lang w:val="en-GB"/>
        </w:rPr>
        <w:t>miR‑21</w:t>
      </w:r>
      <w:r w:rsidRPr="00C83EDC">
        <w:rPr>
          <w:lang w:val="en-GB"/>
        </w:rPr>
        <w:t xml:space="preserve"> and </w:t>
      </w:r>
      <w:r w:rsidRPr="00C83EDC">
        <w:rPr>
          <w:i/>
          <w:iCs/>
          <w:lang w:val="en-GB"/>
        </w:rPr>
        <w:t>miR‑17</w:t>
      </w:r>
      <w:r w:rsidRPr="00C83EDC">
        <w:rPr>
          <w:i/>
          <w:iCs/>
          <w:lang w:val="en-GB"/>
        </w:rPr>
        <w:noBreakHyphen/>
        <w:t>92</w:t>
      </w:r>
      <w:r w:rsidRPr="00C83EDC">
        <w:rPr>
          <w:lang w:val="en-GB"/>
        </w:rPr>
        <w:t xml:space="preserve"> cluster has been detected in various human tumours including breast, colon, lung, pancreatic, prostate and stomach cancers</w:t>
      </w:r>
      <w:r>
        <w:rPr>
          <w:lang w:val="en-GB"/>
        </w:rPr>
        <w:fldChar w:fldCharType="begin" w:fldLock="1"/>
      </w:r>
      <w:r w:rsidR="000C069C">
        <w:rPr>
          <w:lang w:val="en-GB"/>
        </w:rPr>
        <w:instrText>ADDIN CSL_CITATION {"citationItems":[{"id":"ITEM-1","itemData":{"DOI":"10.1038/nrg2634","ISSN":"14710056","abstract":"Over the past several years it has become clear that alterations in the expression of microRNA (miRNA) genes contribute to the pathogenesis of most if not all human malignancies. These alterations can be caused by various mechanisms, including deletions, amplifications or mutations involving miRNA loci, epigenetic silencing or the dysregulation of transcription factors that target specific miRNAs. Because malignant cells show dependence on the dysregulated expression of miRNA genes, which in turn control or are controlled by the dysregulation of multiple protein-coding oncogenes or tumour suppressor genes, these small RNAs provide important opportunities for the development of future miRNA-based therapies. © 2009 Macmillan Publishers Limited. All rights reserved.","author":[{"dropping-particle":"","family":"Croce","given":"Carlo M.","non-dropping-particle":"","parse-names":false,"suffix":""}],"container-title":"Nature Reviews Genetics","id":"ITEM-1","issue":"10","issued":{"date-parts":[["2009"]]},"page":"704-714","publisher":"Nature Publishing Group","title":"Causes and consequences of microRNA dysregulation in cancer","type":"article-journal","volume":"10"},"uris":["http://www.mendeley.com/documents/?uuid=9d28df39-8ff3-4a07-bd38-0841bc95f635"]}],"mendeley":{"formattedCitation":"&lt;sup&gt;89&lt;/sup&gt;","plainTextFormattedCitation":"89","previouslyFormattedCitation":"[89]"},"properties":{"noteIndex":0},"schema":"https://github.com/citation-style-language/schema/raw/master/csl-citation.json"}</w:instrText>
      </w:r>
      <w:r>
        <w:rPr>
          <w:lang w:val="en-GB"/>
        </w:rPr>
        <w:fldChar w:fldCharType="separate"/>
      </w:r>
      <w:r w:rsidR="000C069C" w:rsidRPr="000C069C">
        <w:rPr>
          <w:noProof/>
          <w:vertAlign w:val="superscript"/>
          <w:lang w:val="en-GB"/>
        </w:rPr>
        <w:t>89</w:t>
      </w:r>
      <w:r>
        <w:rPr>
          <w:lang w:val="en-GB"/>
        </w:rPr>
        <w:fldChar w:fldCharType="end"/>
      </w:r>
      <w:r w:rsidRPr="00C83EDC">
        <w:rPr>
          <w:lang w:val="en-GB"/>
        </w:rPr>
        <w:t xml:space="preserve">. Another process causing changes in expression is associated with miRNAs that are targeted by transcription factors. The dysregulation of transcriptional regulator MYC enforces expression of the </w:t>
      </w:r>
      <w:r w:rsidRPr="00C83EDC">
        <w:rPr>
          <w:i/>
          <w:iCs/>
          <w:lang w:val="en-GB"/>
        </w:rPr>
        <w:t>miR‑17</w:t>
      </w:r>
      <w:r w:rsidRPr="00C83EDC">
        <w:rPr>
          <w:i/>
          <w:iCs/>
          <w:lang w:val="en-GB"/>
        </w:rPr>
        <w:noBreakHyphen/>
        <w:t>92</w:t>
      </w:r>
      <w:r w:rsidRPr="00C83EDC">
        <w:rPr>
          <w:lang w:val="en-GB"/>
        </w:rPr>
        <w:t xml:space="preserve"> cluster and both together accelerate the development of B cell lymphoma. Epigenetic silencing is also an important mechanism driving miRNA dysfunction in cancer. Hypermethylation of CpG islands that are located at the gene promoters of tumour-suppressive miRNAs leads to their silencing and the loss</w:t>
      </w:r>
      <w:r>
        <w:rPr>
          <w:lang w:val="en-GB"/>
        </w:rPr>
        <w:t xml:space="preserve"> of</w:t>
      </w:r>
      <w:r w:rsidRPr="00C83EDC">
        <w:rPr>
          <w:lang w:val="en-GB"/>
        </w:rPr>
        <w:t xml:space="preserve"> tumour-supressing function. In addition to other adverse events, dysregulation in miRNA biogenesis can occur at different stages of miRNA maturation and it is caused by genetic alterations, mutations, or changes in transcriptional regulation</w:t>
      </w:r>
      <w:r w:rsidRPr="00C83EDC">
        <w:rPr>
          <w:lang w:val="en-GB"/>
        </w:rPr>
        <w:fldChar w:fldCharType="begin" w:fldLock="1"/>
      </w:r>
      <w:r w:rsidR="000C069C">
        <w:rPr>
          <w:lang w:val="en-GB"/>
        </w:rPr>
        <w:instrText>ADDIN CSL_CITATION {"citationItems":[{"id":"ITEM-1","itemData":{"DOI":"10.1038/nrg2634","ISSN":"14710056","abstract":"Over the past several years it has become clear that alterations in the expression of microRNA (miRNA) genes contribute to the pathogenesis of most if not all human malignancies. These alterations can be caused by various mechanisms, including deletions, amplifications or mutations involving miRNA loci, epigenetic silencing or the dysregulation of transcription factors that target specific miRNAs. Because malignant cells show dependence on the dysregulated expression of miRNA genes, which in turn control or are controlled by the dysregulation of multiple protein-coding oncogenes or tumour suppressor genes, these small RNAs provide important opportunities for the development of future miRNA-based therapies. © 2009 Macmillan Publishers Limited. All rights reserved.","author":[{"dropping-particle":"","family":"Croce","given":"Carlo M.","non-dropping-particle":"","parse-names":false,"suffix":""}],"container-title":"Nature Reviews Genetics","id":"ITEM-1","issue":"10","issued":{"date-parts":[["2009"]]},"page":"704-714","publisher":"Nature Publishing Group","title":"Causes and consequences of microRNA dysregulation in cancer","type":"article-journal","volume":"10"},"uris":["http://www.mendeley.com/documents/?uuid=9d28df39-8ff3-4a07-bd38-0841bc95f635"]},{"id":"ITEM-2","itemData":{"DOI":"10.1038/nrc3932","ISSN":"14741768","abstract":"MicroRNAs (miRNAs) are critical regulators of gene expression. Amplification and overexpression of individual 'oncomiRs' or genetic loss of tumour suppressor miRNAs are associated with human cancer and are sufficient to drive tumorigenesis in mouse models. Furthermore, global miRNA depletion caused by genetic and epigenetic alterations in components of the miRNA biogenesis machinery is oncogenic. This, together with the recent identification of novel miRNA regulatory factors and pathways, highlights the importance of miRNA dysregulation in cancer.","author":[{"dropping-particle":"","family":"Lin","given":"Shuibin","non-dropping-particle":"","parse-names":false,"suffix":""},{"dropping-particle":"","family":"Gregory","given":"Richard I.","non-dropping-particle":"","parse-names":false,"suffix":""}],"container-title":"Nature Reviews Cancer","id":"ITEM-2","issue":"6","issued":{"date-parts":[["2015"]]},"page":"321-333","publisher":"Nature Publishing Group","title":"MicroRNA biogenesis pathways in cancer","type":"article-journal","volume":"15"},"uris":["http://www.mendeley.com/documents/?uuid=2b4c4b29-9c9d-41ba-b298-efeed5991f3f"]}],"mendeley":{"formattedCitation":"&lt;sup&gt;89,90&lt;/sup&gt;","plainTextFormattedCitation":"89,90","previouslyFormattedCitation":"[89], [90]"},"properties":{"noteIndex":0},"schema":"https://github.com/citation-style-language/schema/raw/master/csl-citation.json"}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89,90</w:t>
      </w:r>
      <w:r w:rsidRPr="00C83EDC">
        <w:rPr>
          <w:lang w:val="en-GB"/>
        </w:rPr>
        <w:fldChar w:fldCharType="end"/>
      </w:r>
      <w:r w:rsidRPr="00C83EDC">
        <w:rPr>
          <w:lang w:val="en-GB"/>
        </w:rPr>
        <w:t>.</w:t>
      </w:r>
    </w:p>
    <w:p w14:paraId="62B8A6D5" w14:textId="76DBE3D8" w:rsidR="00EE7EB3" w:rsidRDefault="00EE7EB3" w:rsidP="00EE7EB3">
      <w:pPr>
        <w:pStyle w:val="Dalodstavce"/>
        <w:rPr>
          <w:lang w:val="en-GB"/>
        </w:rPr>
      </w:pPr>
      <w:r w:rsidRPr="00C83EDC">
        <w:rPr>
          <w:lang w:val="en-GB"/>
        </w:rPr>
        <w:t>Because miRNA expression can be highly tissue-specific</w:t>
      </w:r>
      <w:r w:rsidRPr="00C83EDC">
        <w:rPr>
          <w:lang w:val="en-GB"/>
        </w:rPr>
        <w:fldChar w:fldCharType="begin" w:fldLock="1"/>
      </w:r>
      <w:r w:rsidR="000C069C">
        <w:rPr>
          <w:lang w:val="en-GB"/>
        </w:rPr>
        <w:instrText>ADDIN CSL_CITATION {"citationItems":[{"id":"ITEM-1","itemData":{"DOI":"10.1016/S0960-9822(02)00809-6","ISSN":"09609822","PMID":"12007417","abstract":"MicroRNAs (miRNAs) are a new class of noncoding RNAs, which are encoded as short inverted repeats in the genomes of invertebrates and vertebrates [1, 2]. It is believed that miRNAs are modulators of target mRNA translation and stability, although most target mRNAs remain to be identified. Here we describe the identification of 34 novel miRNAs by tissue-specific cloning of approximately 21-nucleotide RNAs from mouse. Almost all identified miRNAs are conserved in the human genome and are also frequently found in nonmammalian vertebrate genomes, such as pufferfish. In heart, liver, or brain, it is found that a single, tissue-specifically expressed miRNA dominates the population of expressed miRNAs and suggests a role for these miRNAs in tissue specification or cell lineage decisions. Finally, a miRNA was identified that appears to be the fruitfly and mammalian ortholog of C. elegans lin-4 stRNA.","author":[{"dropping-particle":"","family":"Lagos-Quintana","given":"Mariana","non-dropping-particle":"","parse-names":false,"suffix":""},{"dropping-particle":"","family":"Rauhut","given":"Reinhard","non-dropping-particle":"","parse-names":false,"suffix":""},{"dropping-particle":"","family":"Yalcin","given":"Abdullah","non-dropping-particle":"","parse-names":false,"suffix":""},{"dropping-particle":"","family":"Meyer","given":"Jutta","non-dropping-particle":"","parse-names":false,"suffix":""},{"dropping-particle":"","family":"Lendeckel","given":"Winfried","non-dropping-particle":"","parse-names":false,"suffix":""},{"dropping-particle":"","family":"Tuschl","given":"Thomas","non-dropping-particle":"","parse-names":false,"suffix":""}],"container-title":"Current Biology","id":"ITEM-1","issue":"9","issued":{"date-parts":[["2002"]]},"page":"735-739","title":"Identification of tissue-specific MicroRNAs from mouse","type":"article-journal","volume":"12"},"uris":["http://www.mendeley.com/documents/?uuid=ec656bba-98e8-4886-879c-46a30fa2c264"]}],"mendeley":{"formattedCitation":"&lt;sup&gt;91&lt;/sup&gt;","plainTextFormattedCitation":"91","previouslyFormattedCitation":"[91]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91</w:t>
      </w:r>
      <w:r w:rsidRPr="00C83EDC">
        <w:rPr>
          <w:lang w:val="en-GB"/>
        </w:rPr>
        <w:fldChar w:fldCharType="end"/>
      </w:r>
      <w:r w:rsidRPr="00C83EDC">
        <w:rPr>
          <w:lang w:val="en-GB"/>
        </w:rPr>
        <w:t xml:space="preserve"> and the levels of a single miRNA vary in different types of tumours, disease-specific miRNAs have become a promising biomarker for cancer detection. </w:t>
      </w:r>
      <w:r>
        <w:rPr>
          <w:lang w:val="en-GB"/>
        </w:rPr>
        <w:t xml:space="preserve">Apart from diagnostics, </w:t>
      </w:r>
      <w:r w:rsidRPr="00C83EDC">
        <w:rPr>
          <w:lang w:val="en-GB"/>
        </w:rPr>
        <w:t>miRNA</w:t>
      </w:r>
      <w:r>
        <w:rPr>
          <w:lang w:val="en-GB"/>
        </w:rPr>
        <w:t xml:space="preserve"> quantification</w:t>
      </w:r>
      <w:r w:rsidRPr="00C83EDC">
        <w:rPr>
          <w:lang w:val="en-GB"/>
        </w:rPr>
        <w:t xml:space="preserve"> is</w:t>
      </w:r>
      <w:r>
        <w:rPr>
          <w:lang w:val="en-GB"/>
        </w:rPr>
        <w:t xml:space="preserve"> </w:t>
      </w:r>
      <w:r w:rsidRPr="00C83EDC">
        <w:rPr>
          <w:lang w:val="en-GB"/>
        </w:rPr>
        <w:t>an emerging prognostic tool</w:t>
      </w:r>
      <w:r>
        <w:rPr>
          <w:lang w:val="en-GB"/>
        </w:rPr>
        <w:t xml:space="preserve"> </w:t>
      </w:r>
      <w:r w:rsidRPr="00C83EDC">
        <w:rPr>
          <w:lang w:val="en-GB"/>
        </w:rPr>
        <w:t>based on the observed patterns that reflect miRNA levels</w:t>
      </w:r>
      <w:r>
        <w:rPr>
          <w:lang w:val="en-GB"/>
        </w:rPr>
        <w:t>’ fluctuation</w:t>
      </w:r>
      <w:r w:rsidRPr="00C83EDC">
        <w:rPr>
          <w:lang w:val="en-GB"/>
        </w:rPr>
        <w:t xml:space="preserve"> during the disease progression</w:t>
      </w:r>
      <w:r w:rsidRPr="00C83EDC">
        <w:rPr>
          <w:lang w:val="en-GB"/>
        </w:rPr>
        <w:fldChar w:fldCharType="begin" w:fldLock="1"/>
      </w:r>
      <w:r w:rsidR="000C069C">
        <w:rPr>
          <w:lang w:val="en-GB"/>
        </w:rPr>
        <w:instrText>ADDIN CSL_CITATION {"citationItems":[{"id":"ITEM-1","itemData":{"DOI":"10.1007/s40291-017-0285-9","ISSN":"11792000","abstract":"MicroRNAs (miRNAs) are post-transcriptional regulators of gene expression, involved in the silencing of messenger RNA (mRNA) translation. The importance of miRNA signatures in disease screening, prognosis, and progression of different tumor types and subtypes is increasing. miRNA expression levels change depending on numerous factors. In this review, we are describing the circumstances under which miRNA levels can change, these are named ‘levels’ of heterogeneity of miRNAs. miRNAs can have oncogenic, tumor suppressive, or both roles depending on tumor type and target mRNA whose translation they silence. The expression levels of a single miRNA may vary across different cancer types and subtypes, indicating that a miRNA signature may be tissue specific. miRNA levels of expression also vary during disease formation and propagation, indicating the presence of a time profile for their expression. The complexity of the miRNA-mRNA interference network mirrors different genetic and epigenetic changes that influence miRNA and mRNA availability to each other, and hence, their binding ability. The potential role of miRNAs as biomarkers is two-fold; first, for monitoring of the phases of cancer pathogenesis, and second, to characterize the particular type/subtype of cancer. It is important that a particular miRNA should be characterized by examining as many types and subtypes of cancers as are available, as well as being extracted from different types of samples, in order to obtain a complete picture of its behavior and importance in the disease pathology.","author":[{"dropping-particle":"","family":"Petrovic","given":"Nina","non-dropping-particle":"","parse-names":false,"suffix":""},{"dropping-particle":"","family":"Ergün","given":"Sercan","non-dropping-particle":"","parse-names":false,"suffix":""},{"dropping-particle":"","family":"Isenovic","given":"Esma R.","non-dropping-particle":"","parse-names":false,"suffix":""}],"container-title":"Molecular Diagnosis and Therapy","id":"ITEM-1","issue":"5","issued":{"date-parts":[["2017"]]},"page":"511-523","title":"Levels of MicroRNA Heterogeneity in Cancer Biology","type":"article-journal","volume":"21"},"uris":["http://www.mendeley.com/documents/?uuid=8dca1b66-04e9-483e-8088-58c28be527cc"]}],"mendeley":{"formattedCitation":"&lt;sup&gt;88&lt;/sup&gt;","plainTextFormattedCitation":"88","previouslyFormattedCitation":"[88]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88</w:t>
      </w:r>
      <w:r w:rsidRPr="00C83EDC">
        <w:rPr>
          <w:lang w:val="en-GB"/>
        </w:rPr>
        <w:fldChar w:fldCharType="end"/>
      </w:r>
      <w:r w:rsidRPr="00C83EDC">
        <w:rPr>
          <w:lang w:val="en-GB"/>
        </w:rPr>
        <w:t>. Besides their intracellular roles, miRNAs are secreted by donor cells as a part of intercellular communication that includes gene expression regulation in the recipient cells</w:t>
      </w:r>
      <w:r w:rsidRPr="00C83EDC">
        <w:rPr>
          <w:lang w:val="en-GB"/>
        </w:rPr>
        <w:fldChar w:fldCharType="begin" w:fldLock="1"/>
      </w:r>
      <w:r w:rsidR="000C069C">
        <w:rPr>
          <w:lang w:val="en-GB"/>
        </w:rPr>
        <w:instrText>ADDIN CSL_CITATION {"citationItems":[{"id":"ITEM-1","itemData":{"DOI":"10.1016/j.tcb.2011.12.001","ISSN":"09628924","abstract":"In multicellular organisms, cell-to-cell communication is of particular importance for the proper development and function of the organism as a whole. Intensive studies over the past three years suggesting horizontal transfer of secreted microRNAs (miRNAs) between cells point to a potentially novel role for these molecules in intercellular communication. Using a microvesicle-dependent, or RNA-binding protein-associated, active trafficking system, secreted miRNAs can be delivered into recipient cells where they function as endogenous miRNAs, simultaneously regulating multiple target genes or signaling events. In this Opinion, we summarize recent literature on the biogenesis and uptake of secreted miRNAs, propose a possible working model for how secreted miRNAs might be sorted and transferred between cells and speculate on their biological significance. © 2011 Elsevier Ltd.","author":[{"dropping-particle":"","family":"Chen","given":"Xi","non-dropping-particle":"","parse-names":false,"suffix":""},{"dropping-particle":"","family":"Liang","given":"Hongwei","non-dropping-particle":"","parse-names":false,"suffix":""},{"dropping-particle":"","family":"Zhang","given":"Junfeng","non-dropping-particle":"","parse-names":false,"suffix":""},{"dropping-particle":"","family":"Zen","given":"Ke","non-dropping-particle":"","parse-names":false,"suffix":""},{"dropping-particle":"","family":"Zhang","given":"Chen Yu","non-dropping-particle":"","parse-names":false,"suffix":""}],"container-title":"Trends in Cell Biology","id":"ITEM-1","issue":"3","issued":{"date-parts":[["2012"]]},"page":"125-132","publisher":"Elsevier Ltd","title":"Secreted microRNAs: A new form of intercellular communication","type":"article-journal","volume":"22"},"uris":["http://www.mendeley.com/documents/?uuid=61981e5d-c5a5-4fe4-9a1c-acbb3485887c"]}],"mendeley":{"formattedCitation":"&lt;sup&gt;92&lt;/sup&gt;","plainTextFormattedCitation":"92","previouslyFormattedCitation":"[92]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92</w:t>
      </w:r>
      <w:r w:rsidRPr="00C83EDC">
        <w:rPr>
          <w:lang w:val="en-GB"/>
        </w:rPr>
        <w:fldChar w:fldCharType="end"/>
      </w:r>
      <w:r w:rsidRPr="00C83EDC">
        <w:rPr>
          <w:lang w:val="en-GB"/>
        </w:rPr>
        <w:t>. Cell-free miRNAs have been detected in different body fluids including plasma, serum, urine, and saliva and they show remarkable stability in both tissue and liquid biopsies</w:t>
      </w:r>
      <w:r w:rsidRPr="00C83EDC">
        <w:rPr>
          <w:lang w:val="en-GB"/>
        </w:rPr>
        <w:fldChar w:fldCharType="begin" w:fldLock="1"/>
      </w:r>
      <w:r w:rsidR="000C069C">
        <w:rPr>
          <w:lang w:val="en-GB"/>
        </w:rPr>
        <w:instrText>ADDIN CSL_CITATION {"citationItems":[{"id":"ITEM-1","itemData":{"DOI":"10.1073/pnas.0804549105","ISSN":"00278424","PMID":"18663219","abstract":"Improved approaches for the detection of common epithelial malignancies are urgently needed to reduce the worldwide morbidity and mortality caused by cancer. MicroRNAs (miRNAs) are small (≈22 nt) regulatory RNAs that are frequently dysregulated in cancer and have shown promise as tissue-based markers for cancer classification and prognostication. We show here that miRNAs are present in human plasma in a remarkably stable form that is protected from endogenous RNase activity. miRNAs originating from human prostate cancer xenografts enter the circulation, are readily measured in plasma, and can robustly distinguish xenografted mice from controls. This concept extends to cancer in humans, where serum levels of miR-141 (a miRNA expressed in prostate cancer) can distinguish patients with prostate cancer from healthy controls. Our results establish the measurement of tumor-derived miRNAs in serum or plasma as an important approach for the blood-based detection of human cancer. © 2008 by The National Academy of Sciences of the USA.","author":[{"dropping-particle":"","family":"Mitchell","given":"Patrick S.","non-dropping-particle":"","parse-names":false,"suffix":""},{"dropping-particle":"","family":"Parkin","given":"Rachael K.","non-dropping-particle":"","parse-names":false,"suffix":""},{"dropping-particle":"","family":"Kroh","given":"Evan M.","non-dropping-particle":"","parse-names":false,"suffix":""},{"dropping-particle":"","family":"Fritz","given":"Brian R.","non-dropping-particle":"","parse-names":false,"suffix":""},{"dropping-particle":"","family":"Wyman","given":"Stacia K.","non-dropping-particle":"","parse-names":false,"suffix":""},{"dropping-particle":"","family":"Pogosova-Agadjanyan","given":"Era L.","non-dropping-particle":"","parse-names":false,"suffix":""},{"dropping-particle":"","family":"Peterson","given":"Amelia","non-dropping-particle":"","parse-names":false,"suffix":""},{"dropping-particle":"","family":"Noteboom","given":"Jennifer","non-dropping-particle":"","parse-names":false,"suffix":""},{"dropping-particle":"","family":"O'Briant","given":"Kathy C.","non-dropping-particle":"","parse-names":false,"suffix":""},{"dropping-particle":"","family":"Allen","given":"April","non-dropping-particle":"","parse-names":false,"suffix":""},{"dropping-particle":"","family":"Lin","given":"Daniel W.","non-dropping-particle":"","parse-names":false,"suffix":""},{"dropping-particle":"","family":"Urban","given":"Nicole","non-dropping-particle":"","parse-names":false,"suffix":""},{"dropping-particle":"","family":"Drescher","given":"Charles W.","non-dropping-particle":"","parse-names":false,"suffix":""},{"dropping-particle":"","family":"Knudsen","given":"Beatrice S.","non-dropping-particle":"","parse-names":false,"suffix":""},{"dropping-particle":"","family":"Stirewalt","given":"Derek L.","non-dropping-particle":"","parse-names":false,"suffix":""},{"dropping-particle":"","family":"Gentleman","given":"Robert","non-dropping-particle":"","parse-names":false,"suffix":""},{"dropping-particle":"","family":"Vessella","given":"Robert L.","non-dropping-particle":"","parse-names":false,"suffix":""},{"dropping-particle":"","family":"Nelson","given":"Peter S.","non-dropping-particle":"","parse-names":false,"suffix":""},{"dropping-particle":"","family":"Martin","given":"Daniel B.","non-dropping-particle":"","parse-names":false,"suffix":""},{"dropping-particle":"","family":"Tewari","given":"Muneesh","non-dropping-particle":"","parse-names":false,"suffix":""}],"container-title":"Proceedings of the National Academy of Sciences of the United States of America","id":"ITEM-1","issue":"30","issued":{"date-parts":[["2008"]]},"page":"10513-10518","title":"Circulating microRNAs as stable blood-based markers for cancer detection","type":"article-journal","volume":"105"},"uris":["http://www.mendeley.com/documents/?uuid=f8d8bb5f-2427-4418-9361-87203e44164b"]},{"id":"ITEM-2","itemData":{"DOI":"10.1373/clinchem.2009.141580","ISSN":"00099147","PMID":"20378769","abstract":"BACKGROUND: RNA integrity is the essential factor that determines the accuracy of mRNA transcript measurements obtained with quantitative real-time reverse-transcription PCR (RT-qPCR), but evidence is clearly lacking on whether this conclusion also applies to microRNAs (miRNAs). We evaluated this issue by comparative analysis of the dependence of miRNA and mRNA measurements on RNA integrity in renal and prostate samples, under both model and clinical conditions. METHODS: Samples of total RNA isolated from human renal tissue and Caki-2 cells, as well as from prostate tissue and LNCaP cells, were incubated at 80 °C for 5-240 min. We subsequently determined the RNA integrity number (RIN) and used RT-qPCR to measure various miRNAs (miR-141, miR-155, miR-200c, and miR-210 in renal samples, and miR-96, miR-130b, miR-149, miR-205, and miR-222 in prostate samples). We similarly measured mRNAs encoded by CDH16 (cadherin 16, KSP-cadherin), PPIA [peptidylprolyl isomerase A (cycophilin A)], and TBP (TATA box binding protein) in renal samples, and HIF1A [hypoxia-inducible factor 1, alpha subunit (basic helix-loop-helix transcription factor)], HPRT1 (hypoxanthine phosphoribosyltransferase 1), and KLK3 (kallikrein-related peptidase 3; also known as PSA) in prostate samples. Additionally, we quantified selected miRNAs and mRNAs in samples of RNAs with different RIN values that we isolated from clinical samples. The effect of RIN on the miRNA and mRNA data was assessed by linear regression analysis and group comparison. RESULTS: The heat-incubation experiments of cell line and tissue RNAs showed that RIN values had negligible or no effect on miRNA results, whereas all mRNAs gradually decreased with decreasing RIN values. These findings were corroborated by our findings with clinical samples. CONCLUSIONS: Our results suggest the stability of miRNAs to be generally robust, which makes feasible accurate miRNA measurements with RT-qPCR, even in degraded RNA preparations for which reliable mRNA analyses are commonly inapplicable. © 2010 American Association for Clinical Chemistry.","author":[{"dropping-particle":"","family":"Jung","given":"Monika","non-dropping-particle":"","parse-names":false,"suffix":""},{"dropping-particle":"","family":"Schaefer","given":"Annika","non-dropping-particle":"","parse-names":false,"suffix":""},{"dropping-particle":"","family":"Steiner","given":"Isabel","non-dropping-particle":"","parse-names":false,"suffix":""},{"dropping-particle":"","family":"Kempkensteffen","given":"Carsten","non-dropping-particle":"","parse-names":false,"suffix":""},{"dropping-particle":"","family":"Stephan","given":"Carsten","non-dropping-particle":"","parse-names":false,"suffix":""},{"dropping-particle":"","family":"Erbersdobler","given":"Andreas","non-dropping-particle":"","parse-names":false,"suffix":""},{"dropping-particle":"","family":"Jung","given":"Klaus","non-dropping-particle":"","parse-names":false,"suffix":""}],"container-title":"Clinical Chemistry","id":"ITEM-2","issue":"6","issued":{"date-parts":[["2010"]]},"page":"998-1006","title":"Robust MicroRNA stability in degraded RNA preparations from human tissue and cell samples","type":"article-journal","volume":"56"},"uris":["http://www.mendeley.com/documents/?uuid=e10eec7b-73b4-412e-9607-be7ca9c64eb8"]},{"id":"ITEM-3","itemData":{"DOI":"10.1111/j.1582-4934.2011.01467.x","ISBN":"3124366875","ISSN":"15821838","abstract":"MicroRNAs (miRNAs) are a group of small non-coding RNAs with a huge impact in a wide range of biological processes, including cancer. The evidence collected to date demonstrates that miRNAs represent valid diagnostic, prognostic and predictive markers in cancer. The identification of these miRNA biomarkers in archived tissues has been facilitated by novel development and refinement of detection methodologies. Quantitative real-time reverse-transcription PCR (qRT-PCR) is one of the most common methods used to detect low levels of miRNAs with high sensitivity and specificity. However, several technical parameters should be identified and optimized in order to obtain meaningful and reproducible results. The purpose of this review is to describe some of these technical parameters and improve the validity and reliability of miRNA expression studies. © 2011 The Authors Journal of Cellular and Molecular Medicine © 2011 Foundation for Cellular and Molecular Medicine/Blackwell Publishing Ltd.","author":[{"dropping-particle":"","family":"Dijkstra","given":"J. R.","non-dropping-particle":"","parse-names":false,"suffix":""},{"dropping-particle":"","family":"Mekenkamp","given":"L. J.M.","non-dropping-particle":"","parse-names":false,"suffix":""},{"dropping-particle":"","family":"Teerenstra","given":"S.","non-dropping-particle":"","parse-names":false,"suffix":""},{"dropping-particle":"","family":"Krijger","given":"I.","non-dropping-particle":"De","parse-names":false,"suffix":""},{"dropping-particle":"","family":"Nagtegaal","given":"I. D.","non-dropping-particle":"","parse-names":false,"suffix":""}],"container-title":"Journal of Cellular and Molecular Medicine","id":"ITEM-3","issue":"4","issued":{"date-parts":[["2012"]]},"page":"683-690","title":"MicroRNA expression in formalin-fixed paraffin embedded: Tissue using real time quantitative PCR: The strengths and pitfalls","type":"article-journal","volume":"16"},"uris":["http://www.mendeley.com/documents/?uuid=93ce8d6b-38cf-4122-b03f-c0e1d7bc9853"]},{"id":"ITEM-4","itemData":{"DOI":"10.2217/bmm.13.44","ISSN":"17520363","abstract":"Aim: miRNAs are showing utility as biomarkers in urologic disease, however, a rigorous evaluation of their stability in urine is lacking. Here, we evaluate the stability of miRNAs in urine under clinically relevant storage procedures. Materials &amp; methods: Eight healthy individuals provided clean catch urine samples that were stored at room temperature or at 4°C for 5 days, or subjected to ten freeze-thaw cycles at -80°C. For each condition, two miRNAs, miR-16 and miR-21, were quantitated by quantitative real-time PCR. Results: All conditions demonstrated a surprising degree of stability of miRNAs in the urine: by the end of ten freeze-thaw cycles, 23-37% of the initial amount remained; over the 5-day period of storage at room temperature, 35% of the initial amount remained; and at 4°C, 42-56% of the initial amount remained. Both miRNAs also showed degradation at approximately the same rate. Conclusion: miRNAs are relatively stable in urine under a variety of storage conditions, which supports their utility as urinary biomarkers. © 2013 Future Medicine Ltd.","author":[{"dropping-particle":"","family":"Mall","given":"Christine","non-dropping-particle":"","parse-names":false,"suffix":""},{"dropping-particle":"","family":"Rocke","given":"David M.","non-dropping-particle":"","parse-names":false,"suffix":""},{"dropping-particle":"","family":"Durbin-Johnson","given":"Blythe","non-dropping-particle":"","parse-names":false,"suffix":""},{"dropping-particle":"","family":"Weiss","given":"Robert H.","non-dropping-particle":"","parse-names":false,"suffix":""}],"container-title":"Biomarkers in Medicine","id":"ITEM-4","issue":"4","issued":{"date-parts":[["2013"]]},"page":"623-631","title":"Stability of miRNA in human urine supports its biomarker potential","type":"article-journal","volume":"7"},"uris":["http://www.mendeley.com/documents/?uuid=75bd527a-fb78-4aa6-97d2-31737bce18e2"]}],"mendeley":{"formattedCitation":"&lt;sup&gt;93–96&lt;/sup&gt;","plainTextFormattedCitation":"93–96","previouslyFormattedCitation":"[93]–[96]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93–96</w:t>
      </w:r>
      <w:r w:rsidRPr="00C83EDC">
        <w:rPr>
          <w:lang w:val="en-GB"/>
        </w:rPr>
        <w:fldChar w:fldCharType="end"/>
      </w:r>
      <w:r w:rsidRPr="00C83EDC">
        <w:rPr>
          <w:lang w:val="en-GB"/>
        </w:rPr>
        <w:t xml:space="preserve">. </w:t>
      </w:r>
      <w:r>
        <w:rPr>
          <w:lang w:val="en-GB"/>
        </w:rPr>
        <w:br/>
      </w:r>
      <w:r w:rsidRPr="00C83EDC">
        <w:rPr>
          <w:lang w:val="en-GB"/>
        </w:rPr>
        <w:t xml:space="preserve">It has been proposed that miRNA can be released to the extracellular space by passive leakage from broken cells in the case of tissue injuries, chronic inflammation etc., or they can be actively secreted by the cells in the form of </w:t>
      </w:r>
      <w:proofErr w:type="spellStart"/>
      <w:r w:rsidRPr="00C83EDC">
        <w:rPr>
          <w:lang w:val="en-GB"/>
        </w:rPr>
        <w:t>microvesicles</w:t>
      </w:r>
      <w:proofErr w:type="spellEnd"/>
      <w:r w:rsidRPr="00C83EDC">
        <w:rPr>
          <w:lang w:val="en-GB"/>
        </w:rPr>
        <w:t xml:space="preserve"> (exosomes), as well as bound to high-density lipoprotein. Circulating miRNAs have</w:t>
      </w:r>
      <w:r>
        <w:rPr>
          <w:lang w:val="en-GB"/>
        </w:rPr>
        <w:t xml:space="preserve"> also</w:t>
      </w:r>
      <w:r w:rsidRPr="00C83EDC">
        <w:rPr>
          <w:lang w:val="en-GB"/>
        </w:rPr>
        <w:t xml:space="preserve"> been found</w:t>
      </w:r>
      <w:r>
        <w:rPr>
          <w:lang w:val="en-GB"/>
        </w:rPr>
        <w:t xml:space="preserve"> to be</w:t>
      </w:r>
      <w:r w:rsidRPr="00C83EDC">
        <w:rPr>
          <w:lang w:val="en-GB"/>
        </w:rPr>
        <w:t xml:space="preserve"> associated with either </w:t>
      </w:r>
      <w:proofErr w:type="spellStart"/>
      <w:r>
        <w:rPr>
          <w:lang w:val="en-GB"/>
        </w:rPr>
        <w:t>n</w:t>
      </w:r>
      <w:r w:rsidRPr="00C83EDC">
        <w:rPr>
          <w:lang w:val="en-GB"/>
        </w:rPr>
        <w:t>ucleophosmin</w:t>
      </w:r>
      <w:proofErr w:type="spellEnd"/>
      <w:r w:rsidRPr="00C83EDC">
        <w:rPr>
          <w:lang w:val="en-GB"/>
        </w:rPr>
        <w:t xml:space="preserve"> 1 (NPM1) and </w:t>
      </w:r>
      <w:r>
        <w:rPr>
          <w:lang w:val="en-GB"/>
        </w:rPr>
        <w:t>a</w:t>
      </w:r>
      <w:r w:rsidRPr="00C83EDC">
        <w:rPr>
          <w:lang w:val="en-GB"/>
        </w:rPr>
        <w:t>rgonaut 2 (AGO2) RNA-binding proteins outside the cell</w:t>
      </w:r>
      <w:r w:rsidRPr="00C83EDC">
        <w:rPr>
          <w:lang w:val="en-GB"/>
        </w:rPr>
        <w:fldChar w:fldCharType="begin" w:fldLock="1"/>
      </w:r>
      <w:r w:rsidR="000C069C">
        <w:rPr>
          <w:lang w:val="en-GB"/>
        </w:rPr>
        <w:instrText>ADDIN CSL_CITATION {"citationItems":[{"id":"ITEM-1","itemData":{"DOI":"10.1016/j.tcb.2011.12.001","ISSN":"09628924","abstract":"In multicellular organisms, cell-to-cell communication is of particular importance for the proper development and function of the organism as a whole. Intensive studies over the past three years suggesting horizontal transfer of secreted microRNAs (miRNAs) between cells point to a potentially novel role for these molecules in intercellular communication. Using a microvesicle-dependent, or RNA-binding protein-associated, active trafficking system, secreted miRNAs can be delivered into recipient cells where they function as endogenous miRNAs, simultaneously regulating multiple target genes or signaling events. In this Opinion, we summarize recent literature on the biogenesis and uptake of secreted miRNAs, propose a possible working model for how secreted miRNAs might be sorted and transferred between cells and speculate on their biological significance. © 2011 Elsevier Ltd.","author":[{"dropping-particle":"","family":"Chen","given":"Xi","non-dropping-particle":"","parse-names":false,"suffix":""},{"dropping-particle":"","family":"Liang","given":"Hongwei","non-dropping-particle":"","parse-names":false,"suffix":""},{"dropping-particle":"","family":"Zhang","given":"Junfeng","non-dropping-particle":"","parse-names":false,"suffix":""},{"dropping-particle":"","family":"Zen","given":"Ke","non-dropping-particle":"","parse-names":false,"suffix":""},{"dropping-particle":"","family":"Zhang","given":"Chen Yu","non-dropping-particle":"","parse-names":false,"suffix":""}],"container-title":"Trends in Cell Biology","id":"ITEM-1","issue":"3","issued":{"date-parts":[["2012"]]},"page":"125-132","publisher":"Elsevier Ltd","title":"Secreted microRNAs: A new form of intercellular communication","type":"article-journal","volume":"22"},"uris":["http://www.mendeley.com/documents/?uuid=61981e5d-c5a5-4fe4-9a1c-acbb3485887c"]}],"mendeley":{"formattedCitation":"&lt;sup&gt;92&lt;/sup&gt;","plainTextFormattedCitation":"92","previouslyFormattedCitation":"[92]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92</w:t>
      </w:r>
      <w:r w:rsidRPr="00C83EDC">
        <w:rPr>
          <w:lang w:val="en-GB"/>
        </w:rPr>
        <w:fldChar w:fldCharType="end"/>
      </w:r>
      <w:r w:rsidRPr="00C83EDC">
        <w:rPr>
          <w:lang w:val="en-GB"/>
        </w:rPr>
        <w:t xml:space="preserve">. </w:t>
      </w:r>
      <w:r>
        <w:rPr>
          <w:lang w:val="en-GB"/>
        </w:rPr>
        <w:t xml:space="preserve">Owing to </w:t>
      </w:r>
      <w:r w:rsidRPr="00C83EDC">
        <w:rPr>
          <w:lang w:val="en-GB"/>
        </w:rPr>
        <w:t xml:space="preserve">their stability and distinctive expression </w:t>
      </w:r>
      <w:r>
        <w:rPr>
          <w:lang w:val="en-GB"/>
        </w:rPr>
        <w:t>levels</w:t>
      </w:r>
      <w:r w:rsidRPr="00C83EDC">
        <w:rPr>
          <w:lang w:val="en-GB"/>
        </w:rPr>
        <w:t xml:space="preserve"> in both tissue and body fluids, a scientific interest in differentially expressed miRNAs in prostate cancer has grown over the last ten years</w:t>
      </w:r>
      <w:r>
        <w:rPr>
          <w:lang w:val="en-GB"/>
        </w:rPr>
        <w:t>.</w:t>
      </w:r>
    </w:p>
    <w:p w14:paraId="60E525B9" w14:textId="77777777" w:rsidR="00EE7EB3" w:rsidRPr="00C83EDC" w:rsidRDefault="00EE7EB3" w:rsidP="00EE7EB3">
      <w:pPr>
        <w:pStyle w:val="Dalodstavce"/>
        <w:rPr>
          <w:lang w:val="en-GB"/>
        </w:rPr>
      </w:pPr>
    </w:p>
    <w:p w14:paraId="51E51D12" w14:textId="77777777" w:rsidR="00EE7EB3" w:rsidRPr="00C83EDC" w:rsidRDefault="00EE7EB3" w:rsidP="00EE7EB3">
      <w:pPr>
        <w:pStyle w:val="Nadpis2"/>
        <w:rPr>
          <w:lang w:val="en-GB"/>
        </w:rPr>
      </w:pPr>
      <w:bookmarkStart w:id="45" w:name="_Toc47889321"/>
      <w:bookmarkStart w:id="46" w:name="_Toc48160992"/>
      <w:r w:rsidRPr="00C83EDC">
        <w:rPr>
          <w:lang w:val="en-GB"/>
        </w:rPr>
        <w:lastRenderedPageBreak/>
        <w:t>The role of miRNAs as biomarkers in prostate cancer</w:t>
      </w:r>
      <w:bookmarkEnd w:id="45"/>
      <w:bookmarkEnd w:id="46"/>
    </w:p>
    <w:p w14:paraId="5D9926D6" w14:textId="77777777" w:rsidR="00EE7EB3" w:rsidRPr="00C83EDC" w:rsidRDefault="00EE7EB3" w:rsidP="00EE7EB3">
      <w:pPr>
        <w:pStyle w:val="Nadpis3"/>
        <w:rPr>
          <w:lang w:val="en-GB"/>
        </w:rPr>
      </w:pPr>
      <w:r w:rsidRPr="00C83EDC">
        <w:rPr>
          <w:lang w:val="en-GB"/>
        </w:rPr>
        <w:t xml:space="preserve">Tissue </w:t>
      </w:r>
      <w:r>
        <w:rPr>
          <w:lang w:val="en-GB"/>
        </w:rPr>
        <w:t>miRNAs</w:t>
      </w:r>
      <w:r w:rsidRPr="00C83EDC">
        <w:rPr>
          <w:lang w:val="en-GB"/>
        </w:rPr>
        <w:t xml:space="preserve"> </w:t>
      </w:r>
    </w:p>
    <w:p w14:paraId="5773BDC7" w14:textId="2E45D09F" w:rsidR="00EE7EB3" w:rsidRPr="00C83EDC" w:rsidRDefault="00EE7EB3" w:rsidP="00EE7EB3">
      <w:pPr>
        <w:pStyle w:val="Odstavec1"/>
        <w:rPr>
          <w:lang w:val="en-GB"/>
        </w:rPr>
      </w:pPr>
      <w:r w:rsidRPr="00C83EDC">
        <w:rPr>
          <w:lang w:val="en-GB"/>
        </w:rPr>
        <w:t xml:space="preserve">The first analysis of dysregulated miRNA expression in prostate cancer tissue was published in 2006 by </w:t>
      </w:r>
      <w:proofErr w:type="spellStart"/>
      <w:r w:rsidRPr="00C83EDC">
        <w:rPr>
          <w:lang w:val="en-GB"/>
        </w:rPr>
        <w:t>Volinia</w:t>
      </w:r>
      <w:proofErr w:type="spellEnd"/>
      <w:r w:rsidRPr="00C83EDC">
        <w:rPr>
          <w:lang w:val="en-GB"/>
        </w:rPr>
        <w:t xml:space="preserve"> </w:t>
      </w:r>
      <w:r w:rsidRPr="00C83EDC">
        <w:rPr>
          <w:i/>
          <w:iCs/>
          <w:lang w:val="en-GB"/>
        </w:rPr>
        <w:t>et al</w:t>
      </w:r>
      <w:r w:rsidRPr="00C83EDC">
        <w:rPr>
          <w:lang w:val="en-GB"/>
        </w:rPr>
        <w:t>.</w:t>
      </w:r>
      <w:r w:rsidRPr="00C83EDC">
        <w:rPr>
          <w:lang w:val="en-GB"/>
        </w:rPr>
        <w:fldChar w:fldCharType="begin" w:fldLock="1"/>
      </w:r>
      <w:r w:rsidR="000C069C">
        <w:rPr>
          <w:lang w:val="en-GB"/>
        </w:rPr>
        <w:instrText>ADDIN CSL_CITATION {"citationItems":[{"id":"ITEM-1","itemData":{"DOI":"10.1515/cclm-2015-1073","ISSN":"14374331","abstract":"microRNAs (miRNAs) are small non-coding RNAs that control gene expression posttranscriptionally and are part of the giant non codifying genoma. Cumulating data suggest that miRNAs are promising potential biomarkers for many diseases, including cancer. Prostate cancer (PCa) detection is currently based in the serum prostate-specific antigen biomarker and digital rectal examination. However, these methods are limited by a low predictive value and the adverse consequences associated with overdiagnosis and overtreatment. New biomarkers that could be used for PCa detection and prognosis are still needed. Recent studies have demonstrated that aberrant expressions of microRNAs are associated with the underlying mechanisms of PCa. This review attempts to extensively summarize the current knowledge of miRNA expression patterns, as well as their targets and involvement in PCa pathogenesis. We focused our review in the value of circulating and urine miRNAs as biomarkers in PCa patients, highlighting the existing discrepancies between different studies, probably associated with the important methodological issues related to their quantitation and normalization. The majority of studies have been performed in serum or plasma, but urine obtained after prostate massage appears as a new way to explore the usefulness of miRNAs. Large screening studies to select a miRNA profile have been completed, but bioinformatics tools appear as a new approach to select miRNAs that are relevant in PCa development. Promising preliminary results were published concerning miR-141, miR-375 and miR-21, but larger and prospective studies using standardized methodology are necessary to define the value of miRNAs in the detection and prognosis of PCa.","author":[{"dropping-particle":"","family":"Filella","given":"Xavier","non-dropping-particle":"","parse-names":false,"suffix":""},{"dropping-particle":"","family":"Foj","given":"Laura","non-dropping-particle":"","parse-names":false,"suffix":""}],"container-title":"Clinical Chemistry and Laboratory Medicine","id":"ITEM-1","issue":"5","issued":{"date-parts":[["2017"]]},"page":"715-736","title":"MiRNAs as novel biomarkers in the management of prostate cancer","type":"article-journal","volume":"55"},"uris":["http://www.mendeley.com/documents/?uuid=b333c345-9b00-4397-9f68-b449a7e93197"]}],"mendeley":{"formattedCitation":"&lt;sup&gt;97&lt;/sup&gt;","plainTextFormattedCitation":"97","previouslyFormattedCitation":"[97]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97</w:t>
      </w:r>
      <w:r w:rsidRPr="00C83EDC">
        <w:rPr>
          <w:lang w:val="en-GB"/>
        </w:rPr>
        <w:fldChar w:fldCharType="end"/>
      </w:r>
      <w:r w:rsidRPr="00C83EDC">
        <w:rPr>
          <w:lang w:val="en-GB"/>
        </w:rPr>
        <w:t xml:space="preserve"> This large-scale study analysed 363 tissue samples representing six types of solid </w:t>
      </w:r>
      <w:r>
        <w:rPr>
          <w:lang w:val="en-GB"/>
        </w:rPr>
        <w:t>tumours</w:t>
      </w:r>
      <w:r w:rsidRPr="00C83EDC">
        <w:rPr>
          <w:lang w:val="en-GB"/>
        </w:rPr>
        <w:t xml:space="preserve"> and included 56 samples from prostate cancer patients with seven corresponding controls. Out of 228 measured miRNAs, the authors reported 39 upregulated and six downregulated miRNAs in </w:t>
      </w:r>
      <w:proofErr w:type="spellStart"/>
      <w:r w:rsidRPr="00C83EDC">
        <w:rPr>
          <w:lang w:val="en-GB"/>
        </w:rPr>
        <w:t>PCa</w:t>
      </w:r>
      <w:proofErr w:type="spellEnd"/>
      <w:r w:rsidRPr="00C83EDC">
        <w:rPr>
          <w:lang w:val="en-GB"/>
        </w:rPr>
        <w:t xml:space="preserve"> versus noncancer tissue. They also found 21 miRNAs that were overexpressed in at least three different types of tumour. Furthermore, elevated levels of miR‑17‑5p and miR‑191</w:t>
      </w:r>
      <w:r>
        <w:rPr>
          <w:lang w:val="en-GB"/>
        </w:rPr>
        <w:t xml:space="preserve"> </w:t>
      </w:r>
      <w:r w:rsidRPr="00C83EDC">
        <w:rPr>
          <w:lang w:val="en-GB"/>
        </w:rPr>
        <w:t>were detected in five types of cancers and miR‑21 in all of them</w:t>
      </w:r>
      <w:r w:rsidRPr="00C83EDC">
        <w:rPr>
          <w:lang w:val="en-GB"/>
        </w:rPr>
        <w:fldChar w:fldCharType="begin" w:fldLock="1"/>
      </w:r>
      <w:r w:rsidR="000C069C">
        <w:rPr>
          <w:lang w:val="en-GB"/>
        </w:rPr>
        <w:instrText>ADDIN CSL_CITATION {"citationItems":[{"id":"ITEM-1","itemData":{"DOI":"10.1073/pnas.0510565103","ISSN":"00278424","abstract":"Small noncoding microRNAs (miRNAs) can contribute to cancer development and progression and are differentially expressed in normal tissues and cancers. From a large-scale miRnome analysis on 540 samples including lung, breast, stomach, prostate, colon, and pancreatic tumors, we identified a solid cancer miRNA signature composed by a large portion of overexpressed miRNAs. Among these miRNAs are some with well characterized cancer association, such as miR-17-5p, miR-20a, miR-21, miR-92, miR-106a, and miR-155. The predicted targets for the differentially expressed miRNAs are significantly enriched for protein-coding tumor suppressors and oncogenes (P &lt; 0.0001). A number of the predicted targets, including the tumor suppressors RB1 (Retinoblastoma 1) and TGFBR2 (transforming growth factor, beta receptor II) genes were confirmed experimentally. Our results indicate that miRNAs are extensively involved in cancer pathogenesis of solid tumors and support their function as either dominant or recessive cancer genes. © 2006 by The National Academy of Sciences of the USA.","author":[{"dropping-particle":"","family":"Volinia","given":"Stefano","non-dropping-particle":"","parse-names":false,"suffix":""},{"dropping-particle":"","family":"Calin","given":"George A.","non-dropping-particle":"","parse-names":false,"suffix":""},{"dropping-particle":"","family":"Liu","given":"Chang Gong","non-dropping-particle":"","parse-names":false,"suffix":""},{"dropping-particle":"","family":"Ambs","given":"Stefan","non-dropping-particle":"","parse-names":false,"suffix":""},{"dropping-particle":"","family":"Cimmino","given":"Amelia","non-dropping-particle":"","parse-names":false,"suffix":""},{"dropping-particle":"","family":"Petrocca","given":"Fabio","non-dropping-particle":"","parse-names":false,"suffix":""},{"dropping-particle":"","family":"Visone","given":"Rosa","non-dropping-particle":"","parse-names":false,"suffix":""},{"dropping-particle":"","family":"Iorio","given":"Marilena","non-dropping-particle":"","parse-names":false,"suffix":""},{"dropping-particle":"","family":"Roldo","given":"Claudia","non-dropping-particle":"","parse-names":false,"suffix":""},{"dropping-particle":"","family":"Ferracin","given":"Manuela","non-dropping-particle":"","parse-names":false,"suffix":""},{"dropping-particle":"","family":"Prueitt","given":"Robyn L.","non-dropping-particle":"","parse-names":false,"suffix":""},{"dropping-particle":"","family":"Yanaihara","given":"Nozumu","non-dropping-particle":"","parse-names":false,"suffix":""},{"dropping-particle":"","family":"Lanza","given":"Giovanni","non-dropping-particle":"","parse-names":false,"suffix":""},{"dropping-particle":"","family":"Scarpa","given":"Aldo","non-dropping-particle":"","parse-names":false,"suffix":""},{"dropping-particle":"","family":"Vecchione","given":"Andrea","non-dropping-particle":"","parse-names":false,"suffix":""},{"dropping-particle":"","family":"Negrini","given":"Massimo","non-dropping-particle":"","parse-names":false,"suffix":""},{"dropping-particle":"","family":"Harris","given":"Curtis C.","non-dropping-particle":"","parse-names":false,"suffix":""},{"dropping-particle":"","family":"Croce","given":"Carlo M.","non-dropping-particle":"","parse-names":false,"suffix":""}],"container-title":"Proceedings of the National Academy of Sciences of the United States of America","id":"ITEM-1","issue":"7","issued":{"date-parts":[["2006"]]},"page":"2257-2261","title":"A microRNA expression signature of human solid tumors defines cancer gene targets","type":"article-journal","volume":"103"},"uris":["http://www.mendeley.com/documents/?uuid=27b272df-4765-4705-a9d3-e61e1b1d0c95"]}],"mendeley":{"formattedCitation":"&lt;sup&gt;98&lt;/sup&gt;","plainTextFormattedCitation":"98","previouslyFormattedCitation":"[98]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98</w:t>
      </w:r>
      <w:r w:rsidRPr="00C83EDC">
        <w:rPr>
          <w:lang w:val="en-GB"/>
        </w:rPr>
        <w:fldChar w:fldCharType="end"/>
      </w:r>
      <w:r w:rsidRPr="00C83EDC">
        <w:rPr>
          <w:lang w:val="en-GB"/>
        </w:rPr>
        <w:t xml:space="preserve">. Another profiling study was performed by </w:t>
      </w:r>
      <w:proofErr w:type="spellStart"/>
      <w:r w:rsidRPr="00C83EDC">
        <w:rPr>
          <w:lang w:val="en-GB"/>
        </w:rPr>
        <w:t>Porkka</w:t>
      </w:r>
      <w:proofErr w:type="spellEnd"/>
      <w:r w:rsidRPr="00C83EDC">
        <w:rPr>
          <w:lang w:val="en-GB"/>
        </w:rPr>
        <w:t xml:space="preserve"> </w:t>
      </w:r>
      <w:r w:rsidRPr="00C83EDC">
        <w:rPr>
          <w:i/>
          <w:iCs/>
          <w:lang w:val="en-GB"/>
        </w:rPr>
        <w:t>et al</w:t>
      </w:r>
      <w:r w:rsidRPr="00C83EDC">
        <w:rPr>
          <w:lang w:val="en-GB"/>
        </w:rPr>
        <w:t xml:space="preserve">. and involved four BPH and nine </w:t>
      </w:r>
      <w:proofErr w:type="spellStart"/>
      <w:r w:rsidRPr="00C83EDC">
        <w:rPr>
          <w:lang w:val="en-GB"/>
        </w:rPr>
        <w:t>PCa</w:t>
      </w:r>
      <w:proofErr w:type="spellEnd"/>
      <w:r w:rsidRPr="00C83EDC">
        <w:rPr>
          <w:lang w:val="en-GB"/>
        </w:rPr>
        <w:t xml:space="preserve"> tissue samples. Using </w:t>
      </w:r>
      <w:r>
        <w:rPr>
          <w:lang w:val="en-GB"/>
        </w:rPr>
        <w:t xml:space="preserve">the </w:t>
      </w:r>
      <w:r w:rsidRPr="00C83EDC">
        <w:rPr>
          <w:lang w:val="en-GB"/>
        </w:rPr>
        <w:t xml:space="preserve">array hybridization method, the authors discovered 51 differentially expressed miRNAs, with 14 miRNAs being upregulated and 37 downregulated in </w:t>
      </w:r>
      <w:proofErr w:type="spellStart"/>
      <w:r w:rsidRPr="00C83EDC">
        <w:rPr>
          <w:lang w:val="en-GB"/>
        </w:rPr>
        <w:t>PCa</w:t>
      </w:r>
      <w:proofErr w:type="spellEnd"/>
      <w:r w:rsidRPr="00C83EDC">
        <w:rPr>
          <w:lang w:val="en-GB"/>
        </w:rPr>
        <w:t xml:space="preserve"> compared to BPH. The following validation confirmed the array data and the clustering analysis separated </w:t>
      </w:r>
      <w:proofErr w:type="spellStart"/>
      <w:r>
        <w:rPr>
          <w:lang w:val="en-GB"/>
        </w:rPr>
        <w:t>PCa</w:t>
      </w:r>
      <w:proofErr w:type="spellEnd"/>
      <w:r w:rsidRPr="00C83EDC">
        <w:rPr>
          <w:lang w:val="en-GB"/>
        </w:rPr>
        <w:t xml:space="preserve"> samples from the benign ones</w:t>
      </w:r>
      <w:r w:rsidRPr="00C83EDC">
        <w:rPr>
          <w:lang w:val="en-GB"/>
        </w:rPr>
        <w:fldChar w:fldCharType="begin" w:fldLock="1"/>
      </w:r>
      <w:r w:rsidR="000C069C">
        <w:rPr>
          <w:lang w:val="en-GB"/>
        </w:rPr>
        <w:instrText>ADDIN CSL_CITATION {"citationItems":[{"id":"ITEM-1","itemData":{"DOI":"10.1158/0008-5472.CAN-07-0533","ISSN":"00085472","PMID":"17616669","abstract":"MicroRNAs (miRNA) are small, endogenously expressed noncoding RNAs that negatively regulate expression of protein-coding genes at the translational level. Accumulating evidence, such as aberrant expression of miRNAs, suggests that they are involved in the development of cancer. They have been identified in various tumor types, showing that different sets of miRNAs are usually deregulated in different cancers. To identify the miRNA signature specific for prostate cancer, miRNA expression profiling of 6 prostate cancer cell lines, 9 prostate cancer xenografts samples, 4 benign prostatic hyperplasia (BPH), and 9 prostate carcinoma samples was carried out by using an oligonucleotide array hybridization method. Differential expression of 51 individual miRNAs between benign tumors and carcinoma tumors was detected, 37 of them showing down-regulation and 14 up-regulation in carcinoma samples, thus identifying those miRNAs that could be significant in prostate cancer development and/or growth. There was a significant trend (P = 0.029) between the expression of miRNAs and miRNA locus copy number determined by array comparative genomic hybridization, indicating that genetic aberrations may target miRNAs. Hierarchical clustering of the tumor samples by their miRNA expression accurately separated the carcinomas from the BPH samples and also further classified the carcinoma tumors according to their androgen dependence (hormone naive versus hormone refractory), indicating the potential of miRNAs as a novel diagnostic and prognostic tool for prostate cancer. ©2007 American Association for Cancer Research.","author":[{"dropping-particle":"","family":"Porkka","given":"Kati P.","non-dropping-particle":"","parse-names":false,"suffix":""},{"dropping-particle":"","family":"Pfeiffer","given":"Minja J.","non-dropping-particle":"","parse-names":false,"suffix":""},{"dropping-particle":"","family":"Waltering","given":"Kati K.","non-dropping-particle":"","parse-names":false,"suffix":""},{"dropping-particle":"","family":"Vessella","given":"Robert L.","non-dropping-particle":"","parse-names":false,"suffix":""},{"dropping-particle":"","family":"Tammela","given":"Teuvo L.J.","non-dropping-particle":"","parse-names":false,"suffix":""},{"dropping-particle":"","family":"Visakorpi","given":"Tapio","non-dropping-particle":"","parse-names":false,"suffix":""}],"container-title":"Cancer Research","id":"ITEM-1","issue":"13","issued":{"date-parts":[["2007"]]},"page":"6130-6135","title":"MicroRNA expression profiling in prostate cancer","type":"article-journal","volume":"67"},"uris":["http://www.mendeley.com/documents/?uuid=d90860ba-6c40-490d-88e2-5dad2d4ba794"]}],"mendeley":{"formattedCitation":"&lt;sup&gt;99&lt;/sup&gt;","plainTextFormattedCitation":"99","previouslyFormattedCitation":"[99]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99</w:t>
      </w:r>
      <w:r w:rsidRPr="00C83EDC">
        <w:rPr>
          <w:lang w:val="en-GB"/>
        </w:rPr>
        <w:fldChar w:fldCharType="end"/>
      </w:r>
      <w:r w:rsidRPr="00C83EDC">
        <w:rPr>
          <w:lang w:val="en-GB"/>
        </w:rPr>
        <w:t xml:space="preserve">. Srivastava and colleagues tested the diagnostic potential of four miRNAs to discriminate between </w:t>
      </w:r>
      <w:proofErr w:type="spellStart"/>
      <w:r w:rsidRPr="00C83EDC">
        <w:rPr>
          <w:lang w:val="en-GB"/>
        </w:rPr>
        <w:t>PCa</w:t>
      </w:r>
      <w:proofErr w:type="spellEnd"/>
      <w:r w:rsidRPr="00C83EDC">
        <w:rPr>
          <w:lang w:val="en-GB"/>
        </w:rPr>
        <w:t xml:space="preserve"> and adjacent non-cancer tissue. The validation of preliminary results was carried out using 40 </w:t>
      </w:r>
      <w:proofErr w:type="spellStart"/>
      <w:r w:rsidRPr="00C83EDC">
        <w:rPr>
          <w:lang w:val="en-GB"/>
        </w:rPr>
        <w:t>PCa</w:t>
      </w:r>
      <w:proofErr w:type="spellEnd"/>
      <w:r w:rsidRPr="00C83EDC">
        <w:rPr>
          <w:lang w:val="en-GB"/>
        </w:rPr>
        <w:t xml:space="preserve"> tissue samples and receiver operating characteristics (ROC) reached the best AUCs of 0.92 and 0.86 for miR‑214 and miR‑99, respectively</w:t>
      </w:r>
      <w:r w:rsidRPr="00C83EDC">
        <w:rPr>
          <w:lang w:val="en-GB"/>
        </w:rPr>
        <w:fldChar w:fldCharType="begin" w:fldLock="1"/>
      </w:r>
      <w:r w:rsidR="000C069C">
        <w:rPr>
          <w:lang w:val="en-GB"/>
        </w:rPr>
        <w:instrText>ADDIN CSL_CITATION {"citationItems":[{"id":"ITEM-1","itemData":{"DOI":"10.1371/journal.pone.0076994","ISSN":"19326203","abstract":"Prostate cancer (PCa) is the most common type of cancer in men in the United States, which disproportionately affects African American descents. While metastasis is the most common cause of death among PCa patients, no specific markers have been assigned to severity and ethnic biasness of the disease. MicroRNAs represent a promising new class of biomarkers owing to their inherent stability and resilience. In the present study, we investigated potential miRNAs that can be used as biomarkers and/or therapeutic targets and can provide insight into the severity and ethnic biasness of PCa. PCR array was performed in FFPE PCa tissues (5 Caucasian American and 5 African American) and selected differentially expressed miRNAs were validated by qRT-PCR, in 40 (15 CA and 25 AA) paired PCa and adjacent normal tissues. Significantly deregulated miRNAs were also analyzed in urine samples to explore their potential as non-invasive biomarker for PCa. Out of 8 miRNAs selected for validation from PCR array data, miR-205 (p&lt;0.0001), mir-214 (p&lt;0.0001), miR-221(p&lt;0.001) and miR-99b (p&lt;0.0001) were significantly downregulated in PCa tissues. ROC curve shows that all four miRNAs successfully discriminated between PCa and adjacent normal tissues. MiR-99b showed significant down regulation (p&lt;0.01) in AA PCa tissues as compared to CA PCa tissues and might be related to the aggressiveness associated with AA population. In urine, miR-205 (p&lt;0.05) and miR-214 (p&lt;0.05) were significantly downregulated in PCa patients and can discriminate PCa patients from healthy individuals with 89% sensitivity and 80% specificity. In conclusion, present study showed that miR-205 and miR-214 are downregulated in PCa and may serve as potential non-invasive molecular biomarker for PCa.","author":[{"dropping-particle":"","family":"Srivastava","given":"Anvesha","non-dropping-particle":"","parse-names":false,"suffix":""},{"dropping-particle":"","family":"Goldberger","given":"Helle","non-dropping-particle":"","parse-names":false,"suffix":""},{"dropping-particle":"","family":"Dimtchev","given":"Alexander","non-dropping-particle":"","parse-names":false,"suffix":""},{"dropping-particle":"","family":"Ramalinga","given":"Malathi","non-dropping-particle":"","parse-names":false,"suffix":""},{"dropping-particle":"","family":"Chijioke","given":"Juliet","non-dropping-particle":"","parse-names":false,"suffix":""},{"dropping-particle":"","family":"Marian","given":"Catalin","non-dropping-particle":"","parse-names":false,"suffix":""},{"dropping-particle":"","family":"Oermann","given":"Eric K.","non-dropping-particle":"","parse-names":false,"suffix":""},{"dropping-particle":"","family":"Uhm","given":"Sunghae","non-dropping-particle":"","parse-names":false,"suffix":""},{"dropping-particle":"","family":"Kim","given":"Joy S.","non-dropping-particle":"","parse-names":false,"suffix":""},{"dropping-particle":"","family":"Chen","given":"Leonard N.","non-dropping-particle":"","parse-names":false,"suffix":""},{"dropping-particle":"","family":"Li","given":"Xin","non-dropping-particle":"","parse-names":false,"suffix":""},{"dropping-particle":"","family":"Berry","given":"Deborah L.","non-dropping-particle":"","parse-names":false,"suffix":""},{"dropping-particle":"","family":"Kallakury","given":"Bhaskar V.S.","non-dropping-particle":"","parse-names":false,"suffix":""},{"dropping-particle":"","family":"Chauhan","given":"Subhash C.","non-dropping-particle":"","parse-names":false,"suffix":""},{"dropping-particle":"","family":"Collins","given":"Sean P.","non-dropping-particle":"","parse-names":false,"suffix":""},{"dropping-particle":"","family":"Suy","given":"Simeng","non-dropping-particle":"","parse-names":false,"suffix":""},{"dropping-particle":"","family":"Kumar","given":"Deepak","non-dropping-particle":"","parse-names":false,"suffix":""}],"container-title":"PLoS ONE","id":"ITEM-1","issue":"10","issued":{"date-parts":[["2013"]]},"title":"MicroRNA Profiling in Prostate Cancer - The Diagnostic Potential of Urinary miR-205 and miR-214","type":"article-journal","volume":"8"},"uris":["http://www.mendeley.com/documents/?uuid=37f307e6-0089-4a6f-8f64-00e07c1cc11a"]}],"mendeley":{"formattedCitation":"&lt;sup&gt;100&lt;/sup&gt;","plainTextFormattedCitation":"100","previouslyFormattedCitation":"[100]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100</w:t>
      </w:r>
      <w:r w:rsidRPr="00C83EDC">
        <w:rPr>
          <w:lang w:val="en-GB"/>
        </w:rPr>
        <w:fldChar w:fldCharType="end"/>
      </w:r>
      <w:r w:rsidRPr="00C83EDC">
        <w:rPr>
          <w:lang w:val="en-GB"/>
        </w:rPr>
        <w:t xml:space="preserve">. More recently, </w:t>
      </w:r>
      <w:proofErr w:type="spellStart"/>
      <w:r w:rsidRPr="00C83EDC">
        <w:rPr>
          <w:lang w:val="en-GB"/>
        </w:rPr>
        <w:t>Bidarra</w:t>
      </w:r>
      <w:proofErr w:type="spellEnd"/>
      <w:r w:rsidRPr="00C83EDC">
        <w:rPr>
          <w:lang w:val="en-GB"/>
        </w:rPr>
        <w:t xml:space="preserve"> </w:t>
      </w:r>
      <w:r w:rsidRPr="00C83EDC">
        <w:rPr>
          <w:i/>
          <w:iCs/>
          <w:lang w:val="en-GB"/>
        </w:rPr>
        <w:t>et al</w:t>
      </w:r>
      <w:r w:rsidRPr="00C83EDC">
        <w:rPr>
          <w:lang w:val="en-GB"/>
        </w:rPr>
        <w:t>. detected significant overexpression of miR‑182‑5p in prostate cancer tissue vs. the control group. The diagnostic performance of miR‑182‑5p in the validation cohort achieved AUC value of 0.81 with 60% sensitivity and 100% specificity for the discrimination between malignant and non-malignant prostate tissue</w:t>
      </w:r>
      <w:r w:rsidRPr="00C83EDC">
        <w:rPr>
          <w:lang w:val="en-GB"/>
        </w:rPr>
        <w:fldChar w:fldCharType="begin" w:fldLock="1"/>
      </w:r>
      <w:r w:rsidR="000C069C">
        <w:rPr>
          <w:lang w:val="en-GB"/>
        </w:rPr>
        <w:instrText>ADDIN CSL_CITATION {"citationItems":[{"id":"ITEM-1","itemData":{"DOI":"10.3389/fonc.2019.00900","ISSN":"2234943X","abstract":"Prostate Cancer (PCa) overdiagnosis and overtreatment, as a consequence of the limited specificity of current detection and prognostication methods, remains a major challenge in clinical practice. Therefore, development and validation of new molecular biomarkers amenable of detecting clinically significant disease is crucial. MicroRNAs (miRNA) deregulation is common in cancer, constituting potential non-invasive biomarkers for PCa detection and prognostication. Herein, we evaluated the screening and prognostic biomarker potential of two onco-microRNAs (miR-182-5p and miR-375-3p) in liquid biopsies (plasma) of PCa patients with clinically localized disease undergoing curative-intent treatment. A first cohort of 98 PCa and 15 normal prostates were used to assess PCa-specificity of miR-182-5p in tissues. A cohort composed of PCa 252 patients and 52 asymptomatic controls allowed for assessment of diagnostic and prognostic value in plasmas. After RNA extraction from tissue and plasma samples, cDNA synthesis specific for miRNAs was performed followed by measurement of miR-182-5p and miR-375-3p relative expression by RT-qPCR, using U6 snRNA gene as reference. MiR-182-5p was significantly overexpressed in PCa tissues (p &lt; 0.0001) and in plasma of PCa patients (p = 0.0020), compared to respective controls. Moreover, miR-182-5p expression identified PCa with AUC = 0.81 (95% CI: 0.725–0.892, p = 0.0001) in tissue and with 77% specificity and 99% NPV (AUC = 0.64, 95% CI: 0.561–0.709, p = 0.0021) in plasma. Both circulating miR-182-5p and miR-375-3p levels associated with more advanced pathologic stage and the former was significantly higher in patients that developed metastasis (p = 0.0145). Indeed, at the time of diagnosis, circulating miR-375-3p levels predicted which patients would develop metastasis, with almost 50% sensitivity, 76% specificity, and a NPV of 89% (AUC = 0.62, 95% CI: 0.529–0.713, p = 0.0149). We conclude that these two circulating miRNAs might be clinical useful as non-invasive biomarkers for detection and prediction of metastasis development at the diagnosis together with clinical variables used in routine practice.","author":[{"dropping-particle":"","family":"Bidarra","given":"David","non-dropping-particle":"","parse-names":false,"suffix":""},{"dropping-particle":"","family":"Constâncio","given":"Vera","non-dropping-particle":"","parse-names":false,"suffix":""},{"dropping-particle":"","family":"Barros-Silva","given":"Daniela","non-dropping-particle":"","parse-names":false,"suffix":""},{"dropping-particle":"","family":"Ramalho-Carvalho","given":"João","non-dropping-particle":"","parse-names":false,"suffix":""},{"dropping-particle":"","family":"Moreira-Barbosa","given":"Catarina","non-dropping-particle":"","parse-names":false,"suffix":""},{"dropping-particle":"","family":"Antunes","given":"Luís","non-dropping-particle":"","parse-names":false,"suffix":""},{"dropping-particle":"","family":"Maurício","given":"Joaquina","non-dropping-particle":"","parse-names":false,"suffix":""},{"dropping-particle":"","family":"Oliveira","given":"Jorge","non-dropping-particle":"","parse-names":false,"suffix":""},{"dropping-particle":"","family":"Henrique","given":"Rui","non-dropping-particle":"","parse-names":false,"suffix":""},{"dropping-particle":"","family":"Jerónimo","given":"Carmen","non-dropping-particle":"","parse-names":false,"suffix":""}],"container-title":"Frontiers in Oncology","id":"ITEM-1","issue":"September","issued":{"date-parts":[["2019"]]},"page":"1-8","title":"Circulating MicroRNAs as Biomarkers for Prostate Cancer Detection and Metastasis Development Prediction","type":"article-journal","volume":"9"},"uris":["http://www.mendeley.com/documents/?uuid=14249570-8fad-4145-83a2-cc0f5820f677"]}],"mendeley":{"formattedCitation":"&lt;sup&gt;101&lt;/sup&gt;","plainTextFormattedCitation":"101","previouslyFormattedCitation":"[101]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101</w:t>
      </w:r>
      <w:r w:rsidRPr="00C83EDC">
        <w:rPr>
          <w:lang w:val="en-GB"/>
        </w:rPr>
        <w:fldChar w:fldCharType="end"/>
      </w:r>
      <w:r w:rsidRPr="00C83EDC">
        <w:rPr>
          <w:lang w:val="en-GB"/>
        </w:rPr>
        <w:t xml:space="preserve">. In a large profiling study, Kristensen </w:t>
      </w:r>
      <w:r w:rsidRPr="00C83EDC">
        <w:rPr>
          <w:i/>
          <w:iCs/>
          <w:lang w:val="en-GB"/>
        </w:rPr>
        <w:t>et al</w:t>
      </w:r>
      <w:r w:rsidRPr="00C83EDC">
        <w:rPr>
          <w:lang w:val="en-GB"/>
        </w:rPr>
        <w:t xml:space="preserve">. identified 15 significantly differentially expressed miRNAs in prostate tissue with diagnostic efficacy for cancer detection. The candidate miRNAs were subsequently validated in two independent patient sets. The highest diagnostic potential was reached by miR‑375, miR‑425-5 and miR‑222‑3p, which were significantly upregulated in </w:t>
      </w:r>
      <w:proofErr w:type="spellStart"/>
      <w:r w:rsidRPr="00C83EDC">
        <w:rPr>
          <w:lang w:val="en-GB"/>
        </w:rPr>
        <w:t>PCa</w:t>
      </w:r>
      <w:proofErr w:type="spellEnd"/>
      <w:r w:rsidRPr="00C83EDC">
        <w:rPr>
          <w:lang w:val="en-GB"/>
        </w:rPr>
        <w:t xml:space="preserve"> tissue and reached AUCs of 0.83, 0.83, and 0.92, respectively. Significantly downregulated expression was found in miR‑205‑5p and miR‑221‑3p with the calculated AUCs</w:t>
      </w:r>
      <w:r>
        <w:rPr>
          <w:lang w:val="en-GB"/>
        </w:rPr>
        <w:t xml:space="preserve"> of</w:t>
      </w:r>
      <w:r w:rsidRPr="00C83EDC">
        <w:rPr>
          <w:lang w:val="en-GB"/>
        </w:rPr>
        <w:t xml:space="preserve"> 0.86 and 0.93, respectively. In addition to that, the authors successfully tested a combination of three miRNAs (miR‑185‑5p + miR‑221‑3p + miR‑326) with significant prognostic capacity to predict time to BCR independently of clinicopathological parameter</w:t>
      </w:r>
      <w:r>
        <w:rPr>
          <w:lang w:val="en-GB"/>
        </w:rPr>
        <w:t>s</w:t>
      </w:r>
      <w:r w:rsidRPr="00C83EDC">
        <w:rPr>
          <w:lang w:val="en-GB"/>
        </w:rPr>
        <w:t xml:space="preserve"> in the group of patients after radical prostatectomy (n=126) and subsequently validated the classifier in two independent cohorts</w:t>
      </w:r>
      <w:r w:rsidRPr="00C83EDC">
        <w:rPr>
          <w:lang w:val="en-GB"/>
        </w:rPr>
        <w:fldChar w:fldCharType="begin" w:fldLock="1"/>
      </w:r>
      <w:r w:rsidR="000C069C">
        <w:rPr>
          <w:lang w:val="en-GB"/>
        </w:rPr>
        <w:instrText>ADDIN CSL_CITATION {"citationItems":[{"id":"ITEM-1","itemData":{"DOI":"10.18632/oncotarget.8953","ISSN":"19492553","PMID":"27120795","abstract":"Purpose: This study investigates the diagnostic and prognostic biomarker potential of miRNAs in prostate cancer (PC). Results: We identified several new deregulated miRNAs between non-malignant (NM) and PC tissue samples and between more/less aggressive PC subgroups. We also developed and validated a novel 13-miRNA diagnostic classifier with high sensitivity and specificity for PC. Finally, we trained a new 3-miRNA prognostic classifier (miR-185-5p+miR-221-3p+miR-326) that predicted time to biochemical recurrence (BCR) independently of routine clinicopathological variables in a training radical prostatectomy (RP) cohort (n = 126) as well as in two independent validation cohorts (n = 110 and n = 99). Experimental Design: After RT-qPCR-based profiling of 752 miRNAs in 13 NM and 134 PC tissue samples (cohort 1), we selected 93 top candidate diagnostic/prognostic miRNAs for validation in two independent patient sets (cohort 2: 19 NM and 138 PC; cohort 3: 28 NM and 113 PC samples). Diagnostic potential was assessed by ROC curve analysis and prognostic potential by Kaplan-Meier, uni- and multivariate Cox regression analyses. BCR after RP was used as endpoint. Conclusions: This is the first report of a miRNA signature with significant independent prognostic value demonstrated in three PC patient cohorts.","author":[{"dropping-particle":"","family":"Kristensen","given":"Helle","non-dropping-particle":"","parse-names":false,"suffix":""},{"dropping-particle":"","family":"Thomsen","given":"Anni R.","non-dropping-particle":"","parse-names":false,"suffix":""},{"dropping-particle":"","family":"Haldrup","given":"Christa","non-dropping-particle":"","parse-names":false,"suffix":""},{"dropping-particle":"","family":"Dyrskjøt","given":"Lars","non-dropping-particle":"","parse-names":false,"suffix":""},{"dropping-particle":"","family":"Høyer","given":"Søren","non-dropping-particle":"","parse-names":false,"suffix":""},{"dropping-particle":"","family":"Borre","given":"Michael","non-dropping-particle":"","parse-names":false,"suffix":""},{"dropping-particle":"","family":"Mouritzen","given":"Peter","non-dropping-particle":"","parse-names":false,"suffix":""},{"dropping-particle":"","family":"Ørntoft","given":"Torben F.","non-dropping-particle":"","parse-names":false,"suffix":""},{"dropping-particle":"","family":"Sørensen","given":"Karina Dalsgaard","non-dropping-particle":"","parse-names":false,"suffix":""}],"container-title":"Oncotarget","id":"ITEM-1","issue":"21","issued":{"date-parts":[["2016"]]},"page":"30760-30771","title":"Novel diagnostic and prognostic classifiers for prostate cancer identified by genome-wide microRNA profiling","type":"article-journal","volume":"7"},"uris":["http://www.mendeley.com/documents/?uuid=87ed6180-01a1-40a4-a943-515c8114a7c3"]}],"mendeley":{"formattedCitation":"&lt;sup&gt;102&lt;/sup&gt;","plainTextFormattedCitation":"102","previouslyFormattedCitation":"[102]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102</w:t>
      </w:r>
      <w:r w:rsidRPr="00C83EDC">
        <w:rPr>
          <w:lang w:val="en-GB"/>
        </w:rPr>
        <w:fldChar w:fldCharType="end"/>
      </w:r>
      <w:r w:rsidRPr="00C83EDC">
        <w:rPr>
          <w:lang w:val="en-GB"/>
        </w:rPr>
        <w:t xml:space="preserve">. The prognostic significance of dysregulated tissue miRNAs was also explored by </w:t>
      </w:r>
      <w:proofErr w:type="spellStart"/>
      <w:r w:rsidRPr="00C83EDC">
        <w:rPr>
          <w:lang w:val="en-GB"/>
        </w:rPr>
        <w:lastRenderedPageBreak/>
        <w:t>Fendler</w:t>
      </w:r>
      <w:proofErr w:type="spellEnd"/>
      <w:r w:rsidRPr="00C83EDC">
        <w:rPr>
          <w:lang w:val="en-GB"/>
        </w:rPr>
        <w:t xml:space="preserve"> </w:t>
      </w:r>
      <w:r w:rsidRPr="00C83EDC">
        <w:rPr>
          <w:i/>
          <w:iCs/>
          <w:lang w:val="en-GB"/>
        </w:rPr>
        <w:t>et al</w:t>
      </w:r>
      <w:r w:rsidRPr="00C83EDC">
        <w:rPr>
          <w:lang w:val="en-GB"/>
        </w:rPr>
        <w:t xml:space="preserve">. who confirmed the ability of miR‑10b and miR‑222/miR10b ratio (AUC=0.72 and AUC=0.70, respectively) to predict </w:t>
      </w:r>
      <w:r>
        <w:rPr>
          <w:lang w:val="en-GB"/>
        </w:rPr>
        <w:t>BCR</w:t>
      </w:r>
      <w:r w:rsidRPr="00C83EDC">
        <w:rPr>
          <w:lang w:val="en-GB"/>
        </w:rPr>
        <w:t xml:space="preserve"> of less than a year in prostate cancer patients compared to the patients that had no biochemical relapse for at least two years. Whilst miR‑10b showed no correlation with histological grade, the tumour stage, or the surgical margin, miR‑222 was inversely correlated with </w:t>
      </w:r>
      <w:r>
        <w:rPr>
          <w:lang w:val="en-GB"/>
        </w:rPr>
        <w:t xml:space="preserve">the </w:t>
      </w:r>
      <w:r w:rsidRPr="00C83EDC">
        <w:rPr>
          <w:lang w:val="en-GB"/>
        </w:rPr>
        <w:t>Gleason score</w:t>
      </w:r>
      <w:r w:rsidRPr="00C83EDC">
        <w:rPr>
          <w:lang w:val="en-GB"/>
        </w:rPr>
        <w:fldChar w:fldCharType="begin" w:fldLock="1"/>
      </w:r>
      <w:r w:rsidR="000C069C">
        <w:rPr>
          <w:lang w:val="en-GB"/>
        </w:rPr>
        <w:instrText>ADDIN CSL_CITATION {"citationItems":[{"id":"ITEM-1","itemData":{"DOI":"10.3892/ijo.2011.1128","ISSN":"10196439","abstract":"Prostate cancer is the leading cancer diagnosed and the second most common cause of cancer related death in the western world. For prognostic monitoring after prostatectomy, recurrent increase of prostate-specific antigen (PSA), the so-called PSA or biochemical relapse remains the leading biomarker. There is currently no biomarker that can accurately predict the risk of relapse at the time of surgery. We analyzed formalin-fixed and paraffin-embedded tissue samples from 52 primary prostate cancers and normal adjacent tissues obtained after radical prostatectomy. Patients were grouped into two categories: i) patients with early biochemical relapse (&lt;1 year after radical prostatectomy) and ii) patients with late or no biochemical relapse (&gt;2 years after surgery). Multiplex real-time quantitative polymerase chain reaction (RT-qPCR) analysis was performed to identify a miRNA signature that can predict relapse. Results were validated by quantitative RT-PCR analysis. We identified 63 miRNAs that were differentially expressed among the same categories of patients, of whom 35 miRNAs were up-regulated and 28 were down-regulated. Literature search shows that many of these miRNAs have an established prognostic significance in other cancers and can be actively involved in tumor progression. Target prediction analysis showed that predicted targets of these miRNAs could be involved in biological processes and pathways that enhance tumor progression. We experimentally validated the role of one of the dysregulated miRNAs (miR-10b) in relapse using proliferation and wound-healing assay. miRNAs can be reliable predictive markers for biochemical relapse of prostate cancer at the time of radical prostatectomy. This should have significant impact on patient managing plans.","author":[{"dropping-particle":"","family":"Fendler","given":"Annika","non-dropping-particle":"","parse-names":false,"suffix":""},{"dropping-particle":"","family":"Jung","given":"Monika","non-dropping-particle":"","parse-names":false,"suffix":""},{"dropping-particle":"","family":"Stephan","given":"Carsten","non-dropping-particle":"","parse-names":false,"suffix":""},{"dropping-particle":"","family":"Honey","given":"Richardson J.","non-dropping-particle":"","parse-names":false,"suffix":""},{"dropping-particle":"","family":"Stewart","given":"Robert J.","non-dropping-particle":"","parse-names":false,"suffix":""},{"dropping-particle":"","family":"Pace","given":"Kenneth T.","non-dropping-particle":"","parse-names":false,"suffix":""},{"dropping-particle":"","family":"Erbersdobler","given":"Andreas","non-dropping-particle":"","parse-names":false,"suffix":""},{"dropping-particle":"","family":"Samaan","given":"Sara","non-dropping-particle":"","parse-names":false,"suffix":""},{"dropping-particle":"","family":"Jung","given":"Klaus","non-dropping-particle":"","parse-names":false,"suffix":""},{"dropping-particle":"","family":"Yousef","given":"George M.","non-dropping-particle":"","parse-names":false,"suffix":""}],"container-title":"International Journal of Oncology","id":"ITEM-1","issue":"5","issued":{"date-parts":[["2011"]]},"page":"1183-1192","title":"miRNAs can predict prostate cancer biochemical relapse and are involved in tumor progression","type":"article-journal","volume":"39"},"uris":["http://www.mendeley.com/documents/?uuid=217610fe-338d-44b2-8f5c-e783368e5051"]}],"mendeley":{"formattedCitation":"&lt;sup&gt;103&lt;/sup&gt;","plainTextFormattedCitation":"103","previouslyFormattedCitation":"[103]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103</w:t>
      </w:r>
      <w:r w:rsidRPr="00C83EDC">
        <w:rPr>
          <w:lang w:val="en-GB"/>
        </w:rPr>
        <w:fldChar w:fldCharType="end"/>
      </w:r>
      <w:r w:rsidRPr="00C83EDC">
        <w:rPr>
          <w:lang w:val="en-GB"/>
        </w:rPr>
        <w:t xml:space="preserve">. </w:t>
      </w:r>
    </w:p>
    <w:p w14:paraId="0E445390" w14:textId="77777777" w:rsidR="00EE7EB3" w:rsidRPr="00C83EDC" w:rsidRDefault="00EE7EB3" w:rsidP="00EE7EB3">
      <w:pPr>
        <w:pStyle w:val="Nadpis3"/>
        <w:rPr>
          <w:lang w:val="en-GB"/>
        </w:rPr>
      </w:pPr>
      <w:r w:rsidRPr="00C83EDC">
        <w:rPr>
          <w:lang w:val="en-GB"/>
        </w:rPr>
        <w:t xml:space="preserve">Cell-free </w:t>
      </w:r>
      <w:r>
        <w:rPr>
          <w:lang w:val="en-GB"/>
        </w:rPr>
        <w:t>miRNAs</w:t>
      </w:r>
    </w:p>
    <w:p w14:paraId="6E466DBD" w14:textId="1F7EAE89" w:rsidR="00EE7EB3" w:rsidRPr="00C83EDC" w:rsidRDefault="00EE7EB3" w:rsidP="00EE7EB3">
      <w:pPr>
        <w:pStyle w:val="Odstavec1"/>
        <w:rPr>
          <w:lang w:val="en-GB"/>
        </w:rPr>
      </w:pPr>
      <w:r w:rsidRPr="00C83EDC">
        <w:rPr>
          <w:lang w:val="en-GB"/>
        </w:rPr>
        <w:t>Apart from tissue-based miRNAs, cell-free miRNAs found in liquid biopsies have also attracted attention as a promising class of markers in prostate cancer diagnosis and management. In 2008, Mitchel and colleagues showed that tumour-derived miRNAs enter the circulation and determined that both serum and plasma are suitable for exploration of miRNAs’ potential as blood-based biomarkers. In their study, they further identified significantly upregulated levels of serum miR‑141 in 25 patients with metastatic prostate cancer compared to 25 healthy individuals and evaluated its diagnostic efficacy using ROC analysis that yielded</w:t>
      </w:r>
      <w:r>
        <w:rPr>
          <w:lang w:val="en-GB"/>
        </w:rPr>
        <w:t xml:space="preserve"> an</w:t>
      </w:r>
      <w:r w:rsidRPr="00C83EDC">
        <w:rPr>
          <w:lang w:val="en-GB"/>
        </w:rPr>
        <w:t xml:space="preserve"> AUC of 0.907</w:t>
      </w:r>
      <w:r w:rsidRPr="00C83EDC">
        <w:rPr>
          <w:lang w:val="en-GB"/>
        </w:rPr>
        <w:fldChar w:fldCharType="begin" w:fldLock="1"/>
      </w:r>
      <w:r w:rsidR="000C069C">
        <w:rPr>
          <w:lang w:val="en-GB"/>
        </w:rPr>
        <w:instrText>ADDIN CSL_CITATION {"citationItems":[{"id":"ITEM-1","itemData":{"DOI":"10.1073/pnas.0804549105","ISSN":"00278424","PMID":"18663219","abstract":"Improved approaches for the detection of common epithelial malignancies are urgently needed to reduce the worldwide morbidity and mortality caused by cancer. MicroRNAs (miRNAs) are small (≈22 nt) regulatory RNAs that are frequently dysregulated in cancer and have shown promise as tissue-based markers for cancer classification and prognostication. We show here that miRNAs are present in human plasma in a remarkably stable form that is protected from endogenous RNase activity. miRNAs originating from human prostate cancer xenografts enter the circulation, are readily measured in plasma, and can robustly distinguish xenografted mice from controls. This concept extends to cancer in humans, where serum levels of miR-141 (a miRNA expressed in prostate cancer) can distinguish patients with prostate cancer from healthy controls. Our results establish the measurement of tumor-derived miRNAs in serum or plasma as an important approach for the blood-based detection of human cancer. © 2008 by The National Academy of Sciences of the USA.","author":[{"dropping-particle":"","family":"Mitchell","given":"Patrick S.","non-dropping-particle":"","parse-names":false,"suffix":""},{"dropping-particle":"","family":"Parkin","given":"Rachael K.","non-dropping-particle":"","parse-names":false,"suffix":""},{"dropping-particle":"","family":"Kroh","given":"Evan M.","non-dropping-particle":"","parse-names":false,"suffix":""},{"dropping-particle":"","family":"Fritz","given":"Brian R.","non-dropping-particle":"","parse-names":false,"suffix":""},{"dropping-particle":"","family":"Wyman","given":"Stacia K.","non-dropping-particle":"","parse-names":false,"suffix":""},{"dropping-particle":"","family":"Pogosova-Agadjanyan","given":"Era L.","non-dropping-particle":"","parse-names":false,"suffix":""},{"dropping-particle":"","family":"Peterson","given":"Amelia","non-dropping-particle":"","parse-names":false,"suffix":""},{"dropping-particle":"","family":"Noteboom","given":"Jennifer","non-dropping-particle":"","parse-names":false,"suffix":""},{"dropping-particle":"","family":"O'Briant","given":"Kathy C.","non-dropping-particle":"","parse-names":false,"suffix":""},{"dropping-particle":"","family":"Allen","given":"April","non-dropping-particle":"","parse-names":false,"suffix":""},{"dropping-particle":"","family":"Lin","given":"Daniel W.","non-dropping-particle":"","parse-names":false,"suffix":""},{"dropping-particle":"","family":"Urban","given":"Nicole","non-dropping-particle":"","parse-names":false,"suffix":""},{"dropping-particle":"","family":"Drescher","given":"Charles W.","non-dropping-particle":"","parse-names":false,"suffix":""},{"dropping-particle":"","family":"Knudsen","given":"Beatrice S.","non-dropping-particle":"","parse-names":false,"suffix":""},{"dropping-particle":"","family":"Stirewalt","given":"Derek L.","non-dropping-particle":"","parse-names":false,"suffix":""},{"dropping-particle":"","family":"Gentleman","given":"Robert","non-dropping-particle":"","parse-names":false,"suffix":""},{"dropping-particle":"","family":"Vessella","given":"Robert L.","non-dropping-particle":"","parse-names":false,"suffix":""},{"dropping-particle":"","family":"Nelson","given":"Peter S.","non-dropping-particle":"","parse-names":false,"suffix":""},{"dropping-particle":"","family":"Martin","given":"Daniel B.","non-dropping-particle":"","parse-names":false,"suffix":""},{"dropping-particle":"","family":"Tewari","given":"Muneesh","non-dropping-particle":"","parse-names":false,"suffix":""}],"container-title":"Proceedings of the National Academy of Sciences of the United States of America","id":"ITEM-1","issue":"30","issued":{"date-parts":[["2008"]]},"page":"10513-10518","title":"Circulating microRNAs as stable blood-based markers for cancer detection","type":"article-journal","volume":"105"},"uris":["http://www.mendeley.com/documents/?uuid=f8d8bb5f-2427-4418-9361-87203e44164b"]}],"mendeley":{"formattedCitation":"&lt;sup&gt;93&lt;/sup&gt;","plainTextFormattedCitation":"93","previouslyFormattedCitation":"[93]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93</w:t>
      </w:r>
      <w:r w:rsidRPr="00C83EDC">
        <w:rPr>
          <w:lang w:val="en-GB"/>
        </w:rPr>
        <w:fldChar w:fldCharType="end"/>
      </w:r>
      <w:r w:rsidRPr="00C83EDC">
        <w:rPr>
          <w:lang w:val="en-GB"/>
        </w:rPr>
        <w:t xml:space="preserve">. </w:t>
      </w:r>
      <w:proofErr w:type="spellStart"/>
      <w:r w:rsidRPr="00C83EDC">
        <w:rPr>
          <w:lang w:val="en-GB"/>
        </w:rPr>
        <w:t>Moltzahn</w:t>
      </w:r>
      <w:proofErr w:type="spellEnd"/>
      <w:r w:rsidRPr="00C83EDC">
        <w:rPr>
          <w:lang w:val="en-GB"/>
        </w:rPr>
        <w:t xml:space="preserve"> </w:t>
      </w:r>
      <w:r w:rsidRPr="00C83EDC">
        <w:rPr>
          <w:i/>
          <w:iCs/>
          <w:lang w:val="en-GB"/>
        </w:rPr>
        <w:t>et al</w:t>
      </w:r>
      <w:r w:rsidRPr="00C83EDC">
        <w:rPr>
          <w:lang w:val="en-GB"/>
        </w:rPr>
        <w:t>. analysed</w:t>
      </w:r>
      <w:r>
        <w:rPr>
          <w:lang w:val="en-GB"/>
        </w:rPr>
        <w:t xml:space="preserve"> levels of</w:t>
      </w:r>
      <w:r w:rsidRPr="00C83EDC">
        <w:rPr>
          <w:lang w:val="en-GB"/>
        </w:rPr>
        <w:t xml:space="preserve"> 384 serum miRNAs utilizing a modified multiplex </w:t>
      </w:r>
      <w:r>
        <w:rPr>
          <w:lang w:val="en-GB"/>
        </w:rPr>
        <w:t>r</w:t>
      </w:r>
      <w:r w:rsidRPr="00C24610">
        <w:rPr>
          <w:lang w:val="en-GB"/>
        </w:rPr>
        <w:t xml:space="preserve">eal-time polymerase chain </w:t>
      </w:r>
      <w:r>
        <w:rPr>
          <w:lang w:val="en-GB"/>
        </w:rPr>
        <w:t>reaction (</w:t>
      </w:r>
      <w:r w:rsidRPr="00C83EDC">
        <w:rPr>
          <w:lang w:val="en-GB"/>
        </w:rPr>
        <w:t>RT-PCR</w:t>
      </w:r>
      <w:r>
        <w:rPr>
          <w:lang w:val="en-GB"/>
        </w:rPr>
        <w:t>)</w:t>
      </w:r>
      <w:r w:rsidRPr="00C83EDC">
        <w:rPr>
          <w:lang w:val="en-GB"/>
        </w:rPr>
        <w:t xml:space="preserve"> method for miRNA profiling in 36 men with prostate cancer and 12 healthy blood donors. In the published work, they showed ten miRNAs that </w:t>
      </w:r>
      <w:r>
        <w:rPr>
          <w:lang w:val="en-GB"/>
        </w:rPr>
        <w:t>had</w:t>
      </w:r>
      <w:r w:rsidRPr="00C83EDC">
        <w:rPr>
          <w:lang w:val="en-GB"/>
        </w:rPr>
        <w:t xml:space="preserve"> differen</w:t>
      </w:r>
      <w:r>
        <w:rPr>
          <w:lang w:val="en-GB"/>
        </w:rPr>
        <w:t>t levels</w:t>
      </w:r>
      <w:r w:rsidRPr="00C83EDC">
        <w:rPr>
          <w:lang w:val="en-GB"/>
        </w:rPr>
        <w:t xml:space="preserve"> between healthy versus malignant sera with four downregulated and six upregulated miRNAs in the cancer group. The top candidates were validated by individual </w:t>
      </w:r>
      <w:proofErr w:type="spellStart"/>
      <w:r w:rsidRPr="00C83EDC">
        <w:rPr>
          <w:lang w:val="en-GB"/>
        </w:rPr>
        <w:t>qRT</w:t>
      </w:r>
      <w:proofErr w:type="spellEnd"/>
      <w:r w:rsidRPr="00C83EDC">
        <w:rPr>
          <w:lang w:val="en-GB"/>
        </w:rPr>
        <w:t xml:space="preserve">-PCR and the results revealed distinct miRNA patterns associated with prostate cancer risk. For example, whilst miR‑106a levels showed a direct linear relationship, the </w:t>
      </w:r>
      <w:r>
        <w:rPr>
          <w:lang w:val="en-GB"/>
        </w:rPr>
        <w:t>levels</w:t>
      </w:r>
      <w:r w:rsidRPr="00C83EDC">
        <w:rPr>
          <w:lang w:val="en-GB"/>
        </w:rPr>
        <w:t xml:space="preserve"> of miR‑24 steadily decreased with cancer risk</w:t>
      </w:r>
      <w:r w:rsidRPr="00C83EDC">
        <w:rPr>
          <w:lang w:val="en-GB"/>
        </w:rPr>
        <w:fldChar w:fldCharType="begin" w:fldLock="1"/>
      </w:r>
      <w:r w:rsidR="000C069C">
        <w:rPr>
          <w:lang w:val="en-GB"/>
        </w:rPr>
        <w:instrText>ADDIN CSL_CITATION {"citationItems":[{"id":"ITEM-1","itemData":{"DOI":"10.1158/0008-5472.CAN-10-1229","ISSN":"00085472","abstract":"Recent prostate-specific antigen-based screening trials indicate an urgent need for novel and noninvasive biomarker identification strategies to improve the prediction of prostate cancer behavior. Noncoding micro- RNAs (miRNA) in the serum and plasma have been shown to have potential as noninvasive markers for physiologic and pathologic conditions. To identify serum miRNAs that diagnose and correlate with the prognosis of prostate cancer, we developed a multiplex quantitative reverse transcription PCR method involving the purification of multiplex PCR products followed by uniplex analysis on a microfluidics chip to evaluate 384 human miRNAs. Using Dgcr8 and Dicer knockout (small RNA-deficient) mouse ES cells as the benchmark, we confirmed the validity of our technique and uncovered a considerable lack of accuracy in previously published methods. Profiling 48 sera from healthy men and untreated prostate cancer patients with differing CAPRA scores, we identified miRNA signatures that allow us to diagnose cancer patients and correlate with a prognosis. These serum signatures include oncogenic and tumor-suppressive miRNAs, suggesting functional roles in prostate cancer progression. © 2010 American Association for Cancer Research.","author":[{"dropping-particle":"","family":"Moltzahn","given":"Felix","non-dropping-particle":"","parse-names":false,"suffix":""},{"dropping-particle":"","family":"Olshen","given":"Adam B.","non-dropping-particle":"","parse-names":false,"suffix":""},{"dropping-particle":"","family":"Baehner","given":"Lauren","non-dropping-particle":"","parse-names":false,"suffix":""},{"dropping-particle":"","family":"Peek","given":"Andrew","non-dropping-particle":"","parse-names":false,"suffix":""},{"dropping-particle":"","family":"Fong","given":"Lawrence","non-dropping-particle":"","parse-names":false,"suffix":""},{"dropping-particle":"","family":"Stöppler","given":"Hubert","non-dropping-particle":"","parse-names":false,"suffix":""},{"dropping-particle":"","family":"Simko","given":"Jeffry","non-dropping-particle":"","parse-names":false,"suffix":""},{"dropping-particle":"","family":"Hilton","given":"Joan F.","non-dropping-particle":"","parse-names":false,"suffix":""},{"dropping-particle":"","family":"Carroll","given":"Peter","non-dropping-particle":"","parse-names":false,"suffix":""},{"dropping-particle":"","family":"Blelloch","given":"Robert","non-dropping-particle":"","parse-names":false,"suffix":""}],"container-title":"Cancer Research","id":"ITEM-1","issue":"2","issued":{"date-parts":[["2011"]]},"page":"550-560","title":"Microfluidic-based multiplex qRT-PCR identifies diagnostic and prognostic microRNA signatures in the sera of prostate cancer patients","type":"article-journal","volume":"71"},"uris":["http://www.mendeley.com/documents/?uuid=d305c6a2-0163-430c-bdad-4760cd3b3535"]}],"mendeley":{"formattedCitation":"&lt;sup&gt;104&lt;/sup&gt;","plainTextFormattedCitation":"104","previouslyFormattedCitation":"[104]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104</w:t>
      </w:r>
      <w:r w:rsidRPr="00C83EDC">
        <w:rPr>
          <w:lang w:val="en-GB"/>
        </w:rPr>
        <w:fldChar w:fldCharType="end"/>
      </w:r>
      <w:r w:rsidRPr="00C83EDC">
        <w:rPr>
          <w:lang w:val="en-GB"/>
        </w:rPr>
        <w:t xml:space="preserve">. In accordance with the findings of Mitchel </w:t>
      </w:r>
      <w:r w:rsidRPr="00C83EDC">
        <w:rPr>
          <w:i/>
          <w:iCs/>
          <w:lang w:val="en-GB"/>
        </w:rPr>
        <w:t>et al</w:t>
      </w:r>
      <w:r w:rsidRPr="00C83EDC">
        <w:rPr>
          <w:lang w:val="en-GB"/>
        </w:rPr>
        <w:t>.</w:t>
      </w:r>
      <w:r w:rsidRPr="00C83EDC">
        <w:rPr>
          <w:lang w:val="en-GB"/>
        </w:rPr>
        <w:fldChar w:fldCharType="begin" w:fldLock="1"/>
      </w:r>
      <w:r w:rsidR="000C069C">
        <w:rPr>
          <w:lang w:val="en-GB"/>
        </w:rPr>
        <w:instrText>ADDIN CSL_CITATION {"citationItems":[{"id":"ITEM-1","itemData":{"DOI":"10.1073/pnas.0804549105","ISSN":"00278424","PMID":"18663219","abstract":"Improved approaches for the detection of common epithelial malignancies are urgently needed to reduce the worldwide morbidity and mortality caused by cancer. MicroRNAs (miRNAs) are small (≈22 nt) regulatory RNAs that are frequently dysregulated in cancer and have shown promise as tissue-based markers for cancer classification and prognostication. We show here that miRNAs are present in human plasma in a remarkably stable form that is protected from endogenous RNase activity. miRNAs originating from human prostate cancer xenografts enter the circulation, are readily measured in plasma, and can robustly distinguish xenografted mice from controls. This concept extends to cancer in humans, where serum levels of miR-141 (a miRNA expressed in prostate cancer) can distinguish patients with prostate cancer from healthy controls. Our results establish the measurement of tumor-derived miRNAs in serum or plasma as an important approach for the blood-based detection of human cancer. © 2008 by The National Academy of Sciences of the USA.","author":[{"dropping-particle":"","family":"Mitchell","given":"Patrick S.","non-dropping-particle":"","parse-names":false,"suffix":""},{"dropping-particle":"","family":"Parkin","given":"Rachael K.","non-dropping-particle":"","parse-names":false,"suffix":""},{"dropping-particle":"","family":"Kroh","given":"Evan M.","non-dropping-particle":"","parse-names":false,"suffix":""},{"dropping-particle":"","family":"Fritz","given":"Brian R.","non-dropping-particle":"","parse-names":false,"suffix":""},{"dropping-particle":"","family":"Wyman","given":"Stacia K.","non-dropping-particle":"","parse-names":false,"suffix":""},{"dropping-particle":"","family":"Pogosova-Agadjanyan","given":"Era L.","non-dropping-particle":"","parse-names":false,"suffix":""},{"dropping-particle":"","family":"Peterson","given":"Amelia","non-dropping-particle":"","parse-names":false,"suffix":""},{"dropping-particle":"","family":"Noteboom","given":"Jennifer","non-dropping-particle":"","parse-names":false,"suffix":""},{"dropping-particle":"","family":"O'Briant","given":"Kathy C.","non-dropping-particle":"","parse-names":false,"suffix":""},{"dropping-particle":"","family":"Allen","given":"April","non-dropping-particle":"","parse-names":false,"suffix":""},{"dropping-particle":"","family":"Lin","given":"Daniel W.","non-dropping-particle":"","parse-names":false,"suffix":""},{"dropping-particle":"","family":"Urban","given":"Nicole","non-dropping-particle":"","parse-names":false,"suffix":""},{"dropping-particle":"","family":"Drescher","given":"Charles W.","non-dropping-particle":"","parse-names":false,"suffix":""},{"dropping-particle":"","family":"Knudsen","given":"Beatrice S.","non-dropping-particle":"","parse-names":false,"suffix":""},{"dropping-particle":"","family":"Stirewalt","given":"Derek L.","non-dropping-particle":"","parse-names":false,"suffix":""},{"dropping-particle":"","family":"Gentleman","given":"Robert","non-dropping-particle":"","parse-names":false,"suffix":""},{"dropping-particle":"","family":"Vessella","given":"Robert L.","non-dropping-particle":"","parse-names":false,"suffix":""},{"dropping-particle":"","family":"Nelson","given":"Peter S.","non-dropping-particle":"","parse-names":false,"suffix":""},{"dropping-particle":"","family":"Martin","given":"Daniel B.","non-dropping-particle":"","parse-names":false,"suffix":""},{"dropping-particle":"","family":"Tewari","given":"Muneesh","non-dropping-particle":"","parse-names":false,"suffix":""}],"container-title":"Proceedings of the National Academy of Sciences of the United States of America","id":"ITEM-1","issue":"30","issued":{"date-parts":[["2008"]]},"page":"10513-10518","title":"Circulating microRNAs as stable blood-based markers for cancer detection","type":"article-journal","volume":"105"},"uris":["http://www.mendeley.com/documents/?uuid=f8d8bb5f-2427-4418-9361-87203e44164b"]}],"mendeley":{"formattedCitation":"&lt;sup&gt;93&lt;/sup&gt;","plainTextFormattedCitation":"93","previouslyFormattedCitation":"[93]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93</w:t>
      </w:r>
      <w:r w:rsidRPr="00C83EDC">
        <w:rPr>
          <w:lang w:val="en-GB"/>
        </w:rPr>
        <w:fldChar w:fldCharType="end"/>
      </w:r>
      <w:r w:rsidRPr="00C83EDC">
        <w:rPr>
          <w:lang w:val="en-GB"/>
        </w:rPr>
        <w:t>, the upregulation of miR‑141 was detected in the patients with metastatic disease</w:t>
      </w:r>
      <w:r w:rsidRPr="00C83EDC">
        <w:rPr>
          <w:lang w:val="en-GB"/>
        </w:rPr>
        <w:fldChar w:fldCharType="begin" w:fldLock="1"/>
      </w:r>
      <w:r w:rsidR="000C069C">
        <w:rPr>
          <w:lang w:val="en-GB"/>
        </w:rPr>
        <w:instrText>ADDIN CSL_CITATION {"citationItems":[{"id":"ITEM-1","itemData":{"DOI":"10.1158/0008-5472.CAN-10-1229","ISSN":"00085472","abstract":"Recent prostate-specific antigen-based screening trials indicate an urgent need for novel and noninvasive biomarker identification strategies to improve the prediction of prostate cancer behavior. Noncoding micro- RNAs (miRNA) in the serum and plasma have been shown to have potential as noninvasive markers for physiologic and pathologic conditions. To identify serum miRNAs that diagnose and correlate with the prognosis of prostate cancer, we developed a multiplex quantitative reverse transcription PCR method involving the purification of multiplex PCR products followed by uniplex analysis on a microfluidics chip to evaluate 384 human miRNAs. Using Dgcr8 and Dicer knockout (small RNA-deficient) mouse ES cells as the benchmark, we confirmed the validity of our technique and uncovered a considerable lack of accuracy in previously published methods. Profiling 48 sera from healthy men and untreated prostate cancer patients with differing CAPRA scores, we identified miRNA signatures that allow us to diagnose cancer patients and correlate with a prognosis. These serum signatures include oncogenic and tumor-suppressive miRNAs, suggesting functional roles in prostate cancer progression. © 2010 American Association for Cancer Research.","author":[{"dropping-particle":"","family":"Moltzahn","given":"Felix","non-dropping-particle":"","parse-names":false,"suffix":""},{"dropping-particle":"","family":"Olshen","given":"Adam B.","non-dropping-particle":"","parse-names":false,"suffix":""},{"dropping-particle":"","family":"Baehner","given":"Lauren","non-dropping-particle":"","parse-names":false,"suffix":""},{"dropping-particle":"","family":"Peek","given":"Andrew","non-dropping-particle":"","parse-names":false,"suffix":""},{"dropping-particle":"","family":"Fong","given":"Lawrence","non-dropping-particle":"","parse-names":false,"suffix":""},{"dropping-particle":"","family":"Stöppler","given":"Hubert","non-dropping-particle":"","parse-names":false,"suffix":""},{"dropping-particle":"","family":"Simko","given":"Jeffry","non-dropping-particle":"","parse-names":false,"suffix":""},{"dropping-particle":"","family":"Hilton","given":"Joan F.","non-dropping-particle":"","parse-names":false,"suffix":""},{"dropping-particle":"","family":"Carroll","given":"Peter","non-dropping-particle":"","parse-names":false,"suffix":""},{"dropping-particle":"","family":"Blelloch","given":"Robert","non-dropping-particle":"","parse-names":false,"suffix":""}],"container-title":"Cancer Research","id":"ITEM-1","issue":"2","issued":{"date-parts":[["2011"]]},"page":"550-560","title":"Microfluidic-based multiplex qRT-PCR identifies diagnostic and prognostic microRNA signatures in the sera of prostate cancer patients","type":"article-journal","volume":"71"},"uris":["http://www.mendeley.com/documents/?uuid=d305c6a2-0163-430c-bdad-4760cd3b3535"]}],"mendeley":{"formattedCitation":"&lt;sup&gt;104&lt;/sup&gt;","plainTextFormattedCitation":"104","previouslyFormattedCitation":"[104]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104</w:t>
      </w:r>
      <w:r w:rsidRPr="00C83EDC">
        <w:rPr>
          <w:lang w:val="en-GB"/>
        </w:rPr>
        <w:fldChar w:fldCharType="end"/>
      </w:r>
      <w:r w:rsidRPr="00C83EDC">
        <w:rPr>
          <w:lang w:val="en-GB"/>
        </w:rPr>
        <w:t>.</w:t>
      </w:r>
      <w:r>
        <w:rPr>
          <w:lang w:val="en-GB"/>
        </w:rPr>
        <w:t xml:space="preserve"> </w:t>
      </w:r>
      <w:r w:rsidRPr="00C83EDC">
        <w:rPr>
          <w:lang w:val="en-GB"/>
        </w:rPr>
        <w:t xml:space="preserve">The stability of miRNA was also assessed for urine specimens by Yun </w:t>
      </w:r>
      <w:r w:rsidRPr="00FE171B">
        <w:rPr>
          <w:i/>
          <w:iCs/>
          <w:lang w:val="en-GB"/>
        </w:rPr>
        <w:t>et al</w:t>
      </w:r>
      <w:r w:rsidRPr="00C83EDC">
        <w:rPr>
          <w:lang w:val="en-GB"/>
        </w:rPr>
        <w:t>. who concluded that seven freeze-thaw cycles or 72-hour storage at room temperature did not affect the levels of miRNA</w:t>
      </w:r>
      <w:r w:rsidRPr="00C83EDC">
        <w:rPr>
          <w:lang w:val="en-GB"/>
        </w:rPr>
        <w:fldChar w:fldCharType="begin" w:fldLock="1"/>
      </w:r>
      <w:r w:rsidR="000C069C">
        <w:rPr>
          <w:lang w:val="en-GB"/>
        </w:rPr>
        <w:instrText>ADDIN CSL_CITATION {"citationItems":[{"id":"ITEM-1","itemData":{"DOI":"10.3892/ijo.2012.1622","ISSN":"10196439","abstract":"miRNAs are small, non-coding RNAs that play important roles in various biological processes. The aims of our study were to investigate whether cell-free miRNAs can be measured in urine samples and might be an accurate biomarker of bladder cancer. Datasets of GSE20418 and GSE19717 were used for analysis, and two miRNAs, miR-145 and miR-200a, were selected for study. A total of 207 patients with primary transitional cell carcinoma of the urinary bladder and 144 healthy normal controls were enrolled. Using quantitative PCR, the levels of miR-145 and miR-200a in urine were measured and compared with the clinicopathological features of bladder cancer. According to our experiments, cell-free miRNAs were present in urine and were stable. Assessment of miR-145 levels was able to distinguish bladder cancer patients from non-cancer controls (77.8% sensitivity and 61.1% specificity for NMIBC, AUC 0.729; 84.1 and 61.1% for MIBC, respectively, AUC 0.790) and showed good correlation with grade (p=0.048). In addition, miR-200a was shown to be an independent predictor of NMIBC recurrence by multivariate analysis (OR 0.449, 95% CI 0.239? 0.842, p=0.013). A higher risk of recurrence was observed among patients with a lower miR-200a level compared to patients with higher miR-200a levels (log-rank test, p=0.040). Urinary cell-free miRNAs show promise as noninvasive biomarkers for diagnosis and recurrence of bladder cancer.","author":[{"dropping-particle":"","family":"Yun","given":"Seok Joong","non-dropping-particle":"","parse-names":false,"suffix":""},{"dropping-particle":"","family":"Jeong","given":"Pildu","non-dropping-particle":"","parse-names":false,"suffix":""},{"dropping-particle":"","family":"Kim","given":"Won Tae","non-dropping-particle":"","parse-names":false,"suffix":""},{"dropping-particle":"","family":"Kim","given":"Tae Hwan","non-dropping-particle":"","parse-names":false,"suffix":""},{"dropping-particle":"","family":"Lee","given":"Young Suk","non-dropping-particle":"","parse-names":false,"suffix":""},{"dropping-particle":"","family":"Song","given":"Phil Hyun","non-dropping-particle":"","parse-names":false,"suffix":""},{"dropping-particle":"","family":"Choi","given":"Yung Hyun","non-dropping-particle":"","parse-names":false,"suffix":""},{"dropping-particle":"","family":"Kim","given":"Isaac Yi","non-dropping-particle":"","parse-names":false,"suffix":""},{"dropping-particle":"","family":"Moon","given":"Sung Kwon","non-dropping-particle":"","parse-names":false,"suffix":""},{"dropping-particle":"","family":"Kim","given":"Wun Jae","non-dropping-particle":"","parse-names":false,"suffix":""}],"container-title":"International Journal of Oncology","id":"ITEM-1","issue":"5","issued":{"date-parts":[["2012"]]},"page":"1871-1878","title":"Cell-free microRNAs in urine as diagnostic and prognostic biomarkers of bladder cancer","type":"article-journal","volume":"41"},"uris":["http://www.mendeley.com/documents/?uuid=335e929c-9a43-43a7-abbe-c6e257f1edde"]}],"mendeley":{"formattedCitation":"&lt;sup&gt;105&lt;/sup&gt;","plainTextFormattedCitation":"105","previouslyFormattedCitation":"[105]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105</w:t>
      </w:r>
      <w:r w:rsidRPr="00C83EDC">
        <w:rPr>
          <w:lang w:val="en-GB"/>
        </w:rPr>
        <w:fldChar w:fldCharType="end"/>
      </w:r>
      <w:r w:rsidRPr="00C83EDC">
        <w:rPr>
          <w:lang w:val="en-GB"/>
        </w:rPr>
        <w:t>.</w:t>
      </w:r>
      <w:r>
        <w:rPr>
          <w:lang w:val="en-GB"/>
        </w:rPr>
        <w:t xml:space="preserve"> </w:t>
      </w:r>
      <w:r w:rsidRPr="00C83EDC">
        <w:rPr>
          <w:lang w:val="en-GB"/>
        </w:rPr>
        <w:t>Urine miRNA’s resistance to degradation together with the non-invasive nature of sample collection represent useful qualities which have been explored in a growing number of biomarker studies</w:t>
      </w:r>
      <w:r w:rsidRPr="00C83EDC">
        <w:rPr>
          <w:lang w:val="en-GB"/>
        </w:rPr>
        <w:fldChar w:fldCharType="begin" w:fldLock="1"/>
      </w:r>
      <w:r w:rsidR="000C069C">
        <w:rPr>
          <w:lang w:val="en-GB"/>
        </w:rPr>
        <w:instrText>ADDIN CSL_CITATION {"citationItems":[{"id":"ITEM-1","itemData":{"DOI":"10.1016/j.urolonc.2013.04.011","ISSN":"18732496","abstract":"Micro-ribonucleic acids (miRNAs) are small noncoding RNAs that posttranscriptionally regulate gene expression. The ability of miRNAs to inhibit translation of oncogenes and tumor suppressors implies that they may be involved in carcinogenesis. Our review focuses on the potential of urinary miRNAs to serve as biomarkers of urologic cancers. We discuss in detail the recent knowledge about the origin of urinary miRNAs, their stability, quality control, and their utility as a potential new class of biomarkers in urologic cancer. Finally, we summarize the studies focusing on detection and characterization of urinary miRNAs as potential biomarkers in bladder, prostate, and kidney cancers. © 2014 Elsevier Inc.","author":[{"dropping-particle":"","family":"Mlcochova","given":"Hana","non-dropping-particle":"","parse-names":false,"suffix":""},{"dropping-particle":"","family":"Hezova","given":"Renata","non-dropping-particle":"","parse-names":false,"suffix":""},{"dropping-particle":"","family":"Stanik","given":"Michal","non-dropping-particle":"","parse-names":false,"suffix":""},{"dropping-particle":"","family":"Slaby","given":"Ondrej","non-dropping-particle":"","parse-names":false,"suffix":""}],"container-title":"Urologic Oncology: Seminars and Original Investigations","id":"ITEM-1","issue":"1","issued":{"date-parts":[["2014"]]},"page":"41.e1-41.e9","publisher":"Elsevier","title":"Urine microRNAs as potential noninvasive biomarkers in urologic cancers","type":"article-journal","volume":"32"},"uris":["http://www.mendeley.com/documents/?uuid=ab095daa-72c3-4e49-9a68-b717cacbcbec"]}],"mendeley":{"formattedCitation":"&lt;sup&gt;106&lt;/sup&gt;","plainTextFormattedCitation":"106","previouslyFormattedCitation":"[106]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106</w:t>
      </w:r>
      <w:r w:rsidRPr="00C83EDC">
        <w:rPr>
          <w:lang w:val="en-GB"/>
        </w:rPr>
        <w:fldChar w:fldCharType="end"/>
      </w:r>
      <w:r w:rsidRPr="00C83EDC">
        <w:rPr>
          <w:lang w:val="en-GB"/>
        </w:rPr>
        <w:t xml:space="preserve">. The first comprehensive analysis of circulating miRNA in </w:t>
      </w:r>
      <w:proofErr w:type="spellStart"/>
      <w:r w:rsidRPr="00C83EDC">
        <w:rPr>
          <w:lang w:val="en-GB"/>
        </w:rPr>
        <w:t>PCa</w:t>
      </w:r>
      <w:proofErr w:type="spellEnd"/>
      <w:r w:rsidRPr="00C83EDC">
        <w:rPr>
          <w:lang w:val="en-GB"/>
        </w:rPr>
        <w:t xml:space="preserve"> was conducted by Bryant </w:t>
      </w:r>
      <w:r w:rsidRPr="00FE171B">
        <w:rPr>
          <w:i/>
          <w:iCs/>
          <w:lang w:val="en-GB"/>
        </w:rPr>
        <w:t>et al</w:t>
      </w:r>
      <w:r w:rsidRPr="00C83EDC">
        <w:rPr>
          <w:i/>
          <w:iCs/>
          <w:lang w:val="en-GB"/>
        </w:rPr>
        <w:t>.</w:t>
      </w:r>
      <w:r w:rsidRPr="00C83EDC">
        <w:rPr>
          <w:lang w:val="en-GB"/>
        </w:rPr>
        <w:t xml:space="preserve"> who used TaqMan mi</w:t>
      </w:r>
      <w:r>
        <w:rPr>
          <w:lang w:val="en-GB"/>
        </w:rPr>
        <w:t>croRNA</w:t>
      </w:r>
      <w:r w:rsidRPr="00C83EDC">
        <w:rPr>
          <w:lang w:val="en-GB"/>
        </w:rPr>
        <w:t xml:space="preserve"> assay method to detect miRNAs that were profiled in the discovery phase. By analysing 135 urine sediments including 17 healthy controls and 118 of patients with localized or advanced </w:t>
      </w:r>
      <w:proofErr w:type="spellStart"/>
      <w:r w:rsidRPr="00C83EDC">
        <w:rPr>
          <w:lang w:val="en-GB"/>
        </w:rPr>
        <w:t>PCa</w:t>
      </w:r>
      <w:proofErr w:type="spellEnd"/>
      <w:r w:rsidRPr="00C83EDC">
        <w:rPr>
          <w:lang w:val="en-GB"/>
        </w:rPr>
        <w:t xml:space="preserve">, the authors identified miR‑107 and miR‑574‑3p to </w:t>
      </w:r>
      <w:r>
        <w:rPr>
          <w:lang w:val="en-GB"/>
        </w:rPr>
        <w:t>be elevated</w:t>
      </w:r>
      <w:r w:rsidRPr="00C83EDC">
        <w:rPr>
          <w:lang w:val="en-GB"/>
        </w:rPr>
        <w:t xml:space="preserve"> in the urine of men with cancer in comparison to the control group. Even though the AUC of miR‑107 with </w:t>
      </w:r>
      <w:r>
        <w:rPr>
          <w:lang w:val="en-GB"/>
        </w:rPr>
        <w:t xml:space="preserve">a </w:t>
      </w:r>
      <w:r w:rsidRPr="00C83EDC">
        <w:rPr>
          <w:lang w:val="en-GB"/>
        </w:rPr>
        <w:t>value of 0.74 scored higher than</w:t>
      </w:r>
      <w:r>
        <w:rPr>
          <w:lang w:val="en-GB"/>
        </w:rPr>
        <w:t xml:space="preserve"> the</w:t>
      </w:r>
      <w:r w:rsidRPr="00C83EDC">
        <w:rPr>
          <w:lang w:val="en-GB"/>
        </w:rPr>
        <w:t xml:space="preserve"> AUC of PCA3 (0.61), the </w:t>
      </w:r>
      <w:r w:rsidRPr="00C83EDC">
        <w:rPr>
          <w:lang w:val="en-GB"/>
        </w:rPr>
        <w:lastRenderedPageBreak/>
        <w:t>multivariate analysis of the PSA values demonstrated that selected miRNAs, miR‑107 and miR‑141, did not outperform the PSA testing for cancer detection in the cohort of non-metastatic patients vs healthy controls</w:t>
      </w:r>
      <w:r w:rsidRPr="00C83EDC">
        <w:rPr>
          <w:lang w:val="en-GB"/>
        </w:rPr>
        <w:fldChar w:fldCharType="begin" w:fldLock="1"/>
      </w:r>
      <w:r w:rsidR="000C069C">
        <w:rPr>
          <w:lang w:val="en-GB"/>
        </w:rPr>
        <w:instrText>ADDIN CSL_CITATION {"citationItems":[{"id":"ITEM-1","itemData":{"DOI":"10.1038/bjc.2011.595","ISSN":"00070920","PMID":"22240788","abstract":"BACKGROUND: The aim of this study was to investigate the hypothesis that changes in circulating microRNAs (miRs) represent potentially useful biomarkers for the diagnosis, staging and prediction of outcome in prostate cancer. METHODS: Real-time polymerase chain reaction analysis of 742 miRs was performed using plasma-derived circulating microvesicles of 78 prostate cancer patients and 28 normal control individuals to identify differentially quantified miRs. RESULTS: A total of 12 miRs were differentially quantified in prostate cancer patients compared with controls, including 9 in patients without metastases. In all, 11 miRs were present in significantly greater amounts in prostate cancer patients with metastases compared with those without metastases. The association of miR-141 and miR-375 with metastatic prostate cancer was confirmed using serum-derived exosomes and microvesicles in a separate cohort of patients with recurrent or non-recurrent disease following radical prostatectomy. An analysis of five selected miRs in urine samples found that miR-107 and miR-574-3p were quantified at significantly higher concentrations in the urine of men with prostate cancer compared with controls. CONCLUSION: These observations suggest that changes in miR concentration in prostate cancer patients may be identified by analysing various body fluids. Moreover, circulating miRs may be used to diagnose and stage prostate cancer. © 2012 Cancer Research UK. All rights reserved.","author":[{"dropping-particle":"","family":"Bryant","given":"R. J.","non-dropping-particle":"","parse-names":false,"suffix":""},{"dropping-particle":"","family":"Pawlowski","given":"T.","non-dropping-particle":"","parse-names":false,"suffix":""},{"dropping-particle":"","family":"Catto","given":"J. W.F.","non-dropping-particle":"","parse-names":false,"suffix":""},{"dropping-particle":"","family":"Marsden","given":"G.","non-dropping-particle":"","parse-names":false,"suffix":""},{"dropping-particle":"","family":"Vessella","given":"R. L.","non-dropping-particle":"","parse-names":false,"suffix":""},{"dropping-particle":"","family":"Rhees","given":"B.","non-dropping-particle":"","parse-names":false,"suffix":""},{"dropping-particle":"","family":"Kuslich","given":"C.","non-dropping-particle":"","parse-names":false,"suffix":""},{"dropping-particle":"","family":"Visakorpi","given":"T.","non-dropping-particle":"","parse-names":false,"suffix":""},{"dropping-particle":"","family":"Hamdy","given":"F. C.","non-dropping-particle":"","parse-names":false,"suffix":""}],"container-title":"British Journal of Cancer","id":"ITEM-1","issue":"4","issued":{"date-parts":[["2012"]]},"page":"768-774","publisher":"Nature Publishing Group","title":"Changes in circulating microRNA levels associated with prostate cancer","type":"article-journal","volume":"106"},"uris":["http://www.mendeley.com/documents/?uuid=cd1ac726-23c5-4eb4-bc4c-8b910c4ca603"]}],"mendeley":{"formattedCitation":"&lt;sup&gt;107&lt;/sup&gt;","plainTextFormattedCitation":"107","previouslyFormattedCitation":"[107]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107</w:t>
      </w:r>
      <w:r w:rsidRPr="00C83EDC">
        <w:rPr>
          <w:lang w:val="en-GB"/>
        </w:rPr>
        <w:fldChar w:fldCharType="end"/>
      </w:r>
      <w:r w:rsidRPr="00C83EDC">
        <w:rPr>
          <w:lang w:val="en-GB"/>
        </w:rPr>
        <w:t xml:space="preserve">. In their comprehensive study, </w:t>
      </w:r>
      <w:proofErr w:type="spellStart"/>
      <w:r w:rsidRPr="00C83EDC">
        <w:rPr>
          <w:lang w:val="en-GB"/>
        </w:rPr>
        <w:t>Fredsøe</w:t>
      </w:r>
      <w:proofErr w:type="spellEnd"/>
      <w:r w:rsidRPr="00C83EDC">
        <w:rPr>
          <w:lang w:val="en-GB"/>
        </w:rPr>
        <w:t xml:space="preserve"> </w:t>
      </w:r>
      <w:r w:rsidRPr="00C83EDC">
        <w:rPr>
          <w:i/>
          <w:iCs/>
          <w:lang w:val="en-GB"/>
        </w:rPr>
        <w:t>et al.</w:t>
      </w:r>
      <w:r w:rsidRPr="00C83EDC">
        <w:rPr>
          <w:lang w:val="en-GB"/>
        </w:rPr>
        <w:t xml:space="preserve"> analysed the </w:t>
      </w:r>
      <w:r>
        <w:rPr>
          <w:lang w:val="en-GB"/>
        </w:rPr>
        <w:t xml:space="preserve">levels </w:t>
      </w:r>
      <w:r w:rsidRPr="00C83EDC">
        <w:rPr>
          <w:lang w:val="en-GB"/>
        </w:rPr>
        <w:t xml:space="preserve">of 92 miRNAs found in the </w:t>
      </w:r>
      <w:proofErr w:type="spellStart"/>
      <w:r w:rsidRPr="00C83EDC">
        <w:rPr>
          <w:lang w:val="en-GB"/>
        </w:rPr>
        <w:t>exosomal</w:t>
      </w:r>
      <w:proofErr w:type="spellEnd"/>
      <w:r w:rsidRPr="00C83EDC">
        <w:rPr>
          <w:lang w:val="en-GB"/>
        </w:rPr>
        <w:t xml:space="preserve"> fraction of urine samples from BPH individuals and clinically localized </w:t>
      </w:r>
      <w:proofErr w:type="spellStart"/>
      <w:r w:rsidRPr="00C83EDC">
        <w:rPr>
          <w:lang w:val="en-GB"/>
        </w:rPr>
        <w:t>PCa</w:t>
      </w:r>
      <w:proofErr w:type="spellEnd"/>
      <w:r w:rsidRPr="00C83EDC">
        <w:rPr>
          <w:lang w:val="en-GB"/>
        </w:rPr>
        <w:t xml:space="preserve"> patients. They discovered and subsequently validated six </w:t>
      </w:r>
      <w:r>
        <w:rPr>
          <w:lang w:val="en-GB"/>
        </w:rPr>
        <w:t>elevated</w:t>
      </w:r>
      <w:r w:rsidRPr="00C83EDC">
        <w:rPr>
          <w:lang w:val="en-GB"/>
        </w:rPr>
        <w:t xml:space="preserve"> mi</w:t>
      </w:r>
      <w:r>
        <w:rPr>
          <w:lang w:val="en-GB"/>
        </w:rPr>
        <w:t>R</w:t>
      </w:r>
      <w:r w:rsidRPr="00C83EDC">
        <w:rPr>
          <w:lang w:val="en-GB"/>
        </w:rPr>
        <w:t>NAs and 22 miRNAs</w:t>
      </w:r>
      <w:r>
        <w:rPr>
          <w:lang w:val="en-GB"/>
        </w:rPr>
        <w:t xml:space="preserve"> with low levels</w:t>
      </w:r>
      <w:r w:rsidRPr="00C83EDC">
        <w:rPr>
          <w:lang w:val="en-GB"/>
        </w:rPr>
        <w:t xml:space="preserve"> in</w:t>
      </w:r>
      <w:r>
        <w:rPr>
          <w:lang w:val="en-GB"/>
        </w:rPr>
        <w:t xml:space="preserve"> the</w:t>
      </w:r>
      <w:r w:rsidRPr="00C83EDC">
        <w:rPr>
          <w:lang w:val="en-GB"/>
        </w:rPr>
        <w:t xml:space="preserve"> </w:t>
      </w:r>
      <w:proofErr w:type="spellStart"/>
      <w:r w:rsidRPr="00C83EDC">
        <w:rPr>
          <w:lang w:val="en-GB"/>
        </w:rPr>
        <w:t>PCa</w:t>
      </w:r>
      <w:proofErr w:type="spellEnd"/>
      <w:r w:rsidRPr="00C83EDC">
        <w:rPr>
          <w:lang w:val="en-GB"/>
        </w:rPr>
        <w:t xml:space="preserve"> group relative to BPH. The diagnostic capacity of individual top ten miRNAs ranged in values of AUC 0.67–0.97 and </w:t>
      </w:r>
      <w:r>
        <w:rPr>
          <w:lang w:val="en-GB"/>
        </w:rPr>
        <w:t xml:space="preserve">the </w:t>
      </w:r>
      <w:r w:rsidRPr="00C83EDC">
        <w:rPr>
          <w:lang w:val="en-GB"/>
        </w:rPr>
        <w:t xml:space="preserve">three-miRNA classifier (miR‑222‑3p, miR‑24‑3p and miR‑30c‑5p) showed high diagnostic accuracy (AUC=0.89) for discrimination between BPH and </w:t>
      </w:r>
      <w:proofErr w:type="spellStart"/>
      <w:r w:rsidRPr="00C83EDC">
        <w:rPr>
          <w:lang w:val="en-GB"/>
        </w:rPr>
        <w:t>PCa</w:t>
      </w:r>
      <w:proofErr w:type="spellEnd"/>
      <w:r w:rsidRPr="00C83EDC">
        <w:rPr>
          <w:lang w:val="en-GB"/>
        </w:rPr>
        <w:t xml:space="preserve"> in the validation cohort</w:t>
      </w:r>
      <w:r w:rsidRPr="00C83EDC">
        <w:rPr>
          <w:lang w:val="en-GB"/>
        </w:rPr>
        <w:fldChar w:fldCharType="begin" w:fldLock="1"/>
      </w:r>
      <w:r w:rsidR="000C069C">
        <w:rPr>
          <w:lang w:val="en-GB"/>
        </w:rPr>
        <w:instrText>ADDIN CSL_CITATION {"citationItems":[{"id":"ITEM-1","itemData":{"DOI":"10.1016/j.euf.2017.02.018","ISSN":"24054569","abstract":"Background: Widespread use of prostate-specific antigen (PSA) testing for prostate cancer (PC) detection has led to extensive overdiagnosis and overtreatment. Urine-based microRNA (miRNA) biomarkers could be useful in PC diagnosis and prognosis. Objective: To train and validate urine-based microRNA (miRNA) biomarkers that may assist in PC diagnosis and prognosis. Design, setting, and participants: We profiled the expression levels of 92 miRNAs via reverse transcriptase–poymerase chain reaction in cell-free urine samples from 29 patients with benign prostatic hyperplasia (BPH) and 215 patients with clinically localized PC (cohort 1). Our findings were validated in an independent cohort of 29 BPH patients and 220 patients with clinically localized PC (cohort 2). Results and limitations: We identified and validated several deregulated miRNAs in urine samples from PC patients. In addition, we trained a novel diagnostic three-miRNA model (miR-222-3p*miR-24-3p/miR-30c-5p) that distinguished BPH and PC patients with an area under the curve (AUC) of 0.95 in cohort 1, and was successfully validated in cohort 2 (AUC 0.89). Furthermore, we trained a novel prognostic three-miRNA model (miR-125b-5p*let-7a-5p/miR-151-5p) that predicted time to biochemical recurrence after radical prostatectomy independently of routine clinicopathological parameters in cohort 1, and was successfully validated in cohort 2. Conclusions: Future clinical implementation of our novel diagnostic and prognostic three-miRNA signatures could help in primary diagnosis of PC and guide treatment decisions. Further validation studies are warranted. Patient summary: Using two large patient cohorts, we searched for novel prostate cancer biomarkers in urine. We found two new sets of microRNA biomarkers in urine that could accurately predict the presence of prostate cancer and the likelihood of recurrence after prostatectomy. Further studies are needed before an actual clinical test can be developed.","author":[{"dropping-particle":"","family":"Fredsøe","given":"Jacob","non-dropping-particle":"","parse-names":false,"suffix":""},{"dropping-particle":"","family":"Rasmussen","given":"Anne K.I.","non-dropping-particle":"","parse-names":false,"suffix":""},{"dropping-particle":"","family":"Thomsen","given":"Anni R.","non-dropping-particle":"","parse-names":false,"suffix":""},{"dropping-particle":"","family":"Mouritzen","given":"Peter","non-dropping-particle":"","parse-names":false,"suffix":""},{"dropping-particle":"","family":"Høyer","given":"Søren","non-dropping-particle":"","parse-names":false,"suffix":""},{"dropping-particle":"","family":"Borre","given":"Michael","non-dropping-particle":"","parse-names":false,"suffix":""},{"dropping-particle":"","family":"Ørntoft","given":"Torben F.","non-dropping-particle":"","parse-names":false,"suffix":""},{"dropping-particle":"","family":"Sørensen","given":"Karina D.","non-dropping-particle":"","parse-names":false,"suffix":""}],"container-title":"European Urology Focus","id":"ITEM-1","issue":"6","issued":{"date-parts":[["2018"]]},"page":"825-833","publisher":"European Association of Urology","title":"Diagnostic and Prognostic MicroRNA Biomarkers for Prostate Cancer in Cell-free Urine","type":"article-journal","volume":"4"},"uris":["http://www.mendeley.com/documents/?uuid=afd88176-225e-49c7-a016-a17fb6df68c7"]}],"mendeley":{"formattedCitation":"&lt;sup&gt;108&lt;/sup&gt;","plainTextFormattedCitation":"108","previouslyFormattedCitation":"[108]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108</w:t>
      </w:r>
      <w:r w:rsidRPr="00C83EDC">
        <w:rPr>
          <w:lang w:val="en-GB"/>
        </w:rPr>
        <w:fldChar w:fldCharType="end"/>
      </w:r>
      <w:r w:rsidRPr="00C83EDC">
        <w:rPr>
          <w:lang w:val="en-GB"/>
        </w:rPr>
        <w:t xml:space="preserve">. </w:t>
      </w:r>
      <w:proofErr w:type="spellStart"/>
      <w:r w:rsidRPr="00C83EDC">
        <w:rPr>
          <w:lang w:val="en-GB"/>
        </w:rPr>
        <w:t>Korzeniewski</w:t>
      </w:r>
      <w:proofErr w:type="spellEnd"/>
      <w:r w:rsidRPr="00C83EDC">
        <w:rPr>
          <w:lang w:val="en-GB"/>
        </w:rPr>
        <w:t xml:space="preserve"> </w:t>
      </w:r>
      <w:r w:rsidRPr="005A667C">
        <w:rPr>
          <w:i/>
          <w:iCs/>
          <w:lang w:val="en-GB"/>
        </w:rPr>
        <w:t>et al</w:t>
      </w:r>
      <w:r>
        <w:rPr>
          <w:lang w:val="en-GB"/>
        </w:rPr>
        <w:t>.</w:t>
      </w:r>
      <w:r w:rsidRPr="00C83EDC">
        <w:rPr>
          <w:lang w:val="en-GB"/>
        </w:rPr>
        <w:t xml:space="preserve"> were among the first to show that miRNAs can be detected in the exosome-independent fraction of the urine supernatant collected from </w:t>
      </w:r>
      <w:proofErr w:type="spellStart"/>
      <w:r w:rsidRPr="00C83EDC">
        <w:rPr>
          <w:lang w:val="en-GB"/>
        </w:rPr>
        <w:t>PCa</w:t>
      </w:r>
      <w:proofErr w:type="spellEnd"/>
      <w:r w:rsidRPr="00C83EDC">
        <w:rPr>
          <w:lang w:val="en-GB"/>
        </w:rPr>
        <w:t xml:space="preserve"> patients. Although they found a significant association of elevated levels of miR‑483</w:t>
      </w:r>
      <w:r>
        <w:rPr>
          <w:lang w:val="en-GB"/>
        </w:rPr>
        <w:t>‑5p</w:t>
      </w:r>
      <w:r w:rsidRPr="00C83EDC">
        <w:rPr>
          <w:lang w:val="en-GB"/>
        </w:rPr>
        <w:t xml:space="preserve"> in the urine of men with </w:t>
      </w:r>
      <w:proofErr w:type="spellStart"/>
      <w:r w:rsidRPr="00C83EDC">
        <w:rPr>
          <w:lang w:val="en-GB"/>
        </w:rPr>
        <w:t>PCa</w:t>
      </w:r>
      <w:proofErr w:type="spellEnd"/>
      <w:r w:rsidRPr="00C83EDC">
        <w:rPr>
          <w:lang w:val="en-GB"/>
        </w:rPr>
        <w:t xml:space="preserve"> compared to the control group, the PSA levels performed better in the disease detection (AUC = 0.81) than </w:t>
      </w:r>
      <w:r>
        <w:rPr>
          <w:lang w:val="en-GB"/>
        </w:rPr>
        <w:t>miR‑</w:t>
      </w:r>
      <w:r w:rsidRPr="00C83EDC">
        <w:rPr>
          <w:lang w:val="en-GB"/>
        </w:rPr>
        <w:t>483</w:t>
      </w:r>
      <w:r>
        <w:rPr>
          <w:lang w:val="en-GB"/>
        </w:rPr>
        <w:t>‑5p</w:t>
      </w:r>
      <w:r w:rsidRPr="00C83EDC">
        <w:rPr>
          <w:lang w:val="en-GB"/>
        </w:rPr>
        <w:t xml:space="preserve"> (AUC</w:t>
      </w:r>
      <w:r>
        <w:rPr>
          <w:lang w:val="en-GB"/>
        </w:rPr>
        <w:t> </w:t>
      </w:r>
      <w:r w:rsidRPr="00C83EDC">
        <w:rPr>
          <w:lang w:val="en-GB"/>
        </w:rPr>
        <w:t>= 0.69)</w:t>
      </w:r>
      <w:r w:rsidRPr="00C83EDC">
        <w:rPr>
          <w:lang w:val="en-GB"/>
        </w:rPr>
        <w:fldChar w:fldCharType="begin" w:fldLock="1"/>
      </w:r>
      <w:r w:rsidR="000C069C">
        <w:rPr>
          <w:lang w:val="en-GB"/>
        </w:rPr>
        <w:instrText>ADDIN CSL_CITATION {"citationItems":[{"id":"ITEM-1","itemData":{"DOI":"10.1016/j.urolonc.2014.09.015","ISSN":"18732496","abstract":"Objectives: Current methods for the early detection of prostate cancer (PCa), in particular prostate-specific antigen screening, are likely to benefit from complementary molecular analyses to enhance specificity. MicroRNAs (miRNA) are small endogenously expressed noncoding RNAs that negatively regulate the expression of protein-coding genes at the transcriptional or translational level. Accumulating evidence suggests that miRNAs play an important role in tumorigenesis, are differentially expressed in different cancer types, and can be found in all bodily fluids so-far tested, including urine. Methods and Materials: This study was undertaken to determine if miRNA could be isolated from the cell-free fraction of freely voided urine of PCa patients and if a miRNA signature could be found that would identify patients with cancer. Results: In a first set of proof-of-concept experiments, we isolated RNA from the supernatant of cultured PCa cells, as well as cellular RNA, and compared the expression of cell-free miRNAs vs. cellular miRNAs. We identified miRNA-483-5p, miRNA-1275, and miRNA-1290 among the most abundant cell-free miRNAs. We then tested the expression of these miRNAs in patient urine samples. A total of 18 patients without detectable PCa by transperineal template-saturation biopsy and 71 patients with diagnosed biopsy-proven PCa were retrospectively analyzed. We could confirm that cell-free miRNAs found in cultures of PCa cells can in fact be isolated from freely voided patients[U+05F3] urine. Furthermore, we found that patients with PCa express miR-483-5p in the cell-free urine fraction at a higher level than control patients do. Conclusions: The present study is among the first to show that miRNAs can be detected in the cell-free, non-exosome-enriched fraction of urine collected from patients with PCa. As the method used here does not require isolation of exosomes, it could potentially simplify the future use of miRNAs as urine-based biomarkers.","author":[{"dropping-particle":"","family":"Korzeniewski","given":"Nina","non-dropping-particle":"","parse-names":false,"suffix":""},{"dropping-particle":"","family":"Tosev","given":"Georgi","non-dropping-particle":"","parse-names":false,"suffix":""},{"dropping-particle":"","family":"Pahernik","given":"Sascha","non-dropping-particle":"","parse-names":false,"suffix":""},{"dropping-particle":"","family":"Hadaschik","given":"Boris","non-dropping-particle":"","parse-names":false,"suffix":""},{"dropping-particle":"","family":"Hohenfellner","given":"Markus","non-dropping-particle":"","parse-names":false,"suffix":""},{"dropping-particle":"","family":"Duensing","given":"Stefan","non-dropping-particle":"","parse-names":false,"suffix":""}],"container-title":"Urologic Oncology: Seminars and Original Investigations","id":"ITEM-1","issue":"1","issued":{"date-parts":[["2015"]]},"page":"16.e17-16.e22","publisher":"Elsevier Inc.","title":"Identification of cell-free microRNAs in the urine of patients with prostate cancer","type":"article-journal","volume":"33"},"uris":["http://www.mendeley.com/documents/?uuid=433ae26e-6c34-4fd6-84ce-c31c6771f765"]}],"mendeley":{"formattedCitation":"&lt;sup&gt;109&lt;/sup&gt;","plainTextFormattedCitation":"109","previouslyFormattedCitation":"[109]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109</w:t>
      </w:r>
      <w:r w:rsidRPr="00C83EDC">
        <w:rPr>
          <w:lang w:val="en-GB"/>
        </w:rPr>
        <w:fldChar w:fldCharType="end"/>
      </w:r>
      <w:r w:rsidRPr="00C83EDC">
        <w:rPr>
          <w:lang w:val="en-GB"/>
        </w:rPr>
        <w:t xml:space="preserve">. </w:t>
      </w:r>
    </w:p>
    <w:p w14:paraId="1EECCEDE" w14:textId="77777777" w:rsidR="00EE7EB3" w:rsidRDefault="00EE7EB3" w:rsidP="00EE7EB3">
      <w:pPr>
        <w:pStyle w:val="Odstavec1"/>
        <w:rPr>
          <w:lang w:val="en-GB"/>
        </w:rPr>
      </w:pPr>
      <w:r w:rsidRPr="00C83EDC">
        <w:rPr>
          <w:lang w:val="en-GB"/>
        </w:rPr>
        <w:t xml:space="preserve">Nonetheless, the number of dysregulated miRNAs identified in both tissue and body fluids </w:t>
      </w:r>
      <w:r>
        <w:rPr>
          <w:lang w:val="en-GB"/>
        </w:rPr>
        <w:t>which</w:t>
      </w:r>
      <w:r w:rsidRPr="00C83EDC">
        <w:rPr>
          <w:lang w:val="en-GB"/>
        </w:rPr>
        <w:t xml:space="preserve"> have been validated and showed good clinical performance </w:t>
      </w:r>
      <w:r w:rsidRPr="00EF3D19">
        <w:rPr>
          <w:lang w:val="en-GB"/>
        </w:rPr>
        <w:t xml:space="preserve">(Tables </w:t>
      </w:r>
      <w:r>
        <w:rPr>
          <w:lang w:val="en-GB"/>
        </w:rPr>
        <w:t>V</w:t>
      </w:r>
      <w:r w:rsidRPr="00EF3D19">
        <w:rPr>
          <w:lang w:val="en-GB"/>
        </w:rPr>
        <w:t xml:space="preserve"> and </w:t>
      </w:r>
      <w:r>
        <w:rPr>
          <w:lang w:val="en-GB"/>
        </w:rPr>
        <w:t>VI</w:t>
      </w:r>
      <w:r w:rsidRPr="00EF3D19">
        <w:rPr>
          <w:lang w:val="en-GB"/>
        </w:rPr>
        <w:t>)</w:t>
      </w:r>
      <w:r w:rsidRPr="00C83EDC">
        <w:rPr>
          <w:lang w:val="en-GB"/>
        </w:rPr>
        <w:t xml:space="preserve"> demonstrate</w:t>
      </w:r>
      <w:r>
        <w:rPr>
          <w:lang w:val="en-GB"/>
        </w:rPr>
        <w:t>s that</w:t>
      </w:r>
      <w:r w:rsidRPr="00C83EDC">
        <w:rPr>
          <w:lang w:val="en-GB"/>
        </w:rPr>
        <w:t xml:space="preserve"> miRNAs have a great capacity to reflect the pathological changes in prostate tissue and could be the key to more accurate prostate cancer diagnosis</w:t>
      </w:r>
      <w:r>
        <w:rPr>
          <w:lang w:val="en-GB"/>
        </w:rPr>
        <w:t xml:space="preserve"> or prognosis</w:t>
      </w:r>
      <w:r w:rsidRPr="00C83EDC">
        <w:rPr>
          <w:lang w:val="en-GB"/>
        </w:rPr>
        <w:t>.</w:t>
      </w:r>
    </w:p>
    <w:p w14:paraId="7DC8E101" w14:textId="4893BA38" w:rsidR="00EE7EB3" w:rsidRPr="00C83EDC" w:rsidRDefault="00EE7EB3" w:rsidP="00EE7EB3">
      <w:pPr>
        <w:pStyle w:val="Titulektabulky"/>
        <w:jc w:val="left"/>
        <w:rPr>
          <w:lang w:val="en-GB"/>
        </w:rPr>
      </w:pPr>
      <w:bookmarkStart w:id="47" w:name="_Toc47541138"/>
      <w:r w:rsidRPr="00C83EDC">
        <w:rPr>
          <w:lang w:val="en-GB"/>
        </w:rPr>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V</w:t>
      </w:r>
      <w:r>
        <w:rPr>
          <w:noProof/>
          <w:lang w:val="en-GB"/>
        </w:rPr>
        <w:fldChar w:fldCharType="end"/>
      </w:r>
      <w:r w:rsidRPr="00C83EDC">
        <w:rPr>
          <w:lang w:val="en-GB"/>
        </w:rPr>
        <w:t>.</w:t>
      </w:r>
      <w:r>
        <w:rPr>
          <w:lang w:val="en-GB"/>
        </w:rPr>
        <w:t xml:space="preserve"> </w:t>
      </w:r>
      <w:r w:rsidRPr="00C83EDC">
        <w:rPr>
          <w:b w:val="0"/>
          <w:bCs w:val="0"/>
          <w:lang w:val="en-GB"/>
        </w:rPr>
        <w:t>An overview of miRNAs with diagnostic potential for prostate cancer detection</w:t>
      </w:r>
      <w:bookmarkEnd w:id="47"/>
      <w:r>
        <w:rPr>
          <w:b w:val="0"/>
          <w:bCs w:val="0"/>
          <w:lang w:val="en-GB"/>
        </w:rPr>
        <w:t>.</w:t>
      </w:r>
    </w:p>
    <w:tbl>
      <w:tblPr>
        <w:tblStyle w:val="Tabulkasmkou4zvraznn3"/>
        <w:tblW w:w="9486" w:type="dxa"/>
        <w:tblLook w:val="0720" w:firstRow="1" w:lastRow="0" w:firstColumn="0" w:lastColumn="1" w:noHBand="1" w:noVBand="1"/>
      </w:tblPr>
      <w:tblGrid>
        <w:gridCol w:w="1402"/>
        <w:gridCol w:w="398"/>
        <w:gridCol w:w="2073"/>
        <w:gridCol w:w="1669"/>
        <w:gridCol w:w="590"/>
        <w:gridCol w:w="590"/>
        <w:gridCol w:w="1304"/>
        <w:gridCol w:w="1460"/>
      </w:tblGrid>
      <w:tr w:rsidR="00EE7EB3" w:rsidRPr="00784B41" w14:paraId="496A9BF3"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1402" w:type="dxa"/>
            <w:shd w:val="clear" w:color="auto" w:fill="E7E6E6" w:themeFill="background2"/>
            <w:vAlign w:val="center"/>
          </w:tcPr>
          <w:p w14:paraId="1E6CD2B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Biomarker</w:t>
            </w:r>
          </w:p>
        </w:tc>
        <w:tc>
          <w:tcPr>
            <w:tcW w:w="398" w:type="dxa"/>
            <w:shd w:val="clear" w:color="auto" w:fill="E7E6E6" w:themeFill="background2"/>
            <w:vAlign w:val="center"/>
          </w:tcPr>
          <w:p w14:paraId="4FDC4098" w14:textId="77777777" w:rsidR="00EE7EB3" w:rsidRPr="00784B41" w:rsidRDefault="00EE7EB3" w:rsidP="00F233D4">
            <w:pPr>
              <w:jc w:val="center"/>
              <w:rPr>
                <w:rFonts w:ascii="Cambria" w:hAnsi="Cambria" w:cs="Calibri"/>
                <w:color w:val="3B3838" w:themeColor="background2" w:themeShade="40"/>
                <w:sz w:val="20"/>
                <w:szCs w:val="20"/>
              </w:rPr>
            </w:pPr>
          </w:p>
        </w:tc>
        <w:tc>
          <w:tcPr>
            <w:tcW w:w="2073" w:type="dxa"/>
            <w:shd w:val="clear" w:color="auto" w:fill="E7E6E6" w:themeFill="background2"/>
            <w:vAlign w:val="center"/>
          </w:tcPr>
          <w:p w14:paraId="4FA6F51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Sample</w:t>
            </w:r>
          </w:p>
        </w:tc>
        <w:tc>
          <w:tcPr>
            <w:tcW w:w="1669" w:type="dxa"/>
            <w:shd w:val="clear" w:color="auto" w:fill="E7E6E6" w:themeFill="background2"/>
            <w:vAlign w:val="center"/>
          </w:tcPr>
          <w:p w14:paraId="53144B9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Case/control</w:t>
            </w:r>
          </w:p>
        </w:tc>
        <w:tc>
          <w:tcPr>
            <w:tcW w:w="590" w:type="dxa"/>
            <w:shd w:val="clear" w:color="auto" w:fill="E7E6E6" w:themeFill="background2"/>
            <w:vAlign w:val="center"/>
          </w:tcPr>
          <w:p w14:paraId="4CA4C575" w14:textId="77777777" w:rsidR="00EE7EB3" w:rsidRPr="00784B41" w:rsidRDefault="00EE7EB3" w:rsidP="00F233D4">
            <w:pPr>
              <w:jc w:val="center"/>
              <w:rPr>
                <w:rFonts w:ascii="Cambria" w:hAnsi="Cambria" w:cs="Calibri"/>
                <w:b w:val="0"/>
                <w:bCs w:val="0"/>
                <w:color w:val="3B3838" w:themeColor="background2" w:themeShade="40"/>
                <w:sz w:val="20"/>
                <w:szCs w:val="20"/>
              </w:rPr>
            </w:pPr>
            <w:r w:rsidRPr="00784B41">
              <w:rPr>
                <w:rFonts w:ascii="Cambria" w:hAnsi="Cambria" w:cs="Calibri"/>
                <w:color w:val="3B3838" w:themeColor="background2" w:themeShade="40"/>
                <w:sz w:val="20"/>
                <w:szCs w:val="20"/>
              </w:rPr>
              <w:t>SE %</w:t>
            </w:r>
          </w:p>
        </w:tc>
        <w:tc>
          <w:tcPr>
            <w:tcW w:w="590" w:type="dxa"/>
            <w:shd w:val="clear" w:color="auto" w:fill="E7E6E6" w:themeFill="background2"/>
            <w:vAlign w:val="center"/>
          </w:tcPr>
          <w:p w14:paraId="6837FF08" w14:textId="77777777" w:rsidR="00EE7EB3" w:rsidRPr="00784B41" w:rsidRDefault="00EE7EB3" w:rsidP="00F233D4">
            <w:pPr>
              <w:jc w:val="center"/>
              <w:rPr>
                <w:rFonts w:ascii="Cambria" w:hAnsi="Cambria" w:cs="Calibri"/>
                <w:b w:val="0"/>
                <w:bCs w:val="0"/>
                <w:color w:val="3B3838" w:themeColor="background2" w:themeShade="40"/>
                <w:sz w:val="20"/>
                <w:szCs w:val="20"/>
              </w:rPr>
            </w:pPr>
            <w:r w:rsidRPr="00784B41">
              <w:rPr>
                <w:rFonts w:ascii="Cambria" w:hAnsi="Cambria" w:cs="Calibri"/>
                <w:color w:val="3B3838" w:themeColor="background2" w:themeShade="40"/>
                <w:sz w:val="20"/>
                <w:szCs w:val="20"/>
              </w:rPr>
              <w:t>SP %</w:t>
            </w:r>
          </w:p>
        </w:tc>
        <w:tc>
          <w:tcPr>
            <w:tcW w:w="1304" w:type="dxa"/>
            <w:shd w:val="clear" w:color="auto" w:fill="E7E6E6" w:themeFill="background2"/>
            <w:vAlign w:val="center"/>
          </w:tcPr>
          <w:p w14:paraId="473FB477" w14:textId="77777777" w:rsidR="00EE7EB3" w:rsidRPr="00E301E1" w:rsidRDefault="00EE7EB3" w:rsidP="00F233D4">
            <w:pPr>
              <w:jc w:val="center"/>
              <w:rPr>
                <w:rFonts w:ascii="Cambria" w:hAnsi="Cambria" w:cs="Calibri"/>
                <w:b w:val="0"/>
                <w:bCs w:val="0"/>
                <w:color w:val="3B3838" w:themeColor="background2" w:themeShade="40"/>
                <w:sz w:val="20"/>
                <w:szCs w:val="20"/>
              </w:rPr>
            </w:pPr>
            <w:r w:rsidRPr="00784B41">
              <w:rPr>
                <w:rFonts w:ascii="Cambria" w:hAnsi="Cambria" w:cs="Calibri"/>
                <w:color w:val="3B3838" w:themeColor="background2" w:themeShade="40"/>
                <w:sz w:val="20"/>
                <w:szCs w:val="20"/>
              </w:rPr>
              <w:t>AUC</w:t>
            </w:r>
          </w:p>
        </w:tc>
        <w:tc>
          <w:tcPr>
            <w:cnfStyle w:val="000100000000" w:firstRow="0" w:lastRow="0" w:firstColumn="0" w:lastColumn="1" w:oddVBand="0" w:evenVBand="0" w:oddHBand="0" w:evenHBand="0" w:firstRowFirstColumn="0" w:firstRowLastColumn="0" w:lastRowFirstColumn="0" w:lastRowLastColumn="0"/>
            <w:tcW w:w="1460" w:type="dxa"/>
            <w:shd w:val="clear" w:color="auto" w:fill="E7E6E6" w:themeFill="background2"/>
            <w:vAlign w:val="center"/>
          </w:tcPr>
          <w:p w14:paraId="71FB1BE9"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R</w:t>
            </w:r>
            <w:r>
              <w:rPr>
                <w:rFonts w:ascii="Cambria" w:hAnsi="Cambria" w:cs="Calibri"/>
                <w:color w:val="3B3838" w:themeColor="background2" w:themeShade="40"/>
                <w:sz w:val="20"/>
                <w:szCs w:val="20"/>
              </w:rPr>
              <w:t>ef.</w:t>
            </w:r>
          </w:p>
        </w:tc>
      </w:tr>
      <w:tr w:rsidR="00EE7EB3" w:rsidRPr="00784B41" w14:paraId="26A2C664" w14:textId="77777777" w:rsidTr="00F233D4">
        <w:trPr>
          <w:trHeight w:val="340"/>
        </w:trPr>
        <w:tc>
          <w:tcPr>
            <w:tcW w:w="1402" w:type="dxa"/>
            <w:vAlign w:val="center"/>
          </w:tcPr>
          <w:p w14:paraId="19ED9F1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205</w:t>
            </w:r>
          </w:p>
        </w:tc>
        <w:tc>
          <w:tcPr>
            <w:tcW w:w="398" w:type="dxa"/>
            <w:vAlign w:val="center"/>
          </w:tcPr>
          <w:p w14:paraId="4BFDA2E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restart"/>
            <w:vAlign w:val="center"/>
          </w:tcPr>
          <w:p w14:paraId="5C5E63EF" w14:textId="270BFE29"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t</w:t>
            </w:r>
            <w:r w:rsidR="00EE7EB3" w:rsidRPr="00784B41">
              <w:rPr>
                <w:rFonts w:ascii="Cambria" w:hAnsi="Cambria" w:cs="Calibri"/>
                <w:color w:val="3B3838" w:themeColor="background2" w:themeShade="40"/>
                <w:sz w:val="20"/>
                <w:szCs w:val="20"/>
              </w:rPr>
              <w:t>issue (FFPE)</w:t>
            </w:r>
          </w:p>
        </w:tc>
        <w:tc>
          <w:tcPr>
            <w:tcW w:w="1669" w:type="dxa"/>
            <w:vMerge w:val="restart"/>
            <w:vAlign w:val="center"/>
          </w:tcPr>
          <w:p w14:paraId="2C2CABA1" w14:textId="77777777" w:rsidR="00EE7EB3"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40 paired </w:t>
            </w:r>
            <w:proofErr w:type="spellStart"/>
            <w:r w:rsidRPr="00784B41">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p>
          <w:p w14:paraId="48C1173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adjacent non-cancer tissue</w:t>
            </w:r>
          </w:p>
        </w:tc>
        <w:tc>
          <w:tcPr>
            <w:tcW w:w="590" w:type="dxa"/>
            <w:vAlign w:val="center"/>
          </w:tcPr>
          <w:p w14:paraId="32A500CF"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7F1CDEE3"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119F949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0.83</w:t>
            </w: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321339F2" w14:textId="11773AD9"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{"citationItems":[{"id":"ITEM-1","itemData":{"DOI":"10.1371/journal.pone.0076994","ISSN":"19326203","abstract":"Prostate cancer (PCa) is the most common type of cancer in men in the United States, which disproportionately affects African American descents. While metastasis is the most common cause of death among PCa patients, no specific markers have been assigned to severity and ethnic biasness of the disease. MicroRNAs represent a promising new class of biomarkers owing to their inherent stability and resilience. In the present study, we investigated potential miRNAs that can be used as biomarkers and/or therapeutic targets and can provide insight into the severity and ethnic biasness of PCa. PCR array was performed in FFPE PCa tissues (5 Caucasian American and 5 African American) and selected differentially expressed miRNAs were validated by qRT-PCR, in 40 (15 CA and 25 AA) paired PCa and adjacent normal tissues. Significantly deregulated miRNAs were also analyzed in urine samples to explore their potential as non-invasive biomarker for PCa. Out of 8 miRNAs selected for validation from PCR array data, miR-205 (p&lt;0.0001), mir-214 (p&lt;0.0001), miR-221(p&lt;0.001) and miR-99b (p&lt;0.0001) were significantly downregulated in PCa tissues. ROC curve shows that all four miRNAs successfully discriminated between PCa and adjacent normal tissues. MiR-99b showed significant down regulation (p&lt;0.01) in AA PCa tissues as compared to CA PCa tissues and might be related to the aggressiveness associated with AA population. In urine, miR-205 (p&lt;0.05) and miR-214 (p&lt;0.05) were significantly downregulated in PCa patients and can discriminate PCa patients from healthy individuals with 89% sensitivity and 80% specificity. In conclusion, present study showed that miR-205 and miR-214 are downregulated in PCa and may serve as potential non-invasive molecular biomarker for PCa.","author":[{"dropping-particle":"","family":"Srivastava","given":"Anvesha","non-dropping-particle":"","parse-names":false,"suffix":""},{"dropping-particle":"","family":"Goldberger","given":"Helle","non-dropping-particle":"","parse-names":false,"suffix":""},{"dropping-particle":"","family":"Dimtchev","given":"Alexander","non-dropping-particle":"","parse-names":false,"suffix":""},{"dropping-particle":"","family":"Ramalinga","given":"Malathi","non-dropping-particle":"","parse-names":false,"suffix":""},{"dropping-particle":"","family":"Chijioke","given":"Juliet","non-dropping-particle":"","parse-names":false,"suffix":""},{"dropping-particle":"","family":"Marian","given":"Catalin","non-dropping-particle":"","parse-names":false,"suffix":""},{"dropping-particle":"","family":"Oermann","given":"Eric K.","non-dropping-particle":"","parse-names":false,"suffix":""},{"dropping-particle":"","family":"Uhm","given":"Sunghae","non-dropping-particle":"","parse-names":false,"suffix":""},{"dropping-particle":"","family":"Kim","given":"Joy S.","non-dropping-particle":"","parse-names":false,"suffix":""},{"dropping-particle":"","family":"Chen","given":"Leonard N.","non-dropping-particle":"","parse-names":false,"suffix":""},{"dropping-particle":"","family":"Li","given":"Xin","non-dropping-particle":"","parse-names":false,"suffix":""},{"dropping-particle":"","family":"Berry","given":"Deborah L.","non-dropping-particle":"","parse-names":false,"suffix":""},{"dropping-particle":"","family":"Kallakury","given":"Bhaskar V.S.","non-dropping-particle":"","parse-names":false,"suffix":""},{"dropping-particle":"","family":"Chauhan","given":"Subhash C.","non-dropping-particle":"","parse-names":false,"suffix":""},{"dropping-particle":"","family":"Collins","given":"Sean P.","non-dropping-particle":"","parse-names":false,"suffix":""},{"dropping-particle":"","family":"Suy","given":"Simeng","non-dropping-particle":"","parse-names":false,"suffix":""},{"dropping-particle":"","family":"Kumar","given":"Deepak","non-dropping-particle":"","parse-names":false,"suffix":""}],"container-title":"PLoS ONE","id":"ITEM-1","issue":"10","issued":{"date-parts":[["2013"]]},"title":"MicroRNA Profiling in Prostate Cancer - The Diagnostic Potential of Urinary miR-205 and miR-214","type":"article-journal","volume":"8"},"uris":["http://www.mendeley.com/documents/?uuid=37f307e6-0089-4a6f-8f64-00e07c1cc11a"]}],"mendeley":{"formattedCitation":"&lt;sup&gt;100&lt;/sup&gt;","plainTextFormattedCitation":"100","previouslyFormattedCitation":"[100]"},"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100</w:t>
            </w:r>
            <w:r w:rsidRPr="00784B41">
              <w:rPr>
                <w:rFonts w:cs="Calibri"/>
                <w:color w:val="3B3838" w:themeColor="background2" w:themeShade="40"/>
                <w:sz w:val="20"/>
                <w:szCs w:val="20"/>
              </w:rPr>
              <w:fldChar w:fldCharType="end"/>
            </w:r>
          </w:p>
        </w:tc>
      </w:tr>
      <w:tr w:rsidR="00EE7EB3" w:rsidRPr="00784B41" w14:paraId="4163B936" w14:textId="77777777" w:rsidTr="00F233D4">
        <w:trPr>
          <w:trHeight w:val="340"/>
        </w:trPr>
        <w:tc>
          <w:tcPr>
            <w:tcW w:w="1402" w:type="dxa"/>
            <w:vAlign w:val="center"/>
          </w:tcPr>
          <w:p w14:paraId="4DA1BD2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214</w:t>
            </w:r>
          </w:p>
        </w:tc>
        <w:tc>
          <w:tcPr>
            <w:tcW w:w="398" w:type="dxa"/>
            <w:vAlign w:val="center"/>
          </w:tcPr>
          <w:p w14:paraId="50E1437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6CE56FE9"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39033561"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4B23AE44"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32E1535A"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094765B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0.92</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1315AB92"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31501043" w14:textId="77777777" w:rsidTr="00F233D4">
        <w:trPr>
          <w:trHeight w:val="340"/>
        </w:trPr>
        <w:tc>
          <w:tcPr>
            <w:tcW w:w="1402" w:type="dxa"/>
            <w:vAlign w:val="center"/>
          </w:tcPr>
          <w:p w14:paraId="29C516C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221</w:t>
            </w:r>
          </w:p>
        </w:tc>
        <w:tc>
          <w:tcPr>
            <w:tcW w:w="398" w:type="dxa"/>
            <w:vAlign w:val="center"/>
          </w:tcPr>
          <w:p w14:paraId="0908633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21D2AC97"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2A33E982"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2491F319"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0E27DBE1"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2A2AF96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0.75</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4DAE4313"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7F5863CE" w14:textId="77777777" w:rsidTr="00F233D4">
        <w:trPr>
          <w:trHeight w:val="340"/>
        </w:trPr>
        <w:tc>
          <w:tcPr>
            <w:tcW w:w="1402" w:type="dxa"/>
            <w:vAlign w:val="center"/>
          </w:tcPr>
          <w:p w14:paraId="678CA47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99b</w:t>
            </w:r>
          </w:p>
        </w:tc>
        <w:tc>
          <w:tcPr>
            <w:tcW w:w="398" w:type="dxa"/>
            <w:vAlign w:val="center"/>
          </w:tcPr>
          <w:p w14:paraId="198D758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62E31DF3"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3E00E5EB"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43813EC3"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051A93D"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67D6604D"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0.86</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26394D54"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468C7315" w14:textId="77777777" w:rsidTr="00F233D4">
        <w:trPr>
          <w:trHeight w:val="340"/>
        </w:trPr>
        <w:tc>
          <w:tcPr>
            <w:tcW w:w="1402" w:type="dxa"/>
            <w:vAlign w:val="center"/>
          </w:tcPr>
          <w:p w14:paraId="7CF9E34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182</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5p</w:t>
            </w:r>
          </w:p>
        </w:tc>
        <w:tc>
          <w:tcPr>
            <w:tcW w:w="398" w:type="dxa"/>
            <w:vAlign w:val="center"/>
          </w:tcPr>
          <w:p w14:paraId="1991D86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0B283374" w14:textId="5A4E9335"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t</w:t>
            </w:r>
            <w:r w:rsidR="00EE7EB3" w:rsidRPr="00784B41">
              <w:rPr>
                <w:rFonts w:ascii="Cambria" w:hAnsi="Cambria" w:cs="Calibri"/>
                <w:color w:val="3B3838" w:themeColor="background2" w:themeShade="40"/>
                <w:sz w:val="20"/>
                <w:szCs w:val="20"/>
              </w:rPr>
              <w:t>issue (fresh frozen)</w:t>
            </w:r>
          </w:p>
        </w:tc>
        <w:tc>
          <w:tcPr>
            <w:tcW w:w="1669" w:type="dxa"/>
            <w:vAlign w:val="center"/>
          </w:tcPr>
          <w:p w14:paraId="02870B68"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98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204A8D8F" w14:textId="3647FB78"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15 controls </w:t>
            </w:r>
          </w:p>
        </w:tc>
        <w:tc>
          <w:tcPr>
            <w:tcW w:w="590" w:type="dxa"/>
            <w:vAlign w:val="center"/>
          </w:tcPr>
          <w:p w14:paraId="6725651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60.2</w:t>
            </w:r>
          </w:p>
        </w:tc>
        <w:tc>
          <w:tcPr>
            <w:tcW w:w="590" w:type="dxa"/>
            <w:vAlign w:val="center"/>
          </w:tcPr>
          <w:p w14:paraId="20A306E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100</w:t>
            </w:r>
          </w:p>
        </w:tc>
        <w:tc>
          <w:tcPr>
            <w:tcW w:w="1304" w:type="dxa"/>
            <w:vAlign w:val="center"/>
          </w:tcPr>
          <w:p w14:paraId="294CC1EF"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0.81</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00B8A487" w14:textId="3B1A90BF"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{"citationItems":[{"id":"ITEM-1","itemData":{"DOI":"10.3389/fonc.2019.00900","ISSN":"2234943X","abstract":"Prostate Cancer (PCa) overdiagnosis and overtreatment, as a consequence of the limited specificity of current detection and prognostication methods, remains a major challenge in clinical practice. Therefore, development and validation of new molecular biomarkers amenable of detecting clinically significant disease is crucial. MicroRNAs (miRNA) deregulation is common in cancer, constituting potential non-invasive biomarkers for PCa detection and prognostication. Herein, we evaluated the screening and prognostic biomarker potential of two onco-microRNAs (miR-182-5p and miR-375-3p) in liquid biopsies (plasma) of PCa patients with clinically localized disease undergoing curative-intent treatment. A first cohort of 98 PCa and 15 normal prostates were used to assess PCa-specificity of miR-182-5p in tissues. A cohort composed of PCa 252 patients and 52 asymptomatic controls allowed for assessment of diagnostic and prognostic value in plasmas. After RNA extraction from tissue and plasma samples, cDNA synthesis specific for miRNAs was performed followed by measurement of miR-182-5p and miR-375-3p relative expression by RT-qPCR, using U6 snRNA gene as reference. MiR-182-5p was significantly overexpressed in PCa tissues (p &lt; 0.0001) and in plasma of PCa patients (p = 0.0020), compared to respective controls. Moreover, miR-182-5p expression identified PCa with AUC = 0.81 (95% CI: 0.725–0.892, p = 0.0001) in tissue and with 77% specificity and 99% NPV (AUC = 0.64, 95% CI: 0.561–0.709, p = 0.0021) in plasma. Both circulating miR-182-5p and miR-375-3p levels associated with more advanced pathologic stage and the former was significantly higher in patients that developed metastasis (p = 0.0145). Indeed, at the time of diagnosis, circulating miR-375-3p levels predicted which patients would develop metastasis, with almost 50% sensitivity, 76% specificity, and a NPV of 89% (AUC = 0.62, 95% CI: 0.529–0.713, p = 0.0149). We conclude that these two circulating miRNAs might be clinical useful as non-invasive biomarkers for detection and prediction of metastasis development at the diagnosis together with clinical variables used in routine practice.","author":[{"dropping-particle":"","family":"Bidarra","given":"David","non-dropping-particle":"","parse-names":false,"suffix":""},{"dropping-particle":"","family":"Constâncio","given":"Vera","non-dropping-particle":"","parse-names":false,"suffix":""},{"dropping-particle":"","family":"Barros-Silva","given":"Daniela","non-dropping-particle":"","parse-names":false,"suffix":""},{"dropping-particle":"","family":"Ramalho-Carvalho","given":"João","non-dropping-particle":"","parse-names":false,"suffix":""},{"dropping-particle":"","family":"Moreira-Barbosa","given":"Catarina","non-dropping-particle":"","parse-names":false,"suffix":""},{"dropping-particle":"","family":"Antunes","given":"Luís","non-dropping-particle":"","parse-names":false,"suffix":""},{"dropping-particle":"","family":"Maurício","given":"Joaquina","non-dropping-particle":"","parse-names":false,"suffix":""},{"dropping-particle":"","family":"Oliveira","given":"Jorge","non-dropping-particle":"","parse-names":false,"suffix":""},{"dropping-particle":"","family":"Henrique","given":"Rui","non-dropping-particle":"","parse-names":false,"suffix":""},{"dropping-particle":"","family":"Jerónimo","given":"Carmen","non-dropping-particle":"","parse-names":false,"suffix":""}],"container-title":"Frontiers in Oncology","id":"ITEM-1","issue":"September","issued":{"date-parts":[["2019"]]},"page":"1-8","title":"Circulating MicroRNAs as Biomarkers for Prostate Cancer Detection and Metastasis Development Prediction","type":"article-journal","volume":"9"},"uris":["http://www.mendeley.com/documents/?uuid=14249570-8fad-4145-83a2-cc0f5820f677"]}],"mendeley":{"formattedCitation":"&lt;sup&gt;101&lt;/sup&gt;","plainTextFormattedCitation":"101","previouslyFormattedCitation":"[101]"},"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101</w:t>
            </w:r>
            <w:r w:rsidRPr="00784B41">
              <w:rPr>
                <w:rFonts w:cs="Calibri"/>
                <w:color w:val="3B3838" w:themeColor="background2" w:themeShade="40"/>
                <w:sz w:val="20"/>
                <w:szCs w:val="20"/>
              </w:rPr>
              <w:fldChar w:fldCharType="end"/>
            </w:r>
          </w:p>
        </w:tc>
      </w:tr>
      <w:tr w:rsidR="00EE7EB3" w:rsidRPr="00784B41" w14:paraId="2C32B6DD" w14:textId="77777777" w:rsidTr="00F233D4">
        <w:trPr>
          <w:trHeight w:val="340"/>
        </w:trPr>
        <w:tc>
          <w:tcPr>
            <w:tcW w:w="1402" w:type="dxa"/>
            <w:vAlign w:val="center"/>
          </w:tcPr>
          <w:p w14:paraId="1527D4A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375</w:t>
            </w:r>
          </w:p>
        </w:tc>
        <w:tc>
          <w:tcPr>
            <w:tcW w:w="398" w:type="dxa"/>
            <w:vAlign w:val="center"/>
          </w:tcPr>
          <w:p w14:paraId="34150E4A"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restart"/>
            <w:vAlign w:val="center"/>
          </w:tcPr>
          <w:p w14:paraId="26D1F2A5" w14:textId="0BEE5893"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t</w:t>
            </w:r>
            <w:r w:rsidR="00EE7EB3" w:rsidRPr="00784B41">
              <w:rPr>
                <w:rFonts w:ascii="Cambria" w:hAnsi="Cambria" w:cs="Calibri"/>
                <w:color w:val="3B3838" w:themeColor="background2" w:themeShade="40"/>
                <w:sz w:val="20"/>
                <w:szCs w:val="20"/>
              </w:rPr>
              <w:t>issue (FFPE)</w:t>
            </w:r>
          </w:p>
        </w:tc>
        <w:tc>
          <w:tcPr>
            <w:tcW w:w="1669" w:type="dxa"/>
            <w:vMerge w:val="restart"/>
            <w:vAlign w:val="center"/>
          </w:tcPr>
          <w:p w14:paraId="741F0F09"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113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5F565B89" w14:textId="6F8C4AD0" w:rsidR="00EE7EB3" w:rsidRPr="00784B41" w:rsidRDefault="00EE7EB3"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2</w:t>
            </w:r>
            <w:r w:rsidRPr="00784B41">
              <w:rPr>
                <w:rFonts w:ascii="Cambria" w:hAnsi="Cambria" w:cs="Calibri"/>
                <w:color w:val="3B3838" w:themeColor="background2" w:themeShade="40"/>
                <w:sz w:val="20"/>
                <w:szCs w:val="20"/>
              </w:rPr>
              <w:t>8</w:t>
            </w:r>
            <w:r>
              <w:rPr>
                <w:rFonts w:ascii="Cambria" w:hAnsi="Cambria" w:cs="Calibri"/>
                <w:color w:val="3B3838" w:themeColor="background2" w:themeShade="40"/>
                <w:sz w:val="20"/>
                <w:szCs w:val="20"/>
              </w:rPr>
              <w:t xml:space="preserve"> controls</w:t>
            </w:r>
          </w:p>
        </w:tc>
        <w:tc>
          <w:tcPr>
            <w:tcW w:w="590" w:type="dxa"/>
            <w:vAlign w:val="center"/>
          </w:tcPr>
          <w:p w14:paraId="0F028E6F"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701EEEDF"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6DBEC3D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0.83</w:t>
            </w: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4A6BFF6C" w14:textId="021332E0"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{"citationItems":[{"id":"ITEM-1","itemData":{"DOI":"10.18632/oncotarget.8953","ISSN":"19492553","PMID":"27120795","abstract":"Purpose: This study investigates the diagnostic and prognostic biomarker potential of miRNAs in prostate cancer (PC). Results: We identified several new deregulated miRNAs between non-malignant (NM) and PC tissue samples and between more/less aggressive PC subgroups. We also developed and validated a novel 13-miRNA diagnostic classifier with high sensitivity and specificity for PC. Finally, we trained a new 3-miRNA prognostic classifier (miR-185-5p+miR-221-3p+miR-326) that predicted time to biochemical recurrence (BCR) independently of routine clinicopathological variables in a training radical prostatectomy (RP) cohort (n = 126) as well as in two independent validation cohorts (n = 110 and n = 99). Experimental Design: After RT-qPCR-based profiling of 752 miRNAs in 13 NM and 134 PC tissue samples (cohort 1), we selected 93 top candidate diagnostic/prognostic miRNAs for validation in two independent patient sets (cohort 2: 19 NM and 138 PC; cohort 3: 28 NM and 113 PC samples). Diagnostic potential was assessed by ROC curve analysis and prognostic potential by Kaplan-Meier, uni- and multivariate Cox regression analyses. BCR after RP was used as endpoint. Conclusions: This is the first report of a miRNA signature with significant independent prognostic value demonstrated in three PC patient cohorts.","author":[{"dropping-particle":"","family":"Kristensen","given":"Helle","non-dropping-particle":"","parse-names":false,"suffix":""},{"dropping-particle":"","family":"Thomsen","given":"Anni R.","non-dropping-particle":"","parse-names":false,"suffix":""},{"dropping-particle":"","family":"Haldrup","given":"Christa","non-dropping-particle":"","parse-names":false,"suffix":""},{"dropping-particle":"","family":"Dyrskjøt","given":"Lars","non-dropping-particle":"","parse-names":false,"suffix":""},{"dropping-particle":"","family":"Høyer","given":"Søren","non-dropping-particle":"","parse-names":false,"suffix":""},{"dropping-particle":"","family":"Borre","given":"Michael","non-dropping-particle":"","parse-names":false,"suffix":""},{"dropping-particle":"","family":"Mouritzen","given":"Peter","non-dropping-particle":"","parse-names":false,"suffix":""},{"dropping-particle":"","family":"Ørntoft","given":"Torben F.","non-dropping-particle":"","parse-names":false,"suffix":""},{"dropping-particle":"","family":"Sørensen","given":"Karina Dalsgaard","non-dropping-particle":"","parse-names":false,"suffix":""}],"container-title":"Oncotarget","id":"ITEM-1","issue":"21","issued":{"date-parts":[["2016"]]},"page":"30760-30771","title":"Novel diagnostic and prognostic classifiers for prostate cancer identified by genome-wide microRNA profiling","type":"article-journal","volume":"7"},"uris":["http://www.mendeley.com/documents/?uuid=87ed6180-01a1-40a4-a943-515c8114a7c3"]}],"mendeley":{"formattedCitation":"&lt;sup&gt;102&lt;/sup&gt;","plainTextFormattedCitation":"102","previouslyFormattedCitation":"[102]"},"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102</w:t>
            </w:r>
            <w:r w:rsidRPr="00784B41">
              <w:rPr>
                <w:rFonts w:cs="Calibri"/>
                <w:color w:val="3B3838" w:themeColor="background2" w:themeShade="40"/>
                <w:sz w:val="20"/>
                <w:szCs w:val="20"/>
              </w:rPr>
              <w:fldChar w:fldCharType="end"/>
            </w:r>
          </w:p>
        </w:tc>
      </w:tr>
      <w:tr w:rsidR="00EE7EB3" w:rsidRPr="00784B41" w14:paraId="34CC8E9E" w14:textId="77777777" w:rsidTr="00F233D4">
        <w:trPr>
          <w:trHeight w:val="340"/>
        </w:trPr>
        <w:tc>
          <w:tcPr>
            <w:tcW w:w="1402" w:type="dxa"/>
            <w:vAlign w:val="center"/>
          </w:tcPr>
          <w:p w14:paraId="309E13F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425</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5p</w:t>
            </w:r>
          </w:p>
        </w:tc>
        <w:tc>
          <w:tcPr>
            <w:tcW w:w="398" w:type="dxa"/>
            <w:vAlign w:val="center"/>
          </w:tcPr>
          <w:p w14:paraId="3B703F0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5C2F8D2B"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27479459"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0012D920"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E205C57"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6A836CE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0.83</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4EF5550C"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54B69383" w14:textId="77777777" w:rsidTr="00F233D4">
        <w:trPr>
          <w:trHeight w:val="340"/>
        </w:trPr>
        <w:tc>
          <w:tcPr>
            <w:tcW w:w="1402" w:type="dxa"/>
            <w:vAlign w:val="center"/>
          </w:tcPr>
          <w:p w14:paraId="2688146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222</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3p</w:t>
            </w:r>
          </w:p>
        </w:tc>
        <w:tc>
          <w:tcPr>
            <w:tcW w:w="398" w:type="dxa"/>
            <w:vAlign w:val="center"/>
          </w:tcPr>
          <w:p w14:paraId="4D834E1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4157BBAC"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5DC77DDD"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493472F5"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7C2AFB84"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17FFE0F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0.92</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4E66B18F"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0832573B" w14:textId="77777777" w:rsidTr="00F233D4">
        <w:trPr>
          <w:trHeight w:val="340"/>
        </w:trPr>
        <w:tc>
          <w:tcPr>
            <w:tcW w:w="1402" w:type="dxa"/>
            <w:vAlign w:val="center"/>
          </w:tcPr>
          <w:p w14:paraId="7B45FD4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205</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5p</w:t>
            </w:r>
          </w:p>
        </w:tc>
        <w:tc>
          <w:tcPr>
            <w:tcW w:w="398" w:type="dxa"/>
            <w:vAlign w:val="center"/>
          </w:tcPr>
          <w:p w14:paraId="4711795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0468A01A"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3CD2C057"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7C299A99"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31CED58"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67CA3C4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0.86</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547784E6"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5093B208" w14:textId="77777777" w:rsidTr="00F233D4">
        <w:trPr>
          <w:trHeight w:val="340"/>
        </w:trPr>
        <w:tc>
          <w:tcPr>
            <w:tcW w:w="1402" w:type="dxa"/>
            <w:vAlign w:val="center"/>
          </w:tcPr>
          <w:p w14:paraId="0E49269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221</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3p</w:t>
            </w:r>
          </w:p>
        </w:tc>
        <w:tc>
          <w:tcPr>
            <w:tcW w:w="398" w:type="dxa"/>
            <w:vAlign w:val="center"/>
          </w:tcPr>
          <w:p w14:paraId="275A0C2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44910ED5"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0BF2D2FB"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7D94933D"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47E183DF"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318CCD7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0.93</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01B324B4"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66A06A34" w14:textId="77777777" w:rsidTr="00F233D4">
        <w:trPr>
          <w:trHeight w:val="340"/>
        </w:trPr>
        <w:tc>
          <w:tcPr>
            <w:tcW w:w="1402" w:type="dxa"/>
            <w:vAlign w:val="center"/>
          </w:tcPr>
          <w:p w14:paraId="4D21AFE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455</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3p</w:t>
            </w:r>
          </w:p>
        </w:tc>
        <w:tc>
          <w:tcPr>
            <w:tcW w:w="398" w:type="dxa"/>
            <w:vAlign w:val="center"/>
          </w:tcPr>
          <w:p w14:paraId="206711D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2D23E016"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54587F50"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218F94D"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7320E59F"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5015FF1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0.70</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76E91390"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0E278250" w14:textId="77777777" w:rsidTr="00F233D4">
        <w:trPr>
          <w:trHeight w:val="340"/>
        </w:trPr>
        <w:tc>
          <w:tcPr>
            <w:tcW w:w="1402" w:type="dxa"/>
            <w:vAlign w:val="center"/>
          </w:tcPr>
          <w:p w14:paraId="33174680"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106a</w:t>
            </w:r>
          </w:p>
        </w:tc>
        <w:tc>
          <w:tcPr>
            <w:tcW w:w="398" w:type="dxa"/>
            <w:vAlign w:val="center"/>
          </w:tcPr>
          <w:p w14:paraId="1EF86EC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restart"/>
            <w:vAlign w:val="center"/>
          </w:tcPr>
          <w:p w14:paraId="3BBE6657" w14:textId="4EB3B392" w:rsidR="00EE7EB3" w:rsidRPr="00784B41" w:rsidRDefault="00062068" w:rsidP="00F233D4">
            <w:pPr>
              <w:jc w:val="center"/>
              <w:rPr>
                <w:rFonts w:ascii="Cambria" w:hAnsi="Cambria" w:cs="Calibri"/>
                <w:color w:val="3B3838" w:themeColor="background2" w:themeShade="40"/>
                <w:sz w:val="20"/>
                <w:szCs w:val="20"/>
                <w:lang w:eastAsia="en-GB"/>
              </w:rPr>
            </w:pPr>
            <w:r>
              <w:rPr>
                <w:rFonts w:ascii="Cambria" w:hAnsi="Cambria" w:cs="Calibri"/>
                <w:color w:val="3B3838" w:themeColor="background2" w:themeShade="40"/>
                <w:sz w:val="20"/>
                <w:szCs w:val="20"/>
                <w:lang w:eastAsia="en-GB"/>
              </w:rPr>
              <w:t>s</w:t>
            </w:r>
            <w:r w:rsidR="00EE7EB3" w:rsidRPr="00784B41">
              <w:rPr>
                <w:rFonts w:ascii="Cambria" w:hAnsi="Cambria" w:cs="Calibri"/>
                <w:color w:val="3B3838" w:themeColor="background2" w:themeShade="40"/>
                <w:sz w:val="20"/>
                <w:szCs w:val="20"/>
                <w:lang w:eastAsia="en-GB"/>
              </w:rPr>
              <w:t>erum</w:t>
            </w:r>
          </w:p>
        </w:tc>
        <w:tc>
          <w:tcPr>
            <w:tcW w:w="1669" w:type="dxa"/>
            <w:vMerge w:val="restart"/>
            <w:vAlign w:val="center"/>
          </w:tcPr>
          <w:p w14:paraId="1268EB3B"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12 LR</w:t>
            </w:r>
            <w:r>
              <w:rPr>
                <w:rFonts w:ascii="Cambria" w:hAnsi="Cambria" w:cs="Calibri"/>
                <w:color w:val="3B3838" w:themeColor="background2" w:themeShade="40"/>
                <w:sz w:val="20"/>
                <w:szCs w:val="20"/>
                <w:lang w:eastAsia="en-GB"/>
              </w:rPr>
              <w:t>/</w:t>
            </w:r>
            <w:r w:rsidRPr="00784B41">
              <w:rPr>
                <w:rFonts w:ascii="Cambria" w:hAnsi="Cambria" w:cs="Calibri"/>
                <w:color w:val="3B3838" w:themeColor="background2" w:themeShade="40"/>
                <w:sz w:val="20"/>
                <w:szCs w:val="20"/>
                <w:lang w:eastAsia="en-GB"/>
              </w:rPr>
              <w:t>12 IR</w:t>
            </w:r>
            <w:r>
              <w:rPr>
                <w:rFonts w:ascii="Cambria" w:hAnsi="Cambria" w:cs="Calibri"/>
                <w:color w:val="3B3838" w:themeColor="background2" w:themeShade="40"/>
                <w:sz w:val="20"/>
                <w:szCs w:val="20"/>
                <w:lang w:eastAsia="en-GB"/>
              </w:rPr>
              <w:t>/</w:t>
            </w:r>
            <w:r w:rsidRPr="00784B41">
              <w:rPr>
                <w:rFonts w:ascii="Cambria" w:hAnsi="Cambria" w:cs="Calibri"/>
                <w:color w:val="3B3838" w:themeColor="background2" w:themeShade="40"/>
                <w:sz w:val="20"/>
                <w:szCs w:val="20"/>
                <w:lang w:eastAsia="en-GB"/>
              </w:rPr>
              <w:t>12 HR</w:t>
            </w:r>
            <w:r>
              <w:rPr>
                <w:rFonts w:ascii="Cambria" w:hAnsi="Cambria" w:cs="Calibri"/>
                <w:color w:val="3B3838" w:themeColor="background2" w:themeShade="40"/>
                <w:sz w:val="20"/>
                <w:szCs w:val="20"/>
                <w:lang w:eastAsia="en-GB"/>
              </w:rPr>
              <w:t>/</w:t>
            </w:r>
            <w:r w:rsidRPr="00784B41">
              <w:rPr>
                <w:rFonts w:ascii="Cambria" w:hAnsi="Cambria" w:cs="Calibri"/>
                <w:color w:val="3B3838" w:themeColor="background2" w:themeShade="40"/>
                <w:sz w:val="20"/>
                <w:szCs w:val="20"/>
                <w:lang w:eastAsia="en-GB"/>
              </w:rPr>
              <w:t xml:space="preserve">12 </w:t>
            </w:r>
            <w:r>
              <w:rPr>
                <w:rFonts w:ascii="Cambria" w:hAnsi="Cambria" w:cs="Calibri"/>
                <w:color w:val="3B3838" w:themeColor="background2" w:themeShade="40"/>
                <w:sz w:val="20"/>
                <w:szCs w:val="20"/>
                <w:lang w:eastAsia="en-GB"/>
              </w:rPr>
              <w:t>controls</w:t>
            </w:r>
          </w:p>
        </w:tc>
        <w:tc>
          <w:tcPr>
            <w:tcW w:w="590" w:type="dxa"/>
            <w:vAlign w:val="center"/>
          </w:tcPr>
          <w:p w14:paraId="5E14DED2"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1B4F474"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761301F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0.928</w:t>
            </w: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52407724" w14:textId="1956F756" w:rsidR="00EE7EB3" w:rsidRPr="00784B41" w:rsidRDefault="00EE7EB3" w:rsidP="00F233D4">
            <w:pPr>
              <w:jc w:val="center"/>
              <w:rPr>
                <w:rFonts w:ascii="Cambria" w:hAnsi="Cambria" w:cs="Calibri"/>
                <w:b w:val="0"/>
                <w:bCs w:val="0"/>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b w:val="0"/>
                <w:bCs w:val="0"/>
                <w:color w:val="3B3838" w:themeColor="background2" w:themeShade="40"/>
                <w:sz w:val="20"/>
                <w:szCs w:val="20"/>
              </w:rPr>
              <w:instrText>ADDIN CSL_CITATION {"citationItems":[{"id":"ITEM-1","itemData":{"DOI":"10.1158/0008-5472.CAN-10-1229","ISSN":"00085472","abstract":"Recent prostate-specific antigen-based screening trials indicate an urgent need for novel and noninvasive biomarker identification strategies to improve the prediction of prostate cancer behavior. Noncoding micro- RNAs (miRNA) in the serum and plasma have been shown to have potential as noninvasive markers for physiologic and pathologic conditions. To identify serum miRNAs that diagnose and correlate with the prognosis of prostate cancer, we developed a multiplex quantitative reverse transcription PCR method involving the purification of multiplex PCR products followed by uniplex analysis on a microfluidics chip to evaluate 384 human miRNAs. Using Dgcr8 and Dicer knockout (small RNA-deficient) mouse ES cells as the benchmark, we confirmed the validity of our technique and uncovered a considerable lack of accuracy in previously published methods. Profiling 48 sera from healthy men and untreated prostate cancer patients with differing CAPRA scores, we identified miRNA signatures that allow us to diagnose cancer patients and correlate with a prognosis. These serum signatures include oncogenic and tumor-suppressive miRNAs, suggesting functional roles in prostate cancer progression. © 2010 American Association for Cancer Research.","author":[{"dropping-particle":"","family":"Moltzahn","given":"Felix","non-dropping-particle":"","parse-names":false,"suffix":""},{"dropping-particle":"","family":"Olshen","given":"Adam B.","non-dropping-particle":"","parse-names":false,"suffix":""},{"dropping-particle":"","family":"Baehner","given":"Lauren","non-dropping-particle":"","parse-names":false,"suffix":""},{"dropping-particle":"","family":"Peek","given":"Andrew","non-dropping-particle":"","parse-names":false,"suffix":""},{"dropping-particle":"","family":"Fong","given":"Lawrence","non-dropping-particle":"","parse-names":false,"suffix":""},{"dropping-particle":"","family":"Stöppler","given":"Hubert","non-dropping-particle":"","parse-names":false,"suffix":""},{"dropping-particle":"","family":"Simko","given":"Jeffry","non-dropping-particle":"","parse-names":false,"suffix":""},{"dropping-particle":"","family":"Hilton","given":"Joan F.","non-dropping-particle":"","parse-names":false,"suffix":""},{"dropping-particle":"","family":"Carroll","given":"Peter","non-dropping-particle":"","parse-names":false,"suffix":""},{"dropping-particle":"","family":"Blelloch","given":"Robert","non-dropping-particle":"","parse-names":false,"suffix":""}],"container-title":"Cancer Research","id":"ITEM-1","issue":"2","issued":{"date-parts":[["2011"]]},"page":"550-560","title":"Microfluidic-based multiplex qRT-PCR identifies diagnostic and prognostic microRNA signatures in the sera of prostate cancer patients","type":"article-journal","volume":"71"},"uris":["http://www.mendeley.com/documents/?uuid=d305c6a2-0163-430c-bdad-4760cd3b3535"]}],"mendeley":{"formattedCitation":"&lt;sup&gt;104&lt;/sup&gt;","plainTextFormattedCitation":"104","previouslyFormattedCitation":"[104]"},"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bCs w:val="0"/>
                <w:noProof/>
                <w:color w:val="3B3838" w:themeColor="background2" w:themeShade="40"/>
                <w:sz w:val="20"/>
                <w:szCs w:val="20"/>
                <w:vertAlign w:val="superscript"/>
              </w:rPr>
              <w:t>104</w:t>
            </w:r>
            <w:r w:rsidRPr="00784B41">
              <w:rPr>
                <w:rFonts w:cs="Calibri"/>
                <w:color w:val="3B3838" w:themeColor="background2" w:themeShade="40"/>
                <w:sz w:val="20"/>
                <w:szCs w:val="20"/>
              </w:rPr>
              <w:fldChar w:fldCharType="end"/>
            </w:r>
          </w:p>
        </w:tc>
      </w:tr>
      <w:tr w:rsidR="00EE7EB3" w:rsidRPr="00784B41" w14:paraId="384AD9AB" w14:textId="77777777" w:rsidTr="00F233D4">
        <w:trPr>
          <w:trHeight w:val="340"/>
        </w:trPr>
        <w:tc>
          <w:tcPr>
            <w:tcW w:w="1402" w:type="dxa"/>
            <w:vAlign w:val="center"/>
          </w:tcPr>
          <w:p w14:paraId="1CBEEF9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1274a</w:t>
            </w:r>
          </w:p>
        </w:tc>
        <w:tc>
          <w:tcPr>
            <w:tcW w:w="398" w:type="dxa"/>
            <w:vAlign w:val="center"/>
          </w:tcPr>
          <w:p w14:paraId="63F9192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66464BE6"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31DA9DE2"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2AE7AD16"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tcW w:w="590" w:type="dxa"/>
            <w:vAlign w:val="center"/>
          </w:tcPr>
          <w:p w14:paraId="14E7F17F"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21285A1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0.928</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24144293"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5746BC3E" w14:textId="77777777" w:rsidTr="00F233D4">
        <w:trPr>
          <w:trHeight w:val="340"/>
        </w:trPr>
        <w:tc>
          <w:tcPr>
            <w:tcW w:w="1402" w:type="dxa"/>
            <w:vAlign w:val="center"/>
          </w:tcPr>
          <w:p w14:paraId="2A8D4DEA"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lastRenderedPageBreak/>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93</w:t>
            </w:r>
          </w:p>
        </w:tc>
        <w:tc>
          <w:tcPr>
            <w:tcW w:w="398" w:type="dxa"/>
            <w:vAlign w:val="center"/>
          </w:tcPr>
          <w:p w14:paraId="09F2C6DA"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41C35F8E"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7F359390"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456AF85E"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tcW w:w="590" w:type="dxa"/>
            <w:vAlign w:val="center"/>
          </w:tcPr>
          <w:p w14:paraId="33C70E22"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7675FBF9"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0.907</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2750868E"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29C34516" w14:textId="77777777" w:rsidTr="00F233D4">
        <w:trPr>
          <w:trHeight w:val="340"/>
        </w:trPr>
        <w:tc>
          <w:tcPr>
            <w:tcW w:w="1402" w:type="dxa"/>
            <w:vAlign w:val="center"/>
          </w:tcPr>
          <w:p w14:paraId="4FB07B6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223</w:t>
            </w:r>
          </w:p>
        </w:tc>
        <w:tc>
          <w:tcPr>
            <w:tcW w:w="398" w:type="dxa"/>
            <w:vAlign w:val="center"/>
          </w:tcPr>
          <w:p w14:paraId="4079FE7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23233CD3"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19E1233A"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D1120DD"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tcW w:w="590" w:type="dxa"/>
            <w:vAlign w:val="center"/>
          </w:tcPr>
          <w:p w14:paraId="4526B259"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7894E81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0.876</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0399439B"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5F2074B8" w14:textId="77777777" w:rsidTr="00F233D4">
        <w:trPr>
          <w:trHeight w:val="340"/>
        </w:trPr>
        <w:tc>
          <w:tcPr>
            <w:tcW w:w="1402" w:type="dxa"/>
            <w:vAlign w:val="center"/>
          </w:tcPr>
          <w:p w14:paraId="433E242D"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141</w:t>
            </w:r>
          </w:p>
        </w:tc>
        <w:tc>
          <w:tcPr>
            <w:tcW w:w="398" w:type="dxa"/>
            <w:vAlign w:val="center"/>
          </w:tcPr>
          <w:p w14:paraId="41FE9B4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restart"/>
            <w:vAlign w:val="center"/>
          </w:tcPr>
          <w:p w14:paraId="5F96DC56" w14:textId="1C244F5C"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s</w:t>
            </w:r>
            <w:r w:rsidR="00EE7EB3" w:rsidRPr="00784B41">
              <w:rPr>
                <w:rFonts w:ascii="Cambria" w:hAnsi="Cambria" w:cs="Calibri"/>
                <w:color w:val="3B3838" w:themeColor="background2" w:themeShade="40"/>
                <w:sz w:val="20"/>
                <w:szCs w:val="20"/>
              </w:rPr>
              <w:t>erum</w:t>
            </w:r>
          </w:p>
        </w:tc>
        <w:tc>
          <w:tcPr>
            <w:tcW w:w="1669" w:type="dxa"/>
            <w:vMerge w:val="restart"/>
            <w:vAlign w:val="center"/>
          </w:tcPr>
          <w:p w14:paraId="17EF3113"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25 </w:t>
            </w:r>
            <w:proofErr w:type="spellStart"/>
            <w:r>
              <w:rPr>
                <w:rFonts w:ascii="Cambria" w:hAnsi="Cambria" w:cs="Calibri"/>
                <w:color w:val="3B3838" w:themeColor="background2" w:themeShade="40"/>
                <w:sz w:val="20"/>
                <w:szCs w:val="20"/>
              </w:rPr>
              <w:t>mPCa</w:t>
            </w:r>
            <w:proofErr w:type="spellEnd"/>
            <w:r>
              <w:rPr>
                <w:rFonts w:ascii="Cambria" w:hAnsi="Cambria" w:cs="Calibri"/>
                <w:color w:val="3B3838" w:themeColor="background2" w:themeShade="40"/>
                <w:sz w:val="20"/>
                <w:szCs w:val="20"/>
              </w:rPr>
              <w:t>/</w:t>
            </w:r>
          </w:p>
          <w:p w14:paraId="398FB346" w14:textId="30145AE1"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25 control</w:t>
            </w:r>
            <w:r>
              <w:rPr>
                <w:rFonts w:ascii="Cambria" w:hAnsi="Cambria" w:cs="Calibri"/>
                <w:color w:val="3B3838" w:themeColor="background2" w:themeShade="40"/>
                <w:sz w:val="20"/>
                <w:szCs w:val="20"/>
              </w:rPr>
              <w:t>s</w:t>
            </w:r>
          </w:p>
        </w:tc>
        <w:tc>
          <w:tcPr>
            <w:tcW w:w="590" w:type="dxa"/>
            <w:vAlign w:val="center"/>
          </w:tcPr>
          <w:p w14:paraId="58DD4AB6"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tcW w:w="590" w:type="dxa"/>
            <w:vAlign w:val="center"/>
          </w:tcPr>
          <w:p w14:paraId="3C88107E"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4AED8C9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0.842</w:t>
            </w: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16373607" w14:textId="5B645BDA"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{"citationItems":[{"id":"ITEM-1","itemData":{"DOI":"10.1371/journal.pone.0069239","ISSN":"19326203","PMID":"23935962","abstract":"MicroRNAs (miRNAs) are small (∼22 nucleotide) non-coding RNAs that regulate a myriad of biological processes and are frequently dysregulated in cancer. Cancer-associated microRNAs have been detected in serum and plasma and hold promise as minimally invasive cancer biomarkers, potentially for assessing disease characteristics in patients with metastatic disease that is difficult to biopsy. Here we used miRNA profiling to identify cancer-associated miRNAs that are differentially expressed in sera from patients with metastatic castration resistant prostate cancer (mCRPC) as compared to healthy controls. Of 365 miRNAs profiled, we identified five serum miRNAs (miR-141, miR-200a, miR-200c, miR-210 and miR-375) that were elevated in cases compared to controls across two independent cohorts. One of these, miR-210, is a known transcriptional target of the hypoxia-responsive HIF-1α signaling pathway. Exposure of cultured prostate cancer cells to hypoxia led to induction of miR-210 and its release into the extracellular environment. Moreover, we found that serum miR-210 levels varied widely amongst mCRPC patients undergoing therapy, and correlated with treatment response as assessed by change in PSA. Our results suggest that (i) cancer-associated hypoxia is a frequent, previously under-appreciated characteristic of mCRPC, and (ii) serum miR-210 may be further developed as a predictive biomarker in patients with this distinct disease biology. © 2013 Cheng et al.","author":[{"dropping-particle":"","family":"Cheng","given":"Heather H.","non-dropping-particle":"","parse-names":false,"suffix":""},{"dropping-particle":"","family":"Mitchell","given":"Patrick S.","non-dropping-particle":"","parse-names":false,"suffix":""},{"dropping-particle":"","family":"Kroh","given":"Evan M.","non-dropping-particle":"","parse-names":false,"suffix":""},{"dropping-particle":"","family":"Dowell","given":"Alexander E.","non-dropping-particle":"","parse-names":false,"suffix":""},{"dropping-particle":"","family":"Chéry","given":"Lisly","non-dropping-particle":"","parse-names":false,"suffix":""},{"dropping-particle":"","family":"Siddiqui","given":"Javed","non-dropping-particle":"","parse-names":false,"suffix":""},{"dropping-particle":"","family":"Nelson","given":"Peter S.","non-dropping-particle":"","parse-names":false,"suffix":""},{"dropping-particle":"","family":"Vessella","given":"Robert L.","non-dropping-particle":"","parse-names":false,"suffix":""},{"dropping-particle":"","family":"Knudsen","given":"Beatrice S.","non-dropping-particle":"","parse-names":false,"suffix":""},{"dropping-particle":"","family":"Chinnaiyan","given":"Arul M.","non-dropping-particle":"","parse-names":false,"suffix":""},{"dropping-particle":"","family":"Pienta","given":"Kenneth J.","non-dropping-particle":"","parse-names":false,"suffix":""},{"dropping-particle":"","family":"Morrissey","given":"Colm","non-dropping-particle":"","parse-names":false,"suffix":""},{"dropping-particle":"","family":"Tewari","given":"Muneesh","non-dropping-particle":"","parse-names":false,"suffix":""}],"container-title":"PLoS ONE","id":"ITEM-1","issue":"7","issued":{"date-parts":[["2013"]]},"page":"1-12","title":"Circulating microRNA Profiling Identifies a Subset of Metastatic Prostate Cancer Patients with Evidence of Cancer-Associated Hypoxia","type":"article-journal","volume":"8"},"uris":["http://www.mendeley.com/documents/?uuid=decfbd2b-8fab-4013-abb9-b78e45b60c6f"]}],"mendeley":{"formattedCitation":"&lt;sup&gt;110&lt;/sup&gt;","plainTextFormattedCitation":"110","previouslyFormattedCitation":"[110]"},"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110</w:t>
            </w:r>
            <w:r w:rsidRPr="00784B41">
              <w:rPr>
                <w:rFonts w:cs="Calibri"/>
                <w:color w:val="3B3838" w:themeColor="background2" w:themeShade="40"/>
                <w:sz w:val="20"/>
                <w:szCs w:val="20"/>
              </w:rPr>
              <w:fldChar w:fldCharType="end"/>
            </w:r>
          </w:p>
        </w:tc>
      </w:tr>
      <w:tr w:rsidR="00EE7EB3" w:rsidRPr="00784B41" w14:paraId="74DD392A" w14:textId="77777777" w:rsidTr="00F233D4">
        <w:trPr>
          <w:trHeight w:val="340"/>
        </w:trPr>
        <w:tc>
          <w:tcPr>
            <w:tcW w:w="1402" w:type="dxa"/>
            <w:vAlign w:val="center"/>
          </w:tcPr>
          <w:p w14:paraId="7B2AB04D"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200a</w:t>
            </w:r>
          </w:p>
        </w:tc>
        <w:tc>
          <w:tcPr>
            <w:tcW w:w="398" w:type="dxa"/>
            <w:vAlign w:val="center"/>
          </w:tcPr>
          <w:p w14:paraId="2FBA64A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1CB4E723"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6313FC95"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10CDDC4A"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tcW w:w="590" w:type="dxa"/>
            <w:vAlign w:val="center"/>
          </w:tcPr>
          <w:p w14:paraId="4488B589"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4BA91A8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0.638</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316B1A50"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755359A1" w14:textId="77777777" w:rsidTr="00F233D4">
        <w:trPr>
          <w:trHeight w:val="340"/>
        </w:trPr>
        <w:tc>
          <w:tcPr>
            <w:tcW w:w="1402" w:type="dxa"/>
            <w:vAlign w:val="center"/>
          </w:tcPr>
          <w:p w14:paraId="65E6F2BF"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200c</w:t>
            </w:r>
          </w:p>
        </w:tc>
        <w:tc>
          <w:tcPr>
            <w:tcW w:w="398" w:type="dxa"/>
            <w:vAlign w:val="center"/>
          </w:tcPr>
          <w:p w14:paraId="67FB783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353F5588"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59C118CC"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FE13482"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tcW w:w="590" w:type="dxa"/>
            <w:vAlign w:val="center"/>
          </w:tcPr>
          <w:p w14:paraId="5DA8365E"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193A978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0.645</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77D30428"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39801422" w14:textId="77777777" w:rsidTr="00F233D4">
        <w:trPr>
          <w:trHeight w:val="340"/>
        </w:trPr>
        <w:tc>
          <w:tcPr>
            <w:tcW w:w="1402" w:type="dxa"/>
            <w:vAlign w:val="center"/>
          </w:tcPr>
          <w:p w14:paraId="19A2734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25</w:t>
            </w:r>
          </w:p>
        </w:tc>
        <w:tc>
          <w:tcPr>
            <w:tcW w:w="398" w:type="dxa"/>
            <w:vAlign w:val="center"/>
          </w:tcPr>
          <w:p w14:paraId="082DDD31" w14:textId="77777777" w:rsidR="00EE7EB3" w:rsidRPr="00784B41" w:rsidRDefault="00EE7EB3" w:rsidP="00F233D4">
            <w:pPr>
              <w:jc w:val="center"/>
              <w:rPr>
                <w:rFonts w:ascii="Cambria" w:hAnsi="Cambria" w:cs="Calibri"/>
                <w:color w:val="3B3838" w:themeColor="background2" w:themeShade="40"/>
                <w:sz w:val="20"/>
                <w:szCs w:val="20"/>
              </w:rPr>
            </w:pPr>
          </w:p>
        </w:tc>
        <w:tc>
          <w:tcPr>
            <w:tcW w:w="2073" w:type="dxa"/>
            <w:vMerge w:val="restart"/>
            <w:vAlign w:val="center"/>
          </w:tcPr>
          <w:p w14:paraId="628B4537" w14:textId="443657E3"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s</w:t>
            </w:r>
            <w:r w:rsidR="00EE7EB3" w:rsidRPr="00784B41">
              <w:rPr>
                <w:rFonts w:ascii="Cambria" w:hAnsi="Cambria" w:cs="Calibri"/>
                <w:color w:val="3B3838" w:themeColor="background2" w:themeShade="40"/>
                <w:sz w:val="20"/>
                <w:szCs w:val="20"/>
              </w:rPr>
              <w:t>erum</w:t>
            </w:r>
          </w:p>
        </w:tc>
        <w:tc>
          <w:tcPr>
            <w:tcW w:w="1669" w:type="dxa"/>
            <w:vMerge w:val="restart"/>
            <w:vAlign w:val="center"/>
          </w:tcPr>
          <w:p w14:paraId="1A66DBDC"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40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13EB3376" w14:textId="6298C913"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32 control</w:t>
            </w:r>
            <w:r>
              <w:rPr>
                <w:rFonts w:ascii="Cambria" w:hAnsi="Cambria" w:cs="Calibri"/>
                <w:color w:val="3B3838" w:themeColor="background2" w:themeShade="40"/>
                <w:sz w:val="20"/>
                <w:szCs w:val="20"/>
              </w:rPr>
              <w:t>s</w:t>
            </w:r>
          </w:p>
        </w:tc>
        <w:tc>
          <w:tcPr>
            <w:tcW w:w="590" w:type="dxa"/>
            <w:vAlign w:val="center"/>
          </w:tcPr>
          <w:p w14:paraId="4121FF99"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057603B"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4313947F"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0.66</w:t>
            </w: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6134968A" w14:textId="7CCB1E87"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{"citationItems":[{"id":"ITEM-1","itemData":{"DOI":"10.1007/s13277-014-1638-1","ISBN":"1327701416381","ISSN":"14230380","abstract":"Prostate cancer (PCa) is a major health concern for men in the USA. Aberrant expression of microRNAs (miRNAs) has been associated with the pathogenesis of various cancers, including PCa. Circulatory forms of miRNAs have been detected in serum and hold promise as minimally invasive cancer biomarkers. This study aimed to identify potential circulatory miRNAs that can provide insights into new mechanisms for clinical diagnosis of PCa and can serve as potential biomarkers and/or therapeutic targets. Candidate serum miRNAs were detected by using PCR microarray in a learning set of six African American (AA) and six Caucasian American (CA) PCa patients. Discriminating performance of candidate miRNAs was validated by qRT-PCR in serum samples from 36 AA (24 PCa patients and 12 controls) and 36 CA (16 PCa patients and 20 controls). From the miRNA profiling experiments, three differentially expressed miRNAs (miR-25, miR-101, and miR-628-5p) were selected for future validation. In the validation set, there was an overall low expression of miR-25 (p&lt;0.01), miR-101 (p&lt;0.001), and miR-628-5p (p&lt;0.0001) in serumof PCa patients as compared with normal individuals. Subdivision on the basis of ethnicity showed that serum expression levels of miR-628-5p were significantly downregulated in both AA and CA PCa patients when compared with their respective controls. Our results demonstrate that the three miRNAs, particularlymiR-628-5p, may be further developed as a biomarker, which can serve as novel noninvasive biomarker for PCa diagnosis and prognosis. © International Society of Oncology and BioMarkers (ISOBM) 2014.","author":[{"dropping-particle":"","family":"Srivastava","given":"Anvesha","non-dropping-particle":"","parse-names":false,"suffix":""},{"dropping-particle":"","family":"Goldberger","given":"Helle","non-dropping-particle":"","parse-names":false,"suffix":""},{"dropping-particle":"","family":"Dimtchev","given":"Alexander","non-dropping-particle":"","parse-names":false,"suffix":""},{"dropping-particle":"","family":"Marian","given":"Catalin","non-dropping-particle":"","parse-names":false,"suffix":""},{"dropping-particle":"","family":"Soldin","given":"Offie","non-dropping-particle":"","parse-names":false,"suffix":""},{"dropping-particle":"","family":"Li","given":"Xin","non-dropping-particle":"","parse-names":false,"suffix":""},{"dropping-particle":"","family":"Collins","given":"Sean P.","non-dropping-particle":"","parse-names":false,"suffix":""},{"dropping-particle":"","family":"Suy","given":"Simeng","non-dropping-particle":"","parse-names":false,"suffix":""},{"dropping-particle":"","family":"Kumar","given":"Deepak","non-dropping-particle":"","parse-names":false,"suffix":""}],"container-title":"Tumor Biology","id":"ITEM-1","issue":"5","issued":{"date-parts":[["2014"]]},"page":"4867-4873","title":"Circulatory miR-628-5p is downregulated in prostate cancer patients","type":"article-journal","volume":"35"},"uris":["http://www.mendeley.com/documents/?uuid=557b5c41-7441-4184-b53f-b4a93a233b1c"]}],"mendeley":{"formattedCitation":"&lt;sup&gt;111&lt;/sup&gt;","plainTextFormattedCitation":"111","previouslyFormattedCitation":"[111]"},"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111</w:t>
            </w:r>
            <w:r w:rsidRPr="00784B41">
              <w:rPr>
                <w:rFonts w:cs="Calibri"/>
                <w:color w:val="3B3838" w:themeColor="background2" w:themeShade="40"/>
                <w:sz w:val="20"/>
                <w:szCs w:val="20"/>
              </w:rPr>
              <w:fldChar w:fldCharType="end"/>
            </w:r>
          </w:p>
        </w:tc>
      </w:tr>
      <w:tr w:rsidR="00EE7EB3" w:rsidRPr="00784B41" w14:paraId="2BC44650" w14:textId="77777777" w:rsidTr="00F233D4">
        <w:trPr>
          <w:trHeight w:val="340"/>
        </w:trPr>
        <w:tc>
          <w:tcPr>
            <w:tcW w:w="1402" w:type="dxa"/>
            <w:vAlign w:val="center"/>
          </w:tcPr>
          <w:p w14:paraId="01913AB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101</w:t>
            </w:r>
          </w:p>
        </w:tc>
        <w:tc>
          <w:tcPr>
            <w:tcW w:w="398" w:type="dxa"/>
            <w:vAlign w:val="center"/>
          </w:tcPr>
          <w:p w14:paraId="3B853FB7" w14:textId="77777777" w:rsidR="00EE7EB3" w:rsidRPr="00784B41" w:rsidRDefault="00EE7EB3" w:rsidP="00F233D4">
            <w:pPr>
              <w:jc w:val="center"/>
              <w:rPr>
                <w:rFonts w:ascii="Cambria" w:hAnsi="Cambria" w:cs="Calibri"/>
                <w:color w:val="3B3838" w:themeColor="background2" w:themeShade="40"/>
                <w:sz w:val="20"/>
                <w:szCs w:val="20"/>
              </w:rPr>
            </w:pPr>
          </w:p>
        </w:tc>
        <w:tc>
          <w:tcPr>
            <w:tcW w:w="2073" w:type="dxa"/>
            <w:vMerge/>
            <w:vAlign w:val="center"/>
          </w:tcPr>
          <w:p w14:paraId="01EA17CB"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0C9F6A31"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AB98A0E"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1AF22B06"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5769379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0.80</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7A871883"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3668EEFD" w14:textId="77777777" w:rsidTr="00F233D4">
        <w:trPr>
          <w:trHeight w:val="340"/>
        </w:trPr>
        <w:tc>
          <w:tcPr>
            <w:tcW w:w="1402" w:type="dxa"/>
            <w:vAlign w:val="center"/>
          </w:tcPr>
          <w:p w14:paraId="23CA341F"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628</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5p</w:t>
            </w:r>
          </w:p>
        </w:tc>
        <w:tc>
          <w:tcPr>
            <w:tcW w:w="398" w:type="dxa"/>
            <w:vAlign w:val="center"/>
          </w:tcPr>
          <w:p w14:paraId="1F3E4090" w14:textId="77777777" w:rsidR="00EE7EB3" w:rsidRPr="00784B41" w:rsidRDefault="00EE7EB3" w:rsidP="00F233D4">
            <w:pPr>
              <w:jc w:val="center"/>
              <w:rPr>
                <w:rFonts w:ascii="Cambria" w:hAnsi="Cambria" w:cs="Calibri"/>
                <w:color w:val="3B3838" w:themeColor="background2" w:themeShade="40"/>
                <w:sz w:val="20"/>
                <w:szCs w:val="20"/>
              </w:rPr>
            </w:pPr>
          </w:p>
        </w:tc>
        <w:tc>
          <w:tcPr>
            <w:tcW w:w="2073" w:type="dxa"/>
            <w:vMerge/>
            <w:vAlign w:val="center"/>
          </w:tcPr>
          <w:p w14:paraId="323F89BD"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4A93DEB1"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25D30DA2"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2CBED7D2"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306A503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0.94</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7993CE94"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4D8745C3" w14:textId="77777777" w:rsidTr="00F233D4">
        <w:trPr>
          <w:trHeight w:val="340"/>
        </w:trPr>
        <w:tc>
          <w:tcPr>
            <w:tcW w:w="1402" w:type="dxa"/>
            <w:vAlign w:val="center"/>
          </w:tcPr>
          <w:p w14:paraId="72A5370D"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21</w:t>
            </w:r>
          </w:p>
        </w:tc>
        <w:tc>
          <w:tcPr>
            <w:tcW w:w="398" w:type="dxa"/>
            <w:vAlign w:val="center"/>
          </w:tcPr>
          <w:p w14:paraId="473DD11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restart"/>
            <w:vAlign w:val="center"/>
          </w:tcPr>
          <w:p w14:paraId="298AC0B6" w14:textId="1281461F"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p</w:t>
            </w:r>
            <w:r w:rsidR="00EE7EB3" w:rsidRPr="00784B41">
              <w:rPr>
                <w:rFonts w:ascii="Cambria" w:hAnsi="Cambria" w:cs="Calibri"/>
                <w:color w:val="3B3838" w:themeColor="background2" w:themeShade="40"/>
                <w:sz w:val="20"/>
                <w:szCs w:val="20"/>
              </w:rPr>
              <w:t>lasma</w:t>
            </w:r>
          </w:p>
        </w:tc>
        <w:tc>
          <w:tcPr>
            <w:tcW w:w="1669" w:type="dxa"/>
            <w:vMerge w:val="restart"/>
            <w:vAlign w:val="center"/>
          </w:tcPr>
          <w:p w14:paraId="4B0FD4C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26 local</w:t>
            </w:r>
            <w:r>
              <w:rPr>
                <w:rFonts w:ascii="Cambria" w:hAnsi="Cambria" w:cs="Calibri"/>
                <w:color w:val="3B3838" w:themeColor="background2" w:themeShade="40"/>
                <w:sz w:val="20"/>
                <w:szCs w:val="20"/>
              </w:rPr>
              <w:t>ized</w:t>
            </w:r>
            <w:r w:rsidRPr="00784B41">
              <w:rPr>
                <w:rFonts w:ascii="Cambria" w:hAnsi="Cambria" w:cs="Calibri"/>
                <w:color w:val="3B3838" w:themeColor="background2" w:themeShade="40"/>
                <w:sz w:val="20"/>
                <w:szCs w:val="20"/>
              </w:rPr>
              <w:t xml:space="preserve"> </w:t>
            </w:r>
            <w:proofErr w:type="spellStart"/>
            <w:r w:rsidRPr="00784B41">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 xml:space="preserve">25 </w:t>
            </w:r>
            <w:proofErr w:type="spellStart"/>
            <w:r w:rsidRPr="00784B41">
              <w:rPr>
                <w:rFonts w:ascii="Cambria" w:hAnsi="Cambria" w:cs="Calibri"/>
                <w:color w:val="3B3838" w:themeColor="background2" w:themeShade="40"/>
                <w:sz w:val="20"/>
                <w:szCs w:val="20"/>
              </w:rPr>
              <w:t>m</w:t>
            </w:r>
            <w:r>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 xml:space="preserve">, 20 </w:t>
            </w:r>
            <w:r>
              <w:rPr>
                <w:rFonts w:ascii="Cambria" w:hAnsi="Cambria" w:cs="Calibri"/>
                <w:color w:val="3B3838" w:themeColor="background2" w:themeShade="40"/>
                <w:sz w:val="20"/>
                <w:szCs w:val="20"/>
              </w:rPr>
              <w:t>controls</w:t>
            </w:r>
          </w:p>
        </w:tc>
        <w:tc>
          <w:tcPr>
            <w:tcW w:w="590" w:type="dxa"/>
            <w:vAlign w:val="center"/>
          </w:tcPr>
          <w:p w14:paraId="39633EF2"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2F72A388"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5BF8552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0.88</w:t>
            </w: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60E85EBC" w14:textId="395164CD"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{"citationItems":[{"id":"ITEM-1","itemData":{"DOI":"10.1007/s13277-011-0154-9","ISSN":"10104283","abstract":"In addition to their potential as tissue-based markers for cancer classification and prognostication, the study of microRNAs (miRNAs) in blood circulation is also of interest. In the present study, we investigated the amounts of three cancer-related miRNAs, miR-21,-141, and-221 in blood plasma of prostate cancer (PCa) patients. A cohort of 51 patients with PCa was enrolled into the study, and miRNAs were measured in two subgroups, with localized/local advanced or metastatic PCa. A group of 20 healthy individuals served as the control group. miRNAs were quantified from the total RNA fraction using 200 ìl plasma and the small RNA molecule RNU1A as a control for normalizing the miRNA amounts in circulation. We found similar levels of three miRNAs in healthy subjects with median values of 0.039, 0.033 and 0.04, respectively; (p=n.s.). In the patients, the miRNA levels were higher, with miR-21 being the highest (median, 1.51). The miR-221 levels were intermediate (median, 0.71) while the miR-141 displayed the lowest levels (median, 0.051). The differences between the control group and the patients were highly significant for the miR-21 (p&lt;0.001; area under the curve (AUC), 88%) and-221 (p&lt;0.001; AUC, 83%) but not for the miR-141 (p=0.2). In patients diagnosed with metastatic PCa, levels of all three miRNAs were significantly higher than in patients with localized/local advanced disease where the difference for the miR-141 was most pronounced (p&lt;0.001; AUC, 75.5%). In conclusion, analysis of miR-21,-141, and-221 in blood of PCa patients reveals varying patterns of these molecules in clinical subgroups of PCa. © 2010 International Society of Oncology and BioMarkers (ISOBM).","author":[{"dropping-particle":"","family":"Agaoglu","given":"Fulya Yaman","non-dropping-particle":"","parse-names":false,"suffix":""},{"dropping-particle":"","family":"Kovancilar","given":"Müge","non-dropping-particle":"","parse-names":false,"suffix":""},{"dropping-particle":"","family":"Dizdar","given":"Yavuz","non-dropping-particle":"","parse-names":false,"suffix":""},{"dropping-particle":"","family":"Darendeliler","given":"Emin","non-dropping-particle":"","parse-names":false,"suffix":""},{"dropping-particle":"","family":"Holdenrieder","given":"Stefan","non-dropping-particle":"","parse-names":false,"suffix":""},{"dropping-particle":"","family":"Dalay","given":"Nejat","non-dropping-particle":"","parse-names":false,"suffix":""},{"dropping-particle":"","family":"Gezer","given":"Ugur","non-dropping-particle":"","parse-names":false,"suffix":""}],"container-title":"Tumor Biology","id":"ITEM-1","issue":"3","issued":{"date-parts":[["2011"]]},"page":"583-588","title":"Investigation of miR-21, miR-141, and miR-221 in blood circulation of patients with prostate cancer","type":"article-journal","volume":"32"},"uris":["http://www.mendeley.com/documents/?uuid=a1ac2c8b-a9c0-48c9-b821-7e04b45dcc87"]}],"mendeley":{"formattedCitation":"&lt;sup&gt;112&lt;/sup&gt;","plainTextFormattedCitation":"112","previouslyFormattedCitation":"[112]"},"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112</w:t>
            </w:r>
            <w:r w:rsidRPr="00784B41">
              <w:rPr>
                <w:rFonts w:cs="Calibri"/>
                <w:color w:val="3B3838" w:themeColor="background2" w:themeShade="40"/>
                <w:sz w:val="20"/>
                <w:szCs w:val="20"/>
              </w:rPr>
              <w:fldChar w:fldCharType="end"/>
            </w:r>
          </w:p>
        </w:tc>
      </w:tr>
      <w:tr w:rsidR="00EE7EB3" w:rsidRPr="00784B41" w14:paraId="0E845A2C" w14:textId="77777777" w:rsidTr="00F233D4">
        <w:trPr>
          <w:trHeight w:val="340"/>
        </w:trPr>
        <w:tc>
          <w:tcPr>
            <w:tcW w:w="1402" w:type="dxa"/>
            <w:vAlign w:val="center"/>
          </w:tcPr>
          <w:p w14:paraId="598C202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221</w:t>
            </w:r>
          </w:p>
        </w:tc>
        <w:tc>
          <w:tcPr>
            <w:tcW w:w="398" w:type="dxa"/>
            <w:vAlign w:val="center"/>
          </w:tcPr>
          <w:p w14:paraId="6FBA81F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611895A1"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0731249F"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0356A728"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2E575045"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66AF3D6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0.83</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6BD2BC07"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19EE0A92" w14:textId="77777777" w:rsidTr="00F233D4">
        <w:trPr>
          <w:trHeight w:val="340"/>
        </w:trPr>
        <w:tc>
          <w:tcPr>
            <w:tcW w:w="1402" w:type="dxa"/>
            <w:vAlign w:val="center"/>
          </w:tcPr>
          <w:p w14:paraId="068406C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21</w:t>
            </w:r>
          </w:p>
        </w:tc>
        <w:tc>
          <w:tcPr>
            <w:tcW w:w="398" w:type="dxa"/>
            <w:vAlign w:val="center"/>
          </w:tcPr>
          <w:p w14:paraId="1203D981" w14:textId="77777777" w:rsidR="00EE7EB3" w:rsidRPr="00784B41" w:rsidRDefault="00EE7EB3" w:rsidP="00F233D4">
            <w:pPr>
              <w:jc w:val="center"/>
              <w:rPr>
                <w:rFonts w:ascii="Cambria" w:hAnsi="Cambria" w:cs="Calibri"/>
                <w:color w:val="3B3838" w:themeColor="background2" w:themeShade="40"/>
                <w:sz w:val="20"/>
                <w:szCs w:val="20"/>
              </w:rPr>
            </w:pPr>
          </w:p>
        </w:tc>
        <w:tc>
          <w:tcPr>
            <w:tcW w:w="2073" w:type="dxa"/>
            <w:vAlign w:val="center"/>
          </w:tcPr>
          <w:p w14:paraId="38BBF6F7" w14:textId="58877BE8" w:rsidR="00EE7EB3" w:rsidRPr="00784B41" w:rsidRDefault="00062068" w:rsidP="00F233D4">
            <w:pPr>
              <w:jc w:val="center"/>
              <w:rPr>
                <w:rFonts w:ascii="Cambria" w:hAnsi="Cambria" w:cs="Calibri"/>
                <w:color w:val="3B3838" w:themeColor="background2" w:themeShade="40"/>
                <w:sz w:val="20"/>
                <w:szCs w:val="20"/>
              </w:rPr>
            </w:pPr>
            <w:proofErr w:type="spellStart"/>
            <w:r>
              <w:rPr>
                <w:rFonts w:ascii="Cambria" w:hAnsi="Cambria" w:cs="Calibri"/>
                <w:color w:val="3B3838" w:themeColor="background2" w:themeShade="40"/>
                <w:sz w:val="20"/>
                <w:szCs w:val="20"/>
              </w:rPr>
              <w:t>p</w:t>
            </w:r>
            <w:r w:rsidR="00EE7EB3" w:rsidRPr="00784B41">
              <w:rPr>
                <w:rFonts w:ascii="Cambria" w:hAnsi="Cambria" w:cs="Calibri"/>
                <w:color w:val="3B3838" w:themeColor="background2" w:themeShade="40"/>
                <w:sz w:val="20"/>
                <w:szCs w:val="20"/>
              </w:rPr>
              <w:t>eripeheral</w:t>
            </w:r>
            <w:proofErr w:type="spellEnd"/>
            <w:r w:rsidR="00EE7EB3" w:rsidRPr="00784B41">
              <w:rPr>
                <w:rFonts w:ascii="Cambria" w:hAnsi="Cambria" w:cs="Calibri"/>
                <w:color w:val="3B3838" w:themeColor="background2" w:themeShade="40"/>
                <w:sz w:val="20"/>
                <w:szCs w:val="20"/>
              </w:rPr>
              <w:t xml:space="preserve"> blood (mononuclear cells)</w:t>
            </w:r>
          </w:p>
        </w:tc>
        <w:tc>
          <w:tcPr>
            <w:tcW w:w="1669" w:type="dxa"/>
            <w:vAlign w:val="center"/>
          </w:tcPr>
          <w:p w14:paraId="273A8613"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75 </w:t>
            </w:r>
            <w:proofErr w:type="spellStart"/>
            <w:r w:rsidRPr="00784B41">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p>
          <w:p w14:paraId="1DFE380D" w14:textId="5F32497F"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75 controls</w:t>
            </w:r>
          </w:p>
        </w:tc>
        <w:tc>
          <w:tcPr>
            <w:tcW w:w="590" w:type="dxa"/>
            <w:vAlign w:val="center"/>
          </w:tcPr>
          <w:p w14:paraId="3CB907CA"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87.5</w:t>
            </w:r>
          </w:p>
        </w:tc>
        <w:tc>
          <w:tcPr>
            <w:tcW w:w="590" w:type="dxa"/>
            <w:vAlign w:val="center"/>
          </w:tcPr>
          <w:p w14:paraId="216CABA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85.7</w:t>
            </w:r>
          </w:p>
        </w:tc>
        <w:tc>
          <w:tcPr>
            <w:tcW w:w="1304" w:type="dxa"/>
            <w:vAlign w:val="center"/>
          </w:tcPr>
          <w:p w14:paraId="6101BBE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0.833</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1A93248E" w14:textId="520B0A3A"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{"citationItems":[{"id":"ITEM-1","itemData":{"DOI":"10.1089/gtmb.2015.0088","ISSN":"19450257","abstract":"Our study aimed to evaluate the diagnostic and prognostic values of microRNA-21 (miR-21) expression levels in peripheral blood mononuclear cells (PBMCs) for prostate cancer (PCa). Methods: Between February 2010 and June 2014, 75 consecutive patients with localized PCa confirmed by radical prostatectomy and biopsy were enrolled as the case group. Among them, 25 patients were confirmed with recurrence or metastasis (R/M) (PCa with R/M group) and 50 patients without R/M (PCa without R/M group). During the same period, 75 healthy volunteers were enrolled as the control group. Blood was collected from all subjects, and PBMCs were isolated. Relative miR-21 expression levels from the PBMCs were determined by fluorescence real-time quantitative polymerase chain reaction (RT-qPCR). Results: The relative miR-21 expression levels in the preoperative case group was significantly higher than that in the postoperative case group and the control group (both p&lt;0.001). miR-21 expression levels were associated with tumor differentiation, clinical stage, and lymph node metastasis (all p&lt;0.001). Furthermore, miR-21 expression levels in PCa patients with R/M were significantly higher than that in PCa patients without R/M and healthy controls (both p&lt;0.001). Receiver operating characteristic (ROC) curve analysis revealed that the cut-off point of miR-21 for diagnosis of PCa was 0.9 with a sensitivity of 87.5% and a specificity of 85.7%. Conclusions: Our study demonstrates that high miR-21 expression levels in PBMCs were correlated with the presence, recurrence, and metastasis of PCa and that this may be a useful biomarker for screening PCa and monitoring the risk of PCa recurrence and metastasis.","author":[{"dropping-particle":"","family":"Huang","given":"Wei","non-dropping-particle":"","parse-names":false,"suffix":""},{"dropping-particle":"","family":"Kang","given":"Xin Li","non-dropping-particle":"","parse-names":false,"suffix":""},{"dropping-particle":"","family":"Cen","given":"Son","non-dropping-particle":"","parse-names":false,"suffix":""},{"dropping-particle":"","family":"Wang","given":"Yang","non-dropping-particle":"","parse-names":false,"suffix":""},{"dropping-particle":"","family":"Chen","given":"Xiang","non-dropping-particle":"","parse-names":false,"suffix":""}],"container-title":"Genetic Testing and Molecular Biomarkers","id":"ITEM-1","issue":"9","issued":{"date-parts":[["2015"]]},"page":"469-475","title":"High-Level Expression of microRNA-21 in Peripheral Blood Mononuclear Cells Is a Diagnostic and Prognostic Marker in Prostate Cancer","type":"article-journal","volume":"19"},"uris":["http://www.mendeley.com/documents/?uuid=e7820eaf-0adc-42a1-a144-0184db490357"]}],"mendeley":{"formattedCitation":"&lt;sup&gt;113&lt;/sup&gt;","plainTextFormattedCitation":"113","previouslyFormattedCitation":"[113]"},"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113</w:t>
            </w:r>
            <w:r w:rsidRPr="00784B41">
              <w:rPr>
                <w:rFonts w:cs="Calibri"/>
                <w:color w:val="3B3838" w:themeColor="background2" w:themeShade="40"/>
                <w:sz w:val="20"/>
                <w:szCs w:val="20"/>
              </w:rPr>
              <w:fldChar w:fldCharType="end"/>
            </w:r>
          </w:p>
        </w:tc>
      </w:tr>
      <w:tr w:rsidR="00EE7EB3" w:rsidRPr="00784B41" w14:paraId="5111E372" w14:textId="77777777" w:rsidTr="00F233D4">
        <w:trPr>
          <w:trHeight w:val="340"/>
        </w:trPr>
        <w:tc>
          <w:tcPr>
            <w:tcW w:w="1402" w:type="dxa"/>
            <w:vAlign w:val="center"/>
          </w:tcPr>
          <w:p w14:paraId="5C18323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375</w:t>
            </w:r>
          </w:p>
        </w:tc>
        <w:tc>
          <w:tcPr>
            <w:tcW w:w="398" w:type="dxa"/>
            <w:vAlign w:val="center"/>
          </w:tcPr>
          <w:p w14:paraId="274C5F0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37E53ABF" w14:textId="0AC8EAA7"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s</w:t>
            </w:r>
            <w:r w:rsidR="00EE7EB3" w:rsidRPr="00784B41">
              <w:rPr>
                <w:rFonts w:ascii="Cambria" w:hAnsi="Cambria" w:cs="Calibri"/>
                <w:color w:val="3B3838" w:themeColor="background2" w:themeShade="40"/>
                <w:sz w:val="20"/>
                <w:szCs w:val="20"/>
              </w:rPr>
              <w:t>erum</w:t>
            </w:r>
          </w:p>
        </w:tc>
        <w:tc>
          <w:tcPr>
            <w:tcW w:w="1669" w:type="dxa"/>
            <w:vAlign w:val="center"/>
          </w:tcPr>
          <w:p w14:paraId="700B909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146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/35 BPH/18 controls</w:t>
            </w:r>
          </w:p>
        </w:tc>
        <w:tc>
          <w:tcPr>
            <w:tcW w:w="590" w:type="dxa"/>
            <w:vAlign w:val="center"/>
          </w:tcPr>
          <w:p w14:paraId="06B7F86F"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AC277B0"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7176921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0.720</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6CCEB565" w14:textId="031B288E"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{"citationItems":[{"id":"ITEM-1","itemData":{"DOI":"10.1002/ijc.29505","ISSN":"10970215","abstract":"This study aimed to assess the applicability of miR-375 in combination with the soluble urokinase plasminogen activator receptor (suPAR) protein as a diagnostic and/or prognostic biomarker for prostate cancer (PCa) patients. miR-375 levels by qRT-PCR and suPAR levels by ELISA were evaluated in serum samples from 146 PCa patients, 35 benign prostate hyperplasia (BPH) patients and 18 healthy controls. Antigen levels of suPAR differed between healthy controls and PCa or BPH patients, whereas miR-375 levels differed between PCa and BPH patients or healthy controls (p&lt;0.001). Additionally, suPAR levels differed between the Gleason sum groups GS=7 versus GS&gt;7, with higher levels in the latter group (p=0.011), and miR-375 levels were higher in the tumor stage group T3-T4 compared with the T1-T2 group (p=0.039). A high concentration of suPAR was associated with a poor disease-specific survival (DSS; p=0.039). The combination of suPAR and miR-375 levels identified a patient group possessing high levels for both parameters. This was associated with a poorer 10-year overall survival (OS) and DSS, with a 6.38-fold increased risk of death and a 7.68-fold increased risk of tumor-related death (p=0.00026 and p=0.014; univariate Cox's regression analysis). In a multivariate Cox's regression analysis PCa patients with high levels of suPAR and miR-375 showed a 5.72-fold increased risk of death in OS (p=0.006). In summary, the differences between the PCa/BPH/healthy control cohorts for either suPAR and miR-375 levels in conjunction with the association of combined high suPAR/miR-375 levels with a poor prognosis suggest a diagnostic and prognostic impact for PCa patients.","author":[{"dropping-particle":"","family":"Wach","given":"Sven","non-dropping-particle":"","parse-names":false,"suffix":""},{"dropping-particle":"","family":"Al-Janabi","given":"Omar","non-dropping-particle":"","parse-names":false,"suffix":""},{"dropping-particle":"","family":"Weigelt","given":"Katrin","non-dropping-particle":"","parse-names":false,"suffix":""},{"dropping-particle":"","family":"Fischer","given":"Kersten","non-dropping-particle":"","parse-names":false,"suffix":""},{"dropping-particle":"","family":"Greither","given":"Thomas","non-dropping-particle":"","parse-names":false,"suffix":""},{"dropping-particle":"","family":"Marcou","given":"Marios","non-dropping-particle":"","parse-names":false,"suffix":""},{"dropping-particle":"","family":"Theil","given":"Gerit","non-dropping-particle":"","parse-names":false,"suffix":""},{"dropping-particle":"","family":"Nolte","given":"Elke","non-dropping-particle":"","parse-names":false,"suffix":""},{"dropping-particle":"","family":"Holzhausen","given":"Hans Juergen","non-dropping-particle":"","parse-names":false,"suffix":""},{"dropping-particle":"","family":"Stöhr","given":"Robert","non-dropping-particle":"","parse-names":false,"suffix":""},{"dropping-particle":"","family":"Huppert","given":"Verena","non-dropping-particle":"","parse-names":false,"suffix":""},{"dropping-particle":"","family":"Hartmann","given":"Arndt","non-dropping-particle":"","parse-names":false,"suffix":""},{"dropping-particle":"","family":"Fornara","given":"Paolo","non-dropping-particle":"","parse-names":false,"suffix":""},{"dropping-particle":"","family":"Wullich","given":"Bernd","non-dropping-particle":"","parse-names":false,"suffix":""},{"dropping-particle":"","family":"Taubert","given":"Helge","non-dropping-particle":"","parse-names":false,"suffix":""}],"container-title":"International Journal of Cancer","id":"ITEM-1","issue":"6","issued":{"date-parts":[["2015"]]},"page":"1406-1416","title":"The combined serum levels of miR-375 and urokinase plasminogen activator receptor are suggested as diagnostic and prognostic biomarkers in prostate cancer","type":"article-journal","volume":"137"},"uris":["http://www.mendeley.com/documents/?uuid=69567073-f2de-4135-af9c-d3173a7ac91a"]}],"mendeley":{"formattedCitation":"&lt;sup&gt;114&lt;/sup&gt;","plainTextFormattedCitation":"114","previouslyFormattedCitation":"[114]"},"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114</w:t>
            </w:r>
            <w:r w:rsidRPr="00784B41">
              <w:rPr>
                <w:rFonts w:cs="Calibri"/>
                <w:color w:val="3B3838" w:themeColor="background2" w:themeShade="40"/>
                <w:sz w:val="20"/>
                <w:szCs w:val="20"/>
              </w:rPr>
              <w:fldChar w:fldCharType="end"/>
            </w:r>
          </w:p>
        </w:tc>
      </w:tr>
      <w:tr w:rsidR="00EE7EB3" w:rsidRPr="00784B41" w14:paraId="19F8638E" w14:textId="77777777" w:rsidTr="00F233D4">
        <w:trPr>
          <w:trHeight w:val="340"/>
        </w:trPr>
        <w:tc>
          <w:tcPr>
            <w:tcW w:w="1402" w:type="dxa"/>
            <w:vAlign w:val="center"/>
          </w:tcPr>
          <w:p w14:paraId="364F5AB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129</w:t>
            </w:r>
          </w:p>
        </w:tc>
        <w:tc>
          <w:tcPr>
            <w:tcW w:w="398" w:type="dxa"/>
            <w:vAlign w:val="center"/>
          </w:tcPr>
          <w:p w14:paraId="1D57F13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51CD1FBF" w14:textId="65300542" w:rsidR="00EE7EB3" w:rsidRPr="00784B41" w:rsidRDefault="00062068" w:rsidP="00F233D4">
            <w:pPr>
              <w:jc w:val="center"/>
              <w:rPr>
                <w:rFonts w:ascii="Cambria" w:hAnsi="Cambria" w:cs="Calibri"/>
                <w:color w:val="3B3838" w:themeColor="background2" w:themeShade="40"/>
                <w:sz w:val="20"/>
                <w:szCs w:val="20"/>
              </w:rPr>
            </w:pPr>
            <w:proofErr w:type="spellStart"/>
            <w:r>
              <w:rPr>
                <w:rFonts w:ascii="Cambria" w:hAnsi="Cambria" w:cs="Calibri"/>
                <w:color w:val="3B3838" w:themeColor="background2" w:themeShade="40"/>
                <w:sz w:val="20"/>
                <w:szCs w:val="20"/>
              </w:rPr>
              <w:t>p</w:t>
            </w:r>
            <w:r w:rsidR="00EE7EB3" w:rsidRPr="00784B41">
              <w:rPr>
                <w:rFonts w:ascii="Cambria" w:hAnsi="Cambria" w:cs="Calibri"/>
                <w:color w:val="3B3838" w:themeColor="background2" w:themeShade="40"/>
                <w:sz w:val="20"/>
                <w:szCs w:val="20"/>
              </w:rPr>
              <w:t>eripeheral</w:t>
            </w:r>
            <w:proofErr w:type="spellEnd"/>
            <w:r w:rsidR="00EE7EB3" w:rsidRPr="00784B41">
              <w:rPr>
                <w:rFonts w:ascii="Cambria" w:hAnsi="Cambria" w:cs="Calibri"/>
                <w:color w:val="3B3838" w:themeColor="background2" w:themeShade="40"/>
                <w:sz w:val="20"/>
                <w:szCs w:val="20"/>
              </w:rPr>
              <w:t xml:space="preserve"> blood (mononuclear cells)</w:t>
            </w:r>
          </w:p>
        </w:tc>
        <w:tc>
          <w:tcPr>
            <w:tcW w:w="1669" w:type="dxa"/>
            <w:vAlign w:val="center"/>
          </w:tcPr>
          <w:p w14:paraId="4547C3A5" w14:textId="77777777" w:rsidR="00EE7EB3"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98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 xml:space="preserve">/ </w:t>
            </w:r>
          </w:p>
          <w:p w14:paraId="6D2961F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56 controls</w:t>
            </w:r>
          </w:p>
        </w:tc>
        <w:tc>
          <w:tcPr>
            <w:tcW w:w="590" w:type="dxa"/>
            <w:vAlign w:val="center"/>
          </w:tcPr>
          <w:p w14:paraId="679F1B9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88.9</w:t>
            </w:r>
          </w:p>
        </w:tc>
        <w:tc>
          <w:tcPr>
            <w:tcW w:w="590" w:type="dxa"/>
            <w:vAlign w:val="center"/>
          </w:tcPr>
          <w:p w14:paraId="5DF23CC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66.7</w:t>
            </w:r>
          </w:p>
        </w:tc>
        <w:tc>
          <w:tcPr>
            <w:tcW w:w="1304" w:type="dxa"/>
            <w:vAlign w:val="center"/>
          </w:tcPr>
          <w:p w14:paraId="3113999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0.846</w:t>
            </w:r>
          </w:p>
          <w:p w14:paraId="57F7AE70" w14:textId="77777777" w:rsidR="00EE7EB3" w:rsidRPr="00784B41" w:rsidRDefault="00EE7EB3" w:rsidP="00F233D4">
            <w:pPr>
              <w:jc w:val="center"/>
              <w:rPr>
                <w:rFonts w:ascii="Cambria" w:hAnsi="Cambria" w:cs="Calibr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53EBD933" w14:textId="1B46D122"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{"citationItems":[{"id":"ITEM-1","itemData":{"DOI":"10.21037/tau.2017.s064","ISSN":"19362625","PMID":"26823749","abstract":"Objective: The present study was designed to explore the clinical values of microRNA-129 (miR-129) expression in peripheral blood mononuclear cells for prostate cancer patients and the role of miR-129 in the proliferation of prostate cancer. Methods: The peripheral blood mononuclear cells were isolated form blood simple from 98 patients confirmed with prostate cancer and 56 matched healthy volunteers. Reverse transcription quantitative real- time polymerase chain reaction (qRT-PCR) was employed to determine the expression level of miR-129 in peripheral blood mononuclear cells. Cox proportional hazards regression models and Kaplan-Meier analysis were used to evaluate the association of miR-129 expression with clinical and pathological characteristics of prostate cancer patients. The effect of miR-129 on the proliferation of prostate cancer cells in vitro was also determined. Results: Reverse transcription quantitative real-time polymerase chain reaction (qRT-PCR) results showed that the expression of miR-129 was dramatically down-regulated in peripheral blood mononuclear cells for prostate cancer patients in comparison with healthy controls (P &lt; 0.05). The decrease in miR-129 expression in peripheral blood mononuclear cells was significantly associated with aggressive clinical pathological features such as histological grade (P=0.010), high preoperative PSA level (P=0.002), pathological stage (P=0.011), high Gleason score (P=0.005), lymph node metastasis (P=0.002), angiolymphatic invasion (P=0.004), biochemical recurrence (P=0.001). The prostate cancer patients with a low miR-129 expression in peripheral blood mononuclear cells had an obviously shorter BCR-free survival compared with high miR-129 expression (P &lt; 0.001). The Cox multivariate analysis established that the miR- 129 expression may be an independent prognostic factor for biochemical recurrence (BCR)-free survival prostate cancer patients (P=0.000). The results of in vitro CCK-8 assays, as well as proliferating cell nuclear antigen (PCNA) and phosphorylated histone-3 (P-H3) (markers of proliferation) indicated that miR-129 overexpression markedly retarded the proliferation of PC-3 and DU-145 cells. Conclusions: Our results provide the first evidence that the miR- 129is significantly downregulated in prostate cancer patients and multivariate analysis confirmed that miR-129 is a novel independent prognostic factor for prostate cancer. Overexpression of miR-129 exerts tumor suppressive functions …","author":[{"dropping-particle":"","family":"Xu","given":"Song","non-dropping-particle":"","parse-names":false,"suffix":""},{"dropping-particle":"","family":"Yi","given":"Xiao Ming","non-dropping-particle":"","parse-names":false,"suffix":""},{"dropping-particle":"","family":"Zhou","given":"Wen Quan","non-dropping-particle":"","parse-names":false,"suffix":""},{"dropping-particle":"","family":"Cheng","given":"Wen","non-dropping-particle":"","parse-names":false,"suffix":""},{"dropping-particle":"","family":"Ge","given":"Jing Ping","non-dropping-particle":"","parse-names":false,"suffix":""},{"dropping-particle":"","family":"Zhang","given":"Zheng Yu","non-dropping-particle":"","parse-names":false,"suffix":""}],"container-title":"International Journal of Clinical and Experimental Pathology","id":"ITEM-1","issue":"11","issued":{"date-parts":[["2015"]]},"page":"14335-14344","title":"Downregulation of miR-129 in peripheral blood mononuclear cells is a diagnostic and prognostic biomarker in prostate cancer","type":"article-journal","volume":"8"},"uris":["http://www.mendeley.com/documents/?uuid=9d7be74a-4038-4d6d-a65d-169807732d3e"]}],"mendeley":{"formattedCitation":"&lt;sup&gt;115&lt;/sup&gt;","plainTextFormattedCitation":"115","previouslyFormattedCitation":"[115]"},"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115</w:t>
            </w:r>
            <w:r w:rsidRPr="00784B41">
              <w:rPr>
                <w:rFonts w:cs="Calibri"/>
                <w:color w:val="3B3838" w:themeColor="background2" w:themeShade="40"/>
                <w:sz w:val="20"/>
                <w:szCs w:val="20"/>
              </w:rPr>
              <w:fldChar w:fldCharType="end"/>
            </w:r>
          </w:p>
        </w:tc>
      </w:tr>
      <w:tr w:rsidR="00EE7EB3" w:rsidRPr="00784B41" w14:paraId="7FC2CFB7" w14:textId="77777777" w:rsidTr="00F233D4">
        <w:trPr>
          <w:trHeight w:val="340"/>
        </w:trPr>
        <w:tc>
          <w:tcPr>
            <w:tcW w:w="1402" w:type="dxa"/>
            <w:vAlign w:val="center"/>
          </w:tcPr>
          <w:p w14:paraId="690FF2E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141</w:t>
            </w:r>
          </w:p>
        </w:tc>
        <w:tc>
          <w:tcPr>
            <w:tcW w:w="398" w:type="dxa"/>
            <w:vAlign w:val="center"/>
          </w:tcPr>
          <w:p w14:paraId="23E5C01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4005F83C" w14:textId="3FCCCF4F"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s</w:t>
            </w:r>
            <w:r w:rsidR="00EE7EB3" w:rsidRPr="00784B41">
              <w:rPr>
                <w:rFonts w:ascii="Cambria" w:hAnsi="Cambria" w:cs="Calibri"/>
                <w:color w:val="3B3838" w:themeColor="background2" w:themeShade="40"/>
                <w:sz w:val="20"/>
                <w:szCs w:val="20"/>
              </w:rPr>
              <w:t>erum</w:t>
            </w:r>
          </w:p>
        </w:tc>
        <w:tc>
          <w:tcPr>
            <w:tcW w:w="1669" w:type="dxa"/>
            <w:vAlign w:val="center"/>
          </w:tcPr>
          <w:p w14:paraId="4010E825" w14:textId="77777777" w:rsidR="00EE7EB3"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25</w:t>
            </w:r>
            <w:r>
              <w:rPr>
                <w:rFonts w:ascii="Cambria" w:hAnsi="Cambria" w:cs="Calibri"/>
                <w:color w:val="3B3838" w:themeColor="background2" w:themeShade="40"/>
                <w:sz w:val="20"/>
                <w:szCs w:val="20"/>
              </w:rPr>
              <w:t xml:space="preserve"> </w:t>
            </w:r>
            <w:proofErr w:type="spellStart"/>
            <w:r w:rsidRPr="00784B41">
              <w:rPr>
                <w:rFonts w:ascii="Cambria" w:hAnsi="Cambria" w:cs="Calibri"/>
                <w:color w:val="3B3838" w:themeColor="background2" w:themeShade="40"/>
                <w:sz w:val="20"/>
                <w:szCs w:val="20"/>
              </w:rPr>
              <w:t>m</w:t>
            </w:r>
            <w:r>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63A69ED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25 </w:t>
            </w:r>
            <w:r>
              <w:rPr>
                <w:rFonts w:ascii="Cambria" w:hAnsi="Cambria" w:cs="Calibri"/>
                <w:color w:val="3B3838" w:themeColor="background2" w:themeShade="40"/>
                <w:sz w:val="20"/>
                <w:szCs w:val="20"/>
              </w:rPr>
              <w:t>controls</w:t>
            </w:r>
          </w:p>
        </w:tc>
        <w:tc>
          <w:tcPr>
            <w:tcW w:w="590" w:type="dxa"/>
            <w:vAlign w:val="center"/>
          </w:tcPr>
          <w:p w14:paraId="0A27ADC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60</w:t>
            </w:r>
          </w:p>
        </w:tc>
        <w:tc>
          <w:tcPr>
            <w:tcW w:w="590" w:type="dxa"/>
            <w:vAlign w:val="center"/>
          </w:tcPr>
          <w:p w14:paraId="2F42ED8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100</w:t>
            </w:r>
          </w:p>
        </w:tc>
        <w:tc>
          <w:tcPr>
            <w:tcW w:w="1304" w:type="dxa"/>
            <w:vAlign w:val="center"/>
          </w:tcPr>
          <w:p w14:paraId="359E66E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0.907</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18DD6044" w14:textId="13BD7637"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{"citationItems":[{"id":"ITEM-1","itemData":{"DOI":"10.1073/pnas.0804549105","ISSN":"00278424","PMID":"18663219","abstract":"Improved approaches for the detection of common epithelial malignancies are urgently needed to reduce the worldwide morbidity and mortality caused by cancer. MicroRNAs (miRNAs) are small (≈22 nt) regulatory RNAs that are frequently dysregulated in cancer and have shown promise as tissue-based markers for cancer classification and prognostication. We show here that miRNAs are present in human plasma in a remarkably stable form that is protected from endogenous RNase activity. miRNAs originating from human prostate cancer xenografts enter the circulation, are readily measured in plasma, and can robustly distinguish xenografted mice from controls. This concept extends to cancer in humans, where serum levels of miR-141 (a miRNA expressed in prostate cancer) can distinguish patients with prostate cancer from healthy controls. Our results establish the measurement of tumor-derived miRNAs in serum or plasma as an important approach for the blood-based detection of human cancer. © 2008 by The National Academy of Sciences of the USA.","author":[{"dropping-particle":"","family":"Mitchell","given":"Patrick S.","non-dropping-particle":"","parse-names":false,"suffix":""},{"dropping-particle":"","family":"Parkin","given":"Rachael K.","non-dropping-particle":"","parse-names":false,"suffix":""},{"dropping-particle":"","family":"Kroh","given":"Evan M.","non-dropping-particle":"","parse-names":false,"suffix":""},{"dropping-particle":"","family":"Fritz","given":"Brian R.","non-dropping-particle":"","parse-names":false,"suffix":""},{"dropping-particle":"","family":"Wyman","given":"Stacia K.","non-dropping-particle":"","parse-names":false,"suffix":""},{"dropping-particle":"","family":"Pogosova-Agadjanyan","given":"Era L.","non-dropping-particle":"","parse-names":false,"suffix":""},{"dropping-particle":"","family":"Peterson","given":"Amelia","non-dropping-particle":"","parse-names":false,"suffix":""},{"dropping-particle":"","family":"Noteboom","given":"Jennifer","non-dropping-particle":"","parse-names":false,"suffix":""},{"dropping-particle":"","family":"O'Briant","given":"Kathy C.","non-dropping-particle":"","parse-names":false,"suffix":""},{"dropping-particle":"","family":"Allen","given":"April","non-dropping-particle":"","parse-names":false,"suffix":""},{"dropping-particle":"","family":"Lin","given":"Daniel W.","non-dropping-particle":"","parse-names":false,"suffix":""},{"dropping-particle":"","family":"Urban","given":"Nicole","non-dropping-particle":"","parse-names":false,"suffix":""},{"dropping-particle":"","family":"Drescher","given":"Charles W.","non-dropping-particle":"","parse-names":false,"suffix":""},{"dropping-particle":"","family":"Knudsen","given":"Beatrice S.","non-dropping-particle":"","parse-names":false,"suffix":""},{"dropping-particle":"","family":"Stirewalt","given":"Derek L.","non-dropping-particle":"","parse-names":false,"suffix":""},{"dropping-particle":"","family":"Gentleman","given":"Robert","non-dropping-particle":"","parse-names":false,"suffix":""},{"dropping-particle":"","family":"Vessella","given":"Robert L.","non-dropping-particle":"","parse-names":false,"suffix":""},{"dropping-particle":"","family":"Nelson","given":"Peter S.","non-dropping-particle":"","parse-names":false,"suffix":""},{"dropping-particle":"","family":"Martin","given":"Daniel B.","non-dropping-particle":"","parse-names":false,"suffix":""},{"dropping-particle":"","family":"Tewari","given":"Muneesh","non-dropping-particle":"","parse-names":false,"suffix":""}],"container-title":"Proceedings of the National Academy of Sciences of the United States of America","id":"ITEM-1","issue":"30","issued":{"date-parts":[["2008"]]},"page":"10513-10518","title":"Circulating microRNAs as stable blood-based markers for cancer detection","type":"article-journal","volume":"105"},"uris":["http://www.mendeley.com/documents/?uuid=f8d8bb5f-2427-4418-9361-87203e44164b"]}],"mendeley":{"formattedCitation":"&lt;sup&gt;93&lt;/sup&gt;","plainTextFormattedCitation":"93","previouslyFormattedCitation":"[93]"},"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93</w:t>
            </w:r>
            <w:r w:rsidRPr="00784B41">
              <w:rPr>
                <w:rFonts w:cs="Calibri"/>
                <w:color w:val="3B3838" w:themeColor="background2" w:themeShade="40"/>
                <w:sz w:val="20"/>
                <w:szCs w:val="20"/>
              </w:rPr>
              <w:fldChar w:fldCharType="end"/>
            </w:r>
          </w:p>
        </w:tc>
      </w:tr>
      <w:tr w:rsidR="00EE7EB3" w:rsidRPr="00784B41" w14:paraId="6100A392" w14:textId="77777777" w:rsidTr="00F233D4">
        <w:trPr>
          <w:trHeight w:val="340"/>
        </w:trPr>
        <w:tc>
          <w:tcPr>
            <w:tcW w:w="1402" w:type="dxa"/>
            <w:vAlign w:val="center"/>
          </w:tcPr>
          <w:p w14:paraId="6FA7967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483</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5p</w:t>
            </w:r>
          </w:p>
        </w:tc>
        <w:tc>
          <w:tcPr>
            <w:tcW w:w="398" w:type="dxa"/>
            <w:vAlign w:val="center"/>
          </w:tcPr>
          <w:p w14:paraId="0B443E2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54113FCC" w14:textId="30C0166C"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(supernatant without DRE)</w:t>
            </w:r>
          </w:p>
        </w:tc>
        <w:tc>
          <w:tcPr>
            <w:tcW w:w="1669" w:type="dxa"/>
            <w:vAlign w:val="center"/>
          </w:tcPr>
          <w:p w14:paraId="34C968F3" w14:textId="77777777" w:rsidR="00EE7EB3"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71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2DCC051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18 </w:t>
            </w:r>
            <w:r>
              <w:rPr>
                <w:rFonts w:ascii="Cambria" w:hAnsi="Cambria" w:cs="Calibri"/>
                <w:color w:val="3B3838" w:themeColor="background2" w:themeShade="40"/>
                <w:sz w:val="20"/>
                <w:szCs w:val="20"/>
              </w:rPr>
              <w:t>controls</w:t>
            </w:r>
          </w:p>
        </w:tc>
        <w:tc>
          <w:tcPr>
            <w:tcW w:w="590" w:type="dxa"/>
            <w:vAlign w:val="center"/>
          </w:tcPr>
          <w:p w14:paraId="06EB78BB"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128354B6"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53557520"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0.694</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107B3082" w14:textId="04D17D1F"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cs="Calibri"/>
                <w:color w:val="3B3838" w:themeColor="background2" w:themeShade="40"/>
                <w:sz w:val="20"/>
                <w:szCs w:val="20"/>
                <w:lang w:eastAsia="en-GB"/>
              </w:rPr>
              <w:fldChar w:fldCharType="begin" w:fldLock="1"/>
            </w:r>
            <w:r w:rsidR="000C069C">
              <w:rPr>
                <w:rFonts w:ascii="Cambria" w:hAnsi="Cambria" w:cs="Calibri"/>
                <w:color w:val="3B3838" w:themeColor="background2" w:themeShade="40"/>
                <w:sz w:val="20"/>
                <w:szCs w:val="20"/>
                <w:lang w:eastAsia="en-GB"/>
              </w:rPr>
              <w:instrText>ADDIN CSL_CITATION {"citationItems":[{"id":"ITEM-1","itemData":{"DOI":"10.1016/j.urolonc.2014.09.015","ISSN":"18732496","abstract":"Objectives: Current methods for the early detection of prostate cancer (PCa), in particular prostate-specific antigen screening, are likely to benefit from complementary molecular analyses to enhance specificity. MicroRNAs (miRNA) are small endogenously expressed noncoding RNAs that negatively regulate the expression of protein-coding genes at the transcriptional or translational level. Accumulating evidence suggests that miRNAs play an important role in tumorigenesis, are differentially expressed in different cancer types, and can be found in all bodily fluids so-far tested, including urine. Methods and Materials: This study was undertaken to determine if miRNA could be isolated from the cell-free fraction of freely voided urine of PCa patients and if a miRNA signature could be found that would identify patients with cancer. Results: In a first set of proof-of-concept experiments, we isolated RNA from the supernatant of cultured PCa cells, as well as cellular RNA, and compared the expression of cell-free miRNAs vs. cellular miRNAs. We identified miRNA-483-5p, miRNA-1275, and miRNA-1290 among the most abundant cell-free miRNAs. We then tested the expression of these miRNAs in patient urine samples. A total of 18 patients without detectable PCa by transperineal template-saturation biopsy and 71 patients with diagnosed biopsy-proven PCa were retrospectively analyzed. We could confirm that cell-free miRNAs found in cultures of PCa cells can in fact be isolated from freely voided patients[U+05F3] urine. Furthermore, we found that patients with PCa express miR-483-5p in the cell-free urine fraction at a higher level than control patients do. Conclusions: The present study is among the first to show that miRNAs can be detected in the cell-free, non-exosome-enriched fraction of urine collected from patients with PCa. As the method used here does not require isolation of exosomes, it could potentially simplify the future use of miRNAs as urine-based biomarkers.","author":[{"dropping-particle":"","family":"Korzeniewski","given":"Nina","non-dropping-particle":"","parse-names":false,"suffix":""},{"dropping-particle":"","family":"Tosev","given":"Georgi","non-dropping-particle":"","parse-names":false,"suffix":""},{"dropping-particle":"","family":"Pahernik","given":"Sascha","non-dropping-particle":"","parse-names":false,"suffix":""},{"dropping-particle":"","family":"Hadaschik","given":"Boris","non-dropping-particle":"","parse-names":false,"suffix":""},{"dropping-particle":"","family":"Hohenfellner","given":"Markus","non-dropping-particle":"","parse-names":false,"suffix":""},{"dropping-particle":"","family":"Duensing","given":"Stefan","non-dropping-particle":"","parse-names":false,"suffix":""}],"container-title":"Urologic Oncology: Seminars and Original Investigations","id":"ITEM-1","issue":"1","issued":{"date-parts":[["2015"]]},"page":"16.e17-16.e22","publisher":"Elsevier Inc.","title":"Identification of cell-free microRNAs in the urine of patients with prostate cancer","type":"article-journal","volume":"33"},"uris":["http://www.mendeley.com/documents/?uuid=433ae26e-6c34-4fd6-84ce-c31c6771f765"]}],"mendeley":{"formattedCitation":"&lt;sup&gt;109&lt;/sup&gt;","plainTextFormattedCitation":"109","previouslyFormattedCitation":"[109]"},"properties":{"noteIndex":0},"schema":"https://github.com/citation-style-language/schema/raw/master/csl-citation.json"}</w:instrText>
            </w:r>
            <w:r w:rsidRPr="00784B41">
              <w:rPr>
                <w:rFonts w:cs="Calibri"/>
                <w:color w:val="3B3838" w:themeColor="background2" w:themeShade="40"/>
                <w:sz w:val="20"/>
                <w:szCs w:val="20"/>
                <w:lang w:eastAsia="en-GB"/>
              </w:rPr>
              <w:fldChar w:fldCharType="separate"/>
            </w:r>
            <w:r w:rsidR="000C069C" w:rsidRPr="000C069C">
              <w:rPr>
                <w:rFonts w:ascii="Cambria" w:hAnsi="Cambria" w:cs="Calibri"/>
                <w:b w:val="0"/>
                <w:noProof/>
                <w:color w:val="3B3838" w:themeColor="background2" w:themeShade="40"/>
                <w:sz w:val="20"/>
                <w:szCs w:val="20"/>
                <w:vertAlign w:val="superscript"/>
                <w:lang w:eastAsia="en-GB"/>
              </w:rPr>
              <w:t>109</w:t>
            </w:r>
            <w:r w:rsidRPr="00784B41">
              <w:rPr>
                <w:rFonts w:cs="Calibri"/>
                <w:color w:val="3B3838" w:themeColor="background2" w:themeShade="40"/>
                <w:sz w:val="20"/>
                <w:szCs w:val="20"/>
                <w:lang w:eastAsia="en-GB"/>
              </w:rPr>
              <w:fldChar w:fldCharType="end"/>
            </w:r>
          </w:p>
        </w:tc>
      </w:tr>
      <w:tr w:rsidR="00EE7EB3" w:rsidRPr="00784B41" w14:paraId="5C919095" w14:textId="77777777" w:rsidTr="00F233D4">
        <w:trPr>
          <w:trHeight w:val="340"/>
        </w:trPr>
        <w:tc>
          <w:tcPr>
            <w:tcW w:w="1402" w:type="dxa"/>
            <w:vAlign w:val="center"/>
          </w:tcPr>
          <w:p w14:paraId="709008A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19a</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3p</w:t>
            </w:r>
          </w:p>
        </w:tc>
        <w:tc>
          <w:tcPr>
            <w:tcW w:w="398" w:type="dxa"/>
            <w:vAlign w:val="center"/>
          </w:tcPr>
          <w:p w14:paraId="60A8EF1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restart"/>
            <w:vAlign w:val="center"/>
          </w:tcPr>
          <w:p w14:paraId="4BE95272" w14:textId="66AD1FAC"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(sediment after DRE)</w:t>
            </w:r>
          </w:p>
        </w:tc>
        <w:tc>
          <w:tcPr>
            <w:tcW w:w="1669" w:type="dxa"/>
            <w:vMerge w:val="restart"/>
            <w:vAlign w:val="center"/>
          </w:tcPr>
          <w:p w14:paraId="510CBA60" w14:textId="77777777" w:rsidR="00EE7EB3"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41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7056E25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38 BPH</w:t>
            </w:r>
          </w:p>
        </w:tc>
        <w:tc>
          <w:tcPr>
            <w:tcW w:w="590" w:type="dxa"/>
            <w:vAlign w:val="center"/>
          </w:tcPr>
          <w:p w14:paraId="50363245"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4A3354E9"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2E4D524D"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0.723</w:t>
            </w:r>
          </w:p>
          <w:p w14:paraId="675B1DC6" w14:textId="77777777" w:rsidR="00EE7EB3" w:rsidRPr="00784B41" w:rsidRDefault="00EE7EB3" w:rsidP="00F233D4">
            <w:pPr>
              <w:jc w:val="center"/>
              <w:rPr>
                <w:rFonts w:ascii="Cambria" w:hAnsi="Cambria" w:cs="Calibr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2D9231E9" w14:textId="096F7124"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{"citationItems":[{"id":"ITEM-1","itemData":{"DOI":"10.4172/1948-5956.1000337","ISSN":"19485956","author":[{"dropping-particle":"","family":"Egidi","given":"Maria Giulia","non-dropping-particle":"","parse-names":false,"suffix":""},{"dropping-particle":"","family":"Guelfi","given":"Gabriella","non-dropping-particle":"","parse-names":false,"suffix":""},{"dropping-particle":"","family":"Cochetti","given":"Giovanni","non-dropping-particle":"","parse-names":false,"suffix":""},{"dropping-particle":"","family":"Poli","given":"Giulia","non-dropping-particle":"","parse-names":false,"suffix":""},{"dropping-particle":"","family":"Barillaro","given":"Francesco","non-dropping-particle":"","parse-names":false,"suffix":""},{"dropping-particle":"","family":"Zampini","given":"Danilo","non-dropping-particle":"","parse-names":false,"suffix":""},{"dropping-particle":"","family":"Mechelli","given":"Luca","non-dropping-particle":"","parse-names":false,"suffix":""},{"dropping-particle":"","family":"Mearini","given":"Ettore","non-dropping-particle":"","parse-names":false,"suffix":""}],"container-title":"Journal of Cancer Science and Therapy","id":"ITEM-1","issue":"04","issued":{"date-parts":[["2015"]]},"page":"130-136","title":"Characterization of Kallireins and microRNAs in Urine Sediment for the Discrimination of Prostate Cancer from Benign Prostatic Hyperplasia","type":"article-journal","volume":"07"},"uris":["http://www.mendeley.com/documents/?uuid=8efc5cbb-78ba-47ae-a719-fbdb16a37f85"]}],"mendeley":{"formattedCitation":"&lt;sup&gt;116&lt;/sup&gt;","plainTextFormattedCitation":"116","previouslyFormattedCitation":"[116]"},"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116</w:t>
            </w:r>
            <w:r w:rsidRPr="00784B41">
              <w:rPr>
                <w:rFonts w:cs="Calibri"/>
                <w:color w:val="3B3838" w:themeColor="background2" w:themeShade="40"/>
                <w:sz w:val="20"/>
                <w:szCs w:val="20"/>
              </w:rPr>
              <w:fldChar w:fldCharType="end"/>
            </w:r>
          </w:p>
        </w:tc>
      </w:tr>
      <w:tr w:rsidR="00EE7EB3" w:rsidRPr="00784B41" w14:paraId="4DF2A636" w14:textId="77777777" w:rsidTr="00F233D4">
        <w:trPr>
          <w:trHeight w:val="340"/>
        </w:trPr>
        <w:tc>
          <w:tcPr>
            <w:tcW w:w="1402" w:type="dxa"/>
            <w:vAlign w:val="center"/>
          </w:tcPr>
          <w:p w14:paraId="5764954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9</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3p</w:t>
            </w:r>
          </w:p>
        </w:tc>
        <w:tc>
          <w:tcPr>
            <w:tcW w:w="398" w:type="dxa"/>
            <w:vAlign w:val="center"/>
          </w:tcPr>
          <w:p w14:paraId="48BF5C8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Merge/>
            <w:vAlign w:val="center"/>
          </w:tcPr>
          <w:p w14:paraId="704E3096" w14:textId="77777777" w:rsidR="00EE7EB3" w:rsidRPr="00784B41" w:rsidRDefault="00EE7EB3" w:rsidP="00F233D4">
            <w:pPr>
              <w:jc w:val="center"/>
              <w:rPr>
                <w:rFonts w:ascii="Cambria" w:hAnsi="Cambria" w:cs="Calibri"/>
                <w:color w:val="3B3838" w:themeColor="background2" w:themeShade="40"/>
                <w:sz w:val="20"/>
                <w:szCs w:val="20"/>
              </w:rPr>
            </w:pPr>
          </w:p>
        </w:tc>
        <w:tc>
          <w:tcPr>
            <w:tcW w:w="1669" w:type="dxa"/>
            <w:vMerge/>
            <w:vAlign w:val="center"/>
          </w:tcPr>
          <w:p w14:paraId="02AAE082"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707391FF"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1CB4DB61"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6150C67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0.769</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72DAC634"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3BBCF392" w14:textId="77777777" w:rsidTr="00F233D4">
        <w:trPr>
          <w:trHeight w:val="340"/>
        </w:trPr>
        <w:tc>
          <w:tcPr>
            <w:tcW w:w="1402" w:type="dxa"/>
            <w:vAlign w:val="center"/>
          </w:tcPr>
          <w:p w14:paraId="70DF400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107</w:t>
            </w:r>
          </w:p>
        </w:tc>
        <w:tc>
          <w:tcPr>
            <w:tcW w:w="398" w:type="dxa"/>
            <w:vAlign w:val="center"/>
          </w:tcPr>
          <w:p w14:paraId="3FA93C2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5A751003" w14:textId="03896D40"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(sediments) after DRE</w:t>
            </w:r>
          </w:p>
        </w:tc>
        <w:tc>
          <w:tcPr>
            <w:tcW w:w="1669" w:type="dxa"/>
            <w:vAlign w:val="center"/>
          </w:tcPr>
          <w:p w14:paraId="0D9056E3"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70 local</w:t>
            </w:r>
            <w:r>
              <w:rPr>
                <w:rFonts w:ascii="Cambria" w:hAnsi="Cambria" w:cs="Calibri"/>
                <w:color w:val="3B3838" w:themeColor="background2" w:themeShade="40"/>
                <w:sz w:val="20"/>
                <w:szCs w:val="20"/>
              </w:rPr>
              <w:t xml:space="preserve">ized </w:t>
            </w:r>
            <w:proofErr w:type="spellStart"/>
            <w:r>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 xml:space="preserve"> </w:t>
            </w:r>
          </w:p>
          <w:p w14:paraId="52DBACA5" w14:textId="77777777" w:rsidR="00832A1F"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48 </w:t>
            </w:r>
            <w:proofErr w:type="spellStart"/>
            <w:r w:rsidR="00832A1F">
              <w:rPr>
                <w:rFonts w:ascii="Cambria" w:hAnsi="Cambria" w:cs="Calibri"/>
                <w:color w:val="3B3838" w:themeColor="background2" w:themeShade="40"/>
                <w:sz w:val="20"/>
                <w:szCs w:val="20"/>
              </w:rPr>
              <w:t>m</w:t>
            </w:r>
            <w:r>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p>
          <w:p w14:paraId="57F4223F" w14:textId="40E957D7" w:rsidR="00EE7EB3" w:rsidRPr="00784B41" w:rsidRDefault="00EE7EB3"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17 controls</w:t>
            </w:r>
          </w:p>
        </w:tc>
        <w:tc>
          <w:tcPr>
            <w:tcW w:w="590" w:type="dxa"/>
            <w:vAlign w:val="center"/>
          </w:tcPr>
          <w:p w14:paraId="4BD2BEF3"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EF457FA"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2EDFFAA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0.74</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619F6A46" w14:textId="16248E80"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{"citationItems":[{"id":"ITEM-1","itemData":{"DOI":"10.1038/bjc.2011.595","ISSN":"00070920","PMID":"22240788","abstract":"BACKGROUND: The aim of this study was to investigate the hypothesis that changes in circulating microRNAs (miRs) represent potentially useful biomarkers for the diagnosis, staging and prediction of outcome in prostate cancer. METHODS: Real-time polymerase chain reaction analysis of 742 miRs was performed using plasma-derived circulating microvesicles of 78 prostate cancer patients and 28 normal control individuals to identify differentially quantified miRs. RESULTS: A total of 12 miRs were differentially quantified in prostate cancer patients compared with controls, including 9 in patients without metastases. In all, 11 miRs were present in significantly greater amounts in prostate cancer patients with metastases compared with those without metastases. The association of miR-141 and miR-375 with metastatic prostate cancer was confirmed using serum-derived exosomes and microvesicles in a separate cohort of patients with recurrent or non-recurrent disease following radical prostatectomy. An analysis of five selected miRs in urine samples found that miR-107 and miR-574-3p were quantified at significantly higher concentrations in the urine of men with prostate cancer compared with controls. CONCLUSION: These observations suggest that changes in miR concentration in prostate cancer patients may be identified by analysing various body fluids. Moreover, circulating miRs may be used to diagnose and stage prostate cancer. © 2012 Cancer Research UK. All rights reserved.","author":[{"dropping-particle":"","family":"Bryant","given":"R. J.","non-dropping-particle":"","parse-names":false,"suffix":""},{"dropping-particle":"","family":"Pawlowski","given":"T.","non-dropping-particle":"","parse-names":false,"suffix":""},{"dropping-particle":"","family":"Catto","given":"J. W.F.","non-dropping-particle":"","parse-names":false,"suffix":""},{"dropping-particle":"","family":"Marsden","given":"G.","non-dropping-particle":"","parse-names":false,"suffix":""},{"dropping-particle":"","family":"Vessella","given":"R. L.","non-dropping-particle":"","parse-names":false,"suffix":""},{"dropping-particle":"","family":"Rhees","given":"B.","non-dropping-particle":"","parse-names":false,"suffix":""},{"dropping-particle":"","family":"Kuslich","given":"C.","non-dropping-particle":"","parse-names":false,"suffix":""},{"dropping-particle":"","family":"Visakorpi","given":"T.","non-dropping-particle":"","parse-names":false,"suffix":""},{"dropping-particle":"","family":"Hamdy","given":"F. C.","non-dropping-particle":"","parse-names":false,"suffix":""}],"container-title":"British Journal of Cancer","id":"ITEM-1","issue":"4","issued":{"date-parts":[["2012"]]},"page":"768-774","publisher":"Nature Publishing Group","title":"Changes in circulating microRNA levels associated with prostate cancer","type":"article-journal","volume":"106"},"uris":["http://www.mendeley.com/documents/?uuid=cd1ac726-23c5-4eb4-bc4c-8b910c4ca603"]}],"mendeley":{"formattedCitation":"&lt;sup&gt;107&lt;/sup&gt;","plainTextFormattedCitation":"107","previouslyFormattedCitation":"[107]"},"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107</w:t>
            </w:r>
            <w:r w:rsidRPr="00784B41">
              <w:rPr>
                <w:rFonts w:cs="Calibri"/>
                <w:color w:val="3B3838" w:themeColor="background2" w:themeShade="40"/>
                <w:sz w:val="20"/>
                <w:szCs w:val="20"/>
              </w:rPr>
              <w:fldChar w:fldCharType="end"/>
            </w:r>
          </w:p>
        </w:tc>
      </w:tr>
      <w:tr w:rsidR="00EE7EB3" w:rsidRPr="00784B41" w14:paraId="4B69BE3C" w14:textId="77777777" w:rsidTr="00F233D4">
        <w:trPr>
          <w:trHeight w:val="340"/>
        </w:trPr>
        <w:tc>
          <w:tcPr>
            <w:tcW w:w="1402" w:type="dxa"/>
            <w:vAlign w:val="center"/>
          </w:tcPr>
          <w:p w14:paraId="5AD8F05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183</w:t>
            </w:r>
          </w:p>
        </w:tc>
        <w:tc>
          <w:tcPr>
            <w:tcW w:w="398" w:type="dxa"/>
            <w:vAlign w:val="center"/>
          </w:tcPr>
          <w:p w14:paraId="4F8944A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601C591E" w14:textId="311716F4"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(sediments)</w:t>
            </w:r>
          </w:p>
        </w:tc>
        <w:tc>
          <w:tcPr>
            <w:tcW w:w="1669" w:type="dxa"/>
            <w:vAlign w:val="center"/>
          </w:tcPr>
          <w:p w14:paraId="46583063" w14:textId="77777777" w:rsidR="00832A1F"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38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3A93BD8C" w14:textId="13D3FB31"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38 control</w:t>
            </w:r>
            <w:r>
              <w:rPr>
                <w:rFonts w:ascii="Cambria" w:hAnsi="Cambria" w:cs="Calibri"/>
                <w:color w:val="3B3838" w:themeColor="background2" w:themeShade="40"/>
                <w:sz w:val="20"/>
                <w:szCs w:val="20"/>
              </w:rPr>
              <w:t>s</w:t>
            </w:r>
          </w:p>
        </w:tc>
        <w:tc>
          <w:tcPr>
            <w:tcW w:w="590" w:type="dxa"/>
            <w:vAlign w:val="center"/>
          </w:tcPr>
          <w:p w14:paraId="50DB820B"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1018C634"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2178631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0.58</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227DB3DC" w14:textId="134BD6F7"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{"citationItems":[{"id":"ITEM-1","itemData":{"DOI":"10.1515/cclm-2014-1000","ISSN":"14374331","abstract":"MicroRNAs (miRNAs) have shown to be promising novel biomarkers in various cancers. We aimed to translate the results of an own previous tissue-based miRNA profile of prostate carcinoma (PCa) with upregulated miR-183 and downregulated miR-205 into a urine-based testing procedure for diagnosis of PCa. Methods: Urine sediments were prepared from urine samples collected after a standardized digital-rectal examination (DRE) of patients undergoing prostate biopsy with PSA (prostate-specific antigen) values &lt;20 μg/L in consecutive order. According to the sample-size calculation (α=0.05, power=0.95), 38 patients each with PCa and without PCa were randomly enrolled in this study. PCA3 (prostate cancer associated 3) in urine as Food and Drug Administration-approved assay was determined as reference standard for comparison. The miRNAs were measured by RT-qPCR using TaqMan assays and normalized using different approaches. Results: Both miRNAs were correlated to the mRNA PSA concentrations in the sediments indicating a relationship to the released prostate cells after DRE. However, they had no discriminating capacity between patients with and without PCa. In contrast, PCA3 clearly differentiated between these two patients groups. There was also no significant correlation between miRNAs and standard clinicopathologic variables like Gleason score and serum PSA. Conclusions: The data of our study show that miR-183 and miR-205 failed to detect early and aggressive PCa despite their highly dysregulated expression in cancer tissue. Our results and the critical evaluation of the few data of other studies raise serious doubts concerning the capability of urinary miRNAs to replace or improve PCA3 as predictive marker for prostate biopsy outcome.","author":[{"dropping-particle":"","family":"Stephan","given":"Carsten","non-dropping-particle":"","parse-names":false,"suffix":""},{"dropping-particle":"","family":"Jung","given":"Monika","non-dropping-particle":"","parse-names":false,"suffix":""},{"dropping-particle":"","family":"Rabenhorst","given":"Silke","non-dropping-particle":"","parse-names":false,"suffix":""},{"dropping-particle":"","family":"Kilic","given":"Ergin","non-dropping-particle":"","parse-names":false,"suffix":""},{"dropping-particle":"","family":"Jung","given":"Klaus","non-dropping-particle":"","parse-names":false,"suffix":""}],"container-title":"Clinical Chemistry and Laboratory Medicine","id":"ITEM-1","issue":"7","issued":{"date-parts":[["2015"]]},"page":"1109-1118","title":"Urinary miR-183 and miR-205 do not surpass PCA3 in urine as predictive markers for prostate biopsy outcome despite their highly dysregulated expression in prostate cancer tissue","type":"article-journal","volume":"53"},"uris":["http://www.mendeley.com/documents/?uuid=70e17c68-dd1e-4da5-b08d-d3a49442a61d"]}],"mendeley":{"formattedCitation":"&lt;sup&gt;117&lt;/sup&gt;","plainTextFormattedCitation":"117","previouslyFormattedCitation":"[117]"},"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117</w:t>
            </w:r>
            <w:r w:rsidRPr="00784B41">
              <w:rPr>
                <w:rFonts w:cs="Calibri"/>
                <w:color w:val="3B3838" w:themeColor="background2" w:themeShade="40"/>
                <w:sz w:val="20"/>
                <w:szCs w:val="20"/>
              </w:rPr>
              <w:fldChar w:fldCharType="end"/>
            </w:r>
          </w:p>
        </w:tc>
      </w:tr>
      <w:tr w:rsidR="00EE7EB3" w:rsidRPr="00784B41" w14:paraId="11313399" w14:textId="77777777" w:rsidTr="00F233D4">
        <w:trPr>
          <w:trHeight w:val="340"/>
        </w:trPr>
        <w:tc>
          <w:tcPr>
            <w:tcW w:w="1402" w:type="dxa"/>
            <w:vMerge w:val="restart"/>
            <w:vAlign w:val="center"/>
          </w:tcPr>
          <w:p w14:paraId="32B3F04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205</w:t>
            </w:r>
          </w:p>
        </w:tc>
        <w:tc>
          <w:tcPr>
            <w:tcW w:w="398" w:type="dxa"/>
            <w:vMerge w:val="restart"/>
            <w:vAlign w:val="center"/>
          </w:tcPr>
          <w:p w14:paraId="3C1647AF"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3DC8E7A1" w14:textId="373C67BB"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(whole)</w:t>
            </w:r>
          </w:p>
        </w:tc>
        <w:tc>
          <w:tcPr>
            <w:tcW w:w="1669" w:type="dxa"/>
            <w:vAlign w:val="center"/>
          </w:tcPr>
          <w:p w14:paraId="437DB80A" w14:textId="77777777" w:rsidR="00832A1F"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36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5F6AEA45" w14:textId="236A63A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12 </w:t>
            </w:r>
            <w:r>
              <w:rPr>
                <w:rFonts w:ascii="Cambria" w:hAnsi="Cambria" w:cs="Calibri"/>
                <w:color w:val="3B3838" w:themeColor="background2" w:themeShade="40"/>
                <w:sz w:val="20"/>
                <w:szCs w:val="20"/>
              </w:rPr>
              <w:t>controls</w:t>
            </w:r>
          </w:p>
        </w:tc>
        <w:tc>
          <w:tcPr>
            <w:tcW w:w="590" w:type="dxa"/>
            <w:vAlign w:val="center"/>
          </w:tcPr>
          <w:p w14:paraId="23AA50A7"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7E4EC9C"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045603A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0.708</w:t>
            </w: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72D5DAA0" w14:textId="73B9AF34"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{"citationItems":[{"id":"ITEM-1","itemData":{"DOI":"10.1371/journal.pone.0076994","ISSN":"19326203","abstract":"Prostate cancer (PCa) is the most common type of cancer in men in the United States, which disproportionately affects African American descents. While metastasis is the most common cause of death among PCa patients, no specific markers have been assigned to severity and ethnic biasness of the disease. MicroRNAs represent a promising new class of biomarkers owing to their inherent stability and resilience. In the present study, we investigated potential miRNAs that can be used as biomarkers and/or therapeutic targets and can provide insight into the severity and ethnic biasness of PCa. PCR array was performed in FFPE PCa tissues (5 Caucasian American and 5 African American) and selected differentially expressed miRNAs were validated by qRT-PCR, in 40 (15 CA and 25 AA) paired PCa and adjacent normal tissues. Significantly deregulated miRNAs were also analyzed in urine samples to explore their potential as non-invasive biomarker for PCa. Out of 8 miRNAs selected for validation from PCR array data, miR-205 (p&lt;0.0001), mir-214 (p&lt;0.0001), miR-221(p&lt;0.001) and miR-99b (p&lt;0.0001) were significantly downregulated in PCa tissues. ROC curve shows that all four miRNAs successfully discriminated between PCa and adjacent normal tissues. MiR-99b showed significant down regulation (p&lt;0.01) in AA PCa tissues as compared to CA PCa tissues and might be related to the aggressiveness associated with AA population. In urine, miR-205 (p&lt;0.05) and miR-214 (p&lt;0.05) were significantly downregulated in PCa patients and can discriminate PCa patients from healthy individuals with 89% sensitivity and 80% specificity. In conclusion, present study showed that miR-205 and miR-214 are downregulated in PCa and may serve as potential non-invasive molecular biomarker for PCa.","author":[{"dropping-particle":"","family":"Srivastava","given":"Anvesha","non-dropping-particle":"","parse-names":false,"suffix":""},{"dropping-particle":"","family":"Goldberger","given":"Helle","non-dropping-particle":"","parse-names":false,"suffix":""},{"dropping-particle":"","family":"Dimtchev","given":"Alexander","non-dropping-particle":"","parse-names":false,"suffix":""},{"dropping-particle":"","family":"Ramalinga","given":"Malathi","non-dropping-particle":"","parse-names":false,"suffix":""},{"dropping-particle":"","family":"Chijioke","given":"Juliet","non-dropping-particle":"","parse-names":false,"suffix":""},{"dropping-particle":"","family":"Marian","given":"Catalin","non-dropping-particle":"","parse-names":false,"suffix":""},{"dropping-particle":"","family":"Oermann","given":"Eric K.","non-dropping-particle":"","parse-names":false,"suffix":""},{"dropping-particle":"","family":"Uhm","given":"Sunghae","non-dropping-particle":"","parse-names":false,"suffix":""},{"dropping-particle":"","family":"Kim","given":"Joy S.","non-dropping-particle":"","parse-names":false,"suffix":""},{"dropping-particle":"","family":"Chen","given":"Leonard N.","non-dropping-particle":"","parse-names":false,"suffix":""},{"dropping-particle":"","family":"Li","given":"Xin","non-dropping-particle":"","parse-names":false,"suffix":""},{"dropping-particle":"","family":"Berry","given":"Deborah L.","non-dropping-particle":"","parse-names":false,"suffix":""},{"dropping-particle":"","family":"Kallakury","given":"Bhaskar V.S.","non-dropping-particle":"","parse-names":false,"suffix":""},{"dropping-particle":"","family":"Chauhan","given":"Subhash C.","non-dropping-particle":"","parse-names":false,"suffix":""},{"dropping-particle":"","family":"Collins","given":"Sean P.","non-dropping-particle":"","parse-names":false,"suffix":""},{"dropping-particle":"","family":"Suy","given":"Simeng","non-dropping-particle":"","parse-names":false,"suffix":""},{"dropping-particle":"","family":"Kumar","given":"Deepak","non-dropping-particle":"","parse-names":false,"suffix":""}],"container-title":"PLoS ONE","id":"ITEM-1","issue":"10","issued":{"date-parts":[["2013"]]},"title":"MicroRNA Profiling in Prostate Cancer - The Diagnostic Potential of Urinary miR-205 and miR-214","type":"article-journal","volume":"8"},"uris":["http://www.mendeley.com/documents/?uuid=37f307e6-0089-4a6f-8f64-00e07c1cc11a"]},{"id":"ITEM-2","itemData":{"DOI":"10.1515/cclm-2014-1000","ISSN":"14374331","abstract":"MicroRNAs (miRNAs) have shown to be promising novel biomarkers in various cancers. We aimed to translate the results of an own previous tissue-based miRNA profile of prostate carcinoma (PCa) with upregulated miR-183 and downregulated miR-205 into a urine-based testing procedure for diagnosis of PCa. Methods: Urine sediments were prepared from urine samples collected after a standardized digital-rectal examination (DRE) of patients undergoing prostate biopsy with PSA (prostate-specific antigen) values &lt;20 μg/L in consecutive order. According to the sample-size calculation (α=0.05, power=0.95), 38 patients each with PCa and without PCa were randomly enrolled in this study. PCA3 (prostate cancer associated 3) in urine as Food and Drug Administration-approved assay was determined as reference standard for comparison. The miRNAs were measured by RT-qPCR using TaqMan assays and normalized using different approaches. Results: Both miRNAs were correlated to the mRNA PSA concentrations in the sediments indicating a relationship to the released prostate cells after DRE. However, they had no discriminating capacity between patients with and without PCa. In contrast, PCA3 clearly differentiated between these two patients groups. There was also no significant correlation between miRNAs and standard clinicopathologic variables like Gleason score and serum PSA. Conclusions: The data of our study show that miR-183 and miR-205 failed to detect early and aggressive PCa despite their highly dysregulated expression in cancer tissue. Our results and the critical evaluation of the few data of other studies raise serious doubts concerning the capability of urinary miRNAs to replace or improve PCA3 as predictive marker for prostate biopsy outcome.","author":[{"dropping-particle":"","family":"Stephan","given":"Carsten","non-dropping-particle":"","parse-names":false,"suffix":""},{"dropping-particle":"","family":"Jung","given":"Monika","non-dropping-particle":"","parse-names":false,"suffix":""},{"dropping-particle":"","family":"Rabenhorst","given":"Silke","non-dropping-particle":"","parse-names":false,"suffix":""},{"dropping-particle":"","family":"Kilic","given":"Ergin","non-dropping-particle":"","parse-names":false,"suffix":""},{"dropping-particle":"","family":"Jung","given":"Klaus","non-dropping-particle":"","parse-names":false,"suffix":""}],"container-title":"Clinical Chemistry and Laboratory Medicine","id":"ITEM-2","issue":"7","issued":{"date-parts":[["2015"]]},"page":"1109-1118","title":"Urinary miR-183 and miR-205 do not surpass PCA3 in urine as predictive markers for prostate biopsy outcome despite their highly dysregulated expression in prostate cancer tissue","type":"article-journal","volume":"53"},"uris":["http://www.mendeley.com/documents/?uuid=70e17c68-dd1e-4da5-b08d-d3a49442a61d"]}],"mendeley":{"formattedCitation":"&lt;sup&gt;100,117&lt;/sup&gt;","plainTextFormattedCitation":"100,117","previouslyFormattedCitation":"[100], [117]"},"properties":{"noteIndex":0},"schema":"https://github.com/citation-style-language/schema/raw/master/csl-citation.json"}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100,117</w:t>
            </w:r>
            <w:r w:rsidRPr="00784B41">
              <w:rPr>
                <w:rFonts w:cs="Calibri"/>
                <w:color w:val="3B3838" w:themeColor="background2" w:themeShade="40"/>
                <w:sz w:val="20"/>
                <w:szCs w:val="20"/>
              </w:rPr>
              <w:fldChar w:fldCharType="end"/>
            </w:r>
          </w:p>
        </w:tc>
      </w:tr>
      <w:tr w:rsidR="00EE7EB3" w:rsidRPr="00784B41" w14:paraId="365753CF" w14:textId="77777777" w:rsidTr="00F233D4">
        <w:trPr>
          <w:trHeight w:val="340"/>
        </w:trPr>
        <w:tc>
          <w:tcPr>
            <w:tcW w:w="1402" w:type="dxa"/>
            <w:vMerge/>
            <w:vAlign w:val="center"/>
          </w:tcPr>
          <w:p w14:paraId="279537A5" w14:textId="77777777" w:rsidR="00EE7EB3" w:rsidRPr="00784B41" w:rsidRDefault="00EE7EB3" w:rsidP="00F233D4">
            <w:pPr>
              <w:jc w:val="center"/>
              <w:rPr>
                <w:rFonts w:ascii="Cambria" w:hAnsi="Cambria" w:cs="Calibri"/>
                <w:color w:val="3B3838" w:themeColor="background2" w:themeShade="40"/>
                <w:sz w:val="20"/>
                <w:szCs w:val="20"/>
              </w:rPr>
            </w:pPr>
          </w:p>
        </w:tc>
        <w:tc>
          <w:tcPr>
            <w:tcW w:w="398" w:type="dxa"/>
            <w:vMerge/>
            <w:vAlign w:val="center"/>
          </w:tcPr>
          <w:p w14:paraId="22847E39" w14:textId="77777777" w:rsidR="00EE7EB3" w:rsidRPr="00784B41" w:rsidRDefault="00EE7EB3" w:rsidP="00F233D4">
            <w:pPr>
              <w:jc w:val="center"/>
              <w:rPr>
                <w:rFonts w:ascii="Cambria" w:hAnsi="Cambria" w:cs="Calibri"/>
                <w:color w:val="3B3838" w:themeColor="background2" w:themeShade="40"/>
                <w:sz w:val="20"/>
                <w:szCs w:val="20"/>
              </w:rPr>
            </w:pPr>
          </w:p>
        </w:tc>
        <w:tc>
          <w:tcPr>
            <w:tcW w:w="2073" w:type="dxa"/>
            <w:vAlign w:val="center"/>
          </w:tcPr>
          <w:p w14:paraId="4FEB1CE9" w14:textId="272F9384"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(sediments after DRE)</w:t>
            </w:r>
          </w:p>
        </w:tc>
        <w:tc>
          <w:tcPr>
            <w:tcW w:w="1669" w:type="dxa"/>
            <w:vAlign w:val="center"/>
          </w:tcPr>
          <w:p w14:paraId="09C0E61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38 pos</w:t>
            </w:r>
            <w:r>
              <w:rPr>
                <w:rFonts w:ascii="Cambria" w:hAnsi="Cambria" w:cs="Calibri"/>
                <w:color w:val="3B3838" w:themeColor="background2" w:themeShade="40"/>
                <w:sz w:val="20"/>
                <w:szCs w:val="20"/>
              </w:rPr>
              <w:t>itive</w:t>
            </w:r>
            <w:r w:rsidRPr="00784B41">
              <w:rPr>
                <w:rFonts w:ascii="Cambria" w:hAnsi="Cambria" w:cs="Calibri"/>
                <w:color w:val="3B3838" w:themeColor="background2" w:themeShade="40"/>
                <w:sz w:val="20"/>
                <w:szCs w:val="20"/>
              </w:rPr>
              <w:t xml:space="preserve"> biopsy/38 negat</w:t>
            </w:r>
            <w:r>
              <w:rPr>
                <w:rFonts w:ascii="Cambria" w:hAnsi="Cambria" w:cs="Calibri"/>
                <w:color w:val="3B3838" w:themeColor="background2" w:themeShade="40"/>
                <w:sz w:val="20"/>
                <w:szCs w:val="20"/>
              </w:rPr>
              <w:t>ive biopsy</w:t>
            </w:r>
          </w:p>
        </w:tc>
        <w:tc>
          <w:tcPr>
            <w:tcW w:w="590" w:type="dxa"/>
            <w:vAlign w:val="center"/>
          </w:tcPr>
          <w:p w14:paraId="484708B2"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8256B6E"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7E9741D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0.56</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0BC597A5"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1416A130" w14:textId="77777777" w:rsidTr="00F233D4">
        <w:trPr>
          <w:trHeight w:val="340"/>
        </w:trPr>
        <w:tc>
          <w:tcPr>
            <w:tcW w:w="1402" w:type="dxa"/>
            <w:vAlign w:val="center"/>
          </w:tcPr>
          <w:p w14:paraId="4F36EEE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214</w:t>
            </w:r>
          </w:p>
        </w:tc>
        <w:tc>
          <w:tcPr>
            <w:tcW w:w="398" w:type="dxa"/>
            <w:vAlign w:val="center"/>
          </w:tcPr>
          <w:p w14:paraId="0977474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3FF5DC83" w14:textId="035AA772"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(whole)</w:t>
            </w:r>
          </w:p>
        </w:tc>
        <w:tc>
          <w:tcPr>
            <w:tcW w:w="1669" w:type="dxa"/>
            <w:vAlign w:val="center"/>
          </w:tcPr>
          <w:p w14:paraId="420FA567" w14:textId="77777777" w:rsidR="00832A1F"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36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56195B24" w14:textId="69B0E35F"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12 </w:t>
            </w:r>
            <w:r>
              <w:rPr>
                <w:rFonts w:ascii="Cambria" w:hAnsi="Cambria" w:cs="Calibri"/>
                <w:color w:val="3B3838" w:themeColor="background2" w:themeShade="40"/>
                <w:sz w:val="20"/>
                <w:szCs w:val="20"/>
              </w:rPr>
              <w:t>controls</w:t>
            </w:r>
          </w:p>
        </w:tc>
        <w:tc>
          <w:tcPr>
            <w:tcW w:w="590" w:type="dxa"/>
            <w:vAlign w:val="center"/>
          </w:tcPr>
          <w:p w14:paraId="25CA4DD8"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D19222C"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2840CF7F"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0.743</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596508FC" w14:textId="7B57AACD"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{"citationItems":[{"id":"ITEM-1","itemData":{"DOI":"10.1371/journal.pone.0076994","ISSN":"19326203","abstract":"Prostate cancer (PCa) is the most common type of cancer in men in the United States, which disproportionately affects African American descents. While metastasis is the most common cause of death among PCa patients, no specific markers have been assigned to severity and ethnic biasness of the disease. MicroRNAs represent a promising new class of biomarkers owing to their inherent stability and resilience. In the present study, we investigated potential miRNAs that can be used as biomarkers and/or therapeutic targets and can provide insight into the severity and ethnic biasness of PCa. PCR array was performed in FFPE PCa tissues (5 Caucasian American and 5 African American) and selected differentially expressed miRNAs were validated by qRT-PCR, in 40 (15 CA and 25 AA) paired PCa and adjacent normal tissues. Significantly deregulated miRNAs were also analyzed in urine samples to explore their potential as non-invasive biomarker for PCa. Out of 8 miRNAs selected for validation from PCR array data, miR-205 (p&lt;0.0001), mir-214 (p&lt;0.0001), miR-221(p&lt;0.001) and miR-99b (p&lt;0.0001) were significantly downregulated in PCa tissues. ROC curve shows that all four miRNAs successfully discriminated between PCa and adjacent normal tissues. MiR-99b showed significant down regulation (p&lt;0.01) in AA PCa tissues as compared to CA PCa tissues and might be related to the aggressiveness associated with AA population. In urine, miR-205 (p&lt;0.05) and miR-214 (p&lt;0.05) were significantly downregulated in PCa patients and can discriminate PCa patients from healthy individuals with 89% sensitivity and 80% specificity. In conclusion, present study showed that miR-205 and miR-214 are downregulated in PCa and may serve as potential non-invasive molecular biomarker for PCa.","author":[{"dropping-particle":"","family":"Srivastava","given":"Anvesha","non-dropping-particle":"","parse-names":false,"suffix":""},{"dropping-particle":"","family":"Goldberger","given":"Helle","non-dropping-particle":"","parse-names":false,"suffix":""},{"dropping-particle":"","family":"Dimtchev","given":"Alexander","non-dropping-particle":"","parse-names":false,"suffix":""},{"dropping-particle":"","family":"Ramalinga","given":"Malathi","non-dropping-particle":"","parse-names":false,"suffix":""},{"dropping-particle":"","family":"Chijioke","given":"Juliet","non-dropping-particle":"","parse-names":false,"suffix":""},{"dropping-particle":"","family":"Marian","given":"Catalin","non-dropping-particle":"","parse-names":false,"suffix":""},{"dropping-particle":"","family":"Oermann","given":"Eric K.","non-dropping-particle":"","parse-names":false,"suffix":""},{"dropping-particle":"","family":"Uhm","given":"Sunghae","non-dropping-particle":"","parse-names":false,"suffix":""},{"dropping-particle":"","family":"Kim","given":"Joy S.","non-dropping-particle":"","parse-names":false,"suffix":""},{"dropping-particle":"","family":"Chen","given":"Leonard N.","non-dropping-particle":"","parse-names":false,"suffix":""},{"dropping-particle":"","family":"Li","given":"Xin","non-dropping-particle":"","parse-names":false,"suffix":""},{"dropping-particle":"","family":"Berry","given":"Deborah L.","non-dropping-particle":"","parse-names":false,"suffix":""},{"dropping-particle":"","family":"Kallakury","given":"Bhaskar V.S.","non-dropping-particle":"","parse-names":false,"suffix":""},{"dropping-particle":"","family":"Chauhan","given":"Subhash C.","non-dropping-particle":"","parse-names":false,"suffix":""},{"dropping-particle":"","family":"Collins","given":"Sean P.","non-dropping-particle":"","parse-names":false,"suffix":""},{"dropping-particle":"","family":"Suy","given":"Simeng","non-dropping-particle":"","parse-names":false,"suffix":""},{"dropping-particle":"","family":"Kumar","given":"Deepak","non-dropping-particle":"","parse-names":false,"suffix":""}],"container-title":"PLoS ONE","id":"ITEM-1","issue":"10","issued":{"date-parts":[["2013"]]},"title":"MicroRNA Profiling in Prostate Cancer - The Diagnostic Potential of Urinary miR-205 and miR-214","type":"article-journal","volume":"8"},"uris":["http://www.mendeley.com/documents/?uuid=37f307e6-0089-4a6f-8f64-00e07c1cc11a"]}],"mendeley":{"formattedCitation":"&lt;sup&gt;100&lt;/sup&gt;","plainTextFormattedCitation":"100","previouslyFormattedCitation":"[100]"},"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100</w:t>
            </w:r>
            <w:r w:rsidRPr="00784B41">
              <w:rPr>
                <w:rFonts w:cs="Calibri"/>
                <w:color w:val="3B3838" w:themeColor="background2" w:themeShade="40"/>
                <w:sz w:val="20"/>
                <w:szCs w:val="20"/>
              </w:rPr>
              <w:fldChar w:fldCharType="end"/>
            </w:r>
          </w:p>
        </w:tc>
      </w:tr>
      <w:tr w:rsidR="00EE7EB3" w:rsidRPr="00784B41" w14:paraId="6CC0D54C" w14:textId="77777777" w:rsidTr="00F233D4">
        <w:trPr>
          <w:trHeight w:val="340"/>
        </w:trPr>
        <w:tc>
          <w:tcPr>
            <w:tcW w:w="1402" w:type="dxa"/>
            <w:vAlign w:val="center"/>
          </w:tcPr>
          <w:p w14:paraId="433268A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574</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3p</w:t>
            </w:r>
          </w:p>
        </w:tc>
        <w:tc>
          <w:tcPr>
            <w:tcW w:w="398" w:type="dxa"/>
            <w:vAlign w:val="center"/>
          </w:tcPr>
          <w:p w14:paraId="7FE5D409"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2F0469C3" w14:textId="5442D5BC"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(sediments) after DRE</w:t>
            </w:r>
          </w:p>
        </w:tc>
        <w:tc>
          <w:tcPr>
            <w:tcW w:w="1669" w:type="dxa"/>
            <w:vAlign w:val="center"/>
          </w:tcPr>
          <w:p w14:paraId="6870E77D" w14:textId="77777777" w:rsidR="00832A1F"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70 local</w:t>
            </w:r>
            <w:r>
              <w:rPr>
                <w:rFonts w:ascii="Cambria" w:hAnsi="Cambria" w:cs="Calibri"/>
                <w:color w:val="3B3838" w:themeColor="background2" w:themeShade="40"/>
                <w:sz w:val="20"/>
                <w:szCs w:val="20"/>
              </w:rPr>
              <w:t xml:space="preserve"> </w:t>
            </w:r>
            <w:proofErr w:type="spellStart"/>
            <w:r>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p>
          <w:p w14:paraId="3DF9607E" w14:textId="77777777" w:rsidR="00832A1F"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48 </w:t>
            </w:r>
            <w:proofErr w:type="spellStart"/>
            <w:r w:rsidR="00832A1F">
              <w:rPr>
                <w:rFonts w:ascii="Cambria" w:hAnsi="Cambria" w:cs="Calibri"/>
                <w:color w:val="3B3838" w:themeColor="background2" w:themeShade="40"/>
                <w:sz w:val="20"/>
                <w:szCs w:val="20"/>
              </w:rPr>
              <w:t>m</w:t>
            </w:r>
            <w:r>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p>
          <w:p w14:paraId="575A277E" w14:textId="1A3352BA"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17 </w:t>
            </w:r>
            <w:r>
              <w:rPr>
                <w:rFonts w:ascii="Cambria" w:hAnsi="Cambria" w:cs="Calibri"/>
                <w:color w:val="3B3838" w:themeColor="background2" w:themeShade="40"/>
                <w:sz w:val="20"/>
                <w:szCs w:val="20"/>
              </w:rPr>
              <w:t>c</w:t>
            </w:r>
            <w:r w:rsidRPr="00784B41">
              <w:rPr>
                <w:rFonts w:ascii="Cambria" w:hAnsi="Cambria" w:cs="Calibri"/>
                <w:color w:val="3B3838" w:themeColor="background2" w:themeShade="40"/>
                <w:sz w:val="20"/>
                <w:szCs w:val="20"/>
              </w:rPr>
              <w:t>ontrol</w:t>
            </w:r>
            <w:r>
              <w:rPr>
                <w:rFonts w:ascii="Cambria" w:hAnsi="Cambria" w:cs="Calibri"/>
                <w:color w:val="3B3838" w:themeColor="background2" w:themeShade="40"/>
                <w:sz w:val="20"/>
                <w:szCs w:val="20"/>
              </w:rPr>
              <w:t>s</w:t>
            </w:r>
          </w:p>
        </w:tc>
        <w:tc>
          <w:tcPr>
            <w:tcW w:w="590" w:type="dxa"/>
            <w:vAlign w:val="center"/>
          </w:tcPr>
          <w:p w14:paraId="38A9FBD1"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C2E621B" w14:textId="77777777" w:rsidR="00EE7EB3" w:rsidRPr="00784B41" w:rsidRDefault="00EE7EB3" w:rsidP="00F233D4">
            <w:pPr>
              <w:jc w:val="center"/>
              <w:rPr>
                <w:rFonts w:ascii="Cambria" w:hAnsi="Cambria" w:cs="Calibri"/>
                <w:color w:val="3B3838" w:themeColor="background2" w:themeShade="40"/>
                <w:sz w:val="20"/>
                <w:szCs w:val="20"/>
              </w:rPr>
            </w:pPr>
          </w:p>
        </w:tc>
        <w:tc>
          <w:tcPr>
            <w:tcW w:w="1304" w:type="dxa"/>
            <w:vAlign w:val="center"/>
          </w:tcPr>
          <w:p w14:paraId="4A76963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0.66 </w:t>
            </w:r>
          </w:p>
        </w:tc>
        <w:tc>
          <w:tcPr>
            <w:cnfStyle w:val="000100000000" w:firstRow="0" w:lastRow="0" w:firstColumn="0" w:lastColumn="1" w:oddVBand="0" w:evenVBand="0" w:oddHBand="0" w:evenHBand="0" w:firstRowFirstColumn="0" w:firstRowLastColumn="0" w:lastRowFirstColumn="0" w:lastRowLastColumn="0"/>
            <w:tcW w:w="1460" w:type="dxa"/>
            <w:vAlign w:val="center"/>
          </w:tcPr>
          <w:p w14:paraId="426D0E0D" w14:textId="474704FF"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{"citationItems":[{"id":"ITEM-1","itemData":{"DOI":"10.1038/bjc.2011.595","ISSN":"00070920","PMID":"22240788","abstract":"BACKGROUND: The aim of this study was to investigate the hypothesis that changes in circulating microRNAs (miRs) represent potentially useful biomarkers for the diagnosis, staging and prediction of outcome in prostate cancer. METHODS: Real-time polymerase chain reaction analysis of 742 miRs was performed using plasma-derived circulating microvesicles of 78 prostate cancer patients and 28 normal control individuals to identify differentially quantified miRs. RESULTS: A total of 12 miRs were differentially quantified in prostate cancer patients compared with controls, including 9 in patients without metastases. In all, 11 miRs were present in significantly greater amounts in prostate cancer patients with metastases compared with those without metastases. The association of miR-141 and miR-375 with metastatic prostate cancer was confirmed using serum-derived exosomes and microvesicles in a separate cohort of patients with recurrent or non-recurrent disease following radical prostatectomy. An analysis of five selected miRs in urine samples found that miR-107 and miR-574-3p were quantified at significantly higher concentrations in the urine of men with prostate cancer compared with controls. CONCLUSION: These observations suggest that changes in miR concentration in prostate cancer patients may be identified by analysing various body fluids. Moreover, circulating miRs may be used to diagnose and stage prostate cancer. © 2012 Cancer Research UK. All rights reserved.","author":[{"dropping-particle":"","family":"Bryant","given":"R. J.","non-dropping-particle":"","parse-names":false,"suffix":""},{"dropping-particle":"","family":"Pawlowski","given":"T.","non-dropping-particle":"","parse-names":false,"suffix":""},{"dropping-particle":"","family":"Catto","given":"J. W.F.","non-dropping-particle":"","parse-names":false,"suffix":""},{"dropping-particle":"","family":"Marsden","given":"G.","non-dropping-particle":"","parse-names":false,"suffix":""},{"dropping-particle":"","family":"Vessella","given":"R. L.","non-dropping-particle":"","parse-names":false,"suffix":""},{"dropping-particle":"","family":"Rhees","given":"B.","non-dropping-particle":"","parse-names":false,"suffix":""},{"dropping-particle":"","family":"Kuslich","given":"C.","non-dropping-particle":"","parse-names":false,"suffix":""},{"dropping-particle":"","family":"Visakorpi","given":"T.","non-dropping-particle":"","parse-names":false,"suffix":""},{"dropping-particle":"","family":"Hamdy","given":"F. C.","non-dropping-particle":"","parse-names":false,"suffix":""}],"container-title":"British Journal of Cancer","id":"ITEM-1","issue":"4","issued":{"date-parts":[["2012"]]},"page":"768-774","publisher":"Nature Publishing Group","title":"Changes in circulating microRNA levels associated with prostate cancer","type":"article-journal","volume":"106"},"uris":["http://www.mendeley.com/documents/?uuid=cd1ac726-23c5-4eb4-bc4c-8b910c4ca603"]},{"id":"ITEM-2","itemData":{"DOI":"10.1002/pros.23101","ISSN":"10970045","abstract":"BACKGROUND Prostate cancer is the most common cancer in men. Prostate-specific antigen has, however, insufficient diagnostic specificity. Novel complementary diagnostic approaches are greatly needed. MiRNAs are small regulatory RNAs which play an important role in tumorogenesis and are being investigated as a cancer biomarker. In addition to their intracellular regulatory functions, miRNAs are secreted into the extracellular space and can be found in various body fluids, including urine. The stability of extracellular miRNAs is defined by association with proteins, lipoprotein particles, and membrane vesicles. Among the known forms of miRNA packaging, tumour-derived exosome-enclosed miRNAs is thought to reflect the vital activity of cancer cells. The assessment of the exosomal fraction of urinary miRNA may present a new and highly specific method for prostate cancer diagnostics; however, this is challenged by the absence of reliable and inexpensive methods for isolation of exosomes. METHODS Prostate cancer (PC) cell lines and urine samples collected from 35 PC patients and 35 healthy donors were used in the study. Lectins, phytohemagglutinin, and concanavalin A were used to induce agglutination of exosomes. The efficiency of isolation process was evaluated by AFM and DLS assays. The protein content of isolated exosomes was analysed by western blotting. Exosomal RNA was assayed by automated electrophoresis and expression level of selected miRNAs was evaluated by RT-qPCR. The diagnostic potency of the urinary exosomal miRNA assessment was estimated by the ROC method. RESULTS The formation of multi-vesicular agglutinates in urine can be induced by incubation with lectin at a final concentration of 2 mg/ml. These agglutinates contain urinary exosomes and may be pelleted by centrifugation with a relatively low G-force. The analysis of PC-related miRNA in urinary exosomes revealed significant up-regulation of miR-574-3p, miR-141-5p, and miR-21-5p associated with PC. CONCLUSIONS Lectin-induced aggregation is a low-cost and easily performed method for isolation of exosomes from urine. Isolated exosomes can be further analysed in terms of miRNA content. The miRNA profile of urinary exosomes reflects development of prostate cancer and may present a promising diagnostic tool. Prostate 76:68-79, 2016.","author":[{"dropping-particle":"","family":"Samsonov","given":"Roman","non-dropping-particle":"","parse-names":false,"suffix":""},{"dropping-particle":"","family":"Shtam","given":"Tatiana","non-dropping-particle":"","parse-names":false,"suffix":""},{"dropping-particle":"","family":"Burdakov","given":"Vladimir","non-dropping-particle":"","parse-names":false,"suffix":""},{"dropping-particle":"","family":"Glotov","given":"Andrey","non-dropping-particle":"","parse-names":false,"suffix":""},{"dropping-particle":"","family":"Tsyrlina","given":"Evgenia","non-dropping-particle":"","parse-names":false,"suffix":""},{"dropping-particle":"","family":"Berstein","given":"Lev","non-dropping-particle":"","parse-names":false,"suffix":""},{"dropping-particle":"","family":"Nosov","given":"Alexander","non-dropping-particle":"","parse-names":false,"suffix":""},{"dropping-particle":"","family":"Evtushenko","given":"Vladimir","non-dropping-particle":"","parse-names":false,"suffix":""},{"dropping-particle":"","family":"Filatov","given":"Michael","non-dropping-particle":"","parse-names":false,"suffix":""},{"dropping-particle":"","family":"Malek","given":"Anastasia","non-dropping-particle":"","parse-names":false,"suffix":""}],"container-title":"Prostate","id":"ITEM-2","issue":"1","issued":{"date-parts":[["2016"]]},"page":"68-79","title":"Lectin-induced agglutination method of urinary exosomes isolation followed by mi-RNA analysis: Application for prostate cancer diagnostic","type":"article-journal","volume":"76"},"uris":["http://www.mendeley.com/documents/?uuid=85154078-5dd0-4922-92bb-a9eecfe998aa"]}],"mendeley":{"formattedCitation":"&lt;sup&gt;107,118&lt;/sup&gt;","plainTextFormattedCitation":"107,118","previouslyFormattedCitation":"[107], [118]"},"properties":{"noteIndex":0},"schema":"https://github.com/citation-style-language/schema/raw/master/csl-citation.json"}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107,118</w:t>
            </w:r>
            <w:r w:rsidRPr="00784B41">
              <w:rPr>
                <w:rFonts w:cs="Calibri"/>
                <w:color w:val="3B3838" w:themeColor="background2" w:themeShade="40"/>
                <w:sz w:val="20"/>
                <w:szCs w:val="20"/>
              </w:rPr>
              <w:fldChar w:fldCharType="end"/>
            </w:r>
          </w:p>
        </w:tc>
      </w:tr>
      <w:tr w:rsidR="00EE7EB3" w:rsidRPr="00784B41" w14:paraId="619A1B4B" w14:textId="77777777" w:rsidTr="00F233D4">
        <w:trPr>
          <w:trHeight w:val="340"/>
        </w:trPr>
        <w:tc>
          <w:tcPr>
            <w:tcW w:w="1402" w:type="dxa"/>
            <w:vAlign w:val="center"/>
          </w:tcPr>
          <w:p w14:paraId="3CC3B6E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hsv-miR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H18</w:t>
            </w:r>
          </w:p>
        </w:tc>
        <w:tc>
          <w:tcPr>
            <w:tcW w:w="398" w:type="dxa"/>
            <w:vAlign w:val="center"/>
          </w:tcPr>
          <w:p w14:paraId="3B4B895D"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5BE19464" w14:textId="478B4E94"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(supernatant)</w:t>
            </w:r>
          </w:p>
        </w:tc>
        <w:tc>
          <w:tcPr>
            <w:tcW w:w="1669" w:type="dxa"/>
            <w:vMerge w:val="restart"/>
            <w:vAlign w:val="center"/>
          </w:tcPr>
          <w:p w14:paraId="7806B7D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14 PCA</w:t>
            </w:r>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5</w:t>
            </w:r>
            <w:r>
              <w:rPr>
                <w:rFonts w:ascii="Cambria" w:hAnsi="Cambria" w:cs="Calibri"/>
                <w:color w:val="3B3838" w:themeColor="background2" w:themeShade="40"/>
                <w:sz w:val="20"/>
                <w:szCs w:val="20"/>
              </w:rPr>
              <w:t xml:space="preserve"> </w:t>
            </w:r>
            <w:r w:rsidRPr="00784B41">
              <w:rPr>
                <w:rFonts w:ascii="Cambria" w:hAnsi="Cambria" w:cs="Calibri"/>
                <w:color w:val="3B3838" w:themeColor="background2" w:themeShade="40"/>
                <w:sz w:val="20"/>
                <w:szCs w:val="20"/>
              </w:rPr>
              <w:t>BPH</w:t>
            </w:r>
          </w:p>
          <w:p w14:paraId="266C7AC0" w14:textId="77777777" w:rsidR="00832A1F"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173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34C78215" w14:textId="4EE79C85"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108 BPH</w:t>
            </w:r>
          </w:p>
          <w:p w14:paraId="64D6247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191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/143 BPH</w:t>
            </w:r>
          </w:p>
        </w:tc>
        <w:tc>
          <w:tcPr>
            <w:tcW w:w="590" w:type="dxa"/>
            <w:vAlign w:val="center"/>
          </w:tcPr>
          <w:p w14:paraId="0642A67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66.5</w:t>
            </w:r>
          </w:p>
        </w:tc>
        <w:tc>
          <w:tcPr>
            <w:tcW w:w="590" w:type="dxa"/>
            <w:vAlign w:val="center"/>
          </w:tcPr>
          <w:p w14:paraId="45F972B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74.1</w:t>
            </w:r>
          </w:p>
        </w:tc>
        <w:tc>
          <w:tcPr>
            <w:tcW w:w="1304" w:type="dxa"/>
            <w:vAlign w:val="center"/>
          </w:tcPr>
          <w:p w14:paraId="0DB2622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0.761</w:t>
            </w:r>
          </w:p>
        </w:tc>
        <w:tc>
          <w:tcPr>
            <w:cnfStyle w:val="000100000000" w:firstRow="0" w:lastRow="0" w:firstColumn="0" w:lastColumn="1" w:oddVBand="0" w:evenVBand="0" w:oddHBand="0" w:evenHBand="0" w:firstRowFirstColumn="0" w:firstRowLastColumn="0" w:lastRowFirstColumn="0" w:lastRowLastColumn="0"/>
            <w:tcW w:w="1460" w:type="dxa"/>
            <w:vMerge w:val="restart"/>
            <w:vAlign w:val="center"/>
          </w:tcPr>
          <w:p w14:paraId="0F6CF25A" w14:textId="03D22ABC"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{"citationItems":[{"id":"ITEM-1","itemData":{"DOI":"10.5213/inj.2015.19.2.74","ISBN":"0000000280","ISSN":"20936931","abstract":"Purpose: MicroRNAs (miRNAs) in biological fluids are potential biomarkers for the diagnosis and assessment of urological diseases such as benign prostatic hyperplasia (BPH) and prostate cancer (PCa). The aim of the study was to identify and validate urinary cell-free miRNAs that can segregate patients with PCa from those with BPH. Methods: In total, 1,052 urine, 150 serum, and 150 prostate tissue samples from patients with PCa or BPH were used in the study. A urine-based miRNA microarray analysis suggested the presence of differentially expressed urinary miRNAs in patients with PCa, and these were further validated in three independent PCa cohorts, using a quantitative reverse transcriptionpolymerase chain reaction analysis. Results: The expression levels of hsa-miR-615-3p, hsv1-miR-H18, hsv2-miR-H9-5p, and hsa-miR-4316 were significantly higher in urine samples of patients with PCa than in those of BPH controls. In particular, herpes simplex virus (hsv)-derived hsv1-miR-H18 and hsv2-miR-H9-5p showed better diagnostic performance than did the serum prostate-specific antigen (PSA) test for patients in the PSA gray zone. Furthermore, a combination of urinary hsv2-miR-H9-5p with serum PSA showed high sensitivity and specificity, providing a potential clinical benefit by reducing unnecessary biopsies. Conclusions: Our findings showed that hsv-encoded hsv1-miR-H18 and hsv2-miR-H9-5p are significantly associated with PCa and can facilitate early diagnosis of PCa for patients within the serum PSA gray zone.","author":[{"dropping-particle":"","family":"Yun","given":"Seok Joong","non-dropping-particle":"","parse-names":false,"suffix":""},{"dropping-particle":"","family":"Jeong","given":"Pildu","non-dropping-particle":"","parse-names":false,"suffix":""},{"dropping-particle":"","family":"Kang","given":"Ho Won","non-dropping-particle":"","parse-names":false,"suffix":""},{"dropping-particle":"","family":"Kim","given":"Ye Hwan","non-dropping-particle":"","parse-names":false,"suffix":""},{"dropping-particle":"","family":"Kim","given":"Eun Ah","non-dropping-particle":"","parse-names":false,"suffix":""},{"dropping-particle":"","family":"Yan","given":"Chunri","non-dropping-particle":"","parse-names":false,"suffix":""},{"dropping-particle":"","family":"Choi","given":"Young Ki","non-dropping-particle":"","parse-names":false,"suffix":""},{"dropping-particle":"","family":"Kim","given":"Dongho","non-dropping-particle":"","parse-names":false,"suffix":""},{"dropping-particle":"","family":"Kim","given":"Jung Min","non-dropping-particle":"","parse-names":false,"suffix":""},{"dropping-particle":"","family":"Kim","given":"Seon Kyu","non-dropping-particle":"","parse-names":false,"suffix":""},{"dropping-particle":"","family":"Kim","given":"Seon Young","non-dropping-particle":"","parse-names":false,"suffix":""},{"dropping-particle":"","family":"Kim","given":"Sang Tae","non-dropping-particle":"","parse-names":false,"suffix":""},{"dropping-particle":"","family":"Kim","given":"Won Tae","non-dropping-particle":"","parse-names":false,"suffix":""},{"dropping-particle":"","family":"Lee","given":"Ok Jun","non-dropping-particle":"","parse-names":false,"suffix":""},{"dropping-particle":"","family":"Koh","given":"Gou Young","non-dropping-particle":"","parse-names":false,"suffix":""},{"dropping-particle":"","family":"Moon","given":"Sung Kwon","non-dropping-particle":"","parse-names":false,"suffix":""},{"dropping-particle":"","family":"Kim","given":"Isaac Yi","non-dropping-particle":"","parse-names":false,"suffix":""},{"dropping-particle":"","family":"Kim","given":"Jayoung","non-dropping-particle":"","parse-names":false,"suffix":""},{"dropping-particle":"","family":"Choi","given":"Yung Hyun","non-dropping-particle":"","parse-names":false,"suffix":""},{"dropping-particle":"","family":"Kim","given":"Wun Jae","non-dropping-particle":"","parse-names":false,"suffix":""}],"container-title":"International Neurourology Journal","id":"ITEM-1","issue":"2","issued":{"date-parts":[["2015"]]},"page":"74-84","title":"Urinary MicroRNAs of prostate cancer: Virus-encoded hsv1-miR-H18and hsv2-miR-H9-5p could be valuable diagnostic markers","type":"article-journal","volume":"19"},"uris":["http://www.mendeley.com/documents/?uuid=4c7b9f4a-dcc5-4d52-b574-15d3d38a5c25"]}],"mendeley":{"formattedCitation":"&lt;sup&gt;119&lt;/sup&gt;","plainTextFormattedCitation":"119","previouslyFormattedCitation":"[119]"},"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119</w:t>
            </w:r>
            <w:r w:rsidRPr="00784B41">
              <w:rPr>
                <w:rFonts w:cs="Calibri"/>
                <w:color w:val="3B3838" w:themeColor="background2" w:themeShade="40"/>
                <w:sz w:val="20"/>
                <w:szCs w:val="20"/>
              </w:rPr>
              <w:fldChar w:fldCharType="end"/>
            </w:r>
          </w:p>
        </w:tc>
      </w:tr>
      <w:tr w:rsidR="00EE7EB3" w:rsidRPr="00784B41" w14:paraId="09EDE608" w14:textId="77777777" w:rsidTr="00F233D4">
        <w:trPr>
          <w:trHeight w:val="340"/>
        </w:trPr>
        <w:tc>
          <w:tcPr>
            <w:tcW w:w="1402" w:type="dxa"/>
            <w:vAlign w:val="center"/>
          </w:tcPr>
          <w:p w14:paraId="7015F9B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hsv-miR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H9</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5p</w:t>
            </w:r>
          </w:p>
        </w:tc>
        <w:tc>
          <w:tcPr>
            <w:tcW w:w="398" w:type="dxa"/>
            <w:vAlign w:val="center"/>
          </w:tcPr>
          <w:p w14:paraId="1619C9C9"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2073" w:type="dxa"/>
            <w:vAlign w:val="center"/>
          </w:tcPr>
          <w:p w14:paraId="765ED17F" w14:textId="04282799"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(supernatant)</w:t>
            </w:r>
          </w:p>
        </w:tc>
        <w:tc>
          <w:tcPr>
            <w:tcW w:w="1669" w:type="dxa"/>
            <w:vMerge/>
            <w:vAlign w:val="center"/>
          </w:tcPr>
          <w:p w14:paraId="2E97FF28"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18246B7D"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72.0</w:t>
            </w:r>
          </w:p>
        </w:tc>
        <w:tc>
          <w:tcPr>
            <w:tcW w:w="590" w:type="dxa"/>
            <w:vAlign w:val="center"/>
          </w:tcPr>
          <w:p w14:paraId="483C589A"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70.2</w:t>
            </w:r>
          </w:p>
        </w:tc>
        <w:tc>
          <w:tcPr>
            <w:tcW w:w="1304" w:type="dxa"/>
            <w:vAlign w:val="center"/>
          </w:tcPr>
          <w:p w14:paraId="4E1FDCA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0.738</w:t>
            </w:r>
          </w:p>
        </w:tc>
        <w:tc>
          <w:tcPr>
            <w:cnfStyle w:val="000100000000" w:firstRow="0" w:lastRow="0" w:firstColumn="0" w:lastColumn="1" w:oddVBand="0" w:evenVBand="0" w:oddHBand="0" w:evenHBand="0" w:firstRowFirstColumn="0" w:firstRowLastColumn="0" w:lastRowFirstColumn="0" w:lastRowLastColumn="0"/>
            <w:tcW w:w="1460" w:type="dxa"/>
            <w:vMerge/>
            <w:vAlign w:val="center"/>
          </w:tcPr>
          <w:p w14:paraId="37607178"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0ACC23C8" w14:textId="77777777" w:rsidTr="00F233D4">
        <w:trPr>
          <w:trHeight w:val="340"/>
        </w:trPr>
        <w:tc>
          <w:tcPr>
            <w:cnfStyle w:val="000100000000" w:firstRow="0" w:lastRow="0" w:firstColumn="0" w:lastColumn="1" w:oddVBand="0" w:evenVBand="0" w:oddHBand="0" w:evenHBand="0" w:firstRowFirstColumn="0" w:firstRowLastColumn="0" w:lastRowFirstColumn="0" w:lastRowLastColumn="0"/>
            <w:tcW w:w="9486" w:type="dxa"/>
            <w:gridSpan w:val="8"/>
            <w:vAlign w:val="center"/>
          </w:tcPr>
          <w:p w14:paraId="069E87CB" w14:textId="17B54DDB" w:rsidR="00EE7EB3" w:rsidRPr="00784B41" w:rsidRDefault="00EE7EB3" w:rsidP="00F233D4">
            <w:pPr>
              <w:rPr>
                <w:rFonts w:ascii="Cambria" w:hAnsi="Cambria" w:cs="Calibri"/>
                <w:b w:val="0"/>
                <w:bCs w:val="0"/>
                <w:color w:val="3B3838" w:themeColor="background2" w:themeShade="40"/>
                <w:sz w:val="20"/>
                <w:szCs w:val="20"/>
              </w:rPr>
            </w:pPr>
            <w:r w:rsidRPr="00784B41">
              <w:rPr>
                <w:rFonts w:ascii="Cambria" w:hAnsi="Cambria" w:cs="Calibri"/>
                <w:b w:val="0"/>
                <w:bCs w:val="0"/>
                <w:color w:val="3B3838" w:themeColor="background2" w:themeShade="40"/>
                <w:sz w:val="20"/>
                <w:szCs w:val="20"/>
              </w:rPr>
              <w:t xml:space="preserve">Abbreviations: SE, sensitivity; SP, specificity; </w:t>
            </w:r>
            <w:r>
              <w:rPr>
                <w:rFonts w:ascii="Cambria" w:hAnsi="Cambria" w:cs="Calibri"/>
                <w:b w:val="0"/>
                <w:bCs w:val="0"/>
                <w:color w:val="3B3838" w:themeColor="background2" w:themeShade="40"/>
                <w:sz w:val="20"/>
                <w:szCs w:val="20"/>
              </w:rPr>
              <w:t xml:space="preserve">LR, low risk; IR, intermediate risk; HR, high risk; </w:t>
            </w:r>
            <w:proofErr w:type="spellStart"/>
            <w:r>
              <w:rPr>
                <w:rFonts w:ascii="Cambria" w:hAnsi="Cambria" w:cs="Calibri"/>
                <w:b w:val="0"/>
                <w:bCs w:val="0"/>
                <w:color w:val="3B3838" w:themeColor="background2" w:themeShade="40"/>
                <w:sz w:val="20"/>
                <w:szCs w:val="20"/>
              </w:rPr>
              <w:t>mPCa</w:t>
            </w:r>
            <w:proofErr w:type="spellEnd"/>
            <w:r>
              <w:rPr>
                <w:rFonts w:ascii="Cambria" w:hAnsi="Cambria" w:cs="Calibri"/>
                <w:b w:val="0"/>
                <w:bCs w:val="0"/>
                <w:color w:val="3B3838" w:themeColor="background2" w:themeShade="40"/>
                <w:sz w:val="20"/>
                <w:szCs w:val="20"/>
              </w:rPr>
              <w:t xml:space="preserve">, metastatic </w:t>
            </w:r>
            <w:r w:rsidR="00062068">
              <w:rPr>
                <w:rFonts w:ascii="Cambria" w:hAnsi="Cambria" w:cs="Calibri"/>
                <w:b w:val="0"/>
                <w:bCs w:val="0"/>
                <w:color w:val="3B3838" w:themeColor="background2" w:themeShade="40"/>
                <w:sz w:val="20"/>
                <w:szCs w:val="20"/>
              </w:rPr>
              <w:t>prostate cancer</w:t>
            </w:r>
            <w:r>
              <w:rPr>
                <w:rFonts w:ascii="Cambria" w:hAnsi="Cambria" w:cs="Calibri"/>
                <w:b w:val="0"/>
                <w:bCs w:val="0"/>
                <w:color w:val="3B3838" w:themeColor="background2" w:themeShade="40"/>
                <w:sz w:val="20"/>
                <w:szCs w:val="20"/>
              </w:rPr>
              <w:t xml:space="preserve">; </w:t>
            </w:r>
            <w:r w:rsidRPr="00784B41">
              <w:rPr>
                <w:rFonts w:ascii="Cambria" w:hAnsi="Cambria" w:cs="Calibri"/>
                <w:b w:val="0"/>
                <w:bCs w:val="0"/>
                <w:color w:val="3B3838" w:themeColor="background2" w:themeShade="40"/>
                <w:sz w:val="20"/>
                <w:szCs w:val="20"/>
              </w:rPr>
              <w:t>FFPE, formalin-fixed paraffin-embedded</w:t>
            </w:r>
            <w:r>
              <w:rPr>
                <w:rFonts w:ascii="Cambria" w:hAnsi="Cambria" w:cs="Calibri"/>
                <w:b w:val="0"/>
                <w:bCs w:val="0"/>
                <w:color w:val="3B3838" w:themeColor="background2" w:themeShade="40"/>
                <w:sz w:val="20"/>
                <w:szCs w:val="20"/>
              </w:rPr>
              <w:t>;</w:t>
            </w:r>
            <w:r w:rsidRPr="00784B41">
              <w:rPr>
                <w:rFonts w:ascii="Cambria" w:hAnsi="Cambria" w:cs="Calibri"/>
                <w:b w:val="0"/>
                <w:bCs w:val="0"/>
                <w:color w:val="3B3838" w:themeColor="background2" w:themeShade="40"/>
                <w:sz w:val="20"/>
                <w:szCs w:val="20"/>
              </w:rPr>
              <w:t xml:space="preserve"> ↑</w:t>
            </w:r>
            <w:r w:rsidR="00062068">
              <w:rPr>
                <w:rFonts w:ascii="Cambria" w:hAnsi="Cambria" w:cs="Calibri"/>
                <w:b w:val="0"/>
                <w:bCs w:val="0"/>
                <w:color w:val="3B3838" w:themeColor="background2" w:themeShade="40"/>
                <w:sz w:val="20"/>
                <w:szCs w:val="20"/>
              </w:rPr>
              <w:t>,</w:t>
            </w:r>
            <w:r w:rsidRPr="00784B41">
              <w:rPr>
                <w:rFonts w:ascii="Cambria" w:hAnsi="Cambria" w:cs="Calibri"/>
                <w:b w:val="0"/>
                <w:bCs w:val="0"/>
                <w:color w:val="3B3838" w:themeColor="background2" w:themeShade="40"/>
                <w:sz w:val="20"/>
                <w:szCs w:val="20"/>
              </w:rPr>
              <w:t xml:space="preserve"> </w:t>
            </w:r>
            <w:proofErr w:type="spellStart"/>
            <w:r w:rsidRPr="00784B41">
              <w:rPr>
                <w:rFonts w:ascii="Cambria" w:hAnsi="Cambria" w:cs="Calibri"/>
                <w:b w:val="0"/>
                <w:bCs w:val="0"/>
                <w:color w:val="3B3838" w:themeColor="background2" w:themeShade="40"/>
                <w:sz w:val="20"/>
                <w:szCs w:val="20"/>
              </w:rPr>
              <w:t>miRNa</w:t>
            </w:r>
            <w:proofErr w:type="spellEnd"/>
            <w:r w:rsidRPr="00784B41">
              <w:rPr>
                <w:rFonts w:ascii="Cambria" w:hAnsi="Cambria" w:cs="Calibri"/>
                <w:b w:val="0"/>
                <w:bCs w:val="0"/>
                <w:color w:val="3B3838" w:themeColor="background2" w:themeShade="40"/>
                <w:sz w:val="20"/>
                <w:szCs w:val="20"/>
              </w:rPr>
              <w:t xml:space="preserve"> upregulation in </w:t>
            </w:r>
            <w:proofErr w:type="spellStart"/>
            <w:r w:rsidRPr="00784B41">
              <w:rPr>
                <w:rFonts w:ascii="Cambria" w:hAnsi="Cambria" w:cs="Calibri"/>
                <w:b w:val="0"/>
                <w:bCs w:val="0"/>
                <w:color w:val="3B3838" w:themeColor="background2" w:themeShade="40"/>
                <w:sz w:val="20"/>
                <w:szCs w:val="20"/>
              </w:rPr>
              <w:t>PCa</w:t>
            </w:r>
            <w:proofErr w:type="spellEnd"/>
            <w:r w:rsidRPr="00784B41">
              <w:rPr>
                <w:rFonts w:ascii="Cambria" w:hAnsi="Cambria" w:cs="Calibri"/>
                <w:b w:val="0"/>
                <w:bCs w:val="0"/>
                <w:color w:val="3B3838" w:themeColor="background2" w:themeShade="40"/>
                <w:sz w:val="20"/>
                <w:szCs w:val="20"/>
              </w:rPr>
              <w:t xml:space="preserve"> vs</w:t>
            </w:r>
            <w:r w:rsidR="00062068">
              <w:rPr>
                <w:rFonts w:ascii="Cambria" w:hAnsi="Cambria" w:cs="Calibri"/>
                <w:b w:val="0"/>
                <w:bCs w:val="0"/>
                <w:color w:val="3B3838" w:themeColor="background2" w:themeShade="40"/>
                <w:sz w:val="20"/>
                <w:szCs w:val="20"/>
              </w:rPr>
              <w:t xml:space="preserve"> condition/control</w:t>
            </w:r>
            <w:r w:rsidRPr="00784B41">
              <w:rPr>
                <w:rFonts w:ascii="Cambria" w:hAnsi="Cambria" w:cs="Calibri"/>
                <w:b w:val="0"/>
                <w:bCs w:val="0"/>
                <w:color w:val="3B3838" w:themeColor="background2" w:themeShade="40"/>
                <w:sz w:val="20"/>
                <w:szCs w:val="20"/>
              </w:rPr>
              <w:t>; ↓</w:t>
            </w:r>
            <w:r w:rsidR="00062068">
              <w:rPr>
                <w:rFonts w:ascii="Cambria" w:hAnsi="Cambria" w:cs="Calibri"/>
                <w:b w:val="0"/>
                <w:bCs w:val="0"/>
                <w:color w:val="3B3838" w:themeColor="background2" w:themeShade="40"/>
                <w:sz w:val="20"/>
                <w:szCs w:val="20"/>
              </w:rPr>
              <w:t xml:space="preserve">, </w:t>
            </w:r>
            <w:proofErr w:type="spellStart"/>
            <w:r w:rsidRPr="00784B41">
              <w:rPr>
                <w:rFonts w:ascii="Cambria" w:hAnsi="Cambria" w:cs="Calibri"/>
                <w:b w:val="0"/>
                <w:bCs w:val="0"/>
                <w:color w:val="3B3838" w:themeColor="background2" w:themeShade="40"/>
                <w:sz w:val="20"/>
                <w:szCs w:val="20"/>
              </w:rPr>
              <w:t>miRNa</w:t>
            </w:r>
            <w:proofErr w:type="spellEnd"/>
            <w:r w:rsidRPr="00784B41">
              <w:rPr>
                <w:rFonts w:ascii="Cambria" w:hAnsi="Cambria" w:cs="Calibri"/>
                <w:b w:val="0"/>
                <w:bCs w:val="0"/>
                <w:color w:val="3B3838" w:themeColor="background2" w:themeShade="40"/>
                <w:sz w:val="20"/>
                <w:szCs w:val="20"/>
              </w:rPr>
              <w:t xml:space="preserve"> downregulation in </w:t>
            </w:r>
            <w:proofErr w:type="spellStart"/>
            <w:r w:rsidRPr="00784B41">
              <w:rPr>
                <w:rFonts w:ascii="Cambria" w:hAnsi="Cambria" w:cs="Calibri"/>
                <w:b w:val="0"/>
                <w:bCs w:val="0"/>
                <w:color w:val="3B3838" w:themeColor="background2" w:themeShade="40"/>
                <w:sz w:val="20"/>
                <w:szCs w:val="20"/>
              </w:rPr>
              <w:t>PCa</w:t>
            </w:r>
            <w:proofErr w:type="spellEnd"/>
            <w:r w:rsidRPr="00784B41">
              <w:rPr>
                <w:rFonts w:ascii="Cambria" w:hAnsi="Cambria" w:cs="Calibri"/>
                <w:b w:val="0"/>
                <w:bCs w:val="0"/>
                <w:color w:val="3B3838" w:themeColor="background2" w:themeShade="40"/>
                <w:sz w:val="20"/>
                <w:szCs w:val="20"/>
              </w:rPr>
              <w:t xml:space="preserve"> vs </w:t>
            </w:r>
            <w:r w:rsidR="00062068">
              <w:rPr>
                <w:rFonts w:ascii="Cambria" w:hAnsi="Cambria" w:cs="Calibri"/>
                <w:b w:val="0"/>
                <w:bCs w:val="0"/>
                <w:color w:val="3B3838" w:themeColor="background2" w:themeShade="40"/>
                <w:sz w:val="20"/>
                <w:szCs w:val="20"/>
              </w:rPr>
              <w:t>condition/control</w:t>
            </w:r>
          </w:p>
        </w:tc>
      </w:tr>
    </w:tbl>
    <w:p w14:paraId="54856980" w14:textId="77777777" w:rsidR="00EE7EB3" w:rsidRPr="00C83EDC" w:rsidRDefault="00EE7EB3" w:rsidP="00EE7EB3">
      <w:pPr>
        <w:rPr>
          <w:lang w:val="en-GB"/>
        </w:rPr>
      </w:pPr>
    </w:p>
    <w:p w14:paraId="1D2D3608" w14:textId="454CC767" w:rsidR="00EE7EB3" w:rsidRPr="00C83EDC" w:rsidRDefault="00EE7EB3" w:rsidP="00EE7EB3">
      <w:pPr>
        <w:pStyle w:val="Titulektabulky"/>
        <w:jc w:val="left"/>
        <w:rPr>
          <w:b w:val="0"/>
          <w:bCs w:val="0"/>
          <w:lang w:val="en-GB"/>
        </w:rPr>
      </w:pPr>
      <w:bookmarkStart w:id="48" w:name="_Toc47541139"/>
      <w:r w:rsidRPr="00C83EDC">
        <w:rPr>
          <w:lang w:val="en-GB"/>
        </w:rPr>
        <w:lastRenderedPageBreak/>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VI</w:t>
      </w:r>
      <w:r>
        <w:rPr>
          <w:noProof/>
          <w:lang w:val="en-GB"/>
        </w:rPr>
        <w:fldChar w:fldCharType="end"/>
      </w:r>
      <w:r w:rsidRPr="00C83EDC">
        <w:rPr>
          <w:noProof/>
          <w:lang w:val="en-GB"/>
        </w:rPr>
        <w:t>.</w:t>
      </w:r>
      <w:r>
        <w:rPr>
          <w:noProof/>
          <w:lang w:val="en-GB"/>
        </w:rPr>
        <w:t xml:space="preserve"> </w:t>
      </w:r>
      <w:r w:rsidRPr="00C83EDC">
        <w:rPr>
          <w:b w:val="0"/>
          <w:bCs w:val="0"/>
          <w:lang w:val="en-GB"/>
        </w:rPr>
        <w:t>An overview of miRNAs with prognostic potential in prostate cancer management</w:t>
      </w:r>
      <w:bookmarkEnd w:id="48"/>
      <w:r>
        <w:rPr>
          <w:b w:val="0"/>
          <w:bCs w:val="0"/>
          <w:lang w:val="en-GB"/>
        </w:rPr>
        <w:t>.</w:t>
      </w:r>
    </w:p>
    <w:tbl>
      <w:tblPr>
        <w:tblStyle w:val="Tabulkasmkou4zvraznn3"/>
        <w:tblW w:w="9493" w:type="dxa"/>
        <w:tblLook w:val="0720" w:firstRow="1" w:lastRow="0" w:firstColumn="0" w:lastColumn="1" w:noHBand="1" w:noVBand="1"/>
      </w:tblPr>
      <w:tblGrid>
        <w:gridCol w:w="1223"/>
        <w:gridCol w:w="311"/>
        <w:gridCol w:w="1143"/>
        <w:gridCol w:w="2515"/>
        <w:gridCol w:w="592"/>
        <w:gridCol w:w="592"/>
        <w:gridCol w:w="2467"/>
        <w:gridCol w:w="650"/>
      </w:tblGrid>
      <w:tr w:rsidR="00EE7EB3" w:rsidRPr="00784B41" w14:paraId="1620CD3C"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0" w:type="auto"/>
            <w:shd w:val="clear" w:color="auto" w:fill="E7E6E6" w:themeFill="background2"/>
            <w:vAlign w:val="center"/>
          </w:tcPr>
          <w:p w14:paraId="6A7EA54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Biomarker</w:t>
            </w:r>
          </w:p>
        </w:tc>
        <w:tc>
          <w:tcPr>
            <w:tcW w:w="0" w:type="auto"/>
            <w:shd w:val="clear" w:color="auto" w:fill="E7E6E6" w:themeFill="background2"/>
            <w:vAlign w:val="center"/>
          </w:tcPr>
          <w:p w14:paraId="17975C81" w14:textId="77777777" w:rsidR="00EE7EB3" w:rsidRPr="00784B41" w:rsidRDefault="00EE7EB3" w:rsidP="00F233D4">
            <w:pPr>
              <w:jc w:val="center"/>
              <w:rPr>
                <w:rFonts w:ascii="Cambria" w:hAnsi="Cambria" w:cs="Calibri"/>
                <w:color w:val="3B3838" w:themeColor="background2" w:themeShade="40"/>
                <w:sz w:val="20"/>
                <w:szCs w:val="20"/>
              </w:rPr>
            </w:pPr>
          </w:p>
        </w:tc>
        <w:tc>
          <w:tcPr>
            <w:tcW w:w="1139" w:type="dxa"/>
            <w:shd w:val="clear" w:color="auto" w:fill="E7E6E6" w:themeFill="background2"/>
            <w:vAlign w:val="center"/>
          </w:tcPr>
          <w:p w14:paraId="24C46DD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Sample</w:t>
            </w:r>
          </w:p>
        </w:tc>
        <w:tc>
          <w:tcPr>
            <w:tcW w:w="2506" w:type="dxa"/>
            <w:shd w:val="clear" w:color="auto" w:fill="E7E6E6" w:themeFill="background2"/>
            <w:vAlign w:val="center"/>
          </w:tcPr>
          <w:p w14:paraId="1EB5EA8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Case/control</w:t>
            </w:r>
          </w:p>
        </w:tc>
        <w:tc>
          <w:tcPr>
            <w:tcW w:w="590" w:type="dxa"/>
            <w:shd w:val="clear" w:color="auto" w:fill="E7E6E6" w:themeFill="background2"/>
            <w:vAlign w:val="center"/>
          </w:tcPr>
          <w:p w14:paraId="43F323B2" w14:textId="77777777" w:rsidR="00EE7EB3" w:rsidRPr="00784B41" w:rsidRDefault="00EE7EB3" w:rsidP="00F233D4">
            <w:pPr>
              <w:jc w:val="center"/>
              <w:rPr>
                <w:rFonts w:ascii="Cambria" w:hAnsi="Cambria" w:cs="Calibri"/>
                <w:b w:val="0"/>
                <w:bCs w:val="0"/>
                <w:color w:val="3B3838" w:themeColor="background2" w:themeShade="40"/>
                <w:sz w:val="20"/>
                <w:szCs w:val="20"/>
              </w:rPr>
            </w:pPr>
            <w:r w:rsidRPr="00784B41">
              <w:rPr>
                <w:rFonts w:ascii="Cambria" w:hAnsi="Cambria" w:cs="Calibri"/>
                <w:color w:val="3B3838" w:themeColor="background2" w:themeShade="40"/>
                <w:sz w:val="20"/>
                <w:szCs w:val="20"/>
              </w:rPr>
              <w:t>SE %</w:t>
            </w:r>
          </w:p>
        </w:tc>
        <w:tc>
          <w:tcPr>
            <w:tcW w:w="590" w:type="dxa"/>
            <w:shd w:val="clear" w:color="auto" w:fill="E7E6E6" w:themeFill="background2"/>
            <w:vAlign w:val="center"/>
          </w:tcPr>
          <w:p w14:paraId="61AD37A8" w14:textId="77777777" w:rsidR="00EE7EB3" w:rsidRPr="00784B41" w:rsidRDefault="00EE7EB3" w:rsidP="00F233D4">
            <w:pPr>
              <w:jc w:val="center"/>
              <w:rPr>
                <w:rFonts w:ascii="Cambria" w:hAnsi="Cambria" w:cs="Calibri"/>
                <w:b w:val="0"/>
                <w:bCs w:val="0"/>
                <w:color w:val="3B3838" w:themeColor="background2" w:themeShade="40"/>
                <w:sz w:val="20"/>
                <w:szCs w:val="20"/>
              </w:rPr>
            </w:pPr>
            <w:r w:rsidRPr="00784B41">
              <w:rPr>
                <w:rFonts w:ascii="Cambria" w:hAnsi="Cambria" w:cs="Calibri"/>
                <w:color w:val="3B3838" w:themeColor="background2" w:themeShade="40"/>
                <w:sz w:val="20"/>
                <w:szCs w:val="20"/>
              </w:rPr>
              <w:t>SP %</w:t>
            </w:r>
          </w:p>
        </w:tc>
        <w:tc>
          <w:tcPr>
            <w:tcW w:w="2458" w:type="dxa"/>
            <w:shd w:val="clear" w:color="auto" w:fill="E7E6E6" w:themeFill="background2"/>
            <w:vAlign w:val="center"/>
          </w:tcPr>
          <w:p w14:paraId="4D3D199F" w14:textId="77777777" w:rsidR="00EE7EB3" w:rsidRDefault="00EE7EB3" w:rsidP="00F233D4">
            <w:pPr>
              <w:jc w:val="center"/>
              <w:rPr>
                <w:rFonts w:ascii="Cambria" w:hAnsi="Cambria" w:cs="Calibri"/>
                <w:b w:val="0"/>
                <w:bCs w:val="0"/>
                <w:color w:val="3B3838" w:themeColor="background2" w:themeShade="40"/>
                <w:sz w:val="20"/>
                <w:szCs w:val="20"/>
              </w:rPr>
            </w:pPr>
            <w:r w:rsidRPr="00784B41">
              <w:rPr>
                <w:rFonts w:ascii="Cambria" w:hAnsi="Cambria" w:cs="Calibri"/>
                <w:color w:val="3B3838" w:themeColor="background2" w:themeShade="40"/>
                <w:sz w:val="20"/>
                <w:szCs w:val="20"/>
              </w:rPr>
              <w:t>AUC/</w:t>
            </w:r>
          </w:p>
          <w:p w14:paraId="3C0CD0B0" w14:textId="77777777" w:rsidR="00EE7EB3" w:rsidRPr="00784B41" w:rsidRDefault="00EE7EB3"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Clinical significance</w:t>
            </w:r>
          </w:p>
        </w:tc>
        <w:tc>
          <w:tcPr>
            <w:cnfStyle w:val="000100000000" w:firstRow="0" w:lastRow="0" w:firstColumn="0" w:lastColumn="1" w:oddVBand="0" w:evenVBand="0" w:oddHBand="0" w:evenHBand="0" w:firstRowFirstColumn="0" w:firstRowLastColumn="0" w:lastRowFirstColumn="0" w:lastRowLastColumn="0"/>
            <w:tcW w:w="648" w:type="dxa"/>
            <w:shd w:val="clear" w:color="auto" w:fill="E7E6E6" w:themeFill="background2"/>
            <w:vAlign w:val="center"/>
          </w:tcPr>
          <w:p w14:paraId="52AEC74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R</w:t>
            </w:r>
            <w:r>
              <w:rPr>
                <w:rFonts w:ascii="Cambria" w:hAnsi="Cambria" w:cs="Calibri"/>
                <w:color w:val="3B3838" w:themeColor="background2" w:themeShade="40"/>
                <w:sz w:val="20"/>
                <w:szCs w:val="20"/>
              </w:rPr>
              <w:t>ef.</w:t>
            </w:r>
          </w:p>
        </w:tc>
      </w:tr>
      <w:tr w:rsidR="00EE7EB3" w:rsidRPr="00784B41" w14:paraId="4844FE39" w14:textId="77777777" w:rsidTr="00F233D4">
        <w:trPr>
          <w:trHeight w:val="340"/>
        </w:trPr>
        <w:tc>
          <w:tcPr>
            <w:tcW w:w="0" w:type="auto"/>
            <w:vAlign w:val="center"/>
          </w:tcPr>
          <w:p w14:paraId="036E3EB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10b</w:t>
            </w:r>
          </w:p>
        </w:tc>
        <w:tc>
          <w:tcPr>
            <w:tcW w:w="0" w:type="auto"/>
            <w:vAlign w:val="center"/>
          </w:tcPr>
          <w:p w14:paraId="37694DCC"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rPr>
              <w:t>↑</w:t>
            </w:r>
          </w:p>
        </w:tc>
        <w:tc>
          <w:tcPr>
            <w:tcW w:w="1139" w:type="dxa"/>
            <w:vAlign w:val="center"/>
          </w:tcPr>
          <w:p w14:paraId="5DDA57FC" w14:textId="12C8921B" w:rsidR="00EE7EB3" w:rsidRPr="00784B41" w:rsidRDefault="00062068" w:rsidP="00F233D4">
            <w:pPr>
              <w:jc w:val="center"/>
              <w:rPr>
                <w:rFonts w:ascii="Cambria" w:hAnsi="Cambria" w:cs="Calibri"/>
                <w:color w:val="3B3838" w:themeColor="background2" w:themeShade="40"/>
                <w:sz w:val="20"/>
                <w:szCs w:val="20"/>
                <w:lang w:eastAsia="en-GB"/>
              </w:rPr>
            </w:pPr>
            <w:r>
              <w:rPr>
                <w:rFonts w:ascii="Cambria" w:hAnsi="Cambria" w:cs="Calibri"/>
                <w:color w:val="3B3838" w:themeColor="background2" w:themeShade="40"/>
                <w:sz w:val="20"/>
                <w:szCs w:val="20"/>
                <w:lang w:eastAsia="en-GB"/>
              </w:rPr>
              <w:t>t</w:t>
            </w:r>
            <w:r w:rsidR="00EE7EB3" w:rsidRPr="00784B41">
              <w:rPr>
                <w:rFonts w:ascii="Cambria" w:hAnsi="Cambria" w:cs="Calibri"/>
                <w:color w:val="3B3838" w:themeColor="background2" w:themeShade="40"/>
                <w:sz w:val="20"/>
                <w:szCs w:val="20"/>
                <w:lang w:eastAsia="en-GB"/>
              </w:rPr>
              <w:t>issue (FFPE)</w:t>
            </w:r>
          </w:p>
        </w:tc>
        <w:tc>
          <w:tcPr>
            <w:tcW w:w="2506" w:type="dxa"/>
            <w:vAlign w:val="center"/>
          </w:tcPr>
          <w:p w14:paraId="1C6E4653" w14:textId="77777777" w:rsidR="00EE7EB3"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4</w:t>
            </w:r>
            <w:r>
              <w:rPr>
                <w:rFonts w:ascii="Cambria" w:hAnsi="Cambria" w:cs="Calibri"/>
                <w:color w:val="3B3838" w:themeColor="background2" w:themeShade="40"/>
                <w:sz w:val="20"/>
                <w:szCs w:val="20"/>
              </w:rPr>
              <w:t>6</w:t>
            </w:r>
            <w:r w:rsidRPr="00784B41">
              <w:rPr>
                <w:rFonts w:ascii="Cambria" w:hAnsi="Cambria" w:cs="Calibri"/>
                <w:color w:val="3B3838" w:themeColor="background2" w:themeShade="40"/>
                <w:sz w:val="20"/>
                <w:szCs w:val="20"/>
              </w:rPr>
              <w:t xml:space="preserve"> paired </w:t>
            </w:r>
            <w:proofErr w:type="spellStart"/>
            <w:r w:rsidRPr="00784B41">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p>
          <w:p w14:paraId="4D8CA795"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rPr>
              <w:t>adjacent non-cancer tissue</w:t>
            </w:r>
          </w:p>
        </w:tc>
        <w:tc>
          <w:tcPr>
            <w:tcW w:w="590" w:type="dxa"/>
            <w:vAlign w:val="center"/>
          </w:tcPr>
          <w:p w14:paraId="2805D945"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036CF341" w14:textId="77777777" w:rsidR="00EE7EB3" w:rsidRPr="00784B41" w:rsidRDefault="00EE7EB3" w:rsidP="00F233D4">
            <w:pPr>
              <w:jc w:val="center"/>
              <w:rPr>
                <w:rFonts w:ascii="Cambria" w:hAnsi="Cambria" w:cs="Calibri"/>
                <w:color w:val="3B3838" w:themeColor="background2" w:themeShade="40"/>
                <w:sz w:val="20"/>
                <w:szCs w:val="20"/>
              </w:rPr>
            </w:pPr>
          </w:p>
        </w:tc>
        <w:tc>
          <w:tcPr>
            <w:tcW w:w="2458" w:type="dxa"/>
            <w:vAlign w:val="center"/>
          </w:tcPr>
          <w:p w14:paraId="05BCA729"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0.72</w:t>
            </w:r>
          </w:p>
          <w:p w14:paraId="3165794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BCR prognosis &lt; 1 year</w:t>
            </w:r>
          </w:p>
        </w:tc>
        <w:tc>
          <w:tcPr>
            <w:cnfStyle w:val="000100000000" w:firstRow="0" w:lastRow="0" w:firstColumn="0" w:lastColumn="1" w:oddVBand="0" w:evenVBand="0" w:oddHBand="0" w:evenHBand="0" w:firstRowFirstColumn="0" w:firstRowLastColumn="0" w:lastRowFirstColumn="0" w:lastRowLastColumn="0"/>
            <w:tcW w:w="648" w:type="dxa"/>
            <w:vAlign w:val="center"/>
          </w:tcPr>
          <w:p w14:paraId="1CE996A5" w14:textId="51C38888"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{"citationItems":[{"id":"ITEM-1","itemData":{"DOI":"10.3892/ijo.2011.1128","ISSN":"10196439","abstract":"Prostate cancer is the leading cancer diagnosed and the second most common cause of cancer related death in the western world. For prognostic monitoring after prostatectomy, recurrent increase of prostate-specific antigen (PSA), the so-called PSA or biochemical relapse remains the leading biomarker. There is currently no biomarker that can accurately predict the risk of relapse at the time of surgery. We analyzed formalin-fixed and paraffin-embedded tissue samples from 52 primary prostate cancers and normal adjacent tissues obtained after radical prostatectomy. Patients were grouped into two categories: i) patients with early biochemical relapse (&lt;1 year after radical prostatectomy) and ii) patients with late or no biochemical relapse (&gt;2 years after surgery). Multiplex real-time quantitative polymerase chain reaction (RT-qPCR) analysis was performed to identify a miRNA signature that can predict relapse. Results were validated by quantitative RT-PCR analysis. We identified 63 miRNAs that were differentially expressed among the same categories of patients, of whom 35 miRNAs were up-regulated and 28 were down-regulated. Literature search shows that many of these miRNAs have an established prognostic significance in other cancers and can be actively involved in tumor progression. Target prediction analysis showed that predicted targets of these miRNAs could be involved in biological processes and pathways that enhance tumor progression. We experimentally validated the role of one of the dysregulated miRNAs (miR-10b) in relapse using proliferation and wound-healing assay. miRNAs can be reliable predictive markers for biochemical relapse of prostate cancer at the time of radical prostatectomy. This should have significant impact on patient managing plans.","author":[{"dropping-particle":"","family":"Fendler","given":"Annika","non-dropping-particle":"","parse-names":false,"suffix":""},{"dropping-particle":"","family":"Jung","given":"Monika","non-dropping-particle":"","parse-names":false,"suffix":""},{"dropping-particle":"","family":"Stephan","given":"Carsten","non-dropping-particle":"","parse-names":false,"suffix":""},{"dropping-particle":"","family":"Honey","given":"Richardson J.","non-dropping-particle":"","parse-names":false,"suffix":""},{"dropping-particle":"","family":"Stewart","given":"Robert J.","non-dropping-particle":"","parse-names":false,"suffix":""},{"dropping-particle":"","family":"Pace","given":"Kenneth T.","non-dropping-particle":"","parse-names":false,"suffix":""},{"dropping-particle":"","family":"Erbersdobler","given":"Andreas","non-dropping-particle":"","parse-names":false,"suffix":""},{"dropping-particle":"","family":"Samaan","given":"Sara","non-dropping-particle":"","parse-names":false,"suffix":""},{"dropping-particle":"","family":"Jung","given":"Klaus","non-dropping-particle":"","parse-names":false,"suffix":""},{"dropping-particle":"","family":"Yousef","given":"George M.","non-dropping-particle":"","parse-names":false,"suffix":""}],"container-title":"International Journal of Oncology","id":"ITEM-1","issue":"5","issued":{"date-parts":[["2011"]]},"page":"1183-1192","title":"miRNAs can predict prostate cancer biochemical relapse and are involved in tumor progression","type":"article-journal","volume":"39"},"uris":["http://www.mendeley.com/documents/?uuid=217610fe-338d-44b2-8f5c-e783368e5051"]}],"mendeley":{"formattedCitation":"&lt;sup&gt;103&lt;/sup&gt;","plainTextFormattedCitation":"103","previouslyFormattedCitation":"[103]"},"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103</w:t>
            </w:r>
            <w:r w:rsidRPr="00784B41">
              <w:rPr>
                <w:rFonts w:cs="Calibri"/>
                <w:color w:val="3B3838" w:themeColor="background2" w:themeShade="40"/>
                <w:sz w:val="20"/>
                <w:szCs w:val="20"/>
              </w:rPr>
              <w:fldChar w:fldCharType="end"/>
            </w:r>
          </w:p>
        </w:tc>
      </w:tr>
      <w:tr w:rsidR="00EE7EB3" w:rsidRPr="00784B41" w14:paraId="0CEA2B33" w14:textId="77777777" w:rsidTr="00F233D4">
        <w:trPr>
          <w:trHeight w:val="340"/>
        </w:trPr>
        <w:tc>
          <w:tcPr>
            <w:tcW w:w="0" w:type="auto"/>
            <w:vAlign w:val="center"/>
          </w:tcPr>
          <w:p w14:paraId="19D9B916"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16</w:t>
            </w:r>
          </w:p>
        </w:tc>
        <w:tc>
          <w:tcPr>
            <w:tcW w:w="0" w:type="auto"/>
            <w:vAlign w:val="center"/>
          </w:tcPr>
          <w:p w14:paraId="509E3571"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tcW w:w="1139" w:type="dxa"/>
            <w:vAlign w:val="center"/>
          </w:tcPr>
          <w:p w14:paraId="60750F95" w14:textId="323D2040" w:rsidR="00EE7EB3" w:rsidRPr="00784B41" w:rsidRDefault="00062068" w:rsidP="00F233D4">
            <w:pPr>
              <w:jc w:val="center"/>
              <w:rPr>
                <w:rFonts w:ascii="Cambria" w:hAnsi="Cambria" w:cs="Calibri"/>
                <w:color w:val="3B3838" w:themeColor="background2" w:themeShade="40"/>
                <w:sz w:val="20"/>
                <w:szCs w:val="20"/>
                <w:lang w:eastAsia="en-GB"/>
              </w:rPr>
            </w:pPr>
            <w:r>
              <w:rPr>
                <w:rFonts w:ascii="Cambria" w:hAnsi="Cambria" w:cs="Calibri"/>
                <w:color w:val="3B3838" w:themeColor="background2" w:themeShade="40"/>
                <w:sz w:val="20"/>
                <w:szCs w:val="20"/>
                <w:lang w:eastAsia="en-GB"/>
              </w:rPr>
              <w:t>p</w:t>
            </w:r>
            <w:r w:rsidR="00EE7EB3" w:rsidRPr="00784B41">
              <w:rPr>
                <w:rFonts w:ascii="Cambria" w:hAnsi="Cambria" w:cs="Calibri"/>
                <w:color w:val="3B3838" w:themeColor="background2" w:themeShade="40"/>
                <w:sz w:val="20"/>
                <w:szCs w:val="20"/>
                <w:lang w:eastAsia="en-GB"/>
              </w:rPr>
              <w:t>lasma</w:t>
            </w:r>
          </w:p>
        </w:tc>
        <w:tc>
          <w:tcPr>
            <w:tcW w:w="2506" w:type="dxa"/>
            <w:vAlign w:val="center"/>
          </w:tcPr>
          <w:p w14:paraId="05E3B7AD"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37 HR</w:t>
            </w:r>
            <w:r>
              <w:rPr>
                <w:rFonts w:ascii="Cambria" w:hAnsi="Cambria" w:cs="Calibri"/>
                <w:color w:val="3B3838" w:themeColor="background2" w:themeShade="40"/>
                <w:sz w:val="20"/>
                <w:szCs w:val="20"/>
                <w:lang w:eastAsia="en-GB"/>
              </w:rPr>
              <w:t>/</w:t>
            </w:r>
            <w:r w:rsidRPr="00784B41">
              <w:rPr>
                <w:rFonts w:ascii="Cambria" w:hAnsi="Cambria" w:cs="Calibri"/>
                <w:color w:val="3B3838" w:themeColor="background2" w:themeShade="40"/>
                <w:sz w:val="20"/>
                <w:szCs w:val="20"/>
                <w:lang w:eastAsia="en-GB"/>
              </w:rPr>
              <w:t>33 LR</w:t>
            </w:r>
          </w:p>
        </w:tc>
        <w:tc>
          <w:tcPr>
            <w:tcW w:w="590" w:type="dxa"/>
            <w:vAlign w:val="center"/>
          </w:tcPr>
          <w:p w14:paraId="0C0A1495"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79C45C76" w14:textId="77777777" w:rsidR="00EE7EB3" w:rsidRPr="00784B41" w:rsidRDefault="00EE7EB3" w:rsidP="00F233D4">
            <w:pPr>
              <w:jc w:val="center"/>
              <w:rPr>
                <w:rFonts w:ascii="Cambria" w:hAnsi="Cambria" w:cs="Calibri"/>
                <w:color w:val="3B3838" w:themeColor="background2" w:themeShade="40"/>
                <w:sz w:val="20"/>
                <w:szCs w:val="20"/>
              </w:rPr>
            </w:pPr>
          </w:p>
        </w:tc>
        <w:tc>
          <w:tcPr>
            <w:tcW w:w="2458" w:type="dxa"/>
            <w:vAlign w:val="center"/>
          </w:tcPr>
          <w:p w14:paraId="7D1C0DE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0.62</w:t>
            </w:r>
          </w:p>
        </w:tc>
        <w:tc>
          <w:tcPr>
            <w:cnfStyle w:val="000100000000" w:firstRow="0" w:lastRow="0" w:firstColumn="0" w:lastColumn="1" w:oddVBand="0" w:evenVBand="0" w:oddHBand="0" w:evenHBand="0" w:firstRowFirstColumn="0" w:firstRowLastColumn="0" w:lastRowFirstColumn="0" w:lastRowLastColumn="0"/>
            <w:tcW w:w="648" w:type="dxa"/>
            <w:vAlign w:val="center"/>
          </w:tcPr>
          <w:p w14:paraId="384D6A0C" w14:textId="50B196AD" w:rsidR="00EE7EB3" w:rsidRPr="00784B41" w:rsidRDefault="00EE7EB3" w:rsidP="00F233D4">
            <w:pPr>
              <w:jc w:val="center"/>
              <w:rPr>
                <w:rFonts w:ascii="Cambria" w:hAnsi="Cambria" w:cs="Calibri"/>
                <w:b w:val="0"/>
                <w:bCs w:val="0"/>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b w:val="0"/>
                <w:bCs w:val="0"/>
                <w:color w:val="3B3838" w:themeColor="background2" w:themeShade="40"/>
                <w:sz w:val="20"/>
                <w:szCs w:val="20"/>
              </w:rPr>
              <w:instrText>ADDIN CSL_CITATION {"citationItems":[{"id":"ITEM-1","itemData":{"DOI":"10.1371/journal.pone.0091729","ISSN":"19326203","PMID":"24705338","abstract":"Purpose: The purpose of this study was to determine if microRNA profiling of urine and plasma at radical prostatectomy can distinguish potentially lethal from indolent prostate cancer. Materials and Methods: A panel of microRNAs was profiled in the plasma of 70 patients and the urine of 33 patients collected prior to radical prostatectomy. Expression of microRNAs was correlated to the clinical endpoints at a follow-up time of 3.9 years to identify microRNAs that may predict clinical response after radical prostatectomy. A machine learning approach was applied to test the predictive ability of all microRNAs profiled in urine, plasma, and a combination of both, and global performance assessed using the area under the receiver operator characteristic curve (AUC). Validation of urinary expression of miRNAs was performed on a further independent cohort of 36 patients. Results: The best predictor in plasma using eight miRs yielded only moderate predictive performance (AUC = 0.62). The best predictor of high-risk disease was achieved using miR-16, miR-21 and miR-222 measured in urine (AUC = 0.75). This combination of three microRNAs in urine was a better predictor of high-risk disease than any individual microRNA. Using a different methodology we found that this set of miRNAs was unable to predict high-volume, high-grade disease. Conclusions: Our initial findings suggested that plasma and urinary profiling of microRNAs at radical prostatectomy may allow prognostication of prostate cancer behaviour. However we found that the microRNA expression signature failed to validate in an independent cohort of patients using a different platform for PCR. This highlights the need for independent validation patient cohorts and suggests that urinary microRNA signatures at radical prostatectomy may not be a robust way to predict the course of clinical disease after definitive treatment for prostate cancer. © 2014 Sapre et al.","author":[{"dropping-particle":"","family":"Sapre","given":"Nikhil","non-dropping-particle":"","parse-names":false,"suffix":""},{"dropping-particle":"","family":"Hong","given":"Matthew K.H.","non-dropping-particle":"","parse-names":false,"suffix":""},{"dropping-particle":"","family":"Macintyre","given":"Geoff","non-dropping-particle":"","parse-names":false,"suffix":""},{"dropping-particle":"","family":"Lewis","given":"Heather","non-dropping-particle":"","parse-names":false,"suffix":""},{"dropping-particle":"","family":"Kowalczyk","given":"Adam","non-dropping-particle":"","parse-names":false,"suffix":""},{"dropping-particle":"","family":"Costello","given":"Anthony J.","non-dropping-particle":"","parse-names":false,"suffix":""},{"dropping-particle":"","family":"Corcoran","given":"Niall M.","non-dropping-particle":"","parse-names":false,"suffix":""},{"dropping-particle":"","family":"Hovens","given":"Christopher M.","non-dropping-particle":"","parse-names":false,"suffix":""}],"container-title":"PLoS ONE","id":"ITEM-1","issue":"4","issued":{"date-parts":[["2014"]]},"title":"Curated microRNAs in urine and blood fail to validate as predictive biomarkers for high-risk prostate cancer","type":"article-journal","volume":"9"},"uris":["http://www.mendeley.com/documents/?uuid=69d8db59-c3d4-48c4-8ac5-7cc144be6aab"]}],"mendeley":{"formattedCitation":"&lt;sup&gt;120&lt;/sup&gt;","plainTextFormattedCitation":"120","previouslyFormattedCitation":"[120]"},"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bCs w:val="0"/>
                <w:noProof/>
                <w:color w:val="3B3838" w:themeColor="background2" w:themeShade="40"/>
                <w:sz w:val="20"/>
                <w:szCs w:val="20"/>
                <w:vertAlign w:val="superscript"/>
              </w:rPr>
              <w:t>120</w:t>
            </w:r>
            <w:r w:rsidRPr="00784B41">
              <w:rPr>
                <w:rFonts w:cs="Calibri"/>
                <w:color w:val="3B3838" w:themeColor="background2" w:themeShade="40"/>
                <w:sz w:val="20"/>
                <w:szCs w:val="20"/>
              </w:rPr>
              <w:fldChar w:fldCharType="end"/>
            </w:r>
          </w:p>
        </w:tc>
      </w:tr>
      <w:tr w:rsidR="00EE7EB3" w:rsidRPr="00784B41" w14:paraId="5A1B3098" w14:textId="77777777" w:rsidTr="00F233D4">
        <w:trPr>
          <w:trHeight w:val="340"/>
        </w:trPr>
        <w:tc>
          <w:tcPr>
            <w:tcW w:w="0" w:type="auto"/>
            <w:vAlign w:val="center"/>
          </w:tcPr>
          <w:p w14:paraId="0E87F90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26a</w:t>
            </w:r>
          </w:p>
        </w:tc>
        <w:tc>
          <w:tcPr>
            <w:tcW w:w="0" w:type="auto"/>
            <w:vAlign w:val="center"/>
          </w:tcPr>
          <w:p w14:paraId="11694F8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Align w:val="center"/>
          </w:tcPr>
          <w:p w14:paraId="101D64B6" w14:textId="1A4BB966"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s</w:t>
            </w:r>
            <w:r w:rsidR="00EE7EB3" w:rsidRPr="00784B41">
              <w:rPr>
                <w:rFonts w:ascii="Cambria" w:hAnsi="Cambria" w:cs="Calibri"/>
                <w:color w:val="3B3838" w:themeColor="background2" w:themeShade="40"/>
                <w:sz w:val="20"/>
                <w:szCs w:val="20"/>
              </w:rPr>
              <w:t>erum</w:t>
            </w:r>
          </w:p>
        </w:tc>
        <w:tc>
          <w:tcPr>
            <w:tcW w:w="2506" w:type="dxa"/>
            <w:vAlign w:val="center"/>
          </w:tcPr>
          <w:p w14:paraId="29020DFD"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18 BPH</w:t>
            </w:r>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37 localized</w:t>
            </w:r>
            <w:r>
              <w:rPr>
                <w:rFonts w:ascii="Cambria" w:hAnsi="Cambria" w:cs="Calibri"/>
                <w:color w:val="3B3838" w:themeColor="background2" w:themeShade="40"/>
                <w:sz w:val="20"/>
                <w:szCs w:val="20"/>
              </w:rPr>
              <w:t>/</w:t>
            </w:r>
          </w:p>
          <w:p w14:paraId="52AD4C18" w14:textId="059B11AF"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8 </w:t>
            </w:r>
            <w:proofErr w:type="spellStart"/>
            <w:r w:rsidRPr="00784B41">
              <w:rPr>
                <w:rFonts w:ascii="Cambria" w:hAnsi="Cambria" w:cs="Calibri"/>
                <w:color w:val="3B3838" w:themeColor="background2" w:themeShade="40"/>
                <w:sz w:val="20"/>
                <w:szCs w:val="20"/>
              </w:rPr>
              <w:t>m</w:t>
            </w:r>
            <w:r>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20 control</w:t>
            </w:r>
            <w:r>
              <w:rPr>
                <w:rFonts w:ascii="Cambria" w:hAnsi="Cambria" w:cs="Calibri"/>
                <w:color w:val="3B3838" w:themeColor="background2" w:themeShade="40"/>
                <w:sz w:val="20"/>
                <w:szCs w:val="20"/>
              </w:rPr>
              <w:t>s</w:t>
            </w:r>
          </w:p>
        </w:tc>
        <w:tc>
          <w:tcPr>
            <w:tcW w:w="590" w:type="dxa"/>
            <w:vAlign w:val="center"/>
          </w:tcPr>
          <w:p w14:paraId="5D4D147A"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89</w:t>
            </w:r>
          </w:p>
        </w:tc>
        <w:tc>
          <w:tcPr>
            <w:tcW w:w="590" w:type="dxa"/>
            <w:vAlign w:val="center"/>
          </w:tcPr>
          <w:p w14:paraId="71176B6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56</w:t>
            </w:r>
          </w:p>
        </w:tc>
        <w:tc>
          <w:tcPr>
            <w:tcW w:w="2458" w:type="dxa"/>
            <w:vAlign w:val="center"/>
          </w:tcPr>
          <w:p w14:paraId="2A803B8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0.703</w:t>
            </w:r>
          </w:p>
        </w:tc>
        <w:tc>
          <w:tcPr>
            <w:cnfStyle w:val="000100000000" w:firstRow="0" w:lastRow="0" w:firstColumn="0" w:lastColumn="1" w:oddVBand="0" w:evenVBand="0" w:oddHBand="0" w:evenHBand="0" w:firstRowFirstColumn="0" w:firstRowLastColumn="0" w:lastRowFirstColumn="0" w:lastRowLastColumn="0"/>
            <w:tcW w:w="648" w:type="dxa"/>
            <w:vAlign w:val="center"/>
          </w:tcPr>
          <w:p w14:paraId="1477FC6A" w14:textId="5790F71A"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{"citationItems":[{"id":"ITEM-1","itemData":{"DOI":"10.1016/j.urology.2011.01.020","ISSN":"15279995","abstract":"Objectives: To analyze circulating microRNAs (miRNA) in serum as non-invasive biomarker in patients with localized prostate cancer (PCA), benign prostate hyperplasia (BPH) and healthy individuals (HI). Methods: Total RNA was isolated from serum samples and the circulating levels of different RNA species (miRNA, miR-16; small nuclear RNA, RNU1A-1; messenger RNA, HPRT1), as well as of 4 oncogenic miRNAs (miR-26a, miR-32, miR-195, miR-let7i), were determined using a quantitative real-time polymerase chain reaction. We also evaluated miRNA levels in a second cohort of 10 PCA patients in cancer/nonmalignant tissue, and pre- and post-prostatectomy serum samples. Results: The levels of miR-16 and RNU1A-1were reliably measured, whereas HPRT1 levels were often below the detection limit of our assay. Circulating oncogenic miRNA levels were different, and especially the miR-26a level allowed sensitive (89%) discrimination of PCA and BPH patients at a moderate specificity (56%; area under the curve [AUC]: 0.703); the analysis of oncogenic miRNAs in combination increased the diagnostic accuracy (sensitivity: 78.4%; specificity: 66.7%; AUC: 0.758). Despite the low number of patients limiting the statistical power of the study, we observed correlations with clinical-pathologic parameters: miR-16, miR-195, and miR-26a were significantly correlated with surgical margin positivity; miR-195 and miR-let7i were significantly correlated with the Gleason score. Tissue miRNA levels were correlated with preprostatectomy miRNA levels in serum, and serum miRNA decreased after prostatectomy, thereby indicating tumor-associated release of miRNA. Conclusions: Tumor-associated miRNAs in serum allow noninvasive discrimination of PCA and BPH. © 2011 Elsevier Inc.","author":[{"dropping-particle":"","family":"Mahn","given":"Robert","non-dropping-particle":"","parse-names":false,"suffix":""},{"dropping-particle":"","family":"Heukamp","given":"Lukas C.","non-dropping-particle":"","parse-names":false,"suffix":""},{"dropping-particle":"","family":"Rogenhofer","given":"Sebastian","non-dropping-particle":"","parse-names":false,"suffix":""},{"dropping-particle":"","family":"Ruecker","given":"Alexander","non-dropping-particle":"Von","parse-names":false,"suffix":""},{"dropping-particle":"","family":"Müller","given":"Stefan C.","non-dropping-particle":"","parse-names":false,"suffix":""},{"dropping-particle":"","family":"Ellinger","given":"Jörg","non-dropping-particle":"","parse-names":false,"suffix":""}],"container-title":"Urology","id":"ITEM-1","issue":"5","issued":{"date-parts":[["2011"]]},"page":"1265.e9-1265.e16","publisher":"Elsevier Inc.","title":"Circulating microRNAs (miRNA) in serum of patients with prostate cancer","type":"article-journal","volume":"77"},"uris":["http://www.mendeley.com/documents/?uuid=4a182f45-8335-4f33-a738-ddba26d9b754"]}],"mendeley":{"formattedCitation":"&lt;sup&gt;121&lt;/sup&gt;","plainTextFormattedCitation":"121","previouslyFormattedCitation":"[121]"},"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121</w:t>
            </w:r>
            <w:r w:rsidRPr="00784B41">
              <w:rPr>
                <w:rFonts w:cs="Calibri"/>
                <w:color w:val="3B3838" w:themeColor="background2" w:themeShade="40"/>
                <w:sz w:val="20"/>
                <w:szCs w:val="20"/>
              </w:rPr>
              <w:fldChar w:fldCharType="end"/>
            </w:r>
          </w:p>
        </w:tc>
      </w:tr>
      <w:tr w:rsidR="00EE7EB3" w:rsidRPr="00784B41" w14:paraId="28CC4D6E" w14:textId="77777777" w:rsidTr="00F233D4">
        <w:trPr>
          <w:trHeight w:val="340"/>
        </w:trPr>
        <w:tc>
          <w:tcPr>
            <w:tcW w:w="0" w:type="auto"/>
            <w:vAlign w:val="center"/>
          </w:tcPr>
          <w:p w14:paraId="6024190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21</w:t>
            </w:r>
          </w:p>
        </w:tc>
        <w:tc>
          <w:tcPr>
            <w:tcW w:w="0" w:type="auto"/>
            <w:vAlign w:val="center"/>
          </w:tcPr>
          <w:p w14:paraId="63DFF069"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Merge w:val="restart"/>
            <w:vAlign w:val="center"/>
          </w:tcPr>
          <w:p w14:paraId="2116DD10" w14:textId="774F8509"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s</w:t>
            </w:r>
            <w:r w:rsidR="00EE7EB3" w:rsidRPr="00784B41">
              <w:rPr>
                <w:rFonts w:ascii="Cambria" w:hAnsi="Cambria" w:cs="Calibri"/>
                <w:color w:val="3B3838" w:themeColor="background2" w:themeShade="40"/>
                <w:sz w:val="20"/>
                <w:szCs w:val="20"/>
              </w:rPr>
              <w:t>erum</w:t>
            </w:r>
          </w:p>
        </w:tc>
        <w:tc>
          <w:tcPr>
            <w:tcW w:w="2506" w:type="dxa"/>
            <w:vMerge w:val="restart"/>
            <w:vAlign w:val="center"/>
          </w:tcPr>
          <w:p w14:paraId="052B7E6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10 </w:t>
            </w:r>
            <w:proofErr w:type="spellStart"/>
            <w:r w:rsidRPr="00784B41">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10 BPH</w:t>
            </w:r>
          </w:p>
        </w:tc>
        <w:tc>
          <w:tcPr>
            <w:tcW w:w="590" w:type="dxa"/>
            <w:vAlign w:val="center"/>
          </w:tcPr>
          <w:p w14:paraId="709C720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90</w:t>
            </w:r>
          </w:p>
        </w:tc>
        <w:tc>
          <w:tcPr>
            <w:tcW w:w="590" w:type="dxa"/>
            <w:vAlign w:val="center"/>
          </w:tcPr>
          <w:p w14:paraId="3CD077F9"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80</w:t>
            </w:r>
          </w:p>
        </w:tc>
        <w:tc>
          <w:tcPr>
            <w:tcW w:w="2458" w:type="dxa"/>
            <w:vAlign w:val="center"/>
          </w:tcPr>
          <w:p w14:paraId="24977316"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Positive prostate biopsy prediction</w:t>
            </w:r>
          </w:p>
        </w:tc>
        <w:tc>
          <w:tcPr>
            <w:cnfStyle w:val="000100000000" w:firstRow="0" w:lastRow="0" w:firstColumn="0" w:lastColumn="1" w:oddVBand="0" w:evenVBand="0" w:oddHBand="0" w:evenHBand="0" w:firstRowFirstColumn="0" w:firstRowLastColumn="0" w:lastRowFirstColumn="0" w:lastRowLastColumn="0"/>
            <w:tcW w:w="648" w:type="dxa"/>
            <w:vMerge w:val="restart"/>
            <w:vAlign w:val="center"/>
          </w:tcPr>
          <w:p w14:paraId="6126CE7C" w14:textId="51109F51"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cs="Calibri"/>
                <w:color w:val="3B3838" w:themeColor="background2" w:themeShade="40"/>
                <w:sz w:val="20"/>
                <w:szCs w:val="20"/>
                <w:lang w:eastAsia="en-GB"/>
              </w:rPr>
              <w:fldChar w:fldCharType="begin" w:fldLock="1"/>
            </w:r>
            <w:r w:rsidR="000C069C">
              <w:rPr>
                <w:rFonts w:ascii="Cambria" w:hAnsi="Cambria" w:cs="Calibri"/>
                <w:color w:val="3B3838" w:themeColor="background2" w:themeShade="40"/>
                <w:sz w:val="20"/>
                <w:szCs w:val="20"/>
                <w:lang w:eastAsia="en-GB"/>
              </w:rPr>
              <w:instrText>ADDIN CSL_CITATION {"citationItems":[{"id":"ITEM-1","itemData":{"DOI":"10.1007/s13277-014-2584-7","ISSN":"14230380","abstract":"To compare the expression of two promising circulating micro-ribonucleic acids (miRNAs 21 and 221) in patients with prostate cancer to subjects without cancer and to evaluate their potential role as specific noninvasive molecular biomarkers for prostate cancer diagnosis, circulating miRNAs 21 and 221 expression profiles were analyzed in 20 men aged 50–75 years, presenting with lower urinary tract symptoms (LUTSs) and undergoing transrectal ultrasound (TRUS)-guided prostate biopsy based on either elevated serum prostate-specific antigen (PSA) (&gt;4.0 ng/ml) or suspicious digital rectal examination (DRE). The performance of miRNAs 21 and 221 in differentiating prostate cancer from nonmalignant cases was evaluated and compared to DRE and elevated PSA. miRNA 21 was overexpressed in 90 % of group A vs. 10 % of group B, while miRNA 221 was overexpressed in 80 % of group A vs. 20 % of group B (p = 0.001). MiRNA 21 overexpression had the highest performance as a diagnostic test with a sensitivity of 90 % and a specificity 90 % (p = 0.02). No correlations were noted between Gleason score of prostate cancer cases and relative quantity (RQ) 21 (r = −0.355, p = 0.292) or RQ 221 (r = −0.044, p = 0.892). Our study showed that serum miRNAs 21 and 221 expression profiling tests may be used as specific noninvasive molecular biomarkers for prostate cancer diagnosis due to their higher sensitivity and specificity with a high negative predictive value leading to a decrease in the biopsies taken for patients with elevated serum PSA values.","author":[{"dropping-particle":"","family":"Kotb","given":"Sameh","non-dropping-particle":"","parse-names":false,"suffix":""},{"dropping-particle":"","family":"Mosharafa","given":"Ashraf","non-dropping-particle":"","parse-names":false,"suffix":""},{"dropping-particle":"","family":"Essawi","given":"Mona","non-dropping-particle":"","parse-names":false,"suffix":""},{"dropping-particle":"","family":"Hassan","given":"Heba","non-dropping-particle":"","parse-names":false,"suffix":""},{"dropping-particle":"","family":"Meshref","given":"Alaa","non-dropping-particle":"","parse-names":false,"suffix":""},{"dropping-particle":"","family":"Morsy","given":"Ahmed","non-dropping-particle":"","parse-names":false,"suffix":""}],"container-title":"Tumor Biology","id":"ITEM-1","issue":"12","issued":{"date-parts":[["2014"]]},"page":"12613-12617","title":"Circulating miRNAs 21 and 221 as biomarkers for early diagnosis of prostate cancer","type":"article-journal","volume":"35"},"uris":["http://www.mendeley.com/documents/?uuid=82357df8-d68a-496d-a5ae-84a94c015f27"]}],"mendeley":{"formattedCitation":"&lt;sup&gt;122&lt;/sup&gt;","plainTextFormattedCitation":"122","previouslyFormattedCitation":"[122]"},"properties":{"noteIndex":0},"schema":"https://github.com/citation-style-language/schema/raw/master/csl-citation.json"}</w:instrText>
            </w:r>
            <w:r w:rsidRPr="00784B41">
              <w:rPr>
                <w:rFonts w:cs="Calibri"/>
                <w:color w:val="3B3838" w:themeColor="background2" w:themeShade="40"/>
                <w:sz w:val="20"/>
                <w:szCs w:val="20"/>
                <w:lang w:eastAsia="en-GB"/>
              </w:rPr>
              <w:fldChar w:fldCharType="separate"/>
            </w:r>
            <w:r w:rsidR="000C069C" w:rsidRPr="000C069C">
              <w:rPr>
                <w:rFonts w:ascii="Cambria" w:hAnsi="Cambria" w:cs="Calibri"/>
                <w:b w:val="0"/>
                <w:noProof/>
                <w:color w:val="3B3838" w:themeColor="background2" w:themeShade="40"/>
                <w:sz w:val="20"/>
                <w:szCs w:val="20"/>
                <w:vertAlign w:val="superscript"/>
                <w:lang w:eastAsia="en-GB"/>
              </w:rPr>
              <w:t>122</w:t>
            </w:r>
            <w:r w:rsidRPr="00784B41">
              <w:rPr>
                <w:rFonts w:cs="Calibri"/>
                <w:color w:val="3B3838" w:themeColor="background2" w:themeShade="40"/>
                <w:sz w:val="20"/>
                <w:szCs w:val="20"/>
                <w:lang w:eastAsia="en-GB"/>
              </w:rPr>
              <w:fldChar w:fldCharType="end"/>
            </w:r>
          </w:p>
        </w:tc>
      </w:tr>
      <w:tr w:rsidR="00EE7EB3" w:rsidRPr="00784B41" w14:paraId="05A4CDCB" w14:textId="77777777" w:rsidTr="00F233D4">
        <w:trPr>
          <w:trHeight w:val="340"/>
        </w:trPr>
        <w:tc>
          <w:tcPr>
            <w:tcW w:w="0" w:type="auto"/>
            <w:vAlign w:val="center"/>
          </w:tcPr>
          <w:p w14:paraId="40C33B65"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221</w:t>
            </w:r>
          </w:p>
        </w:tc>
        <w:tc>
          <w:tcPr>
            <w:tcW w:w="0" w:type="auto"/>
            <w:vAlign w:val="center"/>
          </w:tcPr>
          <w:p w14:paraId="1CCA61A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Merge/>
            <w:vAlign w:val="center"/>
          </w:tcPr>
          <w:p w14:paraId="1B10A327" w14:textId="77777777" w:rsidR="00EE7EB3" w:rsidRPr="00784B41" w:rsidRDefault="00EE7EB3" w:rsidP="00F233D4">
            <w:pPr>
              <w:jc w:val="center"/>
              <w:rPr>
                <w:rFonts w:ascii="Cambria" w:hAnsi="Cambria" w:cs="Calibri"/>
                <w:color w:val="3B3838" w:themeColor="background2" w:themeShade="40"/>
                <w:sz w:val="20"/>
                <w:szCs w:val="20"/>
              </w:rPr>
            </w:pPr>
          </w:p>
        </w:tc>
        <w:tc>
          <w:tcPr>
            <w:tcW w:w="2506" w:type="dxa"/>
            <w:vMerge/>
            <w:vAlign w:val="center"/>
          </w:tcPr>
          <w:p w14:paraId="684FC916"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7E23A7D"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90</w:t>
            </w:r>
          </w:p>
        </w:tc>
        <w:tc>
          <w:tcPr>
            <w:tcW w:w="590" w:type="dxa"/>
            <w:vAlign w:val="center"/>
          </w:tcPr>
          <w:p w14:paraId="1CEAC406"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80</w:t>
            </w:r>
          </w:p>
        </w:tc>
        <w:tc>
          <w:tcPr>
            <w:tcW w:w="2458" w:type="dxa"/>
            <w:vAlign w:val="center"/>
          </w:tcPr>
          <w:p w14:paraId="756EE242"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Positive prostate biopsy prediction</w:t>
            </w:r>
          </w:p>
        </w:tc>
        <w:tc>
          <w:tcPr>
            <w:cnfStyle w:val="000100000000" w:firstRow="0" w:lastRow="0" w:firstColumn="0" w:lastColumn="1" w:oddVBand="0" w:evenVBand="0" w:oddHBand="0" w:evenHBand="0" w:firstRowFirstColumn="0" w:firstRowLastColumn="0" w:lastRowFirstColumn="0" w:lastRowLastColumn="0"/>
            <w:tcW w:w="648" w:type="dxa"/>
            <w:vMerge/>
            <w:vAlign w:val="center"/>
          </w:tcPr>
          <w:p w14:paraId="39EAF424" w14:textId="77777777" w:rsidR="00EE7EB3" w:rsidRPr="00784B41" w:rsidRDefault="00EE7EB3" w:rsidP="00F233D4">
            <w:pPr>
              <w:jc w:val="center"/>
              <w:rPr>
                <w:rFonts w:ascii="Cambria" w:hAnsi="Cambria" w:cs="Calibri"/>
                <w:color w:val="3B3838" w:themeColor="background2" w:themeShade="40"/>
                <w:sz w:val="20"/>
                <w:szCs w:val="20"/>
                <w:lang w:eastAsia="en-GB"/>
              </w:rPr>
            </w:pPr>
          </w:p>
        </w:tc>
      </w:tr>
      <w:tr w:rsidR="00EE7EB3" w:rsidRPr="00784B41" w14:paraId="19966B5C" w14:textId="77777777" w:rsidTr="00F233D4">
        <w:trPr>
          <w:trHeight w:val="340"/>
        </w:trPr>
        <w:tc>
          <w:tcPr>
            <w:tcW w:w="0" w:type="auto"/>
            <w:vAlign w:val="center"/>
          </w:tcPr>
          <w:p w14:paraId="1E778784"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375</w:t>
            </w:r>
          </w:p>
        </w:tc>
        <w:tc>
          <w:tcPr>
            <w:tcW w:w="0" w:type="auto"/>
            <w:vAlign w:val="center"/>
          </w:tcPr>
          <w:p w14:paraId="6A96913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Align w:val="center"/>
          </w:tcPr>
          <w:p w14:paraId="2D4DE903" w14:textId="5FC011FA"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p</w:t>
            </w:r>
            <w:r w:rsidR="00EE7EB3" w:rsidRPr="00784B41">
              <w:rPr>
                <w:rFonts w:ascii="Cambria" w:hAnsi="Cambria" w:cs="Calibri"/>
                <w:color w:val="3B3838" w:themeColor="background2" w:themeShade="40"/>
                <w:sz w:val="20"/>
                <w:szCs w:val="20"/>
              </w:rPr>
              <w:t>lasma</w:t>
            </w:r>
          </w:p>
        </w:tc>
        <w:tc>
          <w:tcPr>
            <w:tcW w:w="2506" w:type="dxa"/>
            <w:vAlign w:val="center"/>
          </w:tcPr>
          <w:p w14:paraId="0F8135A4"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59 </w:t>
            </w:r>
            <w:proofErr w:type="spellStart"/>
            <w:r w:rsidRPr="00784B41">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r w:rsidR="00062068">
              <w:rPr>
                <w:rFonts w:ascii="Cambria" w:hAnsi="Cambria" w:cs="Calibri"/>
                <w:color w:val="3B3838" w:themeColor="background2" w:themeShade="40"/>
                <w:sz w:val="20"/>
                <w:szCs w:val="20"/>
              </w:rPr>
              <w:t xml:space="preserve">16 </w:t>
            </w:r>
            <w:r w:rsidRPr="00784B41">
              <w:rPr>
                <w:rFonts w:ascii="Cambria" w:hAnsi="Cambria" w:cs="Calibri"/>
                <w:color w:val="3B3838" w:themeColor="background2" w:themeShade="40"/>
                <w:sz w:val="20"/>
                <w:szCs w:val="20"/>
              </w:rPr>
              <w:t>BPH</w:t>
            </w:r>
            <w:r>
              <w:rPr>
                <w:rFonts w:ascii="Cambria" w:hAnsi="Cambria" w:cs="Calibri"/>
                <w:color w:val="3B3838" w:themeColor="background2" w:themeShade="40"/>
                <w:sz w:val="20"/>
                <w:szCs w:val="20"/>
              </w:rPr>
              <w:t>/</w:t>
            </w:r>
          </w:p>
          <w:p w14:paraId="20F0DF80" w14:textId="1576F42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11 controls</w:t>
            </w:r>
          </w:p>
        </w:tc>
        <w:tc>
          <w:tcPr>
            <w:tcW w:w="590" w:type="dxa"/>
            <w:vAlign w:val="center"/>
          </w:tcPr>
          <w:p w14:paraId="53BAE8F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81.3</w:t>
            </w:r>
          </w:p>
        </w:tc>
        <w:tc>
          <w:tcPr>
            <w:tcW w:w="590" w:type="dxa"/>
            <w:vAlign w:val="center"/>
          </w:tcPr>
          <w:p w14:paraId="448775A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72.9</w:t>
            </w:r>
          </w:p>
        </w:tc>
        <w:tc>
          <w:tcPr>
            <w:tcW w:w="2458" w:type="dxa"/>
            <w:vAlign w:val="center"/>
          </w:tcPr>
          <w:p w14:paraId="1BB8D35F"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 xml:space="preserve">0.809 </w:t>
            </w:r>
          </w:p>
        </w:tc>
        <w:tc>
          <w:tcPr>
            <w:cnfStyle w:val="000100000000" w:firstRow="0" w:lastRow="0" w:firstColumn="0" w:lastColumn="1" w:oddVBand="0" w:evenVBand="0" w:oddHBand="0" w:evenHBand="0" w:firstRowFirstColumn="0" w:firstRowLastColumn="0" w:lastRowFirstColumn="0" w:lastRowLastColumn="0"/>
            <w:tcW w:w="648" w:type="dxa"/>
            <w:vAlign w:val="center"/>
          </w:tcPr>
          <w:p w14:paraId="1C919F3B" w14:textId="4A97812A"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cs="Calibri"/>
                <w:color w:val="3B3838" w:themeColor="background2" w:themeShade="40"/>
                <w:sz w:val="20"/>
                <w:szCs w:val="20"/>
                <w:lang w:eastAsia="en-GB"/>
              </w:rPr>
              <w:fldChar w:fldCharType="begin" w:fldLock="1"/>
            </w:r>
            <w:r w:rsidR="000C069C">
              <w:rPr>
                <w:rFonts w:ascii="Cambria" w:hAnsi="Cambria" w:cs="Calibri"/>
                <w:color w:val="3B3838" w:themeColor="background2" w:themeShade="40"/>
                <w:sz w:val="20"/>
                <w:szCs w:val="20"/>
                <w:lang w:eastAsia="en-GB"/>
              </w:rPr>
              <w:instrText>ADDIN CSL_CITATION {"citationItems":[{"id":"ITEM-1","itemData":{"DOI":"10.1089/dna.2014.2663","ISSN":"15577430","abstract":"In the current study, expression levels of let-7c, miR-30c, miR-141, and miR-375 in plasma from 59 prostate cancer (PC) patients with different clinicopathological characteristics and two groups of controls: 16 benign prostatic hyperplasia (BPH) samples and 11 young asymptomatic men (YAM) were analyzed to evaluate their diagnostic and prognostic value in comparison to prostate-specific antigen (PSA). miR-375 was significantly downregulated in 83.5% of patients compared to BPH controls and showed stronger diagnostic accuracy (area under the curve [AUC]=0.809, 95% CI: 0.697-0.922, p=0.00016) compared with PSA (AUC=0.710, 95% CI: 0.559-0.861, p=0.013). Expression levels of let-7c showed potential to distinguish PC patients from BPH controls with AUC=0.757, but the result did not reach significance. Better discriminating performance was observed when combinations of studied biomarkers were used. Sensitivity of 86.8% and specificity of 81.8% were reached when all biomarkers were combined (AUC=0.877) and YAM were used as calibrators. None of the studied microRNAs (miRNAs) showed correlation with clinicopathological characteristics. PSA levels were significantly correlated with the Gleason score, tumor stage, and lymph node metastasis with Spearman correlation coefficients: 0.612, 0.576, and 0.458. In conclusion, the combination of the studied circulating plasma miRNAs and serum PSA has the potential to be used as a noninvasive diagnostic biomarker for PC screening outperforming the PSA testing alone.","author":[{"dropping-particle":"","family":"Kachakova","given":"Darina","non-dropping-particle":"","parse-names":false,"suffix":""},{"dropping-particle":"","family":"Mitkova","given":"Atanaska","non-dropping-particle":"","parse-names":false,"suffix":""},{"dropping-particle":"","family":"Popov","given":"Elenko","non-dropping-particle":"","parse-names":false,"suffix":""},{"dropping-particle":"","family":"Popov","given":"Ivan","non-dropping-particle":"","parse-names":false,"suffix":""},{"dropping-particle":"","family":"Vlahova","given":"Alexandrina","non-dropping-particle":"","parse-names":false,"suffix":""},{"dropping-particle":"","family":"Dikov","given":"Tihomir","non-dropping-particle":"","parse-names":false,"suffix":""},{"dropping-particle":"","family":"Christova","given":"Svetlana","non-dropping-particle":"","parse-names":false,"suffix":""},{"dropping-particle":"","family":"Mitev","given":"Vanio","non-dropping-particle":"","parse-names":false,"suffix":""},{"dropping-particle":"","family":"Slavov","given":"Chavdar","non-dropping-particle":"","parse-names":false,"suffix":""},{"dropping-particle":"","family":"Kaneva","given":"Radka","non-dropping-particle":"","parse-names":false,"suffix":""}],"container-title":"DNA and Cell Biology","id":"ITEM-1","issue":"3","issued":{"date-parts":[["2015"]]},"page":"189-200","title":"Combinations of serum prostate-specific antigen and plasma expression levels of let-7c, miR-30c, miR-141, and miR-375 as potential better diagnostic biomarkers for prostate cancer","type":"article-journal","volume":"34"},"uris":["http://www.mendeley.com/documents/?uuid=3e4f6ea4-fa33-4dfa-9736-28cc9c79fe69"]}],"mendeley":{"formattedCitation":"&lt;sup&gt;123&lt;/sup&gt;","plainTextFormattedCitation":"123","previouslyFormattedCitation":"[123]"},"properties":{"noteIndex":0},"schema":"https://github.com/citation-style-language/schema/raw/master/csl-citation.json"}</w:instrText>
            </w:r>
            <w:r w:rsidRPr="00784B41">
              <w:rPr>
                <w:rFonts w:cs="Calibri"/>
                <w:color w:val="3B3838" w:themeColor="background2" w:themeShade="40"/>
                <w:sz w:val="20"/>
                <w:szCs w:val="20"/>
                <w:lang w:eastAsia="en-GB"/>
              </w:rPr>
              <w:fldChar w:fldCharType="separate"/>
            </w:r>
            <w:r w:rsidR="000C069C" w:rsidRPr="000C069C">
              <w:rPr>
                <w:rFonts w:ascii="Cambria" w:hAnsi="Cambria" w:cs="Calibri"/>
                <w:b w:val="0"/>
                <w:noProof/>
                <w:color w:val="3B3838" w:themeColor="background2" w:themeShade="40"/>
                <w:sz w:val="20"/>
                <w:szCs w:val="20"/>
                <w:vertAlign w:val="superscript"/>
                <w:lang w:eastAsia="en-GB"/>
              </w:rPr>
              <w:t>123</w:t>
            </w:r>
            <w:r w:rsidRPr="00784B41">
              <w:rPr>
                <w:rFonts w:cs="Calibri"/>
                <w:color w:val="3B3838" w:themeColor="background2" w:themeShade="40"/>
                <w:sz w:val="20"/>
                <w:szCs w:val="20"/>
                <w:lang w:eastAsia="en-GB"/>
              </w:rPr>
              <w:fldChar w:fldCharType="end"/>
            </w:r>
          </w:p>
        </w:tc>
      </w:tr>
      <w:tr w:rsidR="00EE7EB3" w:rsidRPr="00784B41" w14:paraId="1FF49E49" w14:textId="77777777" w:rsidTr="00F233D4">
        <w:trPr>
          <w:trHeight w:val="340"/>
        </w:trPr>
        <w:tc>
          <w:tcPr>
            <w:tcW w:w="0" w:type="auto"/>
            <w:vAlign w:val="center"/>
          </w:tcPr>
          <w:p w14:paraId="3AA1627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1825</w:t>
            </w:r>
          </w:p>
        </w:tc>
        <w:tc>
          <w:tcPr>
            <w:tcW w:w="0" w:type="auto"/>
            <w:vAlign w:val="center"/>
          </w:tcPr>
          <w:p w14:paraId="5C4C4CD8"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Align w:val="center"/>
          </w:tcPr>
          <w:p w14:paraId="762CE8D6" w14:textId="48AA522F"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u</w:t>
            </w:r>
            <w:r w:rsidR="00EE7EB3" w:rsidRPr="00784B41">
              <w:rPr>
                <w:rFonts w:ascii="Cambria" w:hAnsi="Cambria" w:cs="Calibri"/>
                <w:color w:val="3B3838" w:themeColor="background2" w:themeShade="40"/>
                <w:sz w:val="20"/>
                <w:szCs w:val="20"/>
              </w:rPr>
              <w:t>rine (whole)</w:t>
            </w:r>
          </w:p>
        </w:tc>
        <w:tc>
          <w:tcPr>
            <w:tcW w:w="2506" w:type="dxa"/>
            <w:vAlign w:val="center"/>
          </w:tcPr>
          <w:p w14:paraId="33ED48F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8 </w:t>
            </w:r>
            <w:proofErr w:type="spellStart"/>
            <w:r w:rsidRPr="00784B41">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12 BPH</w:t>
            </w:r>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10 controls</w:t>
            </w:r>
          </w:p>
        </w:tc>
        <w:tc>
          <w:tcPr>
            <w:tcW w:w="590" w:type="dxa"/>
            <w:vAlign w:val="center"/>
          </w:tcPr>
          <w:p w14:paraId="3113E7F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60</w:t>
            </w:r>
          </w:p>
        </w:tc>
        <w:tc>
          <w:tcPr>
            <w:tcW w:w="590" w:type="dxa"/>
            <w:vAlign w:val="center"/>
          </w:tcPr>
          <w:p w14:paraId="63B5F0B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69</w:t>
            </w:r>
          </w:p>
        </w:tc>
        <w:tc>
          <w:tcPr>
            <w:tcW w:w="2458" w:type="dxa"/>
            <w:vAlign w:val="center"/>
          </w:tcPr>
          <w:p w14:paraId="55DFEF4C"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cnfStyle w:val="000100000000" w:firstRow="0" w:lastRow="0" w:firstColumn="0" w:lastColumn="1" w:oddVBand="0" w:evenVBand="0" w:oddHBand="0" w:evenHBand="0" w:firstRowFirstColumn="0" w:firstRowLastColumn="0" w:lastRowFirstColumn="0" w:lastRowLastColumn="0"/>
            <w:tcW w:w="648" w:type="dxa"/>
            <w:vAlign w:val="center"/>
          </w:tcPr>
          <w:p w14:paraId="0AEC2282" w14:textId="6905B080"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cs="Calibri"/>
                <w:color w:val="3B3838" w:themeColor="background2" w:themeShade="40"/>
                <w:sz w:val="20"/>
                <w:szCs w:val="20"/>
                <w:lang w:eastAsia="en-GB"/>
              </w:rPr>
              <w:fldChar w:fldCharType="begin" w:fldLock="1"/>
            </w:r>
            <w:r w:rsidR="000C069C">
              <w:rPr>
                <w:rFonts w:ascii="Cambria" w:hAnsi="Cambria" w:cs="Calibri"/>
                <w:color w:val="3B3838" w:themeColor="background2" w:themeShade="40"/>
                <w:sz w:val="20"/>
                <w:szCs w:val="20"/>
                <w:lang w:eastAsia="en-GB"/>
              </w:rPr>
              <w:instrText>ADDIN CSL_CITATION {"citationItems":[{"id":"ITEM-1","itemData":{"DOI":"10.7150/jca.6799","ISSN":"18379664","abstract":"MicroRNAs (miRNAs) are a class of short (~22nt), single stranded RNA molecules that function as post-transcriptional regulators of gene expression. MiRNAs can regulate a variety of important biological pathways, including: cellular proliferation, differentiation and apoptosis. Profiling of miRNA expression patterns was shown to be more useful than the equivalent mRNA profiles for characterizing poorly differentiated tumours. As such, miRNA expression \"signatures\" are expected to offer serious potential for diagnosing and prognosing cancers of any provenance. The aim of this study was to investigate the potential of using deregulation of urinary miRNAs in order to detect Prostate Cancer (PCa) among Benign Prostatic Hyperplasia (BPH). To identify the miRNA signatures specific for PCa, miRNA expression profiling of 8 PCa patients, 12 BPH patients and 10 healthy males was carried out using whole genome expression profiling. Differential expression of two individual miRNAs between healthy males and BPH patients was detected and found to possibly target genes related to PCa development and progression. The sensitivity and specificity of miR-1825 for detecting PCa among BPH individuals was found to be 60% and 69%, respectively. Whereas, the sensitivity and specificity of miR-484 were 80% and 19%, respectively. Additionally, the sensitivity and specificity for miR-1825/484 in tandem were 45% and 75%, respectively. The proposed PCa miRNA signatures may therefore be of great value for the accurate diagnosis of PCa and BPH. This exploratory study has identified several possible targets that merit further investigation towards the development and validation of diagnostically useful, non-invasive, urine-based tests that might not only help diagnose PCa but also possibly help differentiate it from BPH. © Ivyspring International Publisher.","author":[{"dropping-particle":"","family":"Haj-Ahmad","given":"Taha A.","non-dropping-particle":"","parse-names":false,"suffix":""},{"dropping-particle":"","family":"Abdalla","given":"Moemen A.K.","non-dropping-particle":"","parse-names":false,"suffix":""},{"dropping-particle":"","family":"Haj-Ahmad","given":"Yousef","non-dropping-particle":"","parse-names":false,"suffix":""}],"container-title":"Journal of Cancer","id":"ITEM-1","issue":"3","issued":{"date-parts":[["2014"]]},"page":"182-191","title":"Potential urinary miRNA biomarker candidates for the accurate detection of prostate cancer among benign prostatic Hyperplasia patients","type":"article-journal","volume":"5"},"uris":["http://www.mendeley.com/documents/?uuid=fafc2919-c245-4e3e-8470-be6d3397ac7a"]}],"mendeley":{"formattedCitation":"&lt;sup&gt;124&lt;/sup&gt;","plainTextFormattedCitation":"124","previouslyFormattedCitation":"[124]"},"properties":{"noteIndex":0},"schema":"https://github.com/citation-style-language/schema/raw/master/csl-citation.json"}</w:instrText>
            </w:r>
            <w:r w:rsidRPr="00784B41">
              <w:rPr>
                <w:rFonts w:cs="Calibri"/>
                <w:color w:val="3B3838" w:themeColor="background2" w:themeShade="40"/>
                <w:sz w:val="20"/>
                <w:szCs w:val="20"/>
                <w:lang w:eastAsia="en-GB"/>
              </w:rPr>
              <w:fldChar w:fldCharType="separate"/>
            </w:r>
            <w:r w:rsidR="000C069C" w:rsidRPr="000C069C">
              <w:rPr>
                <w:rFonts w:ascii="Cambria" w:hAnsi="Cambria" w:cs="Calibri"/>
                <w:b w:val="0"/>
                <w:noProof/>
                <w:color w:val="3B3838" w:themeColor="background2" w:themeShade="40"/>
                <w:sz w:val="20"/>
                <w:szCs w:val="20"/>
                <w:vertAlign w:val="superscript"/>
                <w:lang w:eastAsia="en-GB"/>
              </w:rPr>
              <w:t>124</w:t>
            </w:r>
            <w:r w:rsidRPr="00784B41">
              <w:rPr>
                <w:rFonts w:cs="Calibri"/>
                <w:color w:val="3B3838" w:themeColor="background2" w:themeShade="40"/>
                <w:sz w:val="20"/>
                <w:szCs w:val="20"/>
                <w:lang w:eastAsia="en-GB"/>
              </w:rPr>
              <w:fldChar w:fldCharType="end"/>
            </w:r>
          </w:p>
        </w:tc>
      </w:tr>
      <w:tr w:rsidR="00EE7EB3" w:rsidRPr="00784B41" w14:paraId="4BB1FD7C" w14:textId="77777777" w:rsidTr="00F233D4">
        <w:trPr>
          <w:trHeight w:val="340"/>
        </w:trPr>
        <w:tc>
          <w:tcPr>
            <w:tcW w:w="0" w:type="auto"/>
            <w:vAlign w:val="center"/>
          </w:tcPr>
          <w:p w14:paraId="06690DD2"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141</w:t>
            </w:r>
          </w:p>
        </w:tc>
        <w:tc>
          <w:tcPr>
            <w:tcW w:w="0" w:type="auto"/>
            <w:vAlign w:val="center"/>
          </w:tcPr>
          <w:p w14:paraId="0743E6B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Align w:val="center"/>
          </w:tcPr>
          <w:p w14:paraId="52F6C183" w14:textId="3ED88B4C"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s</w:t>
            </w:r>
            <w:r w:rsidR="00EE7EB3" w:rsidRPr="00784B41">
              <w:rPr>
                <w:rFonts w:ascii="Cambria" w:hAnsi="Cambria" w:cs="Calibri"/>
                <w:color w:val="3B3838" w:themeColor="background2" w:themeShade="40"/>
                <w:sz w:val="20"/>
                <w:szCs w:val="20"/>
              </w:rPr>
              <w:t>erum (exosomes)</w:t>
            </w:r>
          </w:p>
        </w:tc>
        <w:tc>
          <w:tcPr>
            <w:tcW w:w="2506" w:type="dxa"/>
            <w:vAlign w:val="center"/>
          </w:tcPr>
          <w:p w14:paraId="34A1A8A3"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31 </w:t>
            </w:r>
            <w:proofErr w:type="spellStart"/>
            <w:r w:rsidRPr="00784B41">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 xml:space="preserve">/20 </w:t>
            </w:r>
            <w:proofErr w:type="spellStart"/>
            <w:r w:rsidRPr="00784B41">
              <w:rPr>
                <w:rFonts w:ascii="Cambria" w:hAnsi="Cambria" w:cs="Calibri"/>
                <w:color w:val="3B3838" w:themeColor="background2" w:themeShade="40"/>
                <w:sz w:val="20"/>
                <w:szCs w:val="20"/>
              </w:rPr>
              <w:t>m</w:t>
            </w:r>
            <w:r>
              <w:rPr>
                <w:rFonts w:ascii="Cambria" w:hAnsi="Cambria" w:cs="Calibri"/>
                <w:color w:val="3B3838" w:themeColor="background2" w:themeShade="40"/>
                <w:sz w:val="20"/>
                <w:szCs w:val="20"/>
              </w:rPr>
              <w:t>PCa</w:t>
            </w:r>
            <w:proofErr w:type="spellEnd"/>
            <w:r w:rsidRPr="00784B41">
              <w:rPr>
                <w:rFonts w:ascii="Cambria" w:hAnsi="Cambria" w:cs="Calibri"/>
                <w:color w:val="3B3838" w:themeColor="background2" w:themeShade="40"/>
                <w:sz w:val="20"/>
                <w:szCs w:val="20"/>
              </w:rPr>
              <w:t>/</w:t>
            </w:r>
          </w:p>
          <w:p w14:paraId="5F6A9FEC" w14:textId="2A4F05E3"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40 controls</w:t>
            </w:r>
          </w:p>
        </w:tc>
        <w:tc>
          <w:tcPr>
            <w:tcW w:w="590" w:type="dxa"/>
            <w:vAlign w:val="center"/>
          </w:tcPr>
          <w:p w14:paraId="1885F8B4"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66A2CE4E" w14:textId="77777777" w:rsidR="00EE7EB3" w:rsidRPr="00784B41" w:rsidRDefault="00EE7EB3" w:rsidP="00F233D4">
            <w:pPr>
              <w:jc w:val="center"/>
              <w:rPr>
                <w:rFonts w:ascii="Cambria" w:hAnsi="Cambria" w:cs="Calibri"/>
                <w:color w:val="3B3838" w:themeColor="background2" w:themeShade="40"/>
                <w:sz w:val="20"/>
                <w:szCs w:val="20"/>
              </w:rPr>
            </w:pPr>
          </w:p>
        </w:tc>
        <w:tc>
          <w:tcPr>
            <w:tcW w:w="2458" w:type="dxa"/>
            <w:vAlign w:val="center"/>
          </w:tcPr>
          <w:p w14:paraId="0ED17A07"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0.869 </w:t>
            </w:r>
          </w:p>
        </w:tc>
        <w:tc>
          <w:tcPr>
            <w:cnfStyle w:val="000100000000" w:firstRow="0" w:lastRow="0" w:firstColumn="0" w:lastColumn="1" w:oddVBand="0" w:evenVBand="0" w:oddHBand="0" w:evenHBand="0" w:firstRowFirstColumn="0" w:firstRowLastColumn="0" w:lastRowFirstColumn="0" w:lastRowLastColumn="0"/>
            <w:tcW w:w="648" w:type="dxa"/>
            <w:vAlign w:val="center"/>
          </w:tcPr>
          <w:p w14:paraId="15432368" w14:textId="501698DB"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{"citationItems":[{"id":"ITEM-1","itemData":{"DOI":"10.2147/OTT.S95565","ISSN":"11786930","abstract":"Purpose: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 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 Results: The expression of miR-141 was higher in exosomes compared with whole serum (control group, P=0.0003; BPH group, P=0.0016; PCa group, P,0.0001).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(P,0.0001). Receiver-operating characteristic curve revealed that the serum exosomal miR-141 yielded an area under the curve of 0.8694, with 80% sensitivity and 87.1% specificity in discriminating patients with metastatic PCa from the patients with localized PCa. 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PCa.","author":[{"dropping-particle":"","family":"Li","given":"Zhuo","non-dropping-particle":"","parse-names":false,"suffix":""},{"dropping-particle":"","family":"Ma","given":"Yue Yun","non-dropping-particle":"","parse-names":false,"suffix":""},{"dropping-particle":"","family":"Wang","given":"Juan","non-dropping-particle":"","parse-names":false,"suffix":""},{"dropping-particle":"","family":"Zeng","given":"Xian Fei","non-dropping-particle":"","parse-names":false,"suffix":""},{"dropping-particle":"","family":"Li","given":"Rui","non-dropping-particle":"","parse-names":false,"suffix":""},{"dropping-particle":"","family":"Kang","given":"Wei","non-dropping-particle":"","parse-names":false,"suffix":""},{"dropping-particle":"","family":"Hao","given":"Xiao Ke","non-dropping-particle":"","parse-names":false,"suffix":""}],"container-title":"OncoTargets and Therapy","id":"ITEM-1","issued":{"date-parts":[["2015"]]},"page":"139-148","title":"Exosomal microRNA-141 is upregulated in the serum of prostate cancer patients","type":"article-journal","volume":"9"},"uris":["http://www.mendeley.com/documents/?uuid=90f76aae-bce9-404c-8359-dc0a445613d7"]}],"mendeley":{"formattedCitation":"&lt;sup&gt;125&lt;/sup&gt;","plainTextFormattedCitation":"125","previouslyFormattedCitation":"[125]"},"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125</w:t>
            </w:r>
            <w:r w:rsidRPr="00784B41">
              <w:rPr>
                <w:rFonts w:cs="Calibri"/>
                <w:color w:val="3B3838" w:themeColor="background2" w:themeShade="40"/>
                <w:sz w:val="20"/>
                <w:szCs w:val="20"/>
              </w:rPr>
              <w:fldChar w:fldCharType="end"/>
            </w:r>
          </w:p>
        </w:tc>
      </w:tr>
      <w:tr w:rsidR="00EE7EB3" w:rsidRPr="00784B41" w14:paraId="0F0D6785" w14:textId="77777777" w:rsidTr="00F233D4">
        <w:trPr>
          <w:trHeight w:val="340"/>
        </w:trPr>
        <w:tc>
          <w:tcPr>
            <w:tcW w:w="0" w:type="auto"/>
            <w:vAlign w:val="center"/>
          </w:tcPr>
          <w:p w14:paraId="06565A70"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141</w:t>
            </w:r>
          </w:p>
        </w:tc>
        <w:tc>
          <w:tcPr>
            <w:tcW w:w="0" w:type="auto"/>
            <w:vAlign w:val="center"/>
          </w:tcPr>
          <w:p w14:paraId="39D82CB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Align w:val="center"/>
          </w:tcPr>
          <w:p w14:paraId="35393563" w14:textId="4A32521B" w:rsidR="00EE7EB3" w:rsidRPr="00784B41" w:rsidRDefault="00062068" w:rsidP="00F233D4">
            <w:pPr>
              <w:jc w:val="center"/>
              <w:rPr>
                <w:rFonts w:ascii="Cambria" w:hAnsi="Cambria" w:cs="Calibri"/>
                <w:color w:val="3B3838" w:themeColor="background2" w:themeShade="40"/>
                <w:sz w:val="20"/>
                <w:szCs w:val="20"/>
              </w:rPr>
            </w:pPr>
            <w:r>
              <w:rPr>
                <w:rFonts w:ascii="Cambria" w:hAnsi="Cambria" w:cs="Calibri"/>
                <w:color w:val="3B3838" w:themeColor="background2" w:themeShade="40"/>
                <w:sz w:val="20"/>
                <w:szCs w:val="20"/>
              </w:rPr>
              <w:t>p</w:t>
            </w:r>
            <w:r w:rsidR="00EE7EB3" w:rsidRPr="00784B41">
              <w:rPr>
                <w:rFonts w:ascii="Cambria" w:hAnsi="Cambria" w:cs="Calibri"/>
                <w:color w:val="3B3838" w:themeColor="background2" w:themeShade="40"/>
                <w:sz w:val="20"/>
                <w:szCs w:val="20"/>
              </w:rPr>
              <w:t>lasma</w:t>
            </w:r>
          </w:p>
        </w:tc>
        <w:tc>
          <w:tcPr>
            <w:tcW w:w="2506" w:type="dxa"/>
            <w:vAlign w:val="center"/>
          </w:tcPr>
          <w:p w14:paraId="652A888E" w14:textId="77777777" w:rsidR="003D1B3D"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26 localized </w:t>
            </w:r>
            <w:proofErr w:type="spellStart"/>
            <w:r w:rsidRPr="00784B41">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p>
          <w:p w14:paraId="6EC1F1ED" w14:textId="749A7940"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25 </w:t>
            </w:r>
            <w:proofErr w:type="spellStart"/>
            <w:r w:rsidRPr="00784B41">
              <w:rPr>
                <w:rFonts w:ascii="Cambria" w:hAnsi="Cambria" w:cs="Calibri"/>
                <w:color w:val="3B3838" w:themeColor="background2" w:themeShade="40"/>
                <w:sz w:val="20"/>
                <w:szCs w:val="20"/>
              </w:rPr>
              <w:t>m</w:t>
            </w:r>
            <w:r>
              <w:rPr>
                <w:rFonts w:ascii="Cambria" w:hAnsi="Cambria" w:cs="Calibri"/>
                <w:color w:val="3B3838" w:themeColor="background2" w:themeShade="40"/>
                <w:sz w:val="20"/>
                <w:szCs w:val="20"/>
              </w:rPr>
              <w:t>PCa</w:t>
            </w:r>
            <w:proofErr w:type="spellEnd"/>
            <w:r>
              <w:rPr>
                <w:rFonts w:ascii="Cambria" w:hAnsi="Cambria" w:cs="Calibri"/>
                <w:color w:val="3B3838" w:themeColor="background2" w:themeShade="40"/>
                <w:sz w:val="20"/>
                <w:szCs w:val="20"/>
              </w:rPr>
              <w:t>/</w:t>
            </w:r>
            <w:r w:rsidRPr="00784B41">
              <w:rPr>
                <w:rFonts w:ascii="Cambria" w:hAnsi="Cambria" w:cs="Calibri"/>
                <w:color w:val="3B3838" w:themeColor="background2" w:themeShade="40"/>
                <w:sz w:val="20"/>
                <w:szCs w:val="20"/>
              </w:rPr>
              <w:t xml:space="preserve">20 </w:t>
            </w:r>
            <w:r>
              <w:rPr>
                <w:rFonts w:ascii="Cambria" w:hAnsi="Cambria" w:cs="Calibri"/>
                <w:color w:val="3B3838" w:themeColor="background2" w:themeShade="40"/>
                <w:sz w:val="20"/>
                <w:szCs w:val="20"/>
              </w:rPr>
              <w:t>controls</w:t>
            </w:r>
          </w:p>
        </w:tc>
        <w:tc>
          <w:tcPr>
            <w:tcW w:w="590" w:type="dxa"/>
            <w:vAlign w:val="center"/>
          </w:tcPr>
          <w:p w14:paraId="216AFE92"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20B4E90E" w14:textId="77777777" w:rsidR="00EE7EB3" w:rsidRPr="00784B41" w:rsidRDefault="00EE7EB3" w:rsidP="00F233D4">
            <w:pPr>
              <w:jc w:val="center"/>
              <w:rPr>
                <w:rFonts w:ascii="Cambria" w:hAnsi="Cambria" w:cs="Calibri"/>
                <w:color w:val="3B3838" w:themeColor="background2" w:themeShade="40"/>
                <w:sz w:val="20"/>
                <w:szCs w:val="20"/>
              </w:rPr>
            </w:pPr>
          </w:p>
        </w:tc>
        <w:tc>
          <w:tcPr>
            <w:tcW w:w="2458" w:type="dxa"/>
            <w:vAlign w:val="center"/>
          </w:tcPr>
          <w:p w14:paraId="575D7289"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0.755 </w:t>
            </w:r>
          </w:p>
        </w:tc>
        <w:tc>
          <w:tcPr>
            <w:cnfStyle w:val="000100000000" w:firstRow="0" w:lastRow="0" w:firstColumn="0" w:lastColumn="1" w:oddVBand="0" w:evenVBand="0" w:oddHBand="0" w:evenHBand="0" w:firstRowFirstColumn="0" w:firstRowLastColumn="0" w:lastRowFirstColumn="0" w:lastRowLastColumn="0"/>
            <w:tcW w:w="648" w:type="dxa"/>
            <w:vAlign w:val="center"/>
          </w:tcPr>
          <w:p w14:paraId="36FFD14E" w14:textId="647B63B8" w:rsidR="00EE7EB3" w:rsidRPr="00784B41" w:rsidRDefault="00EE7EB3" w:rsidP="00F233D4">
            <w:pPr>
              <w:jc w:val="center"/>
              <w:rPr>
                <w:rFonts w:ascii="Cambria" w:hAnsi="Cambria" w:cs="Calibri"/>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color w:val="3B3838" w:themeColor="background2" w:themeShade="40"/>
                <w:sz w:val="20"/>
                <w:szCs w:val="20"/>
              </w:rPr>
              <w:instrText>ADDIN CSL_CITATION {"citationItems":[{"id":"ITEM-1","itemData":{"DOI":"10.1007/s13277-011-0154-9","ISSN":"10104283","abstract":"In addition to their potential as tissue-based markers for cancer classification and prognostication, the study of microRNAs (miRNAs) in blood circulation is also of interest. In the present study, we investigated the amounts of three cancer-related miRNAs, miR-21,-141, and-221 in blood plasma of prostate cancer (PCa) patients. A cohort of 51 patients with PCa was enrolled into the study, and miRNAs were measured in two subgroups, with localized/local advanced or metastatic PCa. A group of 20 healthy individuals served as the control group. miRNAs were quantified from the total RNA fraction using 200 ìl plasma and the small RNA molecule RNU1A as a control for normalizing the miRNA amounts in circulation. We found similar levels of three miRNAs in healthy subjects with median values of 0.039, 0.033 and 0.04, respectively; (p=n.s.). In the patients, the miRNA levels were higher, with miR-21 being the highest (median, 1.51). The miR-221 levels were intermediate (median, 0.71) while the miR-141 displayed the lowest levels (median, 0.051). The differences between the control group and the patients were highly significant for the miR-21 (p&lt;0.001; area under the curve (AUC), 88%) and-221 (p&lt;0.001; AUC, 83%) but not for the miR-141 (p=0.2). In patients diagnosed with metastatic PCa, levels of all three miRNAs were significantly higher than in patients with localized/local advanced disease where the difference for the miR-141 was most pronounced (p&lt;0.001; AUC, 75.5%). In conclusion, analysis of miR-21,-141, and-221 in blood of PCa patients reveals varying patterns of these molecules in clinical subgroups of PCa. © 2010 International Society of Oncology and BioMarkers (ISOBM).","author":[{"dropping-particle":"","family":"Agaoglu","given":"Fulya Yaman","non-dropping-particle":"","parse-names":false,"suffix":""},{"dropping-particle":"","family":"Kovancilar","given":"Müge","non-dropping-particle":"","parse-names":false,"suffix":""},{"dropping-particle":"","family":"Dizdar","given":"Yavuz","non-dropping-particle":"","parse-names":false,"suffix":""},{"dropping-particle":"","family":"Darendeliler","given":"Emin","non-dropping-particle":"","parse-names":false,"suffix":""},{"dropping-particle":"","family":"Holdenrieder","given":"Stefan","non-dropping-particle":"","parse-names":false,"suffix":""},{"dropping-particle":"","family":"Dalay","given":"Nejat","non-dropping-particle":"","parse-names":false,"suffix":""},{"dropping-particle":"","family":"Gezer","given":"Ugur","non-dropping-particle":"","parse-names":false,"suffix":""}],"container-title":"Tumor Biology","id":"ITEM-1","issue":"3","issued":{"date-parts":[["2011"]]},"page":"583-588","title":"Investigation of miR-21, miR-141, and miR-221 in blood circulation of patients with prostate cancer","type":"article-journal","volume":"32"},"uris":["http://www.mendeley.com/documents/?uuid=a1ac2c8b-a9c0-48c9-b821-7e04b45dcc87"]}],"mendeley":{"formattedCitation":"&lt;sup&gt;112&lt;/sup&gt;","plainTextFormattedCitation":"112","previouslyFormattedCitation":"[112]"},"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noProof/>
                <w:color w:val="3B3838" w:themeColor="background2" w:themeShade="40"/>
                <w:sz w:val="20"/>
                <w:szCs w:val="20"/>
                <w:vertAlign w:val="superscript"/>
              </w:rPr>
              <w:t>112</w:t>
            </w:r>
            <w:r w:rsidRPr="00784B41">
              <w:rPr>
                <w:rFonts w:cs="Calibri"/>
                <w:color w:val="3B3838" w:themeColor="background2" w:themeShade="40"/>
                <w:sz w:val="20"/>
                <w:szCs w:val="20"/>
              </w:rPr>
              <w:fldChar w:fldCharType="end"/>
            </w:r>
          </w:p>
        </w:tc>
      </w:tr>
      <w:tr w:rsidR="00EE7EB3" w:rsidRPr="00784B41" w14:paraId="7C863571" w14:textId="77777777" w:rsidTr="00F233D4">
        <w:trPr>
          <w:trHeight w:val="340"/>
        </w:trPr>
        <w:tc>
          <w:tcPr>
            <w:tcW w:w="0" w:type="auto"/>
            <w:vAlign w:val="center"/>
          </w:tcPr>
          <w:p w14:paraId="1049060D" w14:textId="77777777"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106a</w:t>
            </w:r>
          </w:p>
        </w:tc>
        <w:tc>
          <w:tcPr>
            <w:tcW w:w="0" w:type="auto"/>
            <w:vAlign w:val="center"/>
          </w:tcPr>
          <w:p w14:paraId="5C79E50E"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Merge w:val="restart"/>
            <w:vAlign w:val="center"/>
          </w:tcPr>
          <w:p w14:paraId="4B553D1A" w14:textId="101E4380" w:rsidR="00EE7EB3" w:rsidRPr="00784B41" w:rsidRDefault="00062068" w:rsidP="00F233D4">
            <w:pPr>
              <w:jc w:val="center"/>
              <w:rPr>
                <w:rFonts w:ascii="Cambria" w:hAnsi="Cambria" w:cs="Calibri"/>
                <w:color w:val="3B3838" w:themeColor="background2" w:themeShade="40"/>
                <w:sz w:val="20"/>
                <w:szCs w:val="20"/>
                <w:lang w:eastAsia="en-GB"/>
              </w:rPr>
            </w:pPr>
            <w:r>
              <w:rPr>
                <w:rFonts w:ascii="Cambria" w:hAnsi="Cambria" w:cs="Calibri"/>
                <w:color w:val="3B3838" w:themeColor="background2" w:themeShade="40"/>
                <w:sz w:val="20"/>
                <w:szCs w:val="20"/>
                <w:lang w:eastAsia="en-GB"/>
              </w:rPr>
              <w:t>s</w:t>
            </w:r>
            <w:r w:rsidR="00EE7EB3" w:rsidRPr="00784B41">
              <w:rPr>
                <w:rFonts w:ascii="Cambria" w:hAnsi="Cambria" w:cs="Calibri"/>
                <w:color w:val="3B3838" w:themeColor="background2" w:themeShade="40"/>
                <w:sz w:val="20"/>
                <w:szCs w:val="20"/>
                <w:lang w:eastAsia="en-GB"/>
              </w:rPr>
              <w:t>erum</w:t>
            </w:r>
          </w:p>
        </w:tc>
        <w:tc>
          <w:tcPr>
            <w:tcW w:w="2506" w:type="dxa"/>
            <w:vMerge w:val="restart"/>
            <w:vAlign w:val="center"/>
          </w:tcPr>
          <w:p w14:paraId="3634A304" w14:textId="77777777" w:rsidR="003D1B3D"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12 LR</w:t>
            </w:r>
            <w:r>
              <w:rPr>
                <w:rFonts w:ascii="Cambria" w:hAnsi="Cambria" w:cs="Calibri"/>
                <w:color w:val="3B3838" w:themeColor="background2" w:themeShade="40"/>
                <w:sz w:val="20"/>
                <w:szCs w:val="20"/>
                <w:lang w:eastAsia="en-GB"/>
              </w:rPr>
              <w:t>/</w:t>
            </w:r>
            <w:r w:rsidRPr="00784B41">
              <w:rPr>
                <w:rFonts w:ascii="Cambria" w:hAnsi="Cambria" w:cs="Calibri"/>
                <w:color w:val="3B3838" w:themeColor="background2" w:themeShade="40"/>
                <w:sz w:val="20"/>
                <w:szCs w:val="20"/>
                <w:lang w:eastAsia="en-GB"/>
              </w:rPr>
              <w:t>12 IR</w:t>
            </w:r>
            <w:r>
              <w:rPr>
                <w:rFonts w:ascii="Cambria" w:hAnsi="Cambria" w:cs="Calibri"/>
                <w:color w:val="3B3838" w:themeColor="background2" w:themeShade="40"/>
                <w:sz w:val="20"/>
                <w:szCs w:val="20"/>
                <w:lang w:eastAsia="en-GB"/>
              </w:rPr>
              <w:t>/</w:t>
            </w:r>
            <w:r w:rsidRPr="00784B41">
              <w:rPr>
                <w:rFonts w:ascii="Cambria" w:hAnsi="Cambria" w:cs="Calibri"/>
                <w:color w:val="3B3838" w:themeColor="background2" w:themeShade="40"/>
                <w:sz w:val="20"/>
                <w:szCs w:val="20"/>
                <w:lang w:eastAsia="en-GB"/>
              </w:rPr>
              <w:t>12 HR</w:t>
            </w:r>
            <w:r>
              <w:rPr>
                <w:rFonts w:ascii="Cambria" w:hAnsi="Cambria" w:cs="Calibri"/>
                <w:color w:val="3B3838" w:themeColor="background2" w:themeShade="40"/>
                <w:sz w:val="20"/>
                <w:szCs w:val="20"/>
                <w:lang w:eastAsia="en-GB"/>
              </w:rPr>
              <w:t>/</w:t>
            </w:r>
          </w:p>
          <w:p w14:paraId="2015E151" w14:textId="3BC2AB5B" w:rsidR="00EE7EB3" w:rsidRPr="00784B41" w:rsidRDefault="00EE7EB3" w:rsidP="00F233D4">
            <w:pPr>
              <w:jc w:val="center"/>
              <w:rPr>
                <w:rFonts w:ascii="Cambria" w:hAnsi="Cambria" w:cs="Calibri"/>
                <w:color w:val="3B3838" w:themeColor="background2" w:themeShade="40"/>
                <w:sz w:val="20"/>
                <w:szCs w:val="20"/>
                <w:lang w:eastAsia="en-GB"/>
              </w:rPr>
            </w:pPr>
            <w:r w:rsidRPr="00784B41">
              <w:rPr>
                <w:rFonts w:ascii="Cambria" w:hAnsi="Cambria" w:cs="Calibri"/>
                <w:color w:val="3B3838" w:themeColor="background2" w:themeShade="40"/>
                <w:sz w:val="20"/>
                <w:szCs w:val="20"/>
                <w:lang w:eastAsia="en-GB"/>
              </w:rPr>
              <w:t xml:space="preserve">12 </w:t>
            </w:r>
            <w:r>
              <w:rPr>
                <w:rFonts w:ascii="Cambria" w:hAnsi="Cambria" w:cs="Calibri"/>
                <w:color w:val="3B3838" w:themeColor="background2" w:themeShade="40"/>
                <w:sz w:val="20"/>
                <w:szCs w:val="20"/>
                <w:lang w:eastAsia="en-GB"/>
              </w:rPr>
              <w:t>controls</w:t>
            </w:r>
          </w:p>
        </w:tc>
        <w:tc>
          <w:tcPr>
            <w:tcW w:w="590" w:type="dxa"/>
            <w:vAlign w:val="center"/>
          </w:tcPr>
          <w:p w14:paraId="0271B639"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5F685B5B" w14:textId="77777777" w:rsidR="00EE7EB3" w:rsidRPr="00784B41" w:rsidRDefault="00EE7EB3" w:rsidP="00F233D4">
            <w:pPr>
              <w:jc w:val="center"/>
              <w:rPr>
                <w:rFonts w:ascii="Cambria" w:hAnsi="Cambria" w:cs="Calibri"/>
                <w:color w:val="3B3838" w:themeColor="background2" w:themeShade="40"/>
                <w:sz w:val="20"/>
                <w:szCs w:val="20"/>
              </w:rPr>
            </w:pPr>
          </w:p>
        </w:tc>
        <w:tc>
          <w:tcPr>
            <w:tcW w:w="2458" w:type="dxa"/>
            <w:vAlign w:val="center"/>
          </w:tcPr>
          <w:p w14:paraId="4185AA2C" w14:textId="77777777" w:rsidR="00EE7EB3"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0.928 </w:t>
            </w:r>
          </w:p>
          <w:p w14:paraId="3FDE2AF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prognosis of high-risk </w:t>
            </w:r>
            <w:proofErr w:type="spellStart"/>
            <w:r w:rsidRPr="00784B41">
              <w:rPr>
                <w:rFonts w:ascii="Cambria" w:hAnsi="Cambria" w:cs="Calibri"/>
                <w:color w:val="3B3838" w:themeColor="background2" w:themeShade="40"/>
                <w:sz w:val="20"/>
                <w:szCs w:val="20"/>
              </w:rPr>
              <w:t>PCa</w:t>
            </w:r>
            <w:proofErr w:type="spellEnd"/>
          </w:p>
        </w:tc>
        <w:tc>
          <w:tcPr>
            <w:cnfStyle w:val="000100000000" w:firstRow="0" w:lastRow="0" w:firstColumn="0" w:lastColumn="1" w:oddVBand="0" w:evenVBand="0" w:oddHBand="0" w:evenHBand="0" w:firstRowFirstColumn="0" w:firstRowLastColumn="0" w:lastRowFirstColumn="0" w:lastRowLastColumn="0"/>
            <w:tcW w:w="648" w:type="dxa"/>
            <w:vMerge w:val="restart"/>
            <w:vAlign w:val="center"/>
          </w:tcPr>
          <w:p w14:paraId="4923C696" w14:textId="2FADABFF" w:rsidR="00EE7EB3" w:rsidRPr="00784B41" w:rsidRDefault="00EE7EB3" w:rsidP="00F233D4">
            <w:pPr>
              <w:jc w:val="center"/>
              <w:rPr>
                <w:rFonts w:ascii="Cambria" w:hAnsi="Cambria" w:cs="Calibri"/>
                <w:b w:val="0"/>
                <w:bCs w:val="0"/>
                <w:color w:val="3B3838" w:themeColor="background2" w:themeShade="40"/>
                <w:sz w:val="20"/>
                <w:szCs w:val="20"/>
              </w:rPr>
            </w:pPr>
            <w:r w:rsidRPr="00784B41">
              <w:rPr>
                <w:rFonts w:cs="Calibri"/>
                <w:color w:val="3B3838" w:themeColor="background2" w:themeShade="40"/>
                <w:sz w:val="20"/>
                <w:szCs w:val="20"/>
              </w:rPr>
              <w:fldChar w:fldCharType="begin" w:fldLock="1"/>
            </w:r>
            <w:r w:rsidR="000C069C">
              <w:rPr>
                <w:rFonts w:ascii="Cambria" w:hAnsi="Cambria" w:cs="Calibri"/>
                <w:b w:val="0"/>
                <w:bCs w:val="0"/>
                <w:color w:val="3B3838" w:themeColor="background2" w:themeShade="40"/>
                <w:sz w:val="20"/>
                <w:szCs w:val="20"/>
              </w:rPr>
              <w:instrText>ADDIN CSL_CITATION {"citationItems":[{"id":"ITEM-1","itemData":{"DOI":"10.1158/0008-5472.CAN-10-1229","ISSN":"00085472","abstract":"Recent prostate-specific antigen-based screening trials indicate an urgent need for novel and noninvasive biomarker identification strategies to improve the prediction of prostate cancer behavior. Noncoding micro- RNAs (miRNA) in the serum and plasma have been shown to have potential as noninvasive markers for physiologic and pathologic conditions. To identify serum miRNAs that diagnose and correlate with the prognosis of prostate cancer, we developed a multiplex quantitative reverse transcription PCR method involving the purification of multiplex PCR products followed by uniplex analysis on a microfluidics chip to evaluate 384 human miRNAs. Using Dgcr8 and Dicer knockout (small RNA-deficient) mouse ES cells as the benchmark, we confirmed the validity of our technique and uncovered a considerable lack of accuracy in previously published methods. Profiling 48 sera from healthy men and untreated prostate cancer patients with differing CAPRA scores, we identified miRNA signatures that allow us to diagnose cancer patients and correlate with a prognosis. These serum signatures include oncogenic and tumor-suppressive miRNAs, suggesting functional roles in prostate cancer progression. © 2010 American Association for Cancer Research.","author":[{"dropping-particle":"","family":"Moltzahn","given":"Felix","non-dropping-particle":"","parse-names":false,"suffix":""},{"dropping-particle":"","family":"Olshen","given":"Adam B.","non-dropping-particle":"","parse-names":false,"suffix":""},{"dropping-particle":"","family":"Baehner","given":"Lauren","non-dropping-particle":"","parse-names":false,"suffix":""},{"dropping-particle":"","family":"Peek","given":"Andrew","non-dropping-particle":"","parse-names":false,"suffix":""},{"dropping-particle":"","family":"Fong","given":"Lawrence","non-dropping-particle":"","parse-names":false,"suffix":""},{"dropping-particle":"","family":"Stöppler","given":"Hubert","non-dropping-particle":"","parse-names":false,"suffix":""},{"dropping-particle":"","family":"Simko","given":"Jeffry","non-dropping-particle":"","parse-names":false,"suffix":""},{"dropping-particle":"","family":"Hilton","given":"Joan F.","non-dropping-particle":"","parse-names":false,"suffix":""},{"dropping-particle":"","family":"Carroll","given":"Peter","non-dropping-particle":"","parse-names":false,"suffix":""},{"dropping-particle":"","family":"Blelloch","given":"Robert","non-dropping-particle":"","parse-names":false,"suffix":""}],"container-title":"Cancer Research","id":"ITEM-1","issue":"2","issued":{"date-parts":[["2011"]]},"page":"550-560","title":"Microfluidic-based multiplex qRT-PCR identifies diagnostic and prognostic microRNA signatures in the sera of prostate cancer patients","type":"article-journal","volume":"71"},"uris":["http://www.mendeley.com/documents/?uuid=d305c6a2-0163-430c-bdad-4760cd3b3535"]}],"mendeley":{"formattedCitation":"&lt;sup&gt;104&lt;/sup&gt;","plainTextFormattedCitation":"104","previouslyFormattedCitation":"[104]"},"properties":{"noteIndex":0},"schema":"https://github.com/citation-style-language/schema/raw/master/csl-citation.json"}</w:instrText>
            </w:r>
            <w:r w:rsidRPr="00784B41">
              <w:rPr>
                <w:rFonts w:cs="Calibri"/>
                <w:color w:val="3B3838" w:themeColor="background2" w:themeShade="40"/>
                <w:sz w:val="20"/>
                <w:szCs w:val="20"/>
              </w:rPr>
              <w:fldChar w:fldCharType="separate"/>
            </w:r>
            <w:r w:rsidR="000C069C" w:rsidRPr="000C069C">
              <w:rPr>
                <w:rFonts w:ascii="Cambria" w:hAnsi="Cambria" w:cs="Calibri"/>
                <w:b w:val="0"/>
                <w:bCs w:val="0"/>
                <w:noProof/>
                <w:color w:val="3B3838" w:themeColor="background2" w:themeShade="40"/>
                <w:sz w:val="20"/>
                <w:szCs w:val="20"/>
                <w:vertAlign w:val="superscript"/>
              </w:rPr>
              <w:t>104</w:t>
            </w:r>
            <w:r w:rsidRPr="00784B41">
              <w:rPr>
                <w:rFonts w:cs="Calibri"/>
                <w:color w:val="3B3838" w:themeColor="background2" w:themeShade="40"/>
                <w:sz w:val="20"/>
                <w:szCs w:val="20"/>
              </w:rPr>
              <w:fldChar w:fldCharType="end"/>
            </w:r>
          </w:p>
        </w:tc>
      </w:tr>
      <w:tr w:rsidR="00EE7EB3" w:rsidRPr="00784B41" w14:paraId="3CEA012C" w14:textId="77777777" w:rsidTr="00F233D4">
        <w:trPr>
          <w:trHeight w:val="340"/>
        </w:trPr>
        <w:tc>
          <w:tcPr>
            <w:tcW w:w="0" w:type="auto"/>
            <w:vAlign w:val="center"/>
          </w:tcPr>
          <w:p w14:paraId="43BD1ECB"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miR</w:t>
            </w:r>
            <w:r w:rsidRPr="00784B41">
              <w:rPr>
                <w:rFonts w:ascii="Cambria" w:hAnsi="Cambria" w:cs="Cambria Math"/>
                <w:color w:val="3B3838" w:themeColor="background2" w:themeShade="40"/>
                <w:sz w:val="20"/>
                <w:szCs w:val="20"/>
              </w:rPr>
              <w:t>‑</w:t>
            </w:r>
            <w:r w:rsidRPr="00784B41">
              <w:rPr>
                <w:rFonts w:ascii="Cambria" w:hAnsi="Cambria" w:cs="Calibri"/>
                <w:color w:val="3B3838" w:themeColor="background2" w:themeShade="40"/>
                <w:sz w:val="20"/>
                <w:szCs w:val="20"/>
              </w:rPr>
              <w:t>93</w:t>
            </w:r>
          </w:p>
        </w:tc>
        <w:tc>
          <w:tcPr>
            <w:tcW w:w="0" w:type="auto"/>
            <w:vAlign w:val="center"/>
          </w:tcPr>
          <w:p w14:paraId="49533D91"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w:t>
            </w:r>
          </w:p>
        </w:tc>
        <w:tc>
          <w:tcPr>
            <w:tcW w:w="1139" w:type="dxa"/>
            <w:vMerge/>
            <w:vAlign w:val="center"/>
          </w:tcPr>
          <w:p w14:paraId="196DCC21" w14:textId="77777777" w:rsidR="00EE7EB3" w:rsidRPr="00784B41" w:rsidRDefault="00EE7EB3" w:rsidP="00F233D4">
            <w:pPr>
              <w:jc w:val="center"/>
              <w:rPr>
                <w:rFonts w:ascii="Cambria" w:hAnsi="Cambria" w:cs="Calibri"/>
                <w:color w:val="3B3838" w:themeColor="background2" w:themeShade="40"/>
                <w:sz w:val="20"/>
                <w:szCs w:val="20"/>
              </w:rPr>
            </w:pPr>
          </w:p>
        </w:tc>
        <w:tc>
          <w:tcPr>
            <w:tcW w:w="2506" w:type="dxa"/>
            <w:vMerge/>
            <w:vAlign w:val="center"/>
          </w:tcPr>
          <w:p w14:paraId="243CC969" w14:textId="77777777" w:rsidR="00EE7EB3" w:rsidRPr="00784B41" w:rsidRDefault="00EE7EB3" w:rsidP="00F233D4">
            <w:pPr>
              <w:jc w:val="center"/>
              <w:rPr>
                <w:rFonts w:ascii="Cambria" w:hAnsi="Cambria" w:cs="Calibri"/>
                <w:color w:val="3B3838" w:themeColor="background2" w:themeShade="40"/>
                <w:sz w:val="20"/>
                <w:szCs w:val="20"/>
              </w:rPr>
            </w:pPr>
          </w:p>
        </w:tc>
        <w:tc>
          <w:tcPr>
            <w:tcW w:w="590" w:type="dxa"/>
            <w:vAlign w:val="center"/>
          </w:tcPr>
          <w:p w14:paraId="4B077632" w14:textId="77777777" w:rsidR="00EE7EB3" w:rsidRPr="00784B41" w:rsidRDefault="00EE7EB3" w:rsidP="00F233D4">
            <w:pPr>
              <w:jc w:val="center"/>
              <w:rPr>
                <w:rFonts w:ascii="Cambria" w:hAnsi="Cambria" w:cs="Calibri"/>
                <w:color w:val="3B3838" w:themeColor="background2" w:themeShade="40"/>
                <w:sz w:val="20"/>
                <w:szCs w:val="20"/>
                <w:lang w:eastAsia="en-GB"/>
              </w:rPr>
            </w:pPr>
          </w:p>
        </w:tc>
        <w:tc>
          <w:tcPr>
            <w:tcW w:w="590" w:type="dxa"/>
            <w:vAlign w:val="center"/>
          </w:tcPr>
          <w:p w14:paraId="784E26B7" w14:textId="77777777" w:rsidR="00EE7EB3" w:rsidRPr="00784B41" w:rsidRDefault="00EE7EB3" w:rsidP="00F233D4">
            <w:pPr>
              <w:jc w:val="center"/>
              <w:rPr>
                <w:rFonts w:ascii="Cambria" w:hAnsi="Cambria" w:cs="Calibri"/>
                <w:color w:val="3B3838" w:themeColor="background2" w:themeShade="40"/>
                <w:sz w:val="20"/>
                <w:szCs w:val="20"/>
              </w:rPr>
            </w:pPr>
          </w:p>
        </w:tc>
        <w:tc>
          <w:tcPr>
            <w:tcW w:w="2458" w:type="dxa"/>
            <w:vAlign w:val="center"/>
          </w:tcPr>
          <w:p w14:paraId="6930306A" w14:textId="77777777" w:rsidR="00EE7EB3"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0.907 </w:t>
            </w:r>
          </w:p>
          <w:p w14:paraId="78BE4F1C"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Calibri"/>
                <w:color w:val="3B3838" w:themeColor="background2" w:themeShade="40"/>
                <w:sz w:val="20"/>
                <w:szCs w:val="20"/>
              </w:rPr>
              <w:t xml:space="preserve">prognosis of high-risk </w:t>
            </w:r>
            <w:proofErr w:type="spellStart"/>
            <w:r w:rsidRPr="00784B41">
              <w:rPr>
                <w:rFonts w:ascii="Cambria" w:hAnsi="Cambria" w:cs="Calibri"/>
                <w:color w:val="3B3838" w:themeColor="background2" w:themeShade="40"/>
                <w:sz w:val="20"/>
                <w:szCs w:val="20"/>
              </w:rPr>
              <w:t>PCa</w:t>
            </w:r>
            <w:proofErr w:type="spellEnd"/>
          </w:p>
        </w:tc>
        <w:tc>
          <w:tcPr>
            <w:cnfStyle w:val="000100000000" w:firstRow="0" w:lastRow="0" w:firstColumn="0" w:lastColumn="1" w:oddVBand="0" w:evenVBand="0" w:oddHBand="0" w:evenHBand="0" w:firstRowFirstColumn="0" w:firstRowLastColumn="0" w:lastRowFirstColumn="0" w:lastRowLastColumn="0"/>
            <w:tcW w:w="648" w:type="dxa"/>
            <w:vMerge/>
            <w:vAlign w:val="center"/>
          </w:tcPr>
          <w:p w14:paraId="37EDE7FF" w14:textId="77777777" w:rsidR="00EE7EB3" w:rsidRPr="00784B41" w:rsidRDefault="00EE7EB3" w:rsidP="00F233D4">
            <w:pPr>
              <w:jc w:val="center"/>
              <w:rPr>
                <w:rFonts w:ascii="Cambria" w:hAnsi="Cambria" w:cs="Calibri"/>
                <w:color w:val="3B3838" w:themeColor="background2" w:themeShade="40"/>
                <w:sz w:val="20"/>
                <w:szCs w:val="20"/>
              </w:rPr>
            </w:pPr>
          </w:p>
        </w:tc>
      </w:tr>
      <w:tr w:rsidR="00EE7EB3" w:rsidRPr="00784B41" w14:paraId="2721815B" w14:textId="77777777" w:rsidTr="00F233D4">
        <w:trPr>
          <w:trHeight w:val="340"/>
        </w:trPr>
        <w:tc>
          <w:tcPr>
            <w:cnfStyle w:val="000100000000" w:firstRow="0" w:lastRow="0" w:firstColumn="0" w:lastColumn="1" w:oddVBand="0" w:evenVBand="0" w:oddHBand="0" w:evenHBand="0" w:firstRowFirstColumn="0" w:firstRowLastColumn="0" w:lastRowFirstColumn="0" w:lastRowLastColumn="0"/>
            <w:tcW w:w="9493" w:type="dxa"/>
            <w:gridSpan w:val="8"/>
            <w:vAlign w:val="center"/>
          </w:tcPr>
          <w:p w14:paraId="783BBF29" w14:textId="58BD79FC" w:rsidR="00EE7EB3" w:rsidRPr="00784B41" w:rsidRDefault="00EE7EB3" w:rsidP="00F233D4">
            <w:pPr>
              <w:rPr>
                <w:rFonts w:ascii="Cambria" w:hAnsi="Cambria" w:cs="Calibri"/>
                <w:b w:val="0"/>
                <w:bCs w:val="0"/>
                <w:color w:val="3B3838" w:themeColor="background2" w:themeShade="40"/>
                <w:sz w:val="20"/>
                <w:szCs w:val="20"/>
              </w:rPr>
            </w:pPr>
            <w:r w:rsidRPr="00784B41">
              <w:rPr>
                <w:rFonts w:ascii="Cambria" w:hAnsi="Cambria" w:cs="Calibri"/>
                <w:b w:val="0"/>
                <w:bCs w:val="0"/>
                <w:color w:val="3B3838" w:themeColor="background2" w:themeShade="40"/>
                <w:sz w:val="20"/>
                <w:szCs w:val="20"/>
              </w:rPr>
              <w:t xml:space="preserve">Abbreviations: SE, sensitivity; SP, specificity; </w:t>
            </w:r>
            <w:r>
              <w:rPr>
                <w:rFonts w:ascii="Cambria" w:hAnsi="Cambria" w:cs="Calibri"/>
                <w:b w:val="0"/>
                <w:bCs w:val="0"/>
                <w:color w:val="3B3838" w:themeColor="background2" w:themeShade="40"/>
                <w:sz w:val="20"/>
                <w:szCs w:val="20"/>
              </w:rPr>
              <w:t xml:space="preserve">LR, low risk; IR, intermediate risk; HR, high risk; </w:t>
            </w:r>
            <w:proofErr w:type="spellStart"/>
            <w:r>
              <w:rPr>
                <w:rFonts w:ascii="Cambria" w:hAnsi="Cambria" w:cs="Calibri"/>
                <w:b w:val="0"/>
                <w:bCs w:val="0"/>
                <w:color w:val="3B3838" w:themeColor="background2" w:themeShade="40"/>
                <w:sz w:val="20"/>
                <w:szCs w:val="20"/>
              </w:rPr>
              <w:t>mPCa</w:t>
            </w:r>
            <w:proofErr w:type="spellEnd"/>
            <w:r>
              <w:rPr>
                <w:rFonts w:ascii="Cambria" w:hAnsi="Cambria" w:cs="Calibri"/>
                <w:b w:val="0"/>
                <w:bCs w:val="0"/>
                <w:color w:val="3B3838" w:themeColor="background2" w:themeShade="40"/>
                <w:sz w:val="20"/>
                <w:szCs w:val="20"/>
              </w:rPr>
              <w:t xml:space="preserve">, metastatic </w:t>
            </w:r>
            <w:r w:rsidR="00062068">
              <w:rPr>
                <w:rFonts w:ascii="Cambria" w:hAnsi="Cambria" w:cs="Calibri"/>
                <w:b w:val="0"/>
                <w:bCs w:val="0"/>
                <w:color w:val="3B3838" w:themeColor="background2" w:themeShade="40"/>
                <w:sz w:val="20"/>
                <w:szCs w:val="20"/>
              </w:rPr>
              <w:t>prostate cancer</w:t>
            </w:r>
            <w:r>
              <w:rPr>
                <w:rFonts w:ascii="Cambria" w:hAnsi="Cambria" w:cs="Calibri"/>
                <w:b w:val="0"/>
                <w:bCs w:val="0"/>
                <w:color w:val="3B3838" w:themeColor="background2" w:themeShade="40"/>
                <w:sz w:val="20"/>
                <w:szCs w:val="20"/>
              </w:rPr>
              <w:t xml:space="preserve">; </w:t>
            </w:r>
            <w:r w:rsidRPr="00784B41">
              <w:rPr>
                <w:rFonts w:ascii="Cambria" w:hAnsi="Cambria" w:cs="Calibri"/>
                <w:b w:val="0"/>
                <w:bCs w:val="0"/>
                <w:color w:val="3B3838" w:themeColor="background2" w:themeShade="40"/>
                <w:sz w:val="20"/>
                <w:szCs w:val="20"/>
              </w:rPr>
              <w:t>FFPE, formalin-fixed paraffin-embedded</w:t>
            </w:r>
            <w:r>
              <w:rPr>
                <w:rFonts w:ascii="Cambria" w:hAnsi="Cambria" w:cs="Calibri"/>
                <w:b w:val="0"/>
                <w:bCs w:val="0"/>
                <w:color w:val="3B3838" w:themeColor="background2" w:themeShade="40"/>
                <w:sz w:val="20"/>
                <w:szCs w:val="20"/>
              </w:rPr>
              <w:t>;</w:t>
            </w:r>
            <w:r w:rsidRPr="00784B41">
              <w:rPr>
                <w:rFonts w:ascii="Cambria" w:hAnsi="Cambria" w:cs="Calibri"/>
                <w:b w:val="0"/>
                <w:bCs w:val="0"/>
                <w:color w:val="3B3838" w:themeColor="background2" w:themeShade="40"/>
                <w:sz w:val="20"/>
                <w:szCs w:val="20"/>
              </w:rPr>
              <w:t xml:space="preserve"> </w:t>
            </w:r>
            <w:r w:rsidR="00062068" w:rsidRPr="00784B41">
              <w:rPr>
                <w:rFonts w:ascii="Cambria" w:hAnsi="Cambria" w:cs="Calibri"/>
                <w:b w:val="0"/>
                <w:bCs w:val="0"/>
                <w:color w:val="3B3838" w:themeColor="background2" w:themeShade="40"/>
                <w:sz w:val="20"/>
                <w:szCs w:val="20"/>
              </w:rPr>
              <w:t>↑</w:t>
            </w:r>
            <w:r w:rsidR="00062068">
              <w:rPr>
                <w:rFonts w:ascii="Cambria" w:hAnsi="Cambria" w:cs="Calibri"/>
                <w:b w:val="0"/>
                <w:bCs w:val="0"/>
                <w:color w:val="3B3838" w:themeColor="background2" w:themeShade="40"/>
                <w:sz w:val="20"/>
                <w:szCs w:val="20"/>
              </w:rPr>
              <w:t>,</w:t>
            </w:r>
            <w:r w:rsidR="00062068" w:rsidRPr="00784B41">
              <w:rPr>
                <w:rFonts w:ascii="Cambria" w:hAnsi="Cambria" w:cs="Calibri"/>
                <w:b w:val="0"/>
                <w:bCs w:val="0"/>
                <w:color w:val="3B3838" w:themeColor="background2" w:themeShade="40"/>
                <w:sz w:val="20"/>
                <w:szCs w:val="20"/>
              </w:rPr>
              <w:t xml:space="preserve"> </w:t>
            </w:r>
            <w:proofErr w:type="spellStart"/>
            <w:r w:rsidR="00062068" w:rsidRPr="00784B41">
              <w:rPr>
                <w:rFonts w:ascii="Cambria" w:hAnsi="Cambria" w:cs="Calibri"/>
                <w:b w:val="0"/>
                <w:bCs w:val="0"/>
                <w:color w:val="3B3838" w:themeColor="background2" w:themeShade="40"/>
                <w:sz w:val="20"/>
                <w:szCs w:val="20"/>
              </w:rPr>
              <w:t>miRNa</w:t>
            </w:r>
            <w:proofErr w:type="spellEnd"/>
            <w:r w:rsidR="00062068" w:rsidRPr="00784B41">
              <w:rPr>
                <w:rFonts w:ascii="Cambria" w:hAnsi="Cambria" w:cs="Calibri"/>
                <w:b w:val="0"/>
                <w:bCs w:val="0"/>
                <w:color w:val="3B3838" w:themeColor="background2" w:themeShade="40"/>
                <w:sz w:val="20"/>
                <w:szCs w:val="20"/>
              </w:rPr>
              <w:t xml:space="preserve"> upregulation in </w:t>
            </w:r>
            <w:proofErr w:type="spellStart"/>
            <w:r w:rsidR="00062068" w:rsidRPr="00784B41">
              <w:rPr>
                <w:rFonts w:ascii="Cambria" w:hAnsi="Cambria" w:cs="Calibri"/>
                <w:b w:val="0"/>
                <w:bCs w:val="0"/>
                <w:color w:val="3B3838" w:themeColor="background2" w:themeShade="40"/>
                <w:sz w:val="20"/>
                <w:szCs w:val="20"/>
              </w:rPr>
              <w:t>PCa</w:t>
            </w:r>
            <w:proofErr w:type="spellEnd"/>
            <w:r w:rsidR="00062068" w:rsidRPr="00784B41">
              <w:rPr>
                <w:rFonts w:ascii="Cambria" w:hAnsi="Cambria" w:cs="Calibri"/>
                <w:b w:val="0"/>
                <w:bCs w:val="0"/>
                <w:color w:val="3B3838" w:themeColor="background2" w:themeShade="40"/>
                <w:sz w:val="20"/>
                <w:szCs w:val="20"/>
              </w:rPr>
              <w:t xml:space="preserve"> vs</w:t>
            </w:r>
            <w:r w:rsidR="00062068">
              <w:rPr>
                <w:rFonts w:ascii="Cambria" w:hAnsi="Cambria" w:cs="Calibri"/>
                <w:b w:val="0"/>
                <w:bCs w:val="0"/>
                <w:color w:val="3B3838" w:themeColor="background2" w:themeShade="40"/>
                <w:sz w:val="20"/>
                <w:szCs w:val="20"/>
              </w:rPr>
              <w:t xml:space="preserve"> condition/control</w:t>
            </w:r>
            <w:r w:rsidR="00062068" w:rsidRPr="00784B41">
              <w:rPr>
                <w:rFonts w:ascii="Cambria" w:hAnsi="Cambria" w:cs="Calibri"/>
                <w:b w:val="0"/>
                <w:bCs w:val="0"/>
                <w:color w:val="3B3838" w:themeColor="background2" w:themeShade="40"/>
                <w:sz w:val="20"/>
                <w:szCs w:val="20"/>
              </w:rPr>
              <w:t>; ↓</w:t>
            </w:r>
            <w:r w:rsidR="00062068">
              <w:rPr>
                <w:rFonts w:ascii="Cambria" w:hAnsi="Cambria" w:cs="Calibri"/>
                <w:b w:val="0"/>
                <w:bCs w:val="0"/>
                <w:color w:val="3B3838" w:themeColor="background2" w:themeShade="40"/>
                <w:sz w:val="20"/>
                <w:szCs w:val="20"/>
              </w:rPr>
              <w:t xml:space="preserve">, </w:t>
            </w:r>
            <w:proofErr w:type="spellStart"/>
            <w:r w:rsidR="00062068" w:rsidRPr="00784B41">
              <w:rPr>
                <w:rFonts w:ascii="Cambria" w:hAnsi="Cambria" w:cs="Calibri"/>
                <w:b w:val="0"/>
                <w:bCs w:val="0"/>
                <w:color w:val="3B3838" w:themeColor="background2" w:themeShade="40"/>
                <w:sz w:val="20"/>
                <w:szCs w:val="20"/>
              </w:rPr>
              <w:t>miRNa</w:t>
            </w:r>
            <w:proofErr w:type="spellEnd"/>
            <w:r w:rsidR="00062068" w:rsidRPr="00784B41">
              <w:rPr>
                <w:rFonts w:ascii="Cambria" w:hAnsi="Cambria" w:cs="Calibri"/>
                <w:b w:val="0"/>
                <w:bCs w:val="0"/>
                <w:color w:val="3B3838" w:themeColor="background2" w:themeShade="40"/>
                <w:sz w:val="20"/>
                <w:szCs w:val="20"/>
              </w:rPr>
              <w:t xml:space="preserve"> downregulation in </w:t>
            </w:r>
            <w:proofErr w:type="spellStart"/>
            <w:r w:rsidR="00062068" w:rsidRPr="00784B41">
              <w:rPr>
                <w:rFonts w:ascii="Cambria" w:hAnsi="Cambria" w:cs="Calibri"/>
                <w:b w:val="0"/>
                <w:bCs w:val="0"/>
                <w:color w:val="3B3838" w:themeColor="background2" w:themeShade="40"/>
                <w:sz w:val="20"/>
                <w:szCs w:val="20"/>
              </w:rPr>
              <w:t>PCa</w:t>
            </w:r>
            <w:proofErr w:type="spellEnd"/>
            <w:r w:rsidR="00062068" w:rsidRPr="00784B41">
              <w:rPr>
                <w:rFonts w:ascii="Cambria" w:hAnsi="Cambria" w:cs="Calibri"/>
                <w:b w:val="0"/>
                <w:bCs w:val="0"/>
                <w:color w:val="3B3838" w:themeColor="background2" w:themeShade="40"/>
                <w:sz w:val="20"/>
                <w:szCs w:val="20"/>
              </w:rPr>
              <w:t xml:space="preserve"> vs </w:t>
            </w:r>
            <w:r w:rsidR="00062068">
              <w:rPr>
                <w:rFonts w:ascii="Cambria" w:hAnsi="Cambria" w:cs="Calibri"/>
                <w:b w:val="0"/>
                <w:bCs w:val="0"/>
                <w:color w:val="3B3838" w:themeColor="background2" w:themeShade="40"/>
                <w:sz w:val="20"/>
                <w:szCs w:val="20"/>
              </w:rPr>
              <w:t>condition/control</w:t>
            </w:r>
          </w:p>
        </w:tc>
      </w:tr>
    </w:tbl>
    <w:p w14:paraId="4B6C4478" w14:textId="77777777" w:rsidR="00EE7EB3" w:rsidRPr="00C83EDC" w:rsidRDefault="00EE7EB3" w:rsidP="00EE7EB3">
      <w:pPr>
        <w:pStyle w:val="Nadpis1"/>
        <w:rPr>
          <w:lang w:val="en-GB"/>
        </w:rPr>
      </w:pPr>
      <w:r w:rsidRPr="00C83EDC">
        <w:rPr>
          <w:lang w:val="en-GB"/>
        </w:rPr>
        <w:br w:type="page"/>
      </w:r>
      <w:bookmarkStart w:id="49" w:name="_Toc47889322"/>
      <w:bookmarkStart w:id="50" w:name="_Toc48160993"/>
      <w:r w:rsidRPr="00C83EDC">
        <w:rPr>
          <w:lang w:val="en-GB"/>
        </w:rPr>
        <w:lastRenderedPageBreak/>
        <w:t>Diploma thesis objectives</w:t>
      </w:r>
      <w:bookmarkEnd w:id="49"/>
      <w:bookmarkEnd w:id="50"/>
    </w:p>
    <w:p w14:paraId="138B8337" w14:textId="5B80FCB5" w:rsidR="00EE7EB3" w:rsidRDefault="00EE7EB3" w:rsidP="00EE7EB3">
      <w:pPr>
        <w:pStyle w:val="Odstavec1"/>
        <w:rPr>
          <w:lang w:val="en-GB"/>
        </w:rPr>
      </w:pPr>
      <w:r w:rsidRPr="00893939">
        <w:rPr>
          <w:lang w:val="en-GB"/>
        </w:rPr>
        <w:t>The aim of the diploma thesis is to detect specific tissue and urinary miRNA profiles in patients with prostate cancer</w:t>
      </w:r>
      <w:r>
        <w:rPr>
          <w:lang w:val="en-GB"/>
        </w:rPr>
        <w:t xml:space="preserve"> using</w:t>
      </w:r>
      <w:r w:rsidRPr="00893939">
        <w:rPr>
          <w:lang w:val="en-GB"/>
        </w:rPr>
        <w:t xml:space="preserve"> high-</w:t>
      </w:r>
      <w:r>
        <w:rPr>
          <w:lang w:val="en-GB"/>
        </w:rPr>
        <w:t>throughput</w:t>
      </w:r>
      <w:r w:rsidRPr="00893939">
        <w:rPr>
          <w:lang w:val="en-GB"/>
        </w:rPr>
        <w:t xml:space="preserve"> methods. </w:t>
      </w:r>
      <w:r>
        <w:rPr>
          <w:lang w:val="en-GB"/>
        </w:rPr>
        <w:t>The expected outcome of the m</w:t>
      </w:r>
      <w:r w:rsidRPr="00893939">
        <w:rPr>
          <w:lang w:val="en-GB"/>
        </w:rPr>
        <w:t>iRNA</w:t>
      </w:r>
      <w:r>
        <w:rPr>
          <w:lang w:val="en-GB"/>
        </w:rPr>
        <w:t xml:space="preserve"> profiling is the identification of miRNAs that </w:t>
      </w:r>
      <w:proofErr w:type="gramStart"/>
      <w:r>
        <w:rPr>
          <w:lang w:val="en-GB"/>
        </w:rPr>
        <w:t>are</w:t>
      </w:r>
      <w:r w:rsidRPr="00893939">
        <w:rPr>
          <w:lang w:val="en-GB"/>
        </w:rPr>
        <w:t xml:space="preserve"> able to</w:t>
      </w:r>
      <w:proofErr w:type="gramEnd"/>
      <w:r w:rsidRPr="00893939">
        <w:rPr>
          <w:lang w:val="en-GB"/>
        </w:rPr>
        <w:t xml:space="preserve"> distinguish indolent and aggressive forms of prostate cancer and possibly increase the specificity of PSA</w:t>
      </w:r>
      <w:r>
        <w:rPr>
          <w:lang w:val="en-GB"/>
        </w:rPr>
        <w:t>. In the next stage, if possible, the aim is to</w:t>
      </w:r>
      <w:r w:rsidRPr="00893939">
        <w:rPr>
          <w:lang w:val="en-GB"/>
        </w:rPr>
        <w:t xml:space="preserve"> validate </w:t>
      </w:r>
      <w:r>
        <w:rPr>
          <w:lang w:val="en-GB"/>
        </w:rPr>
        <w:t xml:space="preserve">discovered miRNAs </w:t>
      </w:r>
      <w:r w:rsidRPr="00893939">
        <w:rPr>
          <w:lang w:val="en-GB"/>
        </w:rPr>
        <w:t>on an independent group of patients</w:t>
      </w:r>
      <w:r>
        <w:rPr>
          <w:lang w:val="en-GB"/>
        </w:rPr>
        <w:t>.</w:t>
      </w:r>
    </w:p>
    <w:p w14:paraId="7E6B8464" w14:textId="77711870" w:rsidR="001B3620" w:rsidRDefault="001B3620" w:rsidP="001B3620">
      <w:pPr>
        <w:pStyle w:val="Dalodstavce"/>
        <w:rPr>
          <w:lang w:val="en-GB"/>
        </w:rPr>
      </w:pPr>
    </w:p>
    <w:p w14:paraId="6AEE7F2F" w14:textId="77777777" w:rsidR="001B3620" w:rsidRPr="001B3620" w:rsidRDefault="001B3620" w:rsidP="001B3620">
      <w:pPr>
        <w:pStyle w:val="Dalodstavce"/>
        <w:rPr>
          <w:lang w:val="en-GB"/>
        </w:rPr>
      </w:pPr>
    </w:p>
    <w:p w14:paraId="6A35A3BA" w14:textId="77777777" w:rsidR="00EE7EB3" w:rsidRDefault="00EE7EB3" w:rsidP="00EE7EB3">
      <w:pPr>
        <w:pStyle w:val="Dalodstavce"/>
        <w:rPr>
          <w:lang w:val="en-GB"/>
        </w:rPr>
      </w:pPr>
    </w:p>
    <w:p w14:paraId="26D7131A" w14:textId="77777777" w:rsidR="00EE7EB3" w:rsidRDefault="00EE7EB3" w:rsidP="00EE7EB3">
      <w:pPr>
        <w:pStyle w:val="Dalodstavce"/>
        <w:rPr>
          <w:lang w:val="en-GB"/>
        </w:rPr>
      </w:pPr>
    </w:p>
    <w:p w14:paraId="2404A1F1" w14:textId="77777777" w:rsidR="00EE7EB3" w:rsidRPr="00963542" w:rsidRDefault="00EE7EB3" w:rsidP="00EE7EB3">
      <w:pPr>
        <w:pStyle w:val="Dalodstavce"/>
      </w:pPr>
    </w:p>
    <w:p w14:paraId="60C557B1" w14:textId="77777777" w:rsidR="00EE7EB3" w:rsidRPr="00C83EDC" w:rsidRDefault="00EE7EB3" w:rsidP="00EE7EB3">
      <w:pPr>
        <w:pStyle w:val="Odstavec1"/>
        <w:rPr>
          <w:rFonts w:ascii="Arial" w:hAnsi="Arial" w:cs="Arial"/>
          <w:color w:val="0000DC"/>
          <w:sz w:val="34"/>
          <w:szCs w:val="40"/>
          <w:lang w:val="en-GB"/>
        </w:rPr>
      </w:pPr>
      <w:r w:rsidRPr="00C83EDC">
        <w:rPr>
          <w:lang w:val="en-GB"/>
        </w:rPr>
        <w:br w:type="page"/>
      </w:r>
    </w:p>
    <w:p w14:paraId="0DC20389" w14:textId="77777777" w:rsidR="00EE7EB3" w:rsidRPr="00C83EDC" w:rsidRDefault="00EE7EB3" w:rsidP="00EE7EB3">
      <w:pPr>
        <w:pStyle w:val="Nadpis10"/>
        <w:rPr>
          <w:b w:val="0"/>
          <w:bCs w:val="0"/>
        </w:rPr>
      </w:pPr>
      <w:bookmarkStart w:id="51" w:name="_Toc47889323"/>
      <w:bookmarkStart w:id="52" w:name="_Toc48160994"/>
      <w:r w:rsidRPr="00C83EDC">
        <w:rPr>
          <w:b w:val="0"/>
          <w:bCs w:val="0"/>
        </w:rPr>
        <w:lastRenderedPageBreak/>
        <w:t>PRACTICAL PART</w:t>
      </w:r>
      <w:bookmarkEnd w:id="51"/>
      <w:bookmarkEnd w:id="52"/>
    </w:p>
    <w:p w14:paraId="670E5743" w14:textId="77777777" w:rsidR="00EE7EB3" w:rsidRPr="00C83EDC" w:rsidRDefault="00EE7EB3" w:rsidP="00EE7EB3">
      <w:pPr>
        <w:pStyle w:val="Nadpis1"/>
        <w:rPr>
          <w:lang w:val="en-GB"/>
        </w:rPr>
      </w:pPr>
      <w:bookmarkStart w:id="53" w:name="_Toc47889324"/>
      <w:bookmarkStart w:id="54" w:name="_Toc48160995"/>
      <w:r w:rsidRPr="00C83EDC">
        <w:rPr>
          <w:lang w:val="en-GB"/>
        </w:rPr>
        <w:t>Materials and methods</w:t>
      </w:r>
      <w:bookmarkEnd w:id="53"/>
      <w:bookmarkEnd w:id="54"/>
    </w:p>
    <w:p w14:paraId="2C36A3E5" w14:textId="77777777" w:rsidR="00EE7EB3" w:rsidRPr="00C83EDC" w:rsidRDefault="00EE7EB3" w:rsidP="00EE7EB3">
      <w:pPr>
        <w:pStyle w:val="Nadpis2"/>
        <w:rPr>
          <w:lang w:val="en-GB"/>
        </w:rPr>
      </w:pPr>
      <w:bookmarkStart w:id="55" w:name="_Toc47889325"/>
      <w:bookmarkStart w:id="56" w:name="_Toc48160996"/>
      <w:r w:rsidRPr="00C83EDC">
        <w:rPr>
          <w:lang w:val="en-GB"/>
        </w:rPr>
        <w:t xml:space="preserve">miRNA profiling </w:t>
      </w:r>
      <w:r>
        <w:rPr>
          <w:lang w:val="en-GB"/>
        </w:rPr>
        <w:t>in t</w:t>
      </w:r>
      <w:r w:rsidRPr="00C83EDC">
        <w:rPr>
          <w:lang w:val="en-GB"/>
        </w:rPr>
        <w:t>umour tissue</w:t>
      </w:r>
      <w:bookmarkEnd w:id="55"/>
      <w:bookmarkEnd w:id="56"/>
      <w:r w:rsidRPr="00C83EDC">
        <w:rPr>
          <w:lang w:val="en-GB"/>
        </w:rPr>
        <w:t xml:space="preserve"> </w:t>
      </w:r>
    </w:p>
    <w:p w14:paraId="473A5A03" w14:textId="77777777" w:rsidR="00EE7EB3" w:rsidRPr="00C83EDC" w:rsidRDefault="00EE7EB3" w:rsidP="00EE7EB3">
      <w:pPr>
        <w:pStyle w:val="Nadpis3"/>
        <w:rPr>
          <w:lang w:val="en-GB"/>
        </w:rPr>
      </w:pPr>
      <w:r w:rsidRPr="00C83EDC">
        <w:rPr>
          <w:lang w:val="en-GB"/>
        </w:rPr>
        <w:t xml:space="preserve"> Cohort of prostate cancer patients</w:t>
      </w:r>
    </w:p>
    <w:p w14:paraId="249C0C6B" w14:textId="77777777" w:rsidR="00EE7EB3" w:rsidRDefault="00EE7EB3" w:rsidP="00EE7EB3">
      <w:pPr>
        <w:pStyle w:val="Odstavec1"/>
        <w:rPr>
          <w:lang w:val="en-GB"/>
        </w:rPr>
      </w:pPr>
      <w:r w:rsidRPr="00C83EDC">
        <w:rPr>
          <w:lang w:val="en-GB"/>
        </w:rPr>
        <w:t xml:space="preserve">The discovery phase of the project includes 40 formalin-fixed paraffin-embedded (FFPE) tissue samples that were retrospectively collected in </w:t>
      </w:r>
      <w:r>
        <w:rPr>
          <w:lang w:val="en-GB"/>
        </w:rPr>
        <w:t xml:space="preserve">the </w:t>
      </w:r>
      <w:r w:rsidRPr="00C83EDC">
        <w:rPr>
          <w:lang w:val="en-GB"/>
        </w:rPr>
        <w:t>years 2010–2015 at the Department of Urologic Oncology at Masaryk Memorial Cancer Institute</w:t>
      </w:r>
      <w:r>
        <w:rPr>
          <w:lang w:val="en-GB"/>
        </w:rPr>
        <w:t xml:space="preserve"> (MMCI)</w:t>
      </w:r>
      <w:r w:rsidRPr="00C83EDC">
        <w:rPr>
          <w:lang w:val="en-GB"/>
        </w:rPr>
        <w:t xml:space="preserve"> in Brno and stored in </w:t>
      </w:r>
      <w:r>
        <w:rPr>
          <w:lang w:val="en-GB"/>
        </w:rPr>
        <w:t xml:space="preserve">the </w:t>
      </w:r>
      <w:r w:rsidRPr="00C83EDC">
        <w:rPr>
          <w:lang w:val="en-GB"/>
        </w:rPr>
        <w:t xml:space="preserve">Bank of Biological Material at MMCI. The cohort consists of 20 samples of indolent </w:t>
      </w:r>
      <w:proofErr w:type="spellStart"/>
      <w:r w:rsidRPr="00C83EDC">
        <w:rPr>
          <w:lang w:val="en-GB"/>
        </w:rPr>
        <w:t>PCa</w:t>
      </w:r>
      <w:proofErr w:type="spellEnd"/>
      <w:r w:rsidRPr="00C83EDC">
        <w:rPr>
          <w:lang w:val="en-GB"/>
        </w:rPr>
        <w:t xml:space="preserve"> (ISUP grade 1) and 20 samples of aggressive </w:t>
      </w:r>
      <w:proofErr w:type="spellStart"/>
      <w:r w:rsidRPr="00C83EDC">
        <w:rPr>
          <w:lang w:val="en-GB"/>
        </w:rPr>
        <w:t>PCa</w:t>
      </w:r>
      <w:proofErr w:type="spellEnd"/>
      <w:r w:rsidRPr="00C83EDC">
        <w:rPr>
          <w:lang w:val="en-GB"/>
        </w:rPr>
        <w:t xml:space="preserve"> (ISUP grade 3–5). </w:t>
      </w:r>
      <w:r>
        <w:rPr>
          <w:lang w:val="en-GB"/>
        </w:rPr>
        <w:t xml:space="preserve">The validation cohort comprises of 94 retrospectively collected FFPE tissue samples. Apart from samples of patients diagnosed with either low-grade or high-grade </w:t>
      </w:r>
      <w:proofErr w:type="spellStart"/>
      <w:r>
        <w:rPr>
          <w:lang w:val="en-GB"/>
        </w:rPr>
        <w:t>PCa</w:t>
      </w:r>
      <w:proofErr w:type="spellEnd"/>
      <w:r>
        <w:rPr>
          <w:lang w:val="en-GB"/>
        </w:rPr>
        <w:t>, the cohort also includes 24 tissue samples identified as GS 3+4. T</w:t>
      </w:r>
      <w:r w:rsidRPr="00C83EDC">
        <w:rPr>
          <w:lang w:val="en-GB"/>
        </w:rPr>
        <w:t xml:space="preserve">he summary of clinical characteristics </w:t>
      </w:r>
      <w:r>
        <w:rPr>
          <w:lang w:val="en-GB"/>
        </w:rPr>
        <w:t xml:space="preserve">is </w:t>
      </w:r>
      <w:r w:rsidRPr="00C83EDC">
        <w:rPr>
          <w:lang w:val="en-GB"/>
        </w:rPr>
        <w:t xml:space="preserve">listed in </w:t>
      </w:r>
      <w:r w:rsidRPr="00EF3D19">
        <w:rPr>
          <w:lang w:val="en-GB"/>
        </w:rPr>
        <w:t xml:space="preserve">Table </w:t>
      </w:r>
      <w:r>
        <w:rPr>
          <w:lang w:val="en-GB"/>
        </w:rPr>
        <w:t>VII</w:t>
      </w:r>
      <w:r w:rsidRPr="00EF3D19">
        <w:rPr>
          <w:lang w:val="en-GB"/>
        </w:rPr>
        <w:t>.</w:t>
      </w:r>
    </w:p>
    <w:p w14:paraId="11952ADB" w14:textId="7AC515C6" w:rsidR="00EE7EB3" w:rsidRPr="00C83EDC" w:rsidRDefault="00EE7EB3" w:rsidP="00EE7EB3">
      <w:pPr>
        <w:pStyle w:val="Titulektabulky"/>
        <w:jc w:val="left"/>
        <w:rPr>
          <w:lang w:val="en-GB"/>
        </w:rPr>
      </w:pPr>
      <w:bookmarkStart w:id="57" w:name="_Toc47541140"/>
      <w:r w:rsidRPr="00C83EDC">
        <w:rPr>
          <w:lang w:val="en-GB"/>
        </w:rPr>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VII</w:t>
      </w:r>
      <w:r>
        <w:rPr>
          <w:noProof/>
          <w:lang w:val="en-GB"/>
        </w:rPr>
        <w:fldChar w:fldCharType="end"/>
      </w:r>
      <w:r w:rsidRPr="00C83EDC">
        <w:rPr>
          <w:noProof/>
          <w:lang w:val="en-GB"/>
        </w:rPr>
        <w:t>.</w:t>
      </w:r>
      <w:r w:rsidRPr="00C83EDC">
        <w:rPr>
          <w:lang w:val="en-GB"/>
        </w:rPr>
        <w:t xml:space="preserve"> </w:t>
      </w:r>
      <w:r w:rsidRPr="00C83EDC">
        <w:rPr>
          <w:b w:val="0"/>
          <w:bCs w:val="0"/>
          <w:lang w:val="en-GB"/>
        </w:rPr>
        <w:t>Clinical characteristics of patients included in the discovery and the validation cohort.</w:t>
      </w:r>
      <w:bookmarkEnd w:id="57"/>
    </w:p>
    <w:tbl>
      <w:tblPr>
        <w:tblStyle w:val="Tabulkasmkou4zvraznn31"/>
        <w:tblW w:w="9061" w:type="dxa"/>
        <w:tblLook w:val="0720" w:firstRow="1" w:lastRow="0" w:firstColumn="0" w:lastColumn="1" w:noHBand="1" w:noVBand="1"/>
      </w:tblPr>
      <w:tblGrid>
        <w:gridCol w:w="1704"/>
        <w:gridCol w:w="1495"/>
        <w:gridCol w:w="1494"/>
        <w:gridCol w:w="1392"/>
        <w:gridCol w:w="1470"/>
        <w:gridCol w:w="1494"/>
        <w:gridCol w:w="12"/>
      </w:tblGrid>
      <w:tr w:rsidR="00EE7EB3" w:rsidRPr="00784B41" w14:paraId="6CA8CA7F"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1704" w:type="dxa"/>
            <w:shd w:val="clear" w:color="auto" w:fill="E7E6E6" w:themeFill="background2"/>
          </w:tcPr>
          <w:p w14:paraId="2299E010"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2989" w:type="dxa"/>
            <w:gridSpan w:val="2"/>
            <w:shd w:val="clear" w:color="auto" w:fill="E7E6E6" w:themeFill="background2"/>
          </w:tcPr>
          <w:p w14:paraId="04358AC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Cohort 1 (discovery)</w:t>
            </w:r>
          </w:p>
        </w:tc>
        <w:tc>
          <w:tcPr>
            <w:cnfStyle w:val="000100000000" w:firstRow="0" w:lastRow="0" w:firstColumn="0" w:lastColumn="1" w:oddVBand="0" w:evenVBand="0" w:oddHBand="0" w:evenHBand="0" w:firstRowFirstColumn="0" w:firstRowLastColumn="0" w:lastRowFirstColumn="0" w:lastRowLastColumn="0"/>
            <w:tcW w:w="4368" w:type="dxa"/>
            <w:gridSpan w:val="4"/>
            <w:shd w:val="clear" w:color="auto" w:fill="E7E6E6" w:themeFill="background2"/>
          </w:tcPr>
          <w:p w14:paraId="15189F6D" w14:textId="77777777" w:rsidR="00EE7EB3" w:rsidRPr="00784B41" w:rsidRDefault="00EE7EB3" w:rsidP="00F233D4">
            <w:pPr>
              <w:jc w:val="center"/>
              <w:rPr>
                <w:rFonts w:ascii="Cambria" w:hAnsi="Cambria" w:cstheme="minorHAnsi"/>
                <w:b w:val="0"/>
                <w:bCs w:val="0"/>
                <w:color w:val="3B3838" w:themeColor="background2" w:themeShade="40"/>
                <w:sz w:val="20"/>
                <w:szCs w:val="20"/>
              </w:rPr>
            </w:pPr>
            <w:r w:rsidRPr="00784B41">
              <w:rPr>
                <w:rFonts w:ascii="Cambria" w:hAnsi="Cambria" w:cstheme="minorHAnsi"/>
                <w:color w:val="3B3838" w:themeColor="background2" w:themeShade="40"/>
                <w:sz w:val="20"/>
                <w:szCs w:val="20"/>
              </w:rPr>
              <w:t>Cohort 2 (validation)</w:t>
            </w:r>
          </w:p>
        </w:tc>
      </w:tr>
      <w:tr w:rsidR="00EE7EB3" w:rsidRPr="00784B41" w14:paraId="0F659B3B" w14:textId="77777777" w:rsidTr="00F233D4">
        <w:trPr>
          <w:gridAfter w:val="1"/>
          <w:wAfter w:w="12" w:type="dxa"/>
          <w:trHeight w:val="340"/>
        </w:trPr>
        <w:tc>
          <w:tcPr>
            <w:tcW w:w="1704" w:type="dxa"/>
          </w:tcPr>
          <w:p w14:paraId="226D694B"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5" w:type="dxa"/>
          </w:tcPr>
          <w:p w14:paraId="5A6D1F2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Indolent </w:t>
            </w:r>
            <w:proofErr w:type="spellStart"/>
            <w:r w:rsidRPr="00784B41">
              <w:rPr>
                <w:rFonts w:ascii="Cambria" w:hAnsi="Cambria" w:cstheme="minorHAnsi"/>
                <w:color w:val="3B3838" w:themeColor="background2" w:themeShade="40"/>
                <w:sz w:val="20"/>
                <w:szCs w:val="20"/>
              </w:rPr>
              <w:t>PCa</w:t>
            </w:r>
            <w:proofErr w:type="spellEnd"/>
          </w:p>
        </w:tc>
        <w:tc>
          <w:tcPr>
            <w:tcW w:w="1494" w:type="dxa"/>
          </w:tcPr>
          <w:p w14:paraId="27515B9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Aggressive </w:t>
            </w:r>
            <w:proofErr w:type="spellStart"/>
            <w:r w:rsidRPr="00784B41">
              <w:rPr>
                <w:rFonts w:ascii="Cambria" w:hAnsi="Cambria" w:cstheme="minorHAnsi"/>
                <w:color w:val="3B3838" w:themeColor="background2" w:themeShade="40"/>
                <w:sz w:val="20"/>
                <w:szCs w:val="20"/>
              </w:rPr>
              <w:t>PCa</w:t>
            </w:r>
            <w:proofErr w:type="spellEnd"/>
          </w:p>
        </w:tc>
        <w:tc>
          <w:tcPr>
            <w:tcW w:w="1392" w:type="dxa"/>
          </w:tcPr>
          <w:p w14:paraId="77334E5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Indolent </w:t>
            </w:r>
            <w:proofErr w:type="spellStart"/>
            <w:r w:rsidRPr="00784B41">
              <w:rPr>
                <w:rFonts w:ascii="Cambria" w:hAnsi="Cambria" w:cstheme="minorHAnsi"/>
                <w:color w:val="3B3838" w:themeColor="background2" w:themeShade="40"/>
                <w:sz w:val="20"/>
                <w:szCs w:val="20"/>
              </w:rPr>
              <w:t>PCa</w:t>
            </w:r>
            <w:proofErr w:type="spellEnd"/>
          </w:p>
        </w:tc>
        <w:tc>
          <w:tcPr>
            <w:tcW w:w="1470" w:type="dxa"/>
          </w:tcPr>
          <w:p w14:paraId="0651A9C4" w14:textId="77777777" w:rsidR="00EE7EB3" w:rsidRPr="00784B41" w:rsidRDefault="00EE7EB3" w:rsidP="00F233D4">
            <w:pPr>
              <w:jc w:val="center"/>
              <w:rPr>
                <w:rFonts w:ascii="Cambria" w:hAnsi="Cambria" w:cstheme="minorHAnsi"/>
                <w:b/>
                <w:bCs/>
                <w:color w:val="3B3838" w:themeColor="background2" w:themeShade="40"/>
                <w:sz w:val="20"/>
                <w:szCs w:val="20"/>
              </w:rPr>
            </w:pPr>
            <w:r w:rsidRPr="00784B41">
              <w:rPr>
                <w:rFonts w:ascii="Cambria" w:hAnsi="Cambria" w:cstheme="minorHAnsi"/>
                <w:color w:val="3B3838" w:themeColor="background2" w:themeShade="40"/>
                <w:sz w:val="20"/>
                <w:szCs w:val="20"/>
              </w:rPr>
              <w:t xml:space="preserve">Aggressive </w:t>
            </w:r>
            <w:proofErr w:type="spellStart"/>
            <w:r w:rsidRPr="00784B41">
              <w:rPr>
                <w:rFonts w:ascii="Cambria" w:hAnsi="Cambria" w:cstheme="minorHAnsi"/>
                <w:color w:val="3B3838" w:themeColor="background2" w:themeShade="40"/>
                <w:sz w:val="20"/>
                <w:szCs w:val="20"/>
              </w:rPr>
              <w:t>PCa</w:t>
            </w:r>
            <w:proofErr w:type="spellEnd"/>
          </w:p>
        </w:tc>
        <w:tc>
          <w:tcPr>
            <w:cnfStyle w:val="000100000000" w:firstRow="0" w:lastRow="0" w:firstColumn="0" w:lastColumn="1" w:oddVBand="0" w:evenVBand="0" w:oddHBand="0" w:evenHBand="0" w:firstRowFirstColumn="0" w:firstRowLastColumn="0" w:lastRowFirstColumn="0" w:lastRowLastColumn="0"/>
            <w:tcW w:w="1494" w:type="dxa"/>
          </w:tcPr>
          <w:p w14:paraId="05EA7A61"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sidRPr="0082575D">
              <w:rPr>
                <w:rFonts w:ascii="Cambria" w:hAnsi="Cambria" w:cstheme="minorHAnsi"/>
                <w:b w:val="0"/>
                <w:bCs w:val="0"/>
                <w:color w:val="3B3838" w:themeColor="background2" w:themeShade="40"/>
                <w:sz w:val="20"/>
                <w:szCs w:val="20"/>
              </w:rPr>
              <w:t>GS 3+4</w:t>
            </w:r>
          </w:p>
        </w:tc>
      </w:tr>
      <w:tr w:rsidR="00EE7EB3" w:rsidRPr="00784B41" w14:paraId="16092994" w14:textId="77777777" w:rsidTr="00F233D4">
        <w:trPr>
          <w:gridAfter w:val="1"/>
          <w:wAfter w:w="12" w:type="dxa"/>
          <w:trHeight w:val="170"/>
        </w:trPr>
        <w:tc>
          <w:tcPr>
            <w:tcW w:w="1704" w:type="dxa"/>
          </w:tcPr>
          <w:p w14:paraId="4800DE8E"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lang w:eastAsia="en-GB"/>
              </w:rPr>
              <w:t>Patients (n)</w:t>
            </w:r>
          </w:p>
        </w:tc>
        <w:tc>
          <w:tcPr>
            <w:tcW w:w="1495" w:type="dxa"/>
          </w:tcPr>
          <w:p w14:paraId="6466C94C"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rPr>
              <w:t>20</w:t>
            </w:r>
          </w:p>
        </w:tc>
        <w:tc>
          <w:tcPr>
            <w:tcW w:w="1494" w:type="dxa"/>
          </w:tcPr>
          <w:p w14:paraId="56454F09" w14:textId="77777777" w:rsidR="00EE7EB3" w:rsidRPr="00784B41" w:rsidRDefault="00EE7EB3" w:rsidP="00F233D4">
            <w:pPr>
              <w:jc w:val="center"/>
              <w:rPr>
                <w:rFonts w:ascii="Cambria" w:hAnsi="Cambria" w:cstheme="minorHAnsi"/>
                <w:color w:val="3B3838" w:themeColor="background2" w:themeShade="40"/>
                <w:sz w:val="20"/>
                <w:szCs w:val="20"/>
                <w:lang w:eastAsia="en-GB"/>
              </w:rPr>
            </w:pPr>
            <w:r w:rsidRPr="00784B41">
              <w:rPr>
                <w:rFonts w:ascii="Cambria" w:hAnsi="Cambria" w:cstheme="minorHAnsi"/>
                <w:color w:val="3B3838" w:themeColor="background2" w:themeShade="40"/>
                <w:sz w:val="20"/>
                <w:szCs w:val="20"/>
              </w:rPr>
              <w:t>20</w:t>
            </w:r>
          </w:p>
        </w:tc>
        <w:tc>
          <w:tcPr>
            <w:tcW w:w="1392" w:type="dxa"/>
          </w:tcPr>
          <w:p w14:paraId="3BF5F1B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30</w:t>
            </w:r>
          </w:p>
        </w:tc>
        <w:tc>
          <w:tcPr>
            <w:tcW w:w="1470" w:type="dxa"/>
          </w:tcPr>
          <w:p w14:paraId="65471DCC" w14:textId="77777777" w:rsidR="00EE7EB3" w:rsidRPr="00784B41" w:rsidRDefault="00EE7EB3" w:rsidP="00F233D4">
            <w:pPr>
              <w:jc w:val="center"/>
              <w:rPr>
                <w:rFonts w:ascii="Cambria" w:hAnsi="Cambria" w:cstheme="minorHAnsi"/>
                <w:b/>
                <w:bCs/>
                <w:color w:val="3B3838" w:themeColor="background2" w:themeShade="40"/>
                <w:sz w:val="20"/>
                <w:szCs w:val="20"/>
              </w:rPr>
            </w:pPr>
            <w:r w:rsidRPr="00784B41">
              <w:rPr>
                <w:rFonts w:ascii="Cambria" w:hAnsi="Cambria" w:cstheme="minorHAnsi"/>
                <w:color w:val="3B3838" w:themeColor="background2" w:themeShade="40"/>
                <w:sz w:val="20"/>
                <w:szCs w:val="20"/>
              </w:rPr>
              <w:t>40</w:t>
            </w:r>
          </w:p>
        </w:tc>
        <w:tc>
          <w:tcPr>
            <w:cnfStyle w:val="000100000000" w:firstRow="0" w:lastRow="0" w:firstColumn="0" w:lastColumn="1" w:oddVBand="0" w:evenVBand="0" w:oddHBand="0" w:evenHBand="0" w:firstRowFirstColumn="0" w:firstRowLastColumn="0" w:lastRowFirstColumn="0" w:lastRowLastColumn="0"/>
            <w:tcW w:w="1494" w:type="dxa"/>
          </w:tcPr>
          <w:p w14:paraId="744F01E8"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sidRPr="0082575D">
              <w:rPr>
                <w:rFonts w:ascii="Cambria" w:hAnsi="Cambria" w:cstheme="minorHAnsi"/>
                <w:b w:val="0"/>
                <w:bCs w:val="0"/>
                <w:color w:val="3B3838" w:themeColor="background2" w:themeShade="40"/>
                <w:sz w:val="20"/>
                <w:szCs w:val="20"/>
              </w:rPr>
              <w:t>24</w:t>
            </w:r>
          </w:p>
        </w:tc>
      </w:tr>
      <w:tr w:rsidR="00EE7EB3" w:rsidRPr="00784B41" w14:paraId="58FFDF41" w14:textId="77777777" w:rsidTr="00F233D4">
        <w:trPr>
          <w:gridAfter w:val="1"/>
          <w:wAfter w:w="12" w:type="dxa"/>
          <w:trHeight w:val="170"/>
        </w:trPr>
        <w:tc>
          <w:tcPr>
            <w:tcW w:w="1704" w:type="dxa"/>
          </w:tcPr>
          <w:p w14:paraId="788CD5D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Median age, </w:t>
            </w:r>
            <w:proofErr w:type="spellStart"/>
            <w:r w:rsidRPr="00784B41">
              <w:rPr>
                <w:rFonts w:ascii="Cambria" w:hAnsi="Cambria" w:cstheme="minorHAnsi"/>
                <w:color w:val="3B3838" w:themeColor="background2" w:themeShade="40"/>
                <w:sz w:val="20"/>
                <w:szCs w:val="20"/>
              </w:rPr>
              <w:t>yr</w:t>
            </w:r>
            <w:proofErr w:type="spellEnd"/>
            <w:r w:rsidRPr="00784B41">
              <w:rPr>
                <w:rFonts w:ascii="Cambria" w:hAnsi="Cambria" w:cstheme="minorHAnsi"/>
                <w:color w:val="3B3838" w:themeColor="background2" w:themeShade="40"/>
                <w:sz w:val="20"/>
                <w:szCs w:val="20"/>
              </w:rPr>
              <w:t xml:space="preserve"> (range)</w:t>
            </w:r>
          </w:p>
        </w:tc>
        <w:tc>
          <w:tcPr>
            <w:tcW w:w="1495" w:type="dxa"/>
          </w:tcPr>
          <w:p w14:paraId="4DF3EF4C" w14:textId="77777777" w:rsidR="00EE7EB3"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62.5 </w:t>
            </w:r>
          </w:p>
          <w:p w14:paraId="223002F7"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(47</w:t>
            </w:r>
            <w:r w:rsidRPr="00784B41">
              <w:rPr>
                <w:rFonts w:ascii="Cambria" w:hAnsi="Cambria" w:cs="Calibri"/>
                <w:color w:val="3B3838" w:themeColor="background2" w:themeShade="40"/>
                <w:sz w:val="20"/>
                <w:szCs w:val="20"/>
              </w:rPr>
              <w:t>–</w:t>
            </w:r>
            <w:r w:rsidRPr="00784B41">
              <w:rPr>
                <w:rFonts w:ascii="Cambria" w:hAnsi="Cambria" w:cstheme="minorHAnsi"/>
                <w:color w:val="3B3838" w:themeColor="background2" w:themeShade="40"/>
                <w:sz w:val="20"/>
                <w:szCs w:val="20"/>
              </w:rPr>
              <w:t>73)</w:t>
            </w:r>
          </w:p>
        </w:tc>
        <w:tc>
          <w:tcPr>
            <w:tcW w:w="1494" w:type="dxa"/>
          </w:tcPr>
          <w:p w14:paraId="26EE74BB" w14:textId="77777777" w:rsidR="00EE7EB3"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65 </w:t>
            </w:r>
            <w:bookmarkStart w:id="58" w:name="OLE_LINK1"/>
          </w:p>
          <w:p w14:paraId="2500E9D9"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(52</w:t>
            </w:r>
            <w:r w:rsidRPr="00784B41">
              <w:rPr>
                <w:rFonts w:ascii="Cambria" w:hAnsi="Cambria" w:cs="Calibri"/>
                <w:color w:val="3B3838" w:themeColor="background2" w:themeShade="40"/>
                <w:sz w:val="20"/>
                <w:szCs w:val="20"/>
              </w:rPr>
              <w:t>–</w:t>
            </w:r>
            <w:r w:rsidRPr="00784B41">
              <w:rPr>
                <w:rFonts w:ascii="Cambria" w:hAnsi="Cambria" w:cstheme="minorHAnsi"/>
                <w:color w:val="3B3838" w:themeColor="background2" w:themeShade="40"/>
                <w:sz w:val="20"/>
                <w:szCs w:val="20"/>
              </w:rPr>
              <w:t>70)</w:t>
            </w:r>
            <w:bookmarkEnd w:id="58"/>
          </w:p>
        </w:tc>
        <w:tc>
          <w:tcPr>
            <w:tcW w:w="1392" w:type="dxa"/>
          </w:tcPr>
          <w:p w14:paraId="2F18015A" w14:textId="77777777" w:rsidR="00EE7EB3"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 xml:space="preserve">64 </w:t>
            </w:r>
          </w:p>
          <w:p w14:paraId="46F8932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(5</w:t>
            </w:r>
            <w:r>
              <w:rPr>
                <w:rFonts w:ascii="Cambria" w:hAnsi="Cambria" w:cstheme="minorHAnsi"/>
                <w:color w:val="3B3838" w:themeColor="background2" w:themeShade="40"/>
                <w:sz w:val="20"/>
                <w:szCs w:val="20"/>
              </w:rPr>
              <w:t>3</w:t>
            </w:r>
            <w:r w:rsidRPr="00784B41">
              <w:rPr>
                <w:rFonts w:ascii="Cambria" w:hAnsi="Cambria" w:cs="Calibri"/>
                <w:color w:val="3B3838" w:themeColor="background2" w:themeShade="40"/>
                <w:sz w:val="20"/>
                <w:szCs w:val="20"/>
              </w:rPr>
              <w:t>–</w:t>
            </w:r>
            <w:r w:rsidRPr="00784B41">
              <w:rPr>
                <w:rFonts w:ascii="Cambria" w:hAnsi="Cambria" w:cstheme="minorHAnsi"/>
                <w:color w:val="3B3838" w:themeColor="background2" w:themeShade="40"/>
                <w:sz w:val="20"/>
                <w:szCs w:val="20"/>
              </w:rPr>
              <w:t>7</w:t>
            </w:r>
            <w:r>
              <w:rPr>
                <w:rFonts w:ascii="Cambria" w:hAnsi="Cambria" w:cstheme="minorHAnsi"/>
                <w:color w:val="3B3838" w:themeColor="background2" w:themeShade="40"/>
                <w:sz w:val="20"/>
                <w:szCs w:val="20"/>
              </w:rPr>
              <w:t>5</w:t>
            </w:r>
            <w:r w:rsidRPr="00784B41">
              <w:rPr>
                <w:rFonts w:ascii="Cambria" w:hAnsi="Cambria" w:cstheme="minorHAnsi"/>
                <w:color w:val="3B3838" w:themeColor="background2" w:themeShade="40"/>
                <w:sz w:val="20"/>
                <w:szCs w:val="20"/>
              </w:rPr>
              <w:t>)</w:t>
            </w:r>
          </w:p>
        </w:tc>
        <w:tc>
          <w:tcPr>
            <w:tcW w:w="1470" w:type="dxa"/>
          </w:tcPr>
          <w:p w14:paraId="4932984F" w14:textId="77777777" w:rsidR="00EE7EB3"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 xml:space="preserve">65 </w:t>
            </w:r>
          </w:p>
          <w:p w14:paraId="3509F7A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w:t>
            </w:r>
            <w:r>
              <w:rPr>
                <w:rFonts w:ascii="Cambria" w:hAnsi="Cambria" w:cstheme="minorHAnsi"/>
                <w:color w:val="3B3838" w:themeColor="background2" w:themeShade="40"/>
                <w:sz w:val="20"/>
                <w:szCs w:val="20"/>
              </w:rPr>
              <w:t>53</w:t>
            </w:r>
            <w:r w:rsidRPr="00784B41">
              <w:rPr>
                <w:rFonts w:ascii="Cambria" w:hAnsi="Cambria" w:cs="Calibri"/>
                <w:color w:val="3B3838" w:themeColor="background2" w:themeShade="40"/>
                <w:sz w:val="20"/>
                <w:szCs w:val="20"/>
              </w:rPr>
              <w:t>–</w:t>
            </w:r>
            <w:r w:rsidRPr="00784B41">
              <w:rPr>
                <w:rFonts w:ascii="Cambria" w:hAnsi="Cambria" w:cstheme="minorHAnsi"/>
                <w:color w:val="3B3838" w:themeColor="background2" w:themeShade="40"/>
                <w:sz w:val="20"/>
                <w:szCs w:val="20"/>
              </w:rPr>
              <w:t>7</w:t>
            </w:r>
            <w:r>
              <w:rPr>
                <w:rFonts w:ascii="Cambria" w:hAnsi="Cambria" w:cstheme="minorHAnsi"/>
                <w:color w:val="3B3838" w:themeColor="background2" w:themeShade="40"/>
                <w:sz w:val="20"/>
                <w:szCs w:val="20"/>
              </w:rPr>
              <w:t>3</w:t>
            </w:r>
            <w:r w:rsidRPr="00784B41">
              <w:rPr>
                <w:rFonts w:ascii="Cambria" w:hAnsi="Cambria" w:cstheme="minorHAnsi"/>
                <w:color w:val="3B3838" w:themeColor="background2" w:themeShade="40"/>
                <w:sz w:val="20"/>
                <w:szCs w:val="20"/>
              </w:rPr>
              <w:t>)</w:t>
            </w:r>
          </w:p>
        </w:tc>
        <w:tc>
          <w:tcPr>
            <w:cnfStyle w:val="000100000000" w:firstRow="0" w:lastRow="0" w:firstColumn="0" w:lastColumn="1" w:oddVBand="0" w:evenVBand="0" w:oddHBand="0" w:evenHBand="0" w:firstRowFirstColumn="0" w:firstRowLastColumn="0" w:lastRowFirstColumn="0" w:lastRowLastColumn="0"/>
            <w:tcW w:w="1494" w:type="dxa"/>
          </w:tcPr>
          <w:p w14:paraId="5A6F6DAE" w14:textId="77777777" w:rsidR="00EE7EB3" w:rsidRPr="00CF1078" w:rsidRDefault="00EE7EB3" w:rsidP="00F233D4">
            <w:pPr>
              <w:jc w:val="center"/>
              <w:rPr>
                <w:rFonts w:ascii="Cambria" w:hAnsi="Cambria" w:cstheme="minorHAnsi"/>
                <w:b w:val="0"/>
                <w:bCs w:val="0"/>
                <w:color w:val="3B3838" w:themeColor="background2" w:themeShade="40"/>
                <w:sz w:val="20"/>
                <w:szCs w:val="20"/>
              </w:rPr>
            </w:pPr>
            <w:r w:rsidRPr="00CF1078">
              <w:rPr>
                <w:rFonts w:ascii="Cambria" w:hAnsi="Cambria" w:cstheme="minorHAnsi"/>
                <w:b w:val="0"/>
                <w:bCs w:val="0"/>
                <w:color w:val="3B3838" w:themeColor="background2" w:themeShade="40"/>
                <w:sz w:val="20"/>
                <w:szCs w:val="20"/>
              </w:rPr>
              <w:t>64</w:t>
            </w:r>
          </w:p>
          <w:p w14:paraId="7FCF9123"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sidRPr="0082575D">
              <w:rPr>
                <w:rFonts w:ascii="Cambria" w:hAnsi="Cambria" w:cstheme="minorHAnsi"/>
                <w:b w:val="0"/>
                <w:bCs w:val="0"/>
                <w:color w:val="3B3838" w:themeColor="background2" w:themeShade="40"/>
                <w:sz w:val="20"/>
                <w:szCs w:val="20"/>
              </w:rPr>
              <w:t>(5</w:t>
            </w:r>
            <w:r>
              <w:rPr>
                <w:rFonts w:ascii="Cambria" w:hAnsi="Cambria" w:cstheme="minorHAnsi"/>
                <w:b w:val="0"/>
                <w:bCs w:val="0"/>
                <w:color w:val="3B3838" w:themeColor="background2" w:themeShade="40"/>
                <w:sz w:val="20"/>
                <w:szCs w:val="20"/>
              </w:rPr>
              <w:t>3</w:t>
            </w:r>
            <w:r w:rsidRPr="0082575D">
              <w:rPr>
                <w:rFonts w:ascii="Cambria" w:hAnsi="Cambria" w:cs="Calibri"/>
                <w:b w:val="0"/>
                <w:bCs w:val="0"/>
                <w:color w:val="3B3838" w:themeColor="background2" w:themeShade="40"/>
                <w:sz w:val="20"/>
                <w:szCs w:val="20"/>
              </w:rPr>
              <w:t>–</w:t>
            </w:r>
            <w:r w:rsidRPr="0082575D">
              <w:rPr>
                <w:rFonts w:ascii="Cambria" w:hAnsi="Cambria" w:cstheme="minorHAnsi"/>
                <w:b w:val="0"/>
                <w:bCs w:val="0"/>
                <w:color w:val="3B3838" w:themeColor="background2" w:themeShade="40"/>
                <w:sz w:val="20"/>
                <w:szCs w:val="20"/>
              </w:rPr>
              <w:t>7</w:t>
            </w:r>
            <w:r>
              <w:rPr>
                <w:rFonts w:ascii="Cambria" w:hAnsi="Cambria" w:cstheme="minorHAnsi"/>
                <w:b w:val="0"/>
                <w:bCs w:val="0"/>
                <w:color w:val="3B3838" w:themeColor="background2" w:themeShade="40"/>
                <w:sz w:val="20"/>
                <w:szCs w:val="20"/>
              </w:rPr>
              <w:t>6</w:t>
            </w:r>
            <w:r w:rsidRPr="0082575D">
              <w:rPr>
                <w:rFonts w:ascii="Cambria" w:hAnsi="Cambria" w:cstheme="minorHAnsi"/>
                <w:b w:val="0"/>
                <w:bCs w:val="0"/>
                <w:color w:val="3B3838" w:themeColor="background2" w:themeShade="40"/>
                <w:sz w:val="20"/>
                <w:szCs w:val="20"/>
              </w:rPr>
              <w:t>)</w:t>
            </w:r>
          </w:p>
        </w:tc>
      </w:tr>
      <w:tr w:rsidR="00EE7EB3" w:rsidRPr="00784B41" w14:paraId="4FDC4018" w14:textId="77777777" w:rsidTr="00F233D4">
        <w:trPr>
          <w:gridAfter w:val="1"/>
          <w:wAfter w:w="12" w:type="dxa"/>
          <w:trHeight w:val="170"/>
        </w:trPr>
        <w:tc>
          <w:tcPr>
            <w:tcW w:w="1704" w:type="dxa"/>
          </w:tcPr>
          <w:p w14:paraId="6B249E0C"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Median PSA (range)</w:t>
            </w:r>
          </w:p>
        </w:tc>
        <w:tc>
          <w:tcPr>
            <w:tcW w:w="1495" w:type="dxa"/>
          </w:tcPr>
          <w:p w14:paraId="76D01F9A" w14:textId="77777777" w:rsidR="00EE7EB3"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6.1 </w:t>
            </w:r>
          </w:p>
          <w:p w14:paraId="295950D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(2.8</w:t>
            </w:r>
            <w:r w:rsidRPr="00784B41">
              <w:rPr>
                <w:rFonts w:ascii="Cambria" w:hAnsi="Cambria" w:cs="Calibri"/>
                <w:color w:val="3B3838" w:themeColor="background2" w:themeShade="40"/>
                <w:sz w:val="20"/>
                <w:szCs w:val="20"/>
              </w:rPr>
              <w:t>–17.6</w:t>
            </w:r>
            <w:r w:rsidRPr="00784B41">
              <w:rPr>
                <w:rFonts w:ascii="Cambria" w:hAnsi="Cambria" w:cstheme="minorHAnsi"/>
                <w:color w:val="3B3838" w:themeColor="background2" w:themeShade="40"/>
                <w:sz w:val="20"/>
                <w:szCs w:val="20"/>
              </w:rPr>
              <w:t>)</w:t>
            </w:r>
          </w:p>
        </w:tc>
        <w:tc>
          <w:tcPr>
            <w:tcW w:w="1494" w:type="dxa"/>
          </w:tcPr>
          <w:p w14:paraId="627FA96A" w14:textId="77777777" w:rsidR="00EE7EB3"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13.0 </w:t>
            </w:r>
          </w:p>
          <w:p w14:paraId="569328C4"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(6.8</w:t>
            </w:r>
            <w:r w:rsidRPr="00784B41">
              <w:rPr>
                <w:rFonts w:ascii="Cambria" w:hAnsi="Cambria" w:cs="Calibri"/>
                <w:color w:val="3B3838" w:themeColor="background2" w:themeShade="40"/>
                <w:sz w:val="20"/>
                <w:szCs w:val="20"/>
              </w:rPr>
              <w:t>–58.0</w:t>
            </w:r>
            <w:r w:rsidRPr="00784B41">
              <w:rPr>
                <w:rFonts w:ascii="Cambria" w:hAnsi="Cambria" w:cstheme="minorHAnsi"/>
                <w:color w:val="3B3838" w:themeColor="background2" w:themeShade="40"/>
                <w:sz w:val="20"/>
                <w:szCs w:val="20"/>
              </w:rPr>
              <w:t>)</w:t>
            </w:r>
          </w:p>
        </w:tc>
        <w:tc>
          <w:tcPr>
            <w:tcW w:w="1392" w:type="dxa"/>
          </w:tcPr>
          <w:p w14:paraId="668FB833" w14:textId="77777777" w:rsidR="00EE7EB3"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 xml:space="preserve">5.1 </w:t>
            </w:r>
          </w:p>
          <w:p w14:paraId="329A63EE"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w:t>
            </w:r>
            <w:r>
              <w:rPr>
                <w:rFonts w:ascii="Cambria" w:hAnsi="Cambria" w:cstheme="minorHAnsi"/>
                <w:color w:val="3B3838" w:themeColor="background2" w:themeShade="40"/>
                <w:sz w:val="20"/>
                <w:szCs w:val="20"/>
              </w:rPr>
              <w:t>2</w:t>
            </w:r>
            <w:r w:rsidRPr="00784B41">
              <w:rPr>
                <w:rFonts w:ascii="Cambria" w:hAnsi="Cambria" w:cstheme="minorHAnsi"/>
                <w:color w:val="3B3838" w:themeColor="background2" w:themeShade="40"/>
                <w:sz w:val="20"/>
                <w:szCs w:val="20"/>
              </w:rPr>
              <w:t>.</w:t>
            </w:r>
            <w:r>
              <w:rPr>
                <w:rFonts w:ascii="Cambria" w:hAnsi="Cambria" w:cstheme="minorHAnsi"/>
                <w:color w:val="3B3838" w:themeColor="background2" w:themeShade="40"/>
                <w:sz w:val="20"/>
                <w:szCs w:val="20"/>
              </w:rPr>
              <w:t>5</w:t>
            </w:r>
            <w:r w:rsidRPr="00784B41">
              <w:rPr>
                <w:rFonts w:ascii="Cambria" w:hAnsi="Cambria" w:cs="Calibri"/>
                <w:color w:val="3B3838" w:themeColor="background2" w:themeShade="40"/>
                <w:sz w:val="20"/>
                <w:szCs w:val="20"/>
              </w:rPr>
              <w:t>–</w:t>
            </w:r>
            <w:r>
              <w:rPr>
                <w:rFonts w:ascii="Cambria" w:hAnsi="Cambria" w:cs="Calibri"/>
                <w:color w:val="3B3838" w:themeColor="background2" w:themeShade="40"/>
                <w:sz w:val="20"/>
                <w:szCs w:val="20"/>
              </w:rPr>
              <w:t>11</w:t>
            </w:r>
            <w:r w:rsidRPr="00784B41">
              <w:rPr>
                <w:rFonts w:ascii="Cambria" w:hAnsi="Cambria" w:cs="Calibri"/>
                <w:color w:val="3B3838" w:themeColor="background2" w:themeShade="40"/>
                <w:sz w:val="20"/>
                <w:szCs w:val="20"/>
              </w:rPr>
              <w:t>.</w:t>
            </w:r>
            <w:r>
              <w:rPr>
                <w:rFonts w:ascii="Cambria" w:hAnsi="Cambria" w:cs="Calibri"/>
                <w:color w:val="3B3838" w:themeColor="background2" w:themeShade="40"/>
                <w:sz w:val="20"/>
                <w:szCs w:val="20"/>
              </w:rPr>
              <w:t>8</w:t>
            </w:r>
            <w:r w:rsidRPr="00784B41">
              <w:rPr>
                <w:rFonts w:ascii="Cambria" w:hAnsi="Cambria" w:cstheme="minorHAnsi"/>
                <w:color w:val="3B3838" w:themeColor="background2" w:themeShade="40"/>
                <w:sz w:val="20"/>
                <w:szCs w:val="20"/>
              </w:rPr>
              <w:t>)</w:t>
            </w:r>
          </w:p>
        </w:tc>
        <w:tc>
          <w:tcPr>
            <w:tcW w:w="1470" w:type="dxa"/>
          </w:tcPr>
          <w:p w14:paraId="67F86E69" w14:textId="77777777" w:rsidR="00EE7EB3"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11.3</w:t>
            </w:r>
          </w:p>
          <w:p w14:paraId="40B0A0E4"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w:t>
            </w:r>
            <w:r>
              <w:rPr>
                <w:rFonts w:ascii="Cambria" w:hAnsi="Cambria" w:cstheme="minorHAnsi"/>
                <w:color w:val="3B3838" w:themeColor="background2" w:themeShade="40"/>
                <w:sz w:val="20"/>
                <w:szCs w:val="20"/>
              </w:rPr>
              <w:t>3</w:t>
            </w:r>
            <w:r w:rsidRPr="00784B41">
              <w:rPr>
                <w:rFonts w:ascii="Cambria" w:hAnsi="Cambria" w:cstheme="minorHAnsi"/>
                <w:color w:val="3B3838" w:themeColor="background2" w:themeShade="40"/>
                <w:sz w:val="20"/>
                <w:szCs w:val="20"/>
              </w:rPr>
              <w:t>.</w:t>
            </w:r>
            <w:r>
              <w:rPr>
                <w:rFonts w:ascii="Cambria" w:hAnsi="Cambria" w:cstheme="minorHAnsi"/>
                <w:color w:val="3B3838" w:themeColor="background2" w:themeShade="40"/>
                <w:sz w:val="20"/>
                <w:szCs w:val="20"/>
              </w:rPr>
              <w:t>0</w:t>
            </w:r>
            <w:r w:rsidRPr="00784B41">
              <w:rPr>
                <w:rFonts w:ascii="Cambria" w:hAnsi="Cambria" w:cs="Calibri"/>
                <w:color w:val="3B3838" w:themeColor="background2" w:themeShade="40"/>
                <w:sz w:val="20"/>
                <w:szCs w:val="20"/>
              </w:rPr>
              <w:t>–</w:t>
            </w:r>
            <w:r>
              <w:rPr>
                <w:rFonts w:ascii="Cambria" w:hAnsi="Cambria" w:cs="Calibri"/>
                <w:color w:val="3B3838" w:themeColor="background2" w:themeShade="40"/>
                <w:sz w:val="20"/>
                <w:szCs w:val="20"/>
              </w:rPr>
              <w:t>80</w:t>
            </w:r>
            <w:r w:rsidRPr="00784B41">
              <w:rPr>
                <w:rFonts w:ascii="Cambria" w:hAnsi="Cambria" w:cs="Calibri"/>
                <w:color w:val="3B3838" w:themeColor="background2" w:themeShade="40"/>
                <w:sz w:val="20"/>
                <w:szCs w:val="20"/>
              </w:rPr>
              <w:t>.0</w:t>
            </w:r>
            <w:r w:rsidRPr="00784B41">
              <w:rPr>
                <w:rFonts w:ascii="Cambria" w:hAnsi="Cambria" w:cstheme="minorHAnsi"/>
                <w:color w:val="3B3838" w:themeColor="background2" w:themeShade="40"/>
                <w:sz w:val="20"/>
                <w:szCs w:val="20"/>
              </w:rPr>
              <w:t>)</w:t>
            </w:r>
          </w:p>
        </w:tc>
        <w:tc>
          <w:tcPr>
            <w:cnfStyle w:val="000100000000" w:firstRow="0" w:lastRow="0" w:firstColumn="0" w:lastColumn="1" w:oddVBand="0" w:evenVBand="0" w:oddHBand="0" w:evenHBand="0" w:firstRowFirstColumn="0" w:firstRowLastColumn="0" w:lastRowFirstColumn="0" w:lastRowLastColumn="0"/>
            <w:tcW w:w="1494" w:type="dxa"/>
          </w:tcPr>
          <w:p w14:paraId="53191023" w14:textId="77777777" w:rsidR="00EE7EB3" w:rsidRPr="009557C5" w:rsidRDefault="00EE7EB3" w:rsidP="00F233D4">
            <w:pPr>
              <w:jc w:val="center"/>
              <w:rPr>
                <w:rFonts w:ascii="Cambria" w:hAnsi="Cambria" w:cstheme="minorHAnsi"/>
                <w:b w:val="0"/>
                <w:bCs w:val="0"/>
                <w:color w:val="3B3838" w:themeColor="background2" w:themeShade="40"/>
                <w:sz w:val="20"/>
                <w:szCs w:val="20"/>
                <w:lang w:eastAsia="en-GB"/>
              </w:rPr>
            </w:pPr>
            <w:r w:rsidRPr="009557C5">
              <w:rPr>
                <w:rFonts w:ascii="Cambria" w:hAnsi="Cambria" w:cstheme="minorHAnsi"/>
                <w:b w:val="0"/>
                <w:bCs w:val="0"/>
                <w:color w:val="3B3838" w:themeColor="background2" w:themeShade="40"/>
                <w:sz w:val="20"/>
                <w:szCs w:val="20"/>
                <w:lang w:eastAsia="en-GB"/>
              </w:rPr>
              <w:t>7.7</w:t>
            </w:r>
          </w:p>
          <w:p w14:paraId="038CE93B" w14:textId="77777777" w:rsidR="00EE7EB3" w:rsidRPr="00987DD3" w:rsidRDefault="00EE7EB3" w:rsidP="00F233D4">
            <w:pPr>
              <w:jc w:val="center"/>
              <w:rPr>
                <w:rFonts w:ascii="Cambria" w:hAnsi="Cambria" w:cstheme="minorHAnsi"/>
                <w:b w:val="0"/>
                <w:bCs w:val="0"/>
                <w:color w:val="3B3838" w:themeColor="background2" w:themeShade="40"/>
                <w:sz w:val="20"/>
                <w:szCs w:val="20"/>
                <w:lang w:eastAsia="en-GB"/>
              </w:rPr>
            </w:pPr>
            <w:r w:rsidRPr="00987DD3">
              <w:rPr>
                <w:rFonts w:ascii="Cambria" w:hAnsi="Cambria" w:cstheme="minorHAnsi"/>
                <w:b w:val="0"/>
                <w:bCs w:val="0"/>
                <w:color w:val="3B3838" w:themeColor="background2" w:themeShade="40"/>
                <w:sz w:val="20"/>
                <w:szCs w:val="20"/>
              </w:rPr>
              <w:t>(</w:t>
            </w:r>
            <w:r>
              <w:rPr>
                <w:rFonts w:ascii="Cambria" w:hAnsi="Cambria" w:cstheme="minorHAnsi"/>
                <w:b w:val="0"/>
                <w:bCs w:val="0"/>
                <w:color w:val="3B3838" w:themeColor="background2" w:themeShade="40"/>
                <w:sz w:val="20"/>
                <w:szCs w:val="20"/>
              </w:rPr>
              <w:t>3.6</w:t>
            </w:r>
            <w:r w:rsidRPr="00987DD3">
              <w:rPr>
                <w:rFonts w:ascii="Cambria" w:hAnsi="Cambria" w:cs="Calibri"/>
                <w:b w:val="0"/>
                <w:bCs w:val="0"/>
                <w:color w:val="3B3838" w:themeColor="background2" w:themeShade="40"/>
                <w:sz w:val="20"/>
                <w:szCs w:val="20"/>
              </w:rPr>
              <w:t>–</w:t>
            </w:r>
            <w:r>
              <w:rPr>
                <w:rFonts w:ascii="Cambria" w:hAnsi="Cambria" w:cs="Calibri"/>
                <w:b w:val="0"/>
                <w:bCs w:val="0"/>
                <w:color w:val="3B3838" w:themeColor="background2" w:themeShade="40"/>
                <w:sz w:val="20"/>
                <w:szCs w:val="20"/>
              </w:rPr>
              <w:t>34</w:t>
            </w:r>
            <w:r w:rsidRPr="00987DD3">
              <w:rPr>
                <w:rFonts w:ascii="Cambria" w:hAnsi="Cambria" w:cs="Calibri"/>
                <w:b w:val="0"/>
                <w:bCs w:val="0"/>
                <w:color w:val="3B3838" w:themeColor="background2" w:themeShade="40"/>
                <w:sz w:val="20"/>
                <w:szCs w:val="20"/>
              </w:rPr>
              <w:t>.0</w:t>
            </w:r>
            <w:r w:rsidRPr="00987DD3">
              <w:rPr>
                <w:rFonts w:ascii="Cambria" w:hAnsi="Cambria" w:cstheme="minorHAnsi"/>
                <w:b w:val="0"/>
                <w:bCs w:val="0"/>
                <w:color w:val="3B3838" w:themeColor="background2" w:themeShade="40"/>
                <w:sz w:val="20"/>
                <w:szCs w:val="20"/>
              </w:rPr>
              <w:t>)</w:t>
            </w:r>
          </w:p>
        </w:tc>
      </w:tr>
      <w:tr w:rsidR="00EE7EB3" w:rsidRPr="00784B41" w14:paraId="7482E9E8" w14:textId="77777777" w:rsidTr="00F233D4">
        <w:trPr>
          <w:gridAfter w:val="1"/>
          <w:wAfter w:w="12" w:type="dxa"/>
          <w:trHeight w:val="170"/>
        </w:trPr>
        <w:tc>
          <w:tcPr>
            <w:tcW w:w="1704" w:type="dxa"/>
          </w:tcPr>
          <w:p w14:paraId="4F93B36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≤10 ng ml</w:t>
            </w:r>
          </w:p>
        </w:tc>
        <w:tc>
          <w:tcPr>
            <w:tcW w:w="1495" w:type="dxa"/>
          </w:tcPr>
          <w:p w14:paraId="7055883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16</w:t>
            </w:r>
          </w:p>
        </w:tc>
        <w:tc>
          <w:tcPr>
            <w:tcW w:w="1494" w:type="dxa"/>
          </w:tcPr>
          <w:p w14:paraId="1C56DEF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6</w:t>
            </w:r>
          </w:p>
        </w:tc>
        <w:tc>
          <w:tcPr>
            <w:tcW w:w="1392" w:type="dxa"/>
          </w:tcPr>
          <w:p w14:paraId="4BB3E2A0"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29</w:t>
            </w:r>
          </w:p>
        </w:tc>
        <w:tc>
          <w:tcPr>
            <w:tcW w:w="1470" w:type="dxa"/>
          </w:tcPr>
          <w:p w14:paraId="4F09DF81"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18</w:t>
            </w:r>
          </w:p>
        </w:tc>
        <w:tc>
          <w:tcPr>
            <w:cnfStyle w:val="000100000000" w:firstRow="0" w:lastRow="0" w:firstColumn="0" w:lastColumn="1" w:oddVBand="0" w:evenVBand="0" w:oddHBand="0" w:evenHBand="0" w:firstRowFirstColumn="0" w:firstRowLastColumn="0" w:lastRowFirstColumn="0" w:lastRowLastColumn="0"/>
            <w:tcW w:w="1494" w:type="dxa"/>
          </w:tcPr>
          <w:p w14:paraId="48D0275D"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Pr>
                <w:rFonts w:ascii="Cambria" w:hAnsi="Cambria" w:cstheme="minorHAnsi"/>
                <w:b w:val="0"/>
                <w:bCs w:val="0"/>
                <w:color w:val="3B3838" w:themeColor="background2" w:themeShade="40"/>
                <w:sz w:val="20"/>
                <w:szCs w:val="20"/>
              </w:rPr>
              <w:t>15</w:t>
            </w:r>
          </w:p>
        </w:tc>
      </w:tr>
      <w:tr w:rsidR="00EE7EB3" w:rsidRPr="00784B41" w14:paraId="1CD04970" w14:textId="77777777" w:rsidTr="00F233D4">
        <w:trPr>
          <w:gridAfter w:val="1"/>
          <w:wAfter w:w="12" w:type="dxa"/>
          <w:trHeight w:val="170"/>
        </w:trPr>
        <w:tc>
          <w:tcPr>
            <w:tcW w:w="1704" w:type="dxa"/>
          </w:tcPr>
          <w:p w14:paraId="5D54624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Calibri"/>
                <w:color w:val="3B3838" w:themeColor="background2" w:themeShade="40"/>
                <w:sz w:val="20"/>
                <w:szCs w:val="20"/>
              </w:rPr>
              <w:t>&gt;</w:t>
            </w:r>
            <w:r w:rsidRPr="00784B41">
              <w:rPr>
                <w:rFonts w:ascii="Cambria" w:hAnsi="Cambria" w:cstheme="minorHAnsi"/>
                <w:color w:val="3B3838" w:themeColor="background2" w:themeShade="40"/>
                <w:sz w:val="20"/>
                <w:szCs w:val="20"/>
              </w:rPr>
              <w:t>10 ng ml</w:t>
            </w:r>
          </w:p>
        </w:tc>
        <w:tc>
          <w:tcPr>
            <w:tcW w:w="1495" w:type="dxa"/>
          </w:tcPr>
          <w:p w14:paraId="094B983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4</w:t>
            </w:r>
          </w:p>
        </w:tc>
        <w:tc>
          <w:tcPr>
            <w:tcW w:w="1494" w:type="dxa"/>
          </w:tcPr>
          <w:p w14:paraId="341B159A"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14</w:t>
            </w:r>
          </w:p>
        </w:tc>
        <w:tc>
          <w:tcPr>
            <w:tcW w:w="1392" w:type="dxa"/>
          </w:tcPr>
          <w:p w14:paraId="0E188173"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1</w:t>
            </w:r>
          </w:p>
        </w:tc>
        <w:tc>
          <w:tcPr>
            <w:tcW w:w="1470" w:type="dxa"/>
          </w:tcPr>
          <w:p w14:paraId="5D2ADDB6"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22</w:t>
            </w:r>
          </w:p>
        </w:tc>
        <w:tc>
          <w:tcPr>
            <w:cnfStyle w:val="000100000000" w:firstRow="0" w:lastRow="0" w:firstColumn="0" w:lastColumn="1" w:oddVBand="0" w:evenVBand="0" w:oddHBand="0" w:evenHBand="0" w:firstRowFirstColumn="0" w:firstRowLastColumn="0" w:lastRowFirstColumn="0" w:lastRowLastColumn="0"/>
            <w:tcW w:w="1494" w:type="dxa"/>
          </w:tcPr>
          <w:p w14:paraId="50886D27"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Pr>
                <w:rFonts w:ascii="Cambria" w:hAnsi="Cambria" w:cstheme="minorHAnsi"/>
                <w:b w:val="0"/>
                <w:bCs w:val="0"/>
                <w:color w:val="3B3838" w:themeColor="background2" w:themeShade="40"/>
                <w:sz w:val="20"/>
                <w:szCs w:val="20"/>
              </w:rPr>
              <w:t>9</w:t>
            </w:r>
          </w:p>
        </w:tc>
      </w:tr>
      <w:tr w:rsidR="00EE7EB3" w:rsidRPr="00784B41" w14:paraId="28E5A30F" w14:textId="77777777" w:rsidTr="00F233D4">
        <w:trPr>
          <w:gridAfter w:val="1"/>
          <w:wAfter w:w="12" w:type="dxa"/>
          <w:trHeight w:val="170"/>
        </w:trPr>
        <w:tc>
          <w:tcPr>
            <w:tcW w:w="1704" w:type="dxa"/>
          </w:tcPr>
          <w:p w14:paraId="7D9E001C"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 xml:space="preserve">Tumour </w:t>
            </w:r>
            <w:r w:rsidRPr="00784B41">
              <w:rPr>
                <w:rFonts w:ascii="Cambria" w:hAnsi="Cambria" w:cstheme="minorHAnsi"/>
                <w:color w:val="3B3838" w:themeColor="background2" w:themeShade="40"/>
                <w:sz w:val="20"/>
                <w:szCs w:val="20"/>
              </w:rPr>
              <w:t>stage, n</w:t>
            </w:r>
          </w:p>
        </w:tc>
        <w:tc>
          <w:tcPr>
            <w:tcW w:w="1495" w:type="dxa"/>
          </w:tcPr>
          <w:p w14:paraId="31773BBE"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463BAE62"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392" w:type="dxa"/>
          </w:tcPr>
          <w:p w14:paraId="7A9DAE94"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0E3F60D3" w14:textId="77777777" w:rsidR="00EE7EB3" w:rsidRPr="00784B41" w:rsidRDefault="00EE7EB3" w:rsidP="00F233D4">
            <w:pPr>
              <w:jc w:val="center"/>
              <w:rPr>
                <w:rFonts w:ascii="Cambria" w:hAnsi="Cambria" w:cstheme="minorHAns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94" w:type="dxa"/>
          </w:tcPr>
          <w:p w14:paraId="30723846"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7DAF0EE0" w14:textId="77777777" w:rsidTr="00F233D4">
        <w:trPr>
          <w:gridAfter w:val="1"/>
          <w:wAfter w:w="12" w:type="dxa"/>
          <w:trHeight w:val="170"/>
        </w:trPr>
        <w:tc>
          <w:tcPr>
            <w:tcW w:w="1704" w:type="dxa"/>
            <w:vAlign w:val="center"/>
          </w:tcPr>
          <w:p w14:paraId="0CAD30D2" w14:textId="77777777" w:rsidR="00EE7EB3" w:rsidRPr="0082575D" w:rsidRDefault="00EE7EB3" w:rsidP="00F233D4">
            <w:pPr>
              <w:jc w:val="center"/>
              <w:rPr>
                <w:rFonts w:ascii="Cambria" w:hAnsi="Cambria" w:cstheme="minorHAnsi"/>
                <w:color w:val="3B3838" w:themeColor="background2" w:themeShade="40"/>
                <w:sz w:val="20"/>
                <w:szCs w:val="20"/>
              </w:rPr>
            </w:pPr>
            <w:r w:rsidRPr="0082575D">
              <w:rPr>
                <w:rFonts w:ascii="Cambria" w:hAnsi="Cambria" w:cstheme="minorHAnsi"/>
                <w:color w:val="3B3838" w:themeColor="background2" w:themeShade="40"/>
                <w:sz w:val="20"/>
                <w:szCs w:val="20"/>
              </w:rPr>
              <w:t>T1a</w:t>
            </w:r>
            <w:r w:rsidRPr="0082575D">
              <w:rPr>
                <w:rFonts w:ascii="Cambria" w:hAnsi="Cambria" w:cs="Calibri"/>
                <w:color w:val="3B3838" w:themeColor="background2" w:themeShade="40"/>
                <w:sz w:val="20"/>
                <w:szCs w:val="20"/>
              </w:rPr>
              <w:t>–</w:t>
            </w:r>
            <w:r w:rsidRPr="0082575D">
              <w:rPr>
                <w:rFonts w:ascii="Cambria" w:hAnsi="Cambria" w:cstheme="minorHAnsi"/>
                <w:color w:val="3B3838" w:themeColor="background2" w:themeShade="40"/>
                <w:sz w:val="20"/>
                <w:szCs w:val="20"/>
              </w:rPr>
              <w:t>c</w:t>
            </w:r>
          </w:p>
        </w:tc>
        <w:tc>
          <w:tcPr>
            <w:tcW w:w="1495" w:type="dxa"/>
          </w:tcPr>
          <w:p w14:paraId="6B36AEDF"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2BDF7EE6"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392" w:type="dxa"/>
          </w:tcPr>
          <w:p w14:paraId="381407F6"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73822A00" w14:textId="77777777" w:rsidR="00EE7EB3" w:rsidRPr="00784B41" w:rsidRDefault="00EE7EB3" w:rsidP="00F233D4">
            <w:pPr>
              <w:jc w:val="center"/>
              <w:rPr>
                <w:rFonts w:ascii="Cambria" w:hAnsi="Cambria" w:cstheme="minorHAns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94" w:type="dxa"/>
          </w:tcPr>
          <w:p w14:paraId="639246B2"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56986CBC" w14:textId="77777777" w:rsidTr="00F233D4">
        <w:trPr>
          <w:gridAfter w:val="1"/>
          <w:wAfter w:w="12" w:type="dxa"/>
          <w:trHeight w:val="170"/>
        </w:trPr>
        <w:tc>
          <w:tcPr>
            <w:tcW w:w="1704" w:type="dxa"/>
            <w:vAlign w:val="center"/>
          </w:tcPr>
          <w:p w14:paraId="3FDA9D03" w14:textId="77777777" w:rsidR="00EE7EB3" w:rsidRPr="0082575D" w:rsidRDefault="00EE7EB3" w:rsidP="00F233D4">
            <w:pPr>
              <w:jc w:val="center"/>
              <w:rPr>
                <w:rFonts w:ascii="Cambria" w:hAnsi="Cambria" w:cstheme="minorHAnsi"/>
                <w:color w:val="3B3838" w:themeColor="background2" w:themeShade="40"/>
                <w:sz w:val="20"/>
                <w:szCs w:val="20"/>
              </w:rPr>
            </w:pPr>
            <w:r w:rsidRPr="0082575D">
              <w:rPr>
                <w:rFonts w:ascii="Cambria" w:hAnsi="Cambria" w:cstheme="minorHAnsi"/>
                <w:color w:val="3B3838" w:themeColor="background2" w:themeShade="40"/>
                <w:sz w:val="20"/>
                <w:szCs w:val="20"/>
              </w:rPr>
              <w:t>T2a</w:t>
            </w:r>
            <w:r w:rsidRPr="0082575D">
              <w:rPr>
                <w:rFonts w:ascii="Cambria" w:hAnsi="Cambria" w:cs="Calibri"/>
                <w:color w:val="3B3838" w:themeColor="background2" w:themeShade="40"/>
                <w:sz w:val="20"/>
                <w:szCs w:val="20"/>
              </w:rPr>
              <w:t>–</w:t>
            </w:r>
            <w:r w:rsidRPr="0082575D">
              <w:rPr>
                <w:rFonts w:ascii="Cambria" w:hAnsi="Cambria" w:cstheme="minorHAnsi"/>
                <w:color w:val="3B3838" w:themeColor="background2" w:themeShade="40"/>
                <w:sz w:val="20"/>
                <w:szCs w:val="20"/>
              </w:rPr>
              <w:t>c</w:t>
            </w:r>
          </w:p>
        </w:tc>
        <w:tc>
          <w:tcPr>
            <w:tcW w:w="1495" w:type="dxa"/>
          </w:tcPr>
          <w:p w14:paraId="40C65CD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20</w:t>
            </w:r>
          </w:p>
        </w:tc>
        <w:tc>
          <w:tcPr>
            <w:tcW w:w="1494" w:type="dxa"/>
          </w:tcPr>
          <w:p w14:paraId="14E3D13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4</w:t>
            </w:r>
          </w:p>
        </w:tc>
        <w:tc>
          <w:tcPr>
            <w:tcW w:w="1392" w:type="dxa"/>
          </w:tcPr>
          <w:p w14:paraId="02DEC8B0"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30</w:t>
            </w:r>
          </w:p>
        </w:tc>
        <w:tc>
          <w:tcPr>
            <w:tcW w:w="1470" w:type="dxa"/>
          </w:tcPr>
          <w:p w14:paraId="37C5ABE7"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8</w:t>
            </w:r>
          </w:p>
        </w:tc>
        <w:tc>
          <w:tcPr>
            <w:cnfStyle w:val="000100000000" w:firstRow="0" w:lastRow="0" w:firstColumn="0" w:lastColumn="1" w:oddVBand="0" w:evenVBand="0" w:oddHBand="0" w:evenHBand="0" w:firstRowFirstColumn="0" w:firstRowLastColumn="0" w:lastRowFirstColumn="0" w:lastRowLastColumn="0"/>
            <w:tcW w:w="1494" w:type="dxa"/>
          </w:tcPr>
          <w:p w14:paraId="35609DF4"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Pr>
                <w:rFonts w:ascii="Cambria" w:hAnsi="Cambria" w:cstheme="minorHAnsi"/>
                <w:b w:val="0"/>
                <w:bCs w:val="0"/>
                <w:color w:val="3B3838" w:themeColor="background2" w:themeShade="40"/>
                <w:sz w:val="20"/>
                <w:szCs w:val="20"/>
              </w:rPr>
              <w:t>16</w:t>
            </w:r>
          </w:p>
        </w:tc>
      </w:tr>
      <w:tr w:rsidR="00EE7EB3" w:rsidRPr="00784B41" w14:paraId="7B583A4E" w14:textId="77777777" w:rsidTr="00F233D4">
        <w:trPr>
          <w:gridAfter w:val="1"/>
          <w:wAfter w:w="12" w:type="dxa"/>
          <w:trHeight w:val="170"/>
        </w:trPr>
        <w:tc>
          <w:tcPr>
            <w:tcW w:w="1704" w:type="dxa"/>
            <w:vAlign w:val="center"/>
          </w:tcPr>
          <w:p w14:paraId="309052FF" w14:textId="77777777" w:rsidR="00EE7EB3" w:rsidRPr="0082575D" w:rsidRDefault="00EE7EB3" w:rsidP="00F233D4">
            <w:pPr>
              <w:jc w:val="center"/>
              <w:rPr>
                <w:rFonts w:ascii="Cambria" w:hAnsi="Cambria" w:cstheme="minorHAnsi"/>
                <w:color w:val="3B3838" w:themeColor="background2" w:themeShade="40"/>
                <w:sz w:val="20"/>
                <w:szCs w:val="20"/>
              </w:rPr>
            </w:pPr>
            <w:r w:rsidRPr="0082575D">
              <w:rPr>
                <w:rFonts w:ascii="Cambria" w:hAnsi="Cambria" w:cstheme="minorHAnsi"/>
                <w:color w:val="3B3838" w:themeColor="background2" w:themeShade="40"/>
                <w:sz w:val="20"/>
                <w:szCs w:val="20"/>
              </w:rPr>
              <w:t>T3a</w:t>
            </w:r>
            <w:r w:rsidRPr="0082575D">
              <w:rPr>
                <w:rFonts w:ascii="Cambria" w:hAnsi="Cambria" w:cs="Calibri"/>
                <w:color w:val="3B3838" w:themeColor="background2" w:themeShade="40"/>
                <w:sz w:val="20"/>
                <w:szCs w:val="20"/>
              </w:rPr>
              <w:t>–</w:t>
            </w:r>
            <w:r w:rsidRPr="0082575D">
              <w:rPr>
                <w:rFonts w:ascii="Cambria" w:hAnsi="Cambria" w:cstheme="minorHAnsi"/>
                <w:color w:val="3B3838" w:themeColor="background2" w:themeShade="40"/>
                <w:sz w:val="20"/>
                <w:szCs w:val="20"/>
              </w:rPr>
              <w:t>c</w:t>
            </w:r>
          </w:p>
        </w:tc>
        <w:tc>
          <w:tcPr>
            <w:tcW w:w="1495" w:type="dxa"/>
          </w:tcPr>
          <w:p w14:paraId="2BCCCD4A"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6AEC62C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16</w:t>
            </w:r>
          </w:p>
        </w:tc>
        <w:tc>
          <w:tcPr>
            <w:tcW w:w="1392" w:type="dxa"/>
          </w:tcPr>
          <w:p w14:paraId="09955BE9"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41F3AC5F"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31</w:t>
            </w:r>
          </w:p>
        </w:tc>
        <w:tc>
          <w:tcPr>
            <w:cnfStyle w:val="000100000000" w:firstRow="0" w:lastRow="0" w:firstColumn="0" w:lastColumn="1" w:oddVBand="0" w:evenVBand="0" w:oddHBand="0" w:evenHBand="0" w:firstRowFirstColumn="0" w:firstRowLastColumn="0" w:lastRowFirstColumn="0" w:lastRowLastColumn="0"/>
            <w:tcW w:w="1494" w:type="dxa"/>
          </w:tcPr>
          <w:p w14:paraId="3C28913A"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Pr>
                <w:rFonts w:ascii="Cambria" w:hAnsi="Cambria" w:cstheme="minorHAnsi"/>
                <w:b w:val="0"/>
                <w:bCs w:val="0"/>
                <w:color w:val="3B3838" w:themeColor="background2" w:themeShade="40"/>
                <w:sz w:val="20"/>
                <w:szCs w:val="20"/>
              </w:rPr>
              <w:t>8</w:t>
            </w:r>
          </w:p>
        </w:tc>
      </w:tr>
      <w:tr w:rsidR="00EE7EB3" w:rsidRPr="00784B41" w14:paraId="5E33FC1E" w14:textId="77777777" w:rsidTr="00F233D4">
        <w:trPr>
          <w:gridAfter w:val="1"/>
          <w:wAfter w:w="12" w:type="dxa"/>
          <w:trHeight w:val="170"/>
        </w:trPr>
        <w:tc>
          <w:tcPr>
            <w:tcW w:w="1704" w:type="dxa"/>
            <w:vAlign w:val="center"/>
          </w:tcPr>
          <w:p w14:paraId="02C1B32F" w14:textId="77777777" w:rsidR="00EE7EB3" w:rsidRPr="0082575D" w:rsidRDefault="00EE7EB3" w:rsidP="00F233D4">
            <w:pPr>
              <w:jc w:val="center"/>
              <w:rPr>
                <w:rFonts w:ascii="Cambria" w:hAnsi="Cambria" w:cstheme="minorHAnsi"/>
                <w:color w:val="3B3838" w:themeColor="background2" w:themeShade="40"/>
                <w:sz w:val="20"/>
                <w:szCs w:val="20"/>
              </w:rPr>
            </w:pPr>
            <w:r w:rsidRPr="0082575D">
              <w:rPr>
                <w:rFonts w:ascii="Cambria" w:hAnsi="Cambria" w:cstheme="minorHAnsi"/>
                <w:color w:val="3B3838" w:themeColor="background2" w:themeShade="40"/>
                <w:sz w:val="20"/>
                <w:szCs w:val="20"/>
              </w:rPr>
              <w:t>T4</w:t>
            </w:r>
          </w:p>
        </w:tc>
        <w:tc>
          <w:tcPr>
            <w:tcW w:w="1495" w:type="dxa"/>
          </w:tcPr>
          <w:p w14:paraId="5C03B477"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152F2163"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392" w:type="dxa"/>
          </w:tcPr>
          <w:p w14:paraId="4C208983"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1748496C"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1</w:t>
            </w:r>
          </w:p>
        </w:tc>
        <w:tc>
          <w:tcPr>
            <w:cnfStyle w:val="000100000000" w:firstRow="0" w:lastRow="0" w:firstColumn="0" w:lastColumn="1" w:oddVBand="0" w:evenVBand="0" w:oddHBand="0" w:evenHBand="0" w:firstRowFirstColumn="0" w:firstRowLastColumn="0" w:lastRowFirstColumn="0" w:lastRowLastColumn="0"/>
            <w:tcW w:w="1494" w:type="dxa"/>
          </w:tcPr>
          <w:p w14:paraId="4B357E1D"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56E8F36F" w14:textId="77777777" w:rsidTr="00F233D4">
        <w:trPr>
          <w:gridAfter w:val="1"/>
          <w:wAfter w:w="12" w:type="dxa"/>
          <w:trHeight w:val="170"/>
        </w:trPr>
        <w:tc>
          <w:tcPr>
            <w:tcW w:w="1704" w:type="dxa"/>
          </w:tcPr>
          <w:p w14:paraId="0B5C0616"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Gleason score, n</w:t>
            </w:r>
          </w:p>
        </w:tc>
        <w:tc>
          <w:tcPr>
            <w:tcW w:w="1495" w:type="dxa"/>
          </w:tcPr>
          <w:p w14:paraId="64621EC8"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2343BF9E"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392" w:type="dxa"/>
          </w:tcPr>
          <w:p w14:paraId="791AC585"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13187734" w14:textId="77777777" w:rsidR="00EE7EB3" w:rsidRPr="00784B41" w:rsidRDefault="00EE7EB3" w:rsidP="00F233D4">
            <w:pPr>
              <w:jc w:val="center"/>
              <w:rPr>
                <w:rFonts w:ascii="Cambria" w:hAnsi="Cambria" w:cstheme="minorHAns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94" w:type="dxa"/>
          </w:tcPr>
          <w:p w14:paraId="2CA1D158"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3BF4E7D9" w14:textId="77777777" w:rsidTr="00F233D4">
        <w:trPr>
          <w:gridAfter w:val="1"/>
          <w:wAfter w:w="12" w:type="dxa"/>
          <w:trHeight w:val="170"/>
        </w:trPr>
        <w:tc>
          <w:tcPr>
            <w:tcW w:w="1704" w:type="dxa"/>
          </w:tcPr>
          <w:p w14:paraId="41CFDAB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&lt;7</w:t>
            </w:r>
          </w:p>
        </w:tc>
        <w:tc>
          <w:tcPr>
            <w:tcW w:w="1495" w:type="dxa"/>
          </w:tcPr>
          <w:p w14:paraId="5E058B52"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 xml:space="preserve">20 </w:t>
            </w:r>
          </w:p>
        </w:tc>
        <w:tc>
          <w:tcPr>
            <w:tcW w:w="1494" w:type="dxa"/>
          </w:tcPr>
          <w:p w14:paraId="15BEAC86"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392" w:type="dxa"/>
          </w:tcPr>
          <w:p w14:paraId="4EED3B17"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30</w:t>
            </w:r>
          </w:p>
        </w:tc>
        <w:tc>
          <w:tcPr>
            <w:tcW w:w="1470" w:type="dxa"/>
          </w:tcPr>
          <w:p w14:paraId="7E00B3D9" w14:textId="77777777" w:rsidR="00EE7EB3" w:rsidRPr="00784B41" w:rsidRDefault="00EE7EB3" w:rsidP="00F233D4">
            <w:pPr>
              <w:jc w:val="center"/>
              <w:rPr>
                <w:rFonts w:ascii="Cambria" w:hAnsi="Cambria" w:cstheme="minorHAns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94" w:type="dxa"/>
          </w:tcPr>
          <w:p w14:paraId="7C008B82"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7A8235DB" w14:textId="77777777" w:rsidTr="00F233D4">
        <w:trPr>
          <w:gridAfter w:val="1"/>
          <w:wAfter w:w="12" w:type="dxa"/>
          <w:trHeight w:val="170"/>
        </w:trPr>
        <w:tc>
          <w:tcPr>
            <w:tcW w:w="1704" w:type="dxa"/>
          </w:tcPr>
          <w:p w14:paraId="3D6F3FC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7</w:t>
            </w:r>
            <w:r w:rsidRPr="00784B41">
              <w:rPr>
                <w:rFonts w:ascii="Cambria" w:hAnsi="Cambria" w:cs="Calibri"/>
                <w:color w:val="3B3838" w:themeColor="background2" w:themeShade="40"/>
                <w:sz w:val="20"/>
                <w:szCs w:val="20"/>
              </w:rPr>
              <w:t>–8</w:t>
            </w:r>
          </w:p>
        </w:tc>
        <w:tc>
          <w:tcPr>
            <w:tcW w:w="1495" w:type="dxa"/>
          </w:tcPr>
          <w:p w14:paraId="6FEEAE3A"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329EC75B"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17</w:t>
            </w:r>
          </w:p>
        </w:tc>
        <w:tc>
          <w:tcPr>
            <w:tcW w:w="1392" w:type="dxa"/>
          </w:tcPr>
          <w:p w14:paraId="1052B146"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4F677B48"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29</w:t>
            </w:r>
          </w:p>
        </w:tc>
        <w:tc>
          <w:tcPr>
            <w:cnfStyle w:val="000100000000" w:firstRow="0" w:lastRow="0" w:firstColumn="0" w:lastColumn="1" w:oddVBand="0" w:evenVBand="0" w:oddHBand="0" w:evenHBand="0" w:firstRowFirstColumn="0" w:firstRowLastColumn="0" w:lastRowFirstColumn="0" w:lastRowLastColumn="0"/>
            <w:tcW w:w="1494" w:type="dxa"/>
          </w:tcPr>
          <w:p w14:paraId="4FF1637B"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Pr>
                <w:rFonts w:ascii="Cambria" w:hAnsi="Cambria" w:cstheme="minorHAnsi"/>
                <w:b w:val="0"/>
                <w:bCs w:val="0"/>
                <w:color w:val="3B3838" w:themeColor="background2" w:themeShade="40"/>
                <w:sz w:val="20"/>
                <w:szCs w:val="20"/>
              </w:rPr>
              <w:t>24</w:t>
            </w:r>
          </w:p>
        </w:tc>
      </w:tr>
      <w:tr w:rsidR="00EE7EB3" w:rsidRPr="00784B41" w14:paraId="4D5AB498" w14:textId="77777777" w:rsidTr="00F233D4">
        <w:trPr>
          <w:gridAfter w:val="1"/>
          <w:wAfter w:w="12" w:type="dxa"/>
          <w:trHeight w:val="170"/>
        </w:trPr>
        <w:tc>
          <w:tcPr>
            <w:tcW w:w="1704" w:type="dxa"/>
          </w:tcPr>
          <w:p w14:paraId="7058FA08"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Calibri"/>
                <w:color w:val="3B3838" w:themeColor="background2" w:themeShade="40"/>
                <w:sz w:val="20"/>
                <w:szCs w:val="20"/>
              </w:rPr>
              <w:t>9–10</w:t>
            </w:r>
          </w:p>
        </w:tc>
        <w:tc>
          <w:tcPr>
            <w:tcW w:w="1495" w:type="dxa"/>
          </w:tcPr>
          <w:p w14:paraId="207CFF44"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76599F0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w:t>
            </w:r>
          </w:p>
        </w:tc>
        <w:tc>
          <w:tcPr>
            <w:tcW w:w="1392" w:type="dxa"/>
          </w:tcPr>
          <w:p w14:paraId="6735D841"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17B62F3A"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11</w:t>
            </w:r>
          </w:p>
        </w:tc>
        <w:tc>
          <w:tcPr>
            <w:cnfStyle w:val="000100000000" w:firstRow="0" w:lastRow="0" w:firstColumn="0" w:lastColumn="1" w:oddVBand="0" w:evenVBand="0" w:oddHBand="0" w:evenHBand="0" w:firstRowFirstColumn="0" w:firstRowLastColumn="0" w:lastRowFirstColumn="0" w:lastRowLastColumn="0"/>
            <w:tcW w:w="1494" w:type="dxa"/>
          </w:tcPr>
          <w:p w14:paraId="433E6FFA"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543769E4" w14:textId="77777777" w:rsidTr="00F233D4">
        <w:trPr>
          <w:gridAfter w:val="1"/>
          <w:wAfter w:w="12" w:type="dxa"/>
          <w:trHeight w:val="170"/>
        </w:trPr>
        <w:tc>
          <w:tcPr>
            <w:tcW w:w="1704" w:type="dxa"/>
          </w:tcPr>
          <w:p w14:paraId="2BCEFED7"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Grade group, n</w:t>
            </w:r>
          </w:p>
        </w:tc>
        <w:tc>
          <w:tcPr>
            <w:tcW w:w="1495" w:type="dxa"/>
          </w:tcPr>
          <w:p w14:paraId="3F134CDB"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627843B9"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392" w:type="dxa"/>
          </w:tcPr>
          <w:p w14:paraId="3ACB0C10"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1A9AA552" w14:textId="77777777" w:rsidR="00EE7EB3" w:rsidRPr="00784B41" w:rsidRDefault="00EE7EB3" w:rsidP="00F233D4">
            <w:pPr>
              <w:jc w:val="center"/>
              <w:rPr>
                <w:rFonts w:ascii="Cambria" w:hAnsi="Cambria" w:cstheme="minorHAns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94" w:type="dxa"/>
          </w:tcPr>
          <w:p w14:paraId="39C4F6A8"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2636868C" w14:textId="77777777" w:rsidTr="00F233D4">
        <w:trPr>
          <w:gridAfter w:val="1"/>
          <w:wAfter w:w="12" w:type="dxa"/>
          <w:trHeight w:val="170"/>
        </w:trPr>
        <w:tc>
          <w:tcPr>
            <w:tcW w:w="1704" w:type="dxa"/>
          </w:tcPr>
          <w:p w14:paraId="6CE62804"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w:t>
            </w:r>
          </w:p>
        </w:tc>
        <w:tc>
          <w:tcPr>
            <w:tcW w:w="1495" w:type="dxa"/>
          </w:tcPr>
          <w:p w14:paraId="549A19A3"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20</w:t>
            </w:r>
          </w:p>
        </w:tc>
        <w:tc>
          <w:tcPr>
            <w:tcW w:w="1494" w:type="dxa"/>
          </w:tcPr>
          <w:p w14:paraId="36D6698B"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392" w:type="dxa"/>
          </w:tcPr>
          <w:p w14:paraId="5A9BBF7A"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30</w:t>
            </w:r>
          </w:p>
        </w:tc>
        <w:tc>
          <w:tcPr>
            <w:tcW w:w="1470" w:type="dxa"/>
          </w:tcPr>
          <w:p w14:paraId="240D9E30" w14:textId="77777777" w:rsidR="00EE7EB3" w:rsidRPr="00784B41" w:rsidRDefault="00EE7EB3" w:rsidP="00F233D4">
            <w:pPr>
              <w:jc w:val="center"/>
              <w:rPr>
                <w:rFonts w:ascii="Cambria" w:hAnsi="Cambria" w:cstheme="minorHAns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94" w:type="dxa"/>
          </w:tcPr>
          <w:p w14:paraId="397A5C5F"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5110787B" w14:textId="77777777" w:rsidTr="00F233D4">
        <w:trPr>
          <w:gridAfter w:val="1"/>
          <w:wAfter w:w="12" w:type="dxa"/>
          <w:trHeight w:val="170"/>
        </w:trPr>
        <w:tc>
          <w:tcPr>
            <w:tcW w:w="1704" w:type="dxa"/>
          </w:tcPr>
          <w:p w14:paraId="14D48121"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2</w:t>
            </w:r>
          </w:p>
        </w:tc>
        <w:tc>
          <w:tcPr>
            <w:tcW w:w="1495" w:type="dxa"/>
          </w:tcPr>
          <w:p w14:paraId="376A816A"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0BF3A2B7"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392" w:type="dxa"/>
          </w:tcPr>
          <w:p w14:paraId="1CB60CD7"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0F175D17" w14:textId="77777777" w:rsidR="00EE7EB3" w:rsidRPr="00784B41" w:rsidRDefault="00EE7EB3" w:rsidP="00F233D4">
            <w:pPr>
              <w:jc w:val="center"/>
              <w:rPr>
                <w:rFonts w:ascii="Cambria" w:hAnsi="Cambria" w:cstheme="minorHAnsi"/>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494" w:type="dxa"/>
          </w:tcPr>
          <w:p w14:paraId="0E5AEBB0"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1321BBA2" w14:textId="77777777" w:rsidTr="00F233D4">
        <w:trPr>
          <w:gridAfter w:val="1"/>
          <w:wAfter w:w="12" w:type="dxa"/>
          <w:trHeight w:val="170"/>
        </w:trPr>
        <w:tc>
          <w:tcPr>
            <w:tcW w:w="1704" w:type="dxa"/>
          </w:tcPr>
          <w:p w14:paraId="7FEAF3B3" w14:textId="77777777" w:rsidR="00EE7EB3" w:rsidRPr="00784B41" w:rsidRDefault="00EE7EB3" w:rsidP="00F233D4">
            <w:pPr>
              <w:jc w:val="center"/>
              <w:rPr>
                <w:rFonts w:ascii="Cambria" w:hAnsi="Cambria" w:cs="Calibri"/>
                <w:color w:val="3B3838" w:themeColor="background2" w:themeShade="40"/>
                <w:sz w:val="20"/>
                <w:szCs w:val="20"/>
              </w:rPr>
            </w:pPr>
            <w:r w:rsidRPr="00784B41">
              <w:rPr>
                <w:rFonts w:ascii="Cambria" w:hAnsi="Cambria" w:cstheme="minorHAnsi"/>
                <w:color w:val="3B3838" w:themeColor="background2" w:themeShade="40"/>
                <w:sz w:val="20"/>
                <w:szCs w:val="20"/>
              </w:rPr>
              <w:t>3</w:t>
            </w:r>
          </w:p>
        </w:tc>
        <w:tc>
          <w:tcPr>
            <w:tcW w:w="1495" w:type="dxa"/>
          </w:tcPr>
          <w:p w14:paraId="7394253E"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1565A83F"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14</w:t>
            </w:r>
          </w:p>
        </w:tc>
        <w:tc>
          <w:tcPr>
            <w:tcW w:w="1392" w:type="dxa"/>
          </w:tcPr>
          <w:p w14:paraId="77F441F0"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70929835"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23</w:t>
            </w:r>
          </w:p>
        </w:tc>
        <w:tc>
          <w:tcPr>
            <w:cnfStyle w:val="000100000000" w:firstRow="0" w:lastRow="0" w:firstColumn="0" w:lastColumn="1" w:oddVBand="0" w:evenVBand="0" w:oddHBand="0" w:evenHBand="0" w:firstRowFirstColumn="0" w:firstRowLastColumn="0" w:lastRowFirstColumn="0" w:lastRowLastColumn="0"/>
            <w:tcW w:w="1494" w:type="dxa"/>
          </w:tcPr>
          <w:p w14:paraId="42E62B8E" w14:textId="77777777" w:rsidR="00EE7EB3" w:rsidRPr="0082575D" w:rsidRDefault="00EE7EB3" w:rsidP="00F233D4">
            <w:pPr>
              <w:jc w:val="center"/>
              <w:rPr>
                <w:rFonts w:ascii="Cambria" w:hAnsi="Cambria" w:cstheme="minorHAnsi"/>
                <w:b w:val="0"/>
                <w:bCs w:val="0"/>
                <w:color w:val="3B3838" w:themeColor="background2" w:themeShade="40"/>
                <w:sz w:val="20"/>
                <w:szCs w:val="20"/>
              </w:rPr>
            </w:pPr>
            <w:r>
              <w:rPr>
                <w:rFonts w:ascii="Cambria" w:hAnsi="Cambria" w:cstheme="minorHAnsi"/>
                <w:b w:val="0"/>
                <w:bCs w:val="0"/>
                <w:color w:val="3B3838" w:themeColor="background2" w:themeShade="40"/>
                <w:sz w:val="20"/>
                <w:szCs w:val="20"/>
              </w:rPr>
              <w:t>24</w:t>
            </w:r>
          </w:p>
        </w:tc>
      </w:tr>
      <w:tr w:rsidR="00EE7EB3" w:rsidRPr="00784B41" w14:paraId="2BF1C829" w14:textId="77777777" w:rsidTr="00F233D4">
        <w:trPr>
          <w:gridAfter w:val="1"/>
          <w:wAfter w:w="12" w:type="dxa"/>
          <w:trHeight w:val="170"/>
        </w:trPr>
        <w:tc>
          <w:tcPr>
            <w:tcW w:w="1704" w:type="dxa"/>
          </w:tcPr>
          <w:p w14:paraId="1027EF8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4</w:t>
            </w:r>
          </w:p>
        </w:tc>
        <w:tc>
          <w:tcPr>
            <w:tcW w:w="1495" w:type="dxa"/>
          </w:tcPr>
          <w:p w14:paraId="671DA274"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76EE18C0"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w:t>
            </w:r>
          </w:p>
        </w:tc>
        <w:tc>
          <w:tcPr>
            <w:tcW w:w="1392" w:type="dxa"/>
          </w:tcPr>
          <w:p w14:paraId="27386B12"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3A706BFA"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6</w:t>
            </w:r>
          </w:p>
        </w:tc>
        <w:tc>
          <w:tcPr>
            <w:cnfStyle w:val="000100000000" w:firstRow="0" w:lastRow="0" w:firstColumn="0" w:lastColumn="1" w:oddVBand="0" w:evenVBand="0" w:oddHBand="0" w:evenHBand="0" w:firstRowFirstColumn="0" w:firstRowLastColumn="0" w:lastRowFirstColumn="0" w:lastRowLastColumn="0"/>
            <w:tcW w:w="1494" w:type="dxa"/>
          </w:tcPr>
          <w:p w14:paraId="05EB38E1"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r w:rsidR="00EE7EB3" w:rsidRPr="00784B41" w14:paraId="5E7AE66A" w14:textId="77777777" w:rsidTr="00F233D4">
        <w:trPr>
          <w:gridAfter w:val="1"/>
          <w:wAfter w:w="12" w:type="dxa"/>
          <w:trHeight w:val="170"/>
        </w:trPr>
        <w:tc>
          <w:tcPr>
            <w:tcW w:w="1704" w:type="dxa"/>
          </w:tcPr>
          <w:p w14:paraId="75989E1D"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5</w:t>
            </w:r>
          </w:p>
        </w:tc>
        <w:tc>
          <w:tcPr>
            <w:tcW w:w="1495" w:type="dxa"/>
          </w:tcPr>
          <w:p w14:paraId="7AF6BAD7"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94" w:type="dxa"/>
          </w:tcPr>
          <w:p w14:paraId="666AB121" w14:textId="77777777" w:rsidR="00EE7EB3" w:rsidRPr="00784B41" w:rsidRDefault="00EE7EB3" w:rsidP="00F233D4">
            <w:pPr>
              <w:jc w:val="center"/>
              <w:rPr>
                <w:rFonts w:ascii="Cambria" w:hAnsi="Cambria" w:cstheme="minorHAnsi"/>
                <w:color w:val="3B3838" w:themeColor="background2" w:themeShade="40"/>
                <w:sz w:val="20"/>
                <w:szCs w:val="20"/>
              </w:rPr>
            </w:pPr>
            <w:r w:rsidRPr="00784B41">
              <w:rPr>
                <w:rFonts w:ascii="Cambria" w:hAnsi="Cambria" w:cstheme="minorHAnsi"/>
                <w:color w:val="3B3838" w:themeColor="background2" w:themeShade="40"/>
                <w:sz w:val="20"/>
                <w:szCs w:val="20"/>
              </w:rPr>
              <w:t>3</w:t>
            </w:r>
          </w:p>
        </w:tc>
        <w:tc>
          <w:tcPr>
            <w:tcW w:w="1392" w:type="dxa"/>
          </w:tcPr>
          <w:p w14:paraId="261A35E7" w14:textId="77777777" w:rsidR="00EE7EB3" w:rsidRPr="00784B41" w:rsidRDefault="00EE7EB3" w:rsidP="00F233D4">
            <w:pPr>
              <w:jc w:val="center"/>
              <w:rPr>
                <w:rFonts w:ascii="Cambria" w:hAnsi="Cambria" w:cstheme="minorHAnsi"/>
                <w:color w:val="3B3838" w:themeColor="background2" w:themeShade="40"/>
                <w:sz w:val="20"/>
                <w:szCs w:val="20"/>
              </w:rPr>
            </w:pPr>
          </w:p>
        </w:tc>
        <w:tc>
          <w:tcPr>
            <w:tcW w:w="1470" w:type="dxa"/>
          </w:tcPr>
          <w:p w14:paraId="56929C82" w14:textId="77777777" w:rsidR="00EE7EB3" w:rsidRPr="00784B41" w:rsidRDefault="00EE7EB3" w:rsidP="00F233D4">
            <w:pPr>
              <w:jc w:val="center"/>
              <w:rPr>
                <w:rFonts w:ascii="Cambria" w:hAnsi="Cambria" w:cstheme="minorHAnsi"/>
                <w:color w:val="3B3838" w:themeColor="background2" w:themeShade="40"/>
                <w:sz w:val="20"/>
                <w:szCs w:val="20"/>
              </w:rPr>
            </w:pPr>
            <w:r>
              <w:rPr>
                <w:rFonts w:ascii="Cambria" w:hAnsi="Cambria" w:cstheme="minorHAnsi"/>
                <w:color w:val="3B3838" w:themeColor="background2" w:themeShade="40"/>
                <w:sz w:val="20"/>
                <w:szCs w:val="20"/>
              </w:rPr>
              <w:t>11</w:t>
            </w:r>
          </w:p>
        </w:tc>
        <w:tc>
          <w:tcPr>
            <w:cnfStyle w:val="000100000000" w:firstRow="0" w:lastRow="0" w:firstColumn="0" w:lastColumn="1" w:oddVBand="0" w:evenVBand="0" w:oddHBand="0" w:evenHBand="0" w:firstRowFirstColumn="0" w:firstRowLastColumn="0" w:lastRowFirstColumn="0" w:lastRowLastColumn="0"/>
            <w:tcW w:w="1494" w:type="dxa"/>
          </w:tcPr>
          <w:p w14:paraId="518B0CE7" w14:textId="77777777" w:rsidR="00EE7EB3" w:rsidRPr="0082575D" w:rsidRDefault="00EE7EB3" w:rsidP="00F233D4">
            <w:pPr>
              <w:jc w:val="center"/>
              <w:rPr>
                <w:rFonts w:ascii="Cambria" w:hAnsi="Cambria" w:cstheme="minorHAnsi"/>
                <w:b w:val="0"/>
                <w:bCs w:val="0"/>
                <w:color w:val="3B3838" w:themeColor="background2" w:themeShade="40"/>
                <w:sz w:val="20"/>
                <w:szCs w:val="20"/>
              </w:rPr>
            </w:pPr>
          </w:p>
        </w:tc>
      </w:tr>
    </w:tbl>
    <w:p w14:paraId="2BE64AF3" w14:textId="77777777" w:rsidR="00EE7EB3" w:rsidRPr="00C83EDC" w:rsidRDefault="00EE7EB3" w:rsidP="00EE7EB3">
      <w:pPr>
        <w:pStyle w:val="Nadpis3"/>
        <w:rPr>
          <w:lang w:val="en-GB"/>
        </w:rPr>
      </w:pPr>
      <w:r w:rsidRPr="00C83EDC">
        <w:rPr>
          <w:lang w:val="en-GB"/>
        </w:rPr>
        <w:lastRenderedPageBreak/>
        <w:t xml:space="preserve"> RNA isolation</w:t>
      </w:r>
    </w:p>
    <w:p w14:paraId="3CD608F8" w14:textId="77777777" w:rsidR="00EE7EB3" w:rsidRPr="00C83EDC" w:rsidRDefault="00EE7EB3" w:rsidP="00EE7EB3">
      <w:pPr>
        <w:pStyle w:val="Odstavec1"/>
        <w:rPr>
          <w:lang w:val="en-GB"/>
        </w:rPr>
      </w:pPr>
      <w:r w:rsidRPr="00C83EDC">
        <w:rPr>
          <w:lang w:val="en-GB"/>
        </w:rPr>
        <w:t xml:space="preserve">The sample was transferred in a microfuge tube and carefully cut into smaller pieces. A volume of 1 ml of xylene </w:t>
      </w:r>
      <w:r>
        <w:rPr>
          <w:lang w:val="en-GB"/>
        </w:rPr>
        <w:t>(</w:t>
      </w:r>
      <w:proofErr w:type="spellStart"/>
      <w:r w:rsidRPr="00650F5A">
        <w:rPr>
          <w:lang w:val="en-GB"/>
        </w:rPr>
        <w:t>Lachema</w:t>
      </w:r>
      <w:proofErr w:type="spellEnd"/>
      <w:r w:rsidRPr="00650F5A">
        <w:rPr>
          <w:lang w:val="en-GB"/>
        </w:rPr>
        <w:t xml:space="preserve">, </w:t>
      </w:r>
      <w:r>
        <w:rPr>
          <w:lang w:val="en-GB"/>
        </w:rPr>
        <w:t xml:space="preserve">Czech Republic) </w:t>
      </w:r>
      <w:r w:rsidRPr="00C83EDC">
        <w:rPr>
          <w:lang w:val="en-GB"/>
        </w:rPr>
        <w:t xml:space="preserve">was added to the sample and the suspension was gently mixed by inverting the tube in hand for 5 minutes. After mixing, the sample was incubated at 50 °C for 3 minutes and then centrifuged at room temperature at 15,000 rpm for 2 minutes. The supernatant was removed, and 1 ml of 96% ethanol was added to the pelleted sample. The tube was vortexed, centrifuged at 15,000 rpm for 2 minutes and the supernatant was discarded. In the next step, 1 ml of 96% ethanol was pipetted to the pellet again and the tube was vortexed and centrifuged as in the previous step. After the supernatant removal, the open tube was left in </w:t>
      </w:r>
      <w:r>
        <w:rPr>
          <w:lang w:val="en-GB"/>
        </w:rPr>
        <w:t xml:space="preserve">a </w:t>
      </w:r>
      <w:proofErr w:type="spellStart"/>
      <w:r w:rsidRPr="00C83EDC">
        <w:rPr>
          <w:lang w:val="en-GB"/>
        </w:rPr>
        <w:t>thermoblock</w:t>
      </w:r>
      <w:proofErr w:type="spellEnd"/>
      <w:r w:rsidRPr="00C83EDC">
        <w:rPr>
          <w:lang w:val="en-GB"/>
        </w:rPr>
        <w:t xml:space="preserve"> at 50 °C for 10 minutes. When the sample dried, 100 µl of proteinase K buffer was pipetted to the tube together with 16 µl 10% SDS</w:t>
      </w:r>
      <w:r>
        <w:rPr>
          <w:lang w:val="en-GB"/>
        </w:rPr>
        <w:t xml:space="preserve"> (Sigma-Aldrich Inc., USA)</w:t>
      </w:r>
      <w:r w:rsidRPr="00C83EDC">
        <w:rPr>
          <w:lang w:val="en-GB"/>
        </w:rPr>
        <w:t xml:space="preserve"> and 40 µl proteinase K (</w:t>
      </w:r>
      <w:r>
        <w:rPr>
          <w:lang w:val="en-GB"/>
        </w:rPr>
        <w:t>Sigma-Aldrich Inc., USA</w:t>
      </w:r>
      <w:r w:rsidRPr="00C83EDC">
        <w:rPr>
          <w:lang w:val="en-GB"/>
        </w:rPr>
        <w:t>). The tissue digestion took place at 55 °C and 400 rpm shaking overnight</w:t>
      </w:r>
      <w:r>
        <w:rPr>
          <w:lang w:val="en-GB"/>
        </w:rPr>
        <w:t>.</w:t>
      </w:r>
    </w:p>
    <w:p w14:paraId="7A22F0E0" w14:textId="77777777" w:rsidR="00EE7EB3" w:rsidRPr="00C83EDC" w:rsidRDefault="00EE7EB3" w:rsidP="00EE7EB3">
      <w:pPr>
        <w:pStyle w:val="Dalodstavce"/>
        <w:rPr>
          <w:lang w:val="en-GB"/>
        </w:rPr>
      </w:pPr>
      <w:r w:rsidRPr="00C83EDC">
        <w:rPr>
          <w:lang w:val="en-GB"/>
        </w:rPr>
        <w:t>For the miRNA isolation</w:t>
      </w:r>
      <w:r>
        <w:rPr>
          <w:lang w:val="en-GB"/>
        </w:rPr>
        <w:t>, a</w:t>
      </w:r>
      <w:r w:rsidRPr="00C83EDC">
        <w:rPr>
          <w:lang w:val="en-GB"/>
        </w:rPr>
        <w:t xml:space="preserve"> </w:t>
      </w:r>
      <w:proofErr w:type="spellStart"/>
      <w:r w:rsidRPr="00C83EDC">
        <w:rPr>
          <w:lang w:val="en-GB"/>
        </w:rPr>
        <w:t>mirVana</w:t>
      </w:r>
      <w:proofErr w:type="spellEnd"/>
      <w:r w:rsidRPr="00C83EDC">
        <w:rPr>
          <w:lang w:val="en-GB"/>
        </w:rPr>
        <w:t xml:space="preserve"> Isolation Kit (</w:t>
      </w:r>
      <w:proofErr w:type="spellStart"/>
      <w:r>
        <w:rPr>
          <w:lang w:val="en-GB"/>
        </w:rPr>
        <w:t>Ambion</w:t>
      </w:r>
      <w:proofErr w:type="spellEnd"/>
      <w:r>
        <w:rPr>
          <w:lang w:val="en-GB"/>
        </w:rPr>
        <w:t xml:space="preserve"> INC, USA)</w:t>
      </w:r>
      <w:r w:rsidRPr="00C83EDC">
        <w:rPr>
          <w:lang w:val="en-GB"/>
        </w:rPr>
        <w:t xml:space="preserve"> was used. The following day, 600 µl of Lysis/Binding Buffer and 60 µl of miRNA Homogenate Additive was pipetted to </w:t>
      </w:r>
      <w:r>
        <w:rPr>
          <w:lang w:val="en-GB"/>
        </w:rPr>
        <w:t xml:space="preserve">a </w:t>
      </w:r>
      <w:r w:rsidRPr="00C83EDC">
        <w:rPr>
          <w:lang w:val="en-GB"/>
        </w:rPr>
        <w:t xml:space="preserve">microfuge tube containing the lysate. The mixture was thoroughly vortexed, and the tube transferred on ice for 10 minutes. Next, 600 µl of </w:t>
      </w:r>
      <w:proofErr w:type="spellStart"/>
      <w:r w:rsidRPr="00C83EDC">
        <w:rPr>
          <w:lang w:val="en-GB"/>
        </w:rPr>
        <w:t>acid-</w:t>
      </w:r>
      <w:proofErr w:type="gramStart"/>
      <w:r w:rsidRPr="00C83EDC">
        <w:rPr>
          <w:lang w:val="en-GB"/>
        </w:rPr>
        <w:t>phenol:chloroform</w:t>
      </w:r>
      <w:proofErr w:type="spellEnd"/>
      <w:proofErr w:type="gramEnd"/>
      <w:r w:rsidRPr="00C83EDC">
        <w:rPr>
          <w:lang w:val="en-GB"/>
        </w:rPr>
        <w:t xml:space="preserve"> </w:t>
      </w:r>
      <w:r>
        <w:rPr>
          <w:lang w:val="en-GB"/>
        </w:rPr>
        <w:t>(</w:t>
      </w:r>
      <w:proofErr w:type="spellStart"/>
      <w:r>
        <w:rPr>
          <w:lang w:val="en-GB"/>
        </w:rPr>
        <w:t>Ambion</w:t>
      </w:r>
      <w:proofErr w:type="spellEnd"/>
      <w:r>
        <w:rPr>
          <w:lang w:val="en-GB"/>
        </w:rPr>
        <w:t xml:space="preserve"> INC, USA)</w:t>
      </w:r>
      <w:r w:rsidRPr="00C83EDC">
        <w:rPr>
          <w:lang w:val="en-GB"/>
        </w:rPr>
        <w:t>was added to the mixture. The tube was vortexed for 60 seconds and centrifuged for 5 minutes at 13,400 rpm at room temperature. After centrifugation, the upper aqueous phase was carefully transferred to a fresh tube. In the next step, 1.25 volumes of 100% ethanol were added to the volume of recovered aqueous phase and the tube was thoroughly vortexed. The lysate/ethanol mixture was loaded onto the filter cartridge assembled with a collection tube provided by the manufacturer. The mixture was centrifuged at 13,400 rpm for 15 seconds and the flow-through was discarded. After all the lysate was passed through the filter, 700 µl miRNA Wash Solution 1 was pipetted to the filter cartridge and centrifuged for 10 seconds at 13,400 rpm. The flow-through was removed and 500 µl Wash Solution 2/3 was applied and drawn through the filter again by centrifuging. The previous step was repeated with a second aliquot of Wash Solution 2/3. After the last flow-through removal, the assembled filter cartridge was spun for</w:t>
      </w:r>
      <w:r>
        <w:rPr>
          <w:lang w:val="en-GB"/>
        </w:rPr>
        <w:t xml:space="preserve"> an</w:t>
      </w:r>
      <w:r w:rsidRPr="00C83EDC">
        <w:rPr>
          <w:lang w:val="en-GB"/>
        </w:rPr>
        <w:t xml:space="preserve"> additional 1 minute to remove residual fluid from the filter. The used collection tube was replaced with a fresh tube and 50 µl of pre-heated (95 °C) Elution Solution was applied to the centre of the filter. The tube was centrifuged at 13,400 rpm for 30 seconds and the collected eluate was stored at −80 °C for later use.</w:t>
      </w:r>
      <w:r>
        <w:rPr>
          <w:lang w:val="en-GB"/>
        </w:rPr>
        <w:t xml:space="preserve"> </w:t>
      </w:r>
    </w:p>
    <w:p w14:paraId="297FB8F6" w14:textId="77777777" w:rsidR="00EE7EB3" w:rsidRPr="00C83EDC" w:rsidRDefault="00EE7EB3" w:rsidP="00EE7EB3">
      <w:pPr>
        <w:pStyle w:val="Nadpis3"/>
        <w:rPr>
          <w:lang w:val="en-GB"/>
        </w:rPr>
      </w:pPr>
      <w:r w:rsidRPr="00C83EDC">
        <w:rPr>
          <w:lang w:val="en-GB"/>
        </w:rPr>
        <w:lastRenderedPageBreak/>
        <w:t xml:space="preserve"> Reverse transcription</w:t>
      </w:r>
      <w:r>
        <w:rPr>
          <w:lang w:val="en-GB"/>
        </w:rPr>
        <w:t xml:space="preserve"> </w:t>
      </w:r>
    </w:p>
    <w:p w14:paraId="23E78B50" w14:textId="77777777" w:rsidR="00EE7EB3" w:rsidRPr="00C83EDC" w:rsidRDefault="00EE7EB3" w:rsidP="00EE7EB3">
      <w:pPr>
        <w:pStyle w:val="Odstavec1"/>
        <w:rPr>
          <w:lang w:val="en-GB"/>
        </w:rPr>
      </w:pPr>
      <w:r w:rsidRPr="00C83EDC">
        <w:rPr>
          <w:lang w:val="en-GB"/>
        </w:rPr>
        <w:t xml:space="preserve">The first strand </w:t>
      </w:r>
      <w:r>
        <w:rPr>
          <w:lang w:val="en-GB"/>
        </w:rPr>
        <w:t>c</w:t>
      </w:r>
      <w:r w:rsidRPr="00C83EDC">
        <w:rPr>
          <w:lang w:val="en-GB"/>
        </w:rPr>
        <w:t xml:space="preserve">DNA synthesis was performed using the </w:t>
      </w:r>
      <w:proofErr w:type="spellStart"/>
      <w:r w:rsidRPr="00C83EDC">
        <w:rPr>
          <w:lang w:val="en-GB"/>
        </w:rPr>
        <w:t>miRCURY</w:t>
      </w:r>
      <w:proofErr w:type="spellEnd"/>
      <w:r w:rsidRPr="00C83EDC">
        <w:rPr>
          <w:lang w:val="en-GB"/>
        </w:rPr>
        <w:t xml:space="preserve"> LNA RT Kit (</w:t>
      </w:r>
      <w:r w:rsidRPr="006C05C8">
        <w:rPr>
          <w:lang w:val="en-GB"/>
        </w:rPr>
        <w:t>Q</w:t>
      </w:r>
      <w:r>
        <w:rPr>
          <w:lang w:val="en-GB"/>
        </w:rPr>
        <w:t>iagen</w:t>
      </w:r>
      <w:r w:rsidRPr="006C05C8">
        <w:rPr>
          <w:lang w:val="en-GB"/>
        </w:rPr>
        <w:t xml:space="preserve"> GmbH, Hilden, Germany</w:t>
      </w:r>
      <w:r w:rsidRPr="00C83EDC">
        <w:rPr>
          <w:lang w:val="en-GB"/>
        </w:rPr>
        <w:t xml:space="preserve">). The template RNA was diluted to a working concentration </w:t>
      </w:r>
      <w:r>
        <w:rPr>
          <w:lang w:val="en-GB"/>
        </w:rPr>
        <w:t xml:space="preserve">of </w:t>
      </w:r>
      <w:r w:rsidRPr="00C83EDC">
        <w:rPr>
          <w:lang w:val="en-GB"/>
        </w:rPr>
        <w:t>5 ng·µl</w:t>
      </w:r>
      <w:r w:rsidRPr="00C83EDC">
        <w:rPr>
          <w:vertAlign w:val="superscript"/>
          <w:lang w:val="en-GB"/>
        </w:rPr>
        <w:t>−1</w:t>
      </w:r>
      <w:r w:rsidRPr="00C83EDC">
        <w:rPr>
          <w:lang w:val="en-GB"/>
        </w:rPr>
        <w:t xml:space="preserve"> using nuclease-free water. The reverse transcription reaction was prepared on ice</w:t>
      </w:r>
      <w:r>
        <w:rPr>
          <w:lang w:val="en-GB"/>
        </w:rPr>
        <w:t xml:space="preserve"> by</w:t>
      </w:r>
      <w:r w:rsidRPr="00C83EDC">
        <w:rPr>
          <w:lang w:val="en-GB"/>
        </w:rPr>
        <w:t xml:space="preserve"> adding the components specified in </w:t>
      </w:r>
      <w:r w:rsidRPr="00EF3D19">
        <w:rPr>
          <w:lang w:val="en-GB"/>
        </w:rPr>
        <w:t>Table</w:t>
      </w:r>
      <w:r w:rsidRPr="00C83EDC">
        <w:rPr>
          <w:lang w:val="en-GB"/>
        </w:rPr>
        <w:t xml:space="preserve"> </w:t>
      </w:r>
      <w:r>
        <w:rPr>
          <w:lang w:val="en-GB"/>
        </w:rPr>
        <w:t>VIII</w:t>
      </w:r>
      <w:r w:rsidRPr="00C83EDC">
        <w:rPr>
          <w:lang w:val="en-GB"/>
        </w:rPr>
        <w:t>.</w:t>
      </w:r>
      <w:r>
        <w:rPr>
          <w:lang w:val="en-GB"/>
        </w:rPr>
        <w:t xml:space="preserve"> </w:t>
      </w:r>
      <w:r w:rsidRPr="00C83EDC">
        <w:rPr>
          <w:lang w:val="en-GB"/>
        </w:rPr>
        <w:t>The reaction was incubated in a PCR cycler at 42 °C for 60 minutes followed by 5 minutes at 95 °C to heat inactivate the reverse transcriptase. After the incubation, the cDNA reaction mixture was immediately cooled to 4 °C. Synthetic transcript UniSp6 RNA was used to monitor successful reverse transcription.</w:t>
      </w:r>
    </w:p>
    <w:p w14:paraId="04D83CA8" w14:textId="74ED4FB6" w:rsidR="00EE7EB3" w:rsidRPr="00DF41F6" w:rsidRDefault="00EE7EB3" w:rsidP="00EE7EB3">
      <w:pPr>
        <w:pStyle w:val="Titulektabulky"/>
        <w:jc w:val="left"/>
        <w:rPr>
          <w:lang w:val="en-GB"/>
        </w:rPr>
      </w:pPr>
      <w:bookmarkStart w:id="59" w:name="_Toc47541141"/>
      <w:r w:rsidRPr="00DF41F6">
        <w:rPr>
          <w:lang w:val="en-GB"/>
        </w:rPr>
        <w:t xml:space="preserve">Table </w:t>
      </w:r>
      <w:r w:rsidRPr="00DF41F6">
        <w:rPr>
          <w:noProof/>
          <w:lang w:val="en-GB"/>
        </w:rPr>
        <w:fldChar w:fldCharType="begin"/>
      </w:r>
      <w:r w:rsidRPr="00DF41F6">
        <w:rPr>
          <w:noProof/>
          <w:lang w:val="en-GB"/>
        </w:rPr>
        <w:instrText xml:space="preserve"> SEQ Tab. \* ARABIC \* ROMAN </w:instrText>
      </w:r>
      <w:r w:rsidRPr="00DF41F6">
        <w:rPr>
          <w:noProof/>
          <w:lang w:val="en-GB"/>
        </w:rPr>
        <w:fldChar w:fldCharType="separate"/>
      </w:r>
      <w:r w:rsidR="0048503A">
        <w:rPr>
          <w:noProof/>
          <w:lang w:val="en-GB"/>
        </w:rPr>
        <w:t>VIII</w:t>
      </w:r>
      <w:r w:rsidRPr="00DF41F6">
        <w:rPr>
          <w:noProof/>
          <w:lang w:val="en-GB"/>
        </w:rPr>
        <w:fldChar w:fldCharType="end"/>
      </w:r>
      <w:r w:rsidRPr="00DF41F6">
        <w:rPr>
          <w:noProof/>
          <w:lang w:val="en-GB"/>
        </w:rPr>
        <w:t>.</w:t>
      </w:r>
      <w:r w:rsidRPr="00DF41F6">
        <w:rPr>
          <w:lang w:val="en-GB"/>
        </w:rPr>
        <w:t xml:space="preserve"> </w:t>
      </w:r>
      <w:r w:rsidRPr="00DF41F6">
        <w:rPr>
          <w:b w:val="0"/>
          <w:bCs w:val="0"/>
          <w:lang w:val="en-GB"/>
        </w:rPr>
        <w:t>Reverse transcription reaction setup per sample.</w:t>
      </w:r>
      <w:bookmarkEnd w:id="59"/>
    </w:p>
    <w:tbl>
      <w:tblPr>
        <w:tblStyle w:val="Tabulkasmkou4zvraznn31"/>
        <w:tblW w:w="0" w:type="auto"/>
        <w:tblLook w:val="04E0" w:firstRow="1" w:lastRow="1" w:firstColumn="1" w:lastColumn="0" w:noHBand="0" w:noVBand="1"/>
      </w:tblPr>
      <w:tblGrid>
        <w:gridCol w:w="5807"/>
        <w:gridCol w:w="3209"/>
      </w:tblGrid>
      <w:tr w:rsidR="00EE7EB3" w:rsidRPr="00784B41" w14:paraId="3B72CCC8"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shd w:val="clear" w:color="auto" w:fill="FFFFFF" w:themeFill="background1"/>
          </w:tcPr>
          <w:p w14:paraId="769B9C2B" w14:textId="77777777" w:rsidR="00EE7EB3" w:rsidRPr="00784B41" w:rsidRDefault="00EE7EB3" w:rsidP="00F233D4">
            <w:pPr>
              <w:rPr>
                <w:rFonts w:ascii="Cambria" w:hAnsi="Cambria"/>
                <w:color w:val="3B3838" w:themeColor="background2" w:themeShade="40"/>
                <w:sz w:val="20"/>
                <w:szCs w:val="20"/>
                <w:lang w:eastAsia="sk-SK"/>
              </w:rPr>
            </w:pPr>
            <w:r w:rsidRPr="00784B41">
              <w:rPr>
                <w:rFonts w:ascii="Cambria" w:hAnsi="Cambria"/>
                <w:color w:val="3B3838" w:themeColor="background2" w:themeShade="40"/>
                <w:sz w:val="20"/>
                <w:szCs w:val="20"/>
                <w:lang w:eastAsia="sk-SK"/>
              </w:rPr>
              <w:t>Component</w:t>
            </w:r>
          </w:p>
        </w:tc>
        <w:tc>
          <w:tcPr>
            <w:tcW w:w="3209" w:type="dxa"/>
            <w:shd w:val="clear" w:color="auto" w:fill="FFFFFF" w:themeFill="background1"/>
          </w:tcPr>
          <w:p w14:paraId="4AC32517" w14:textId="77777777" w:rsidR="00EE7EB3" w:rsidRPr="00784B41"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Volume/reaction</w:t>
            </w:r>
          </w:p>
        </w:tc>
      </w:tr>
      <w:tr w:rsidR="00EE7EB3" w:rsidRPr="00784B41" w14:paraId="197127C1"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3E26DDF0" w14:textId="77777777" w:rsidR="00EE7EB3" w:rsidRPr="00784B41" w:rsidRDefault="00EE7EB3" w:rsidP="00F233D4">
            <w:pPr>
              <w:rPr>
                <w:rFonts w:ascii="Cambria" w:hAnsi="Cambria"/>
                <w:b w:val="0"/>
                <w:bCs w:val="0"/>
                <w:color w:val="3B3838" w:themeColor="background2" w:themeShade="40"/>
                <w:sz w:val="20"/>
                <w:szCs w:val="20"/>
              </w:rPr>
            </w:pPr>
            <w:r w:rsidRPr="00784B41">
              <w:rPr>
                <w:rFonts w:ascii="Cambria" w:hAnsi="Cambria"/>
                <w:b w:val="0"/>
                <w:bCs w:val="0"/>
                <w:color w:val="3B3838" w:themeColor="background2" w:themeShade="40"/>
                <w:sz w:val="20"/>
                <w:szCs w:val="20"/>
              </w:rPr>
              <w:t xml:space="preserve">5x </w:t>
            </w:r>
            <w:proofErr w:type="spellStart"/>
            <w:r w:rsidRPr="00784B41">
              <w:rPr>
                <w:rFonts w:ascii="Cambria" w:hAnsi="Cambria"/>
                <w:b w:val="0"/>
                <w:bCs w:val="0"/>
                <w:color w:val="3B3838" w:themeColor="background2" w:themeShade="40"/>
                <w:sz w:val="20"/>
                <w:szCs w:val="20"/>
              </w:rPr>
              <w:t>miRCURY</w:t>
            </w:r>
            <w:proofErr w:type="spellEnd"/>
            <w:r w:rsidRPr="00784B41">
              <w:rPr>
                <w:rFonts w:ascii="Cambria" w:hAnsi="Cambria"/>
                <w:b w:val="0"/>
                <w:bCs w:val="0"/>
                <w:color w:val="3B3838" w:themeColor="background2" w:themeShade="40"/>
                <w:sz w:val="20"/>
                <w:szCs w:val="20"/>
              </w:rPr>
              <w:t xml:space="preserve"> RT Reaction Buffer</w:t>
            </w:r>
          </w:p>
        </w:tc>
        <w:tc>
          <w:tcPr>
            <w:tcW w:w="3209" w:type="dxa"/>
          </w:tcPr>
          <w:p w14:paraId="741D0C63" w14:textId="77777777" w:rsidR="00EE7EB3" w:rsidRPr="00784B41"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8 µl</w:t>
            </w:r>
          </w:p>
        </w:tc>
      </w:tr>
      <w:tr w:rsidR="00EE7EB3" w:rsidRPr="00784B41" w14:paraId="57964241"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50EDF45" w14:textId="77777777" w:rsidR="00EE7EB3" w:rsidRPr="00784B41" w:rsidRDefault="00EE7EB3" w:rsidP="00F233D4">
            <w:pPr>
              <w:rPr>
                <w:rFonts w:ascii="Cambria" w:hAnsi="Cambria"/>
                <w:b w:val="0"/>
                <w:bCs w:val="0"/>
                <w:color w:val="3B3838" w:themeColor="background2" w:themeShade="40"/>
                <w:sz w:val="20"/>
                <w:szCs w:val="20"/>
              </w:rPr>
            </w:pPr>
            <w:r w:rsidRPr="00784B41">
              <w:rPr>
                <w:rFonts w:ascii="Cambria" w:hAnsi="Cambria"/>
                <w:b w:val="0"/>
                <w:bCs w:val="0"/>
                <w:color w:val="3B3838" w:themeColor="background2" w:themeShade="40"/>
                <w:sz w:val="20"/>
                <w:szCs w:val="20"/>
                <w:lang w:eastAsia="sk-SK"/>
              </w:rPr>
              <w:t>RNase-free water</w:t>
            </w:r>
          </w:p>
        </w:tc>
        <w:tc>
          <w:tcPr>
            <w:tcW w:w="3209" w:type="dxa"/>
          </w:tcPr>
          <w:p w14:paraId="469830D5" w14:textId="77777777" w:rsidR="00EE7EB3" w:rsidRPr="00784B41"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18 µl</w:t>
            </w:r>
          </w:p>
        </w:tc>
      </w:tr>
      <w:tr w:rsidR="00EE7EB3" w:rsidRPr="00784B41" w14:paraId="20B688FA"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3A78A083" w14:textId="77777777" w:rsidR="00EE7EB3" w:rsidRPr="00784B41" w:rsidRDefault="00EE7EB3" w:rsidP="00F233D4">
            <w:pPr>
              <w:rPr>
                <w:rFonts w:ascii="Cambria" w:hAnsi="Cambria"/>
                <w:b w:val="0"/>
                <w:bCs w:val="0"/>
                <w:color w:val="3B3838" w:themeColor="background2" w:themeShade="40"/>
                <w:sz w:val="20"/>
                <w:szCs w:val="20"/>
              </w:rPr>
            </w:pPr>
            <w:r w:rsidRPr="00784B41">
              <w:rPr>
                <w:rFonts w:ascii="Cambria" w:hAnsi="Cambria"/>
                <w:b w:val="0"/>
                <w:bCs w:val="0"/>
                <w:color w:val="3B3838" w:themeColor="background2" w:themeShade="40"/>
                <w:sz w:val="20"/>
                <w:szCs w:val="20"/>
              </w:rPr>
              <w:t xml:space="preserve">10x </w:t>
            </w:r>
            <w:proofErr w:type="spellStart"/>
            <w:r w:rsidRPr="00784B41">
              <w:rPr>
                <w:rFonts w:ascii="Cambria" w:hAnsi="Cambria"/>
                <w:b w:val="0"/>
                <w:bCs w:val="0"/>
                <w:color w:val="3B3838" w:themeColor="background2" w:themeShade="40"/>
                <w:sz w:val="20"/>
                <w:szCs w:val="20"/>
              </w:rPr>
              <w:t>miRCURY</w:t>
            </w:r>
            <w:proofErr w:type="spellEnd"/>
            <w:r w:rsidRPr="00784B41">
              <w:rPr>
                <w:rFonts w:ascii="Cambria" w:hAnsi="Cambria"/>
                <w:b w:val="0"/>
                <w:bCs w:val="0"/>
                <w:color w:val="3B3838" w:themeColor="background2" w:themeShade="40"/>
                <w:sz w:val="20"/>
                <w:szCs w:val="20"/>
              </w:rPr>
              <w:t xml:space="preserve"> RT Enzyme Mix</w:t>
            </w:r>
          </w:p>
        </w:tc>
        <w:tc>
          <w:tcPr>
            <w:tcW w:w="3209" w:type="dxa"/>
          </w:tcPr>
          <w:p w14:paraId="40B2A6D1" w14:textId="77777777" w:rsidR="00EE7EB3" w:rsidRPr="00784B41"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4 µl</w:t>
            </w:r>
          </w:p>
        </w:tc>
      </w:tr>
      <w:tr w:rsidR="00EE7EB3" w:rsidRPr="00784B41" w14:paraId="32EE5597"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15B1ABA0" w14:textId="77777777" w:rsidR="00EE7EB3" w:rsidRPr="00784B41" w:rsidRDefault="00EE7EB3" w:rsidP="00F233D4">
            <w:pPr>
              <w:rPr>
                <w:rFonts w:ascii="Cambria" w:hAnsi="Cambria"/>
                <w:b w:val="0"/>
                <w:bCs w:val="0"/>
                <w:color w:val="3B3838" w:themeColor="background2" w:themeShade="40"/>
                <w:sz w:val="20"/>
                <w:szCs w:val="20"/>
              </w:rPr>
            </w:pPr>
            <w:r w:rsidRPr="00784B41">
              <w:rPr>
                <w:rFonts w:ascii="Cambria" w:hAnsi="Cambria"/>
                <w:b w:val="0"/>
                <w:bCs w:val="0"/>
                <w:color w:val="3B3838" w:themeColor="background2" w:themeShade="40"/>
                <w:sz w:val="20"/>
                <w:szCs w:val="20"/>
              </w:rPr>
              <w:t>UniSp6 RNA spike-in</w:t>
            </w:r>
          </w:p>
        </w:tc>
        <w:tc>
          <w:tcPr>
            <w:tcW w:w="3209" w:type="dxa"/>
          </w:tcPr>
          <w:p w14:paraId="5C11D391" w14:textId="77777777" w:rsidR="00EE7EB3" w:rsidRPr="00784B41"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2 µl</w:t>
            </w:r>
          </w:p>
        </w:tc>
      </w:tr>
      <w:tr w:rsidR="00EE7EB3" w:rsidRPr="00784B41" w14:paraId="2CDC8BD1"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7C565B9E" w14:textId="77777777" w:rsidR="00EE7EB3" w:rsidRPr="00784B41" w:rsidRDefault="00EE7EB3" w:rsidP="00F233D4">
            <w:pPr>
              <w:rPr>
                <w:rFonts w:ascii="Cambria" w:hAnsi="Cambria"/>
                <w:b w:val="0"/>
                <w:bCs w:val="0"/>
                <w:color w:val="3B3838" w:themeColor="background2" w:themeShade="40"/>
                <w:sz w:val="20"/>
                <w:szCs w:val="20"/>
                <w:lang w:eastAsia="sk-SK"/>
              </w:rPr>
            </w:pPr>
            <w:r w:rsidRPr="00784B41">
              <w:rPr>
                <w:rFonts w:ascii="Cambria" w:hAnsi="Cambria"/>
                <w:b w:val="0"/>
                <w:bCs w:val="0"/>
                <w:color w:val="3B3838" w:themeColor="background2" w:themeShade="40"/>
                <w:sz w:val="20"/>
                <w:szCs w:val="20"/>
                <w:lang w:eastAsia="sk-SK"/>
              </w:rPr>
              <w:t xml:space="preserve">Template RNA (5 ng·µl </w:t>
            </w:r>
            <w:r w:rsidRPr="00784B41">
              <w:rPr>
                <w:rFonts w:ascii="Cambria" w:hAnsi="Cambria"/>
                <w:b w:val="0"/>
                <w:bCs w:val="0"/>
                <w:color w:val="3B3838" w:themeColor="background2" w:themeShade="40"/>
                <w:sz w:val="20"/>
                <w:szCs w:val="20"/>
                <w:vertAlign w:val="superscript"/>
                <w:lang w:eastAsia="sk-SK"/>
              </w:rPr>
              <w:t>−1</w:t>
            </w:r>
            <w:r w:rsidRPr="00784B41">
              <w:rPr>
                <w:rFonts w:ascii="Cambria" w:hAnsi="Cambria"/>
                <w:b w:val="0"/>
                <w:bCs w:val="0"/>
                <w:color w:val="3B3838" w:themeColor="background2" w:themeShade="40"/>
                <w:sz w:val="20"/>
                <w:szCs w:val="20"/>
                <w:lang w:eastAsia="sk-SK"/>
              </w:rPr>
              <w:t>)</w:t>
            </w:r>
          </w:p>
        </w:tc>
        <w:tc>
          <w:tcPr>
            <w:tcW w:w="3209" w:type="dxa"/>
          </w:tcPr>
          <w:p w14:paraId="1805AD78" w14:textId="77777777" w:rsidR="00EE7EB3" w:rsidRPr="00784B41"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8 µl</w:t>
            </w:r>
          </w:p>
        </w:tc>
      </w:tr>
      <w:tr w:rsidR="00EE7EB3" w:rsidRPr="00784B41" w14:paraId="24879E18" w14:textId="77777777" w:rsidTr="00F233D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3ECA5BF" w14:textId="77777777" w:rsidR="00EE7EB3" w:rsidRPr="00784B41" w:rsidRDefault="00EE7EB3" w:rsidP="00F233D4">
            <w:pPr>
              <w:rPr>
                <w:rFonts w:ascii="Cambria" w:hAnsi="Cambria"/>
                <w:color w:val="3B3838" w:themeColor="background2" w:themeShade="40"/>
                <w:sz w:val="20"/>
                <w:szCs w:val="20"/>
                <w:lang w:eastAsia="sk-SK"/>
              </w:rPr>
            </w:pPr>
            <w:r w:rsidRPr="00784B41">
              <w:rPr>
                <w:rFonts w:ascii="Cambria" w:hAnsi="Cambria"/>
                <w:color w:val="3B3838" w:themeColor="background2" w:themeShade="40"/>
                <w:sz w:val="20"/>
                <w:szCs w:val="20"/>
                <w:lang w:eastAsia="sk-SK"/>
              </w:rPr>
              <w:t>Total volume</w:t>
            </w:r>
          </w:p>
        </w:tc>
        <w:tc>
          <w:tcPr>
            <w:tcW w:w="3209" w:type="dxa"/>
          </w:tcPr>
          <w:p w14:paraId="489F5B8A" w14:textId="77777777" w:rsidR="00EE7EB3" w:rsidRPr="00784B41" w:rsidRDefault="00EE7EB3" w:rsidP="00F233D4">
            <w:pPr>
              <w:cnfStyle w:val="010000000000" w:firstRow="0" w:lastRow="1"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40 µl</w:t>
            </w:r>
          </w:p>
        </w:tc>
      </w:tr>
    </w:tbl>
    <w:p w14:paraId="01C8B3D9" w14:textId="77777777" w:rsidR="00EE7EB3" w:rsidRPr="00C83EDC" w:rsidRDefault="00EE7EB3" w:rsidP="00EE7EB3">
      <w:pPr>
        <w:pStyle w:val="Nadpis3"/>
        <w:rPr>
          <w:lang w:val="en-GB"/>
        </w:rPr>
      </w:pPr>
      <w:r w:rsidRPr="00C83EDC">
        <w:rPr>
          <w:lang w:val="en-GB"/>
        </w:rPr>
        <w:t xml:space="preserve"> Quantitative Real-Time PCR</w:t>
      </w:r>
      <w:r>
        <w:rPr>
          <w:lang w:val="en-GB"/>
        </w:rPr>
        <w:t xml:space="preserve"> </w:t>
      </w:r>
    </w:p>
    <w:p w14:paraId="0BA836FF" w14:textId="77777777" w:rsidR="00EE7EB3" w:rsidRPr="00C83EDC" w:rsidRDefault="00EE7EB3" w:rsidP="00EE7EB3">
      <w:pPr>
        <w:pStyle w:val="Odstavec1"/>
        <w:rPr>
          <w:lang w:val="en-GB"/>
        </w:rPr>
      </w:pPr>
      <w:r w:rsidRPr="00C83EDC">
        <w:rPr>
          <w:lang w:val="en-GB"/>
        </w:rPr>
        <w:t xml:space="preserve">The detection of miRNA targets was performed using </w:t>
      </w:r>
      <w:proofErr w:type="spellStart"/>
      <w:r w:rsidRPr="00C83EDC">
        <w:rPr>
          <w:lang w:val="en-GB"/>
        </w:rPr>
        <w:t>miRCURY</w:t>
      </w:r>
      <w:proofErr w:type="spellEnd"/>
      <w:r w:rsidRPr="00C83EDC">
        <w:rPr>
          <w:lang w:val="en-GB"/>
        </w:rPr>
        <w:t xml:space="preserve"> SYBR Green PCR Kit (</w:t>
      </w:r>
      <w:r w:rsidRPr="006C05C8">
        <w:rPr>
          <w:lang w:val="en-GB"/>
        </w:rPr>
        <w:t>Q</w:t>
      </w:r>
      <w:r>
        <w:rPr>
          <w:lang w:val="en-GB"/>
        </w:rPr>
        <w:t>iagen</w:t>
      </w:r>
      <w:r w:rsidRPr="006C05C8">
        <w:rPr>
          <w:lang w:val="en-GB"/>
        </w:rPr>
        <w:t xml:space="preserve"> GmbH, Hilden, Germany</w:t>
      </w:r>
      <w:r w:rsidRPr="00C83EDC">
        <w:rPr>
          <w:lang w:val="en-GB"/>
        </w:rPr>
        <w:t xml:space="preserve">) and </w:t>
      </w:r>
      <w:proofErr w:type="spellStart"/>
      <w:r w:rsidRPr="00C83EDC">
        <w:rPr>
          <w:lang w:val="en-GB"/>
        </w:rPr>
        <w:t>miRCURY</w:t>
      </w:r>
      <w:proofErr w:type="spellEnd"/>
      <w:r w:rsidRPr="00C83EDC">
        <w:rPr>
          <w:lang w:val="en-GB"/>
        </w:rPr>
        <w:t xml:space="preserve"> LNA </w:t>
      </w:r>
      <w:proofErr w:type="spellStart"/>
      <w:r w:rsidRPr="00C83EDC">
        <w:rPr>
          <w:lang w:val="en-GB"/>
        </w:rPr>
        <w:t>miRNome</w:t>
      </w:r>
      <w:proofErr w:type="spellEnd"/>
      <w:r w:rsidRPr="00C83EDC">
        <w:rPr>
          <w:lang w:val="en-GB"/>
        </w:rPr>
        <w:t xml:space="preserve"> Human PCR Panels (</w:t>
      </w:r>
      <w:r w:rsidRPr="006C05C8">
        <w:rPr>
          <w:lang w:val="en-GB"/>
        </w:rPr>
        <w:t>Q</w:t>
      </w:r>
      <w:r>
        <w:rPr>
          <w:lang w:val="en-GB"/>
        </w:rPr>
        <w:t>iagen</w:t>
      </w:r>
      <w:r w:rsidRPr="006C05C8">
        <w:rPr>
          <w:lang w:val="en-GB"/>
        </w:rPr>
        <w:t xml:space="preserve"> GmbH, Hilden, Germany</w:t>
      </w:r>
      <w:r w:rsidRPr="00C83EDC">
        <w:rPr>
          <w:lang w:val="en-GB"/>
        </w:rPr>
        <w:t xml:space="preserve">). The reaction mix was prepared according to </w:t>
      </w:r>
      <w:r w:rsidRPr="00EF3D19">
        <w:rPr>
          <w:lang w:val="en-GB"/>
        </w:rPr>
        <w:t xml:space="preserve">Table </w:t>
      </w:r>
      <w:r>
        <w:rPr>
          <w:lang w:val="en-GB"/>
        </w:rPr>
        <w:t>IX</w:t>
      </w:r>
      <w:r w:rsidRPr="00EF3D19">
        <w:rPr>
          <w:lang w:val="en-GB"/>
        </w:rPr>
        <w:t>.</w:t>
      </w:r>
      <w:r w:rsidRPr="00C83EDC">
        <w:rPr>
          <w:lang w:val="en-GB"/>
        </w:rPr>
        <w:t xml:space="preserve"> The reaction mixture was inverted several times to ensure thorough mixing and then it was briefly centrifuged. </w:t>
      </w:r>
    </w:p>
    <w:p w14:paraId="4F5279BA" w14:textId="6183970C" w:rsidR="00EE7EB3" w:rsidRPr="00DF41F6" w:rsidRDefault="00EE7EB3" w:rsidP="00EE7EB3">
      <w:pPr>
        <w:pStyle w:val="Titulektabulky"/>
        <w:jc w:val="left"/>
        <w:rPr>
          <w:lang w:val="en-GB"/>
        </w:rPr>
      </w:pPr>
      <w:bookmarkStart w:id="60" w:name="_Toc47541142"/>
      <w:r w:rsidRPr="00DF41F6">
        <w:rPr>
          <w:lang w:val="en-GB"/>
        </w:rPr>
        <w:t xml:space="preserve">Table </w:t>
      </w:r>
      <w:r w:rsidRPr="00DF41F6">
        <w:rPr>
          <w:noProof/>
          <w:lang w:val="en-GB"/>
        </w:rPr>
        <w:fldChar w:fldCharType="begin"/>
      </w:r>
      <w:r w:rsidRPr="00DF41F6">
        <w:rPr>
          <w:noProof/>
          <w:lang w:val="en-GB"/>
        </w:rPr>
        <w:instrText xml:space="preserve"> SEQ Tab. \* ARABIC \* ROMAN </w:instrText>
      </w:r>
      <w:r w:rsidRPr="00DF41F6">
        <w:rPr>
          <w:noProof/>
          <w:lang w:val="en-GB"/>
        </w:rPr>
        <w:fldChar w:fldCharType="separate"/>
      </w:r>
      <w:r w:rsidR="0048503A">
        <w:rPr>
          <w:noProof/>
          <w:lang w:val="en-GB"/>
        </w:rPr>
        <w:t>IX</w:t>
      </w:r>
      <w:r w:rsidRPr="00DF41F6">
        <w:rPr>
          <w:noProof/>
          <w:lang w:val="en-GB"/>
        </w:rPr>
        <w:fldChar w:fldCharType="end"/>
      </w:r>
      <w:r w:rsidRPr="00DF41F6">
        <w:rPr>
          <w:noProof/>
          <w:lang w:val="en-GB"/>
        </w:rPr>
        <w:t>.</w:t>
      </w:r>
      <w:r w:rsidRPr="00DF41F6">
        <w:rPr>
          <w:lang w:val="en-GB"/>
        </w:rPr>
        <w:t xml:space="preserve"> </w:t>
      </w:r>
      <w:r w:rsidRPr="00DF41F6">
        <w:rPr>
          <w:b w:val="0"/>
          <w:bCs w:val="0"/>
          <w:lang w:val="en-GB"/>
        </w:rPr>
        <w:t xml:space="preserve">Reaction setup for </w:t>
      </w:r>
      <w:proofErr w:type="spellStart"/>
      <w:r w:rsidRPr="00DF41F6">
        <w:rPr>
          <w:b w:val="0"/>
          <w:bCs w:val="0"/>
          <w:lang w:val="en-GB"/>
        </w:rPr>
        <w:t>miRCURY</w:t>
      </w:r>
      <w:proofErr w:type="spellEnd"/>
      <w:r w:rsidRPr="00DF41F6">
        <w:rPr>
          <w:b w:val="0"/>
          <w:bCs w:val="0"/>
          <w:lang w:val="en-GB"/>
        </w:rPr>
        <w:t xml:space="preserve"> LNA </w:t>
      </w:r>
      <w:proofErr w:type="spellStart"/>
      <w:r w:rsidRPr="00DF41F6">
        <w:rPr>
          <w:b w:val="0"/>
          <w:bCs w:val="0"/>
          <w:lang w:val="en-GB"/>
        </w:rPr>
        <w:t>miRNome</w:t>
      </w:r>
      <w:proofErr w:type="spellEnd"/>
      <w:r w:rsidRPr="00DF41F6">
        <w:rPr>
          <w:b w:val="0"/>
          <w:bCs w:val="0"/>
          <w:lang w:val="en-GB"/>
        </w:rPr>
        <w:t xml:space="preserve"> PCR panels.</w:t>
      </w:r>
      <w:bookmarkEnd w:id="60"/>
    </w:p>
    <w:tbl>
      <w:tblPr>
        <w:tblStyle w:val="Tabulkasmkou4zvraznn31"/>
        <w:tblW w:w="0" w:type="auto"/>
        <w:tblLook w:val="04E0" w:firstRow="1" w:lastRow="1" w:firstColumn="1" w:lastColumn="0" w:noHBand="0" w:noVBand="1"/>
      </w:tblPr>
      <w:tblGrid>
        <w:gridCol w:w="5807"/>
        <w:gridCol w:w="3209"/>
      </w:tblGrid>
      <w:tr w:rsidR="00EE7EB3" w:rsidRPr="00784B41" w14:paraId="2072807C"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shd w:val="clear" w:color="auto" w:fill="FFFFFF" w:themeFill="background1"/>
          </w:tcPr>
          <w:p w14:paraId="2A14C208" w14:textId="77777777" w:rsidR="00EE7EB3" w:rsidRPr="00784B41" w:rsidRDefault="00EE7EB3" w:rsidP="00F233D4">
            <w:pPr>
              <w:rPr>
                <w:rFonts w:ascii="Cambria" w:hAnsi="Cambria"/>
                <w:color w:val="3B3838" w:themeColor="background2" w:themeShade="40"/>
                <w:sz w:val="20"/>
                <w:szCs w:val="20"/>
                <w:lang w:eastAsia="sk-SK"/>
              </w:rPr>
            </w:pPr>
            <w:r w:rsidRPr="00784B41">
              <w:rPr>
                <w:rFonts w:ascii="Cambria" w:hAnsi="Cambria"/>
                <w:color w:val="3B3838" w:themeColor="background2" w:themeShade="40"/>
                <w:sz w:val="20"/>
                <w:szCs w:val="20"/>
                <w:lang w:eastAsia="sk-SK"/>
              </w:rPr>
              <w:t>Component</w:t>
            </w:r>
          </w:p>
        </w:tc>
        <w:tc>
          <w:tcPr>
            <w:tcW w:w="3209" w:type="dxa"/>
            <w:shd w:val="clear" w:color="auto" w:fill="FFFFFF" w:themeFill="background1"/>
          </w:tcPr>
          <w:p w14:paraId="796485EB" w14:textId="77777777" w:rsidR="00EE7EB3" w:rsidRPr="00784B41"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Volume/reaction</w:t>
            </w:r>
          </w:p>
        </w:tc>
      </w:tr>
      <w:tr w:rsidR="00EE7EB3" w:rsidRPr="00784B41" w14:paraId="725A5276"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63B7CF1D" w14:textId="77777777" w:rsidR="00EE7EB3" w:rsidRPr="00784B41" w:rsidRDefault="00EE7EB3" w:rsidP="00F233D4">
            <w:pPr>
              <w:rPr>
                <w:rFonts w:ascii="Cambria" w:hAnsi="Cambria"/>
                <w:b w:val="0"/>
                <w:bCs w:val="0"/>
                <w:color w:val="3B3838" w:themeColor="background2" w:themeShade="40"/>
                <w:sz w:val="20"/>
                <w:szCs w:val="20"/>
              </w:rPr>
            </w:pPr>
            <w:r w:rsidRPr="00784B41">
              <w:rPr>
                <w:rFonts w:ascii="Cambria" w:hAnsi="Cambria"/>
                <w:b w:val="0"/>
                <w:bCs w:val="0"/>
                <w:color w:val="3B3838" w:themeColor="background2" w:themeShade="40"/>
                <w:sz w:val="20"/>
                <w:szCs w:val="20"/>
              </w:rPr>
              <w:t xml:space="preserve">2x </w:t>
            </w:r>
            <w:proofErr w:type="spellStart"/>
            <w:r w:rsidRPr="00784B41">
              <w:rPr>
                <w:rFonts w:ascii="Cambria" w:hAnsi="Cambria"/>
                <w:b w:val="0"/>
                <w:bCs w:val="0"/>
                <w:color w:val="3B3838" w:themeColor="background2" w:themeShade="40"/>
                <w:sz w:val="20"/>
                <w:szCs w:val="20"/>
              </w:rPr>
              <w:t>miRCURY</w:t>
            </w:r>
            <w:proofErr w:type="spellEnd"/>
            <w:r w:rsidRPr="00784B41">
              <w:rPr>
                <w:rFonts w:ascii="Cambria" w:hAnsi="Cambria"/>
                <w:b w:val="0"/>
                <w:bCs w:val="0"/>
                <w:color w:val="3B3838" w:themeColor="background2" w:themeShade="40"/>
                <w:sz w:val="20"/>
                <w:szCs w:val="20"/>
              </w:rPr>
              <w:t xml:space="preserve"> SYBR Green Master Mix</w:t>
            </w:r>
          </w:p>
        </w:tc>
        <w:tc>
          <w:tcPr>
            <w:tcW w:w="3209" w:type="dxa"/>
          </w:tcPr>
          <w:p w14:paraId="1D9182F9" w14:textId="77777777" w:rsidR="00EE7EB3" w:rsidRPr="00784B41"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4000 µl</w:t>
            </w:r>
          </w:p>
        </w:tc>
      </w:tr>
      <w:tr w:rsidR="00EE7EB3" w:rsidRPr="00784B41" w14:paraId="59FE00D3"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0E1A6810" w14:textId="77777777" w:rsidR="00EE7EB3" w:rsidRPr="00784B41" w:rsidRDefault="00EE7EB3" w:rsidP="00F233D4">
            <w:pPr>
              <w:rPr>
                <w:rFonts w:ascii="Cambria" w:hAnsi="Cambria"/>
                <w:b w:val="0"/>
                <w:bCs w:val="0"/>
                <w:color w:val="3B3838" w:themeColor="background2" w:themeShade="40"/>
                <w:sz w:val="20"/>
                <w:szCs w:val="20"/>
              </w:rPr>
            </w:pPr>
            <w:r w:rsidRPr="00784B41">
              <w:rPr>
                <w:rFonts w:ascii="Cambria" w:hAnsi="Cambria"/>
                <w:b w:val="0"/>
                <w:bCs w:val="0"/>
                <w:color w:val="3B3838" w:themeColor="background2" w:themeShade="40"/>
                <w:sz w:val="20"/>
                <w:szCs w:val="20"/>
              </w:rPr>
              <w:t>ROX Reference Dye</w:t>
            </w:r>
          </w:p>
        </w:tc>
        <w:tc>
          <w:tcPr>
            <w:tcW w:w="3209" w:type="dxa"/>
          </w:tcPr>
          <w:p w14:paraId="2616F692" w14:textId="77777777" w:rsidR="00EE7EB3" w:rsidRPr="00784B41"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40 µl</w:t>
            </w:r>
          </w:p>
        </w:tc>
      </w:tr>
      <w:tr w:rsidR="00EE7EB3" w:rsidRPr="00784B41" w14:paraId="0655EEE9"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00728AEE" w14:textId="77777777" w:rsidR="00EE7EB3" w:rsidRPr="00784B41" w:rsidRDefault="00EE7EB3" w:rsidP="00F233D4">
            <w:pPr>
              <w:rPr>
                <w:rFonts w:ascii="Cambria" w:hAnsi="Cambria"/>
                <w:b w:val="0"/>
                <w:bCs w:val="0"/>
                <w:color w:val="3B3838" w:themeColor="background2" w:themeShade="40"/>
                <w:sz w:val="20"/>
                <w:szCs w:val="20"/>
              </w:rPr>
            </w:pPr>
            <w:r w:rsidRPr="00784B41">
              <w:rPr>
                <w:rFonts w:ascii="Cambria" w:hAnsi="Cambria"/>
                <w:b w:val="0"/>
                <w:bCs w:val="0"/>
                <w:color w:val="3B3838" w:themeColor="background2" w:themeShade="40"/>
                <w:sz w:val="20"/>
                <w:szCs w:val="20"/>
              </w:rPr>
              <w:t>Undiluted cDNA template</w:t>
            </w:r>
          </w:p>
        </w:tc>
        <w:tc>
          <w:tcPr>
            <w:tcW w:w="3209" w:type="dxa"/>
          </w:tcPr>
          <w:p w14:paraId="45486BA2" w14:textId="77777777" w:rsidR="00EE7EB3" w:rsidRPr="00784B41"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40 µl</w:t>
            </w:r>
          </w:p>
        </w:tc>
      </w:tr>
      <w:tr w:rsidR="00EE7EB3" w:rsidRPr="00784B41" w14:paraId="35CF9DE9"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9BB2368" w14:textId="77777777" w:rsidR="00EE7EB3" w:rsidRPr="00784B41" w:rsidRDefault="00EE7EB3" w:rsidP="00F233D4">
            <w:pPr>
              <w:rPr>
                <w:rFonts w:ascii="Cambria" w:hAnsi="Cambria"/>
                <w:b w:val="0"/>
                <w:bCs w:val="0"/>
                <w:color w:val="3B3838" w:themeColor="background2" w:themeShade="40"/>
                <w:sz w:val="20"/>
                <w:szCs w:val="20"/>
                <w:lang w:eastAsia="sk-SK"/>
              </w:rPr>
            </w:pPr>
            <w:r w:rsidRPr="00784B41">
              <w:rPr>
                <w:rFonts w:ascii="Cambria" w:hAnsi="Cambria"/>
                <w:b w:val="0"/>
                <w:bCs w:val="0"/>
                <w:color w:val="3B3838" w:themeColor="background2" w:themeShade="40"/>
                <w:sz w:val="20"/>
                <w:szCs w:val="20"/>
                <w:lang w:eastAsia="sk-SK"/>
              </w:rPr>
              <w:t>RNase-free water</w:t>
            </w:r>
          </w:p>
        </w:tc>
        <w:tc>
          <w:tcPr>
            <w:tcW w:w="3209" w:type="dxa"/>
          </w:tcPr>
          <w:p w14:paraId="0B4A208E" w14:textId="77777777" w:rsidR="00EE7EB3" w:rsidRPr="00784B41"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3960 µl</w:t>
            </w:r>
          </w:p>
        </w:tc>
      </w:tr>
      <w:tr w:rsidR="00EE7EB3" w:rsidRPr="00784B41" w14:paraId="1FE3AAB2" w14:textId="77777777" w:rsidTr="00F233D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78E9C191" w14:textId="77777777" w:rsidR="00EE7EB3" w:rsidRPr="00784B41" w:rsidRDefault="00EE7EB3" w:rsidP="00F233D4">
            <w:pPr>
              <w:rPr>
                <w:rFonts w:ascii="Cambria" w:hAnsi="Cambria"/>
                <w:color w:val="3B3838" w:themeColor="background2" w:themeShade="40"/>
                <w:sz w:val="20"/>
                <w:szCs w:val="20"/>
                <w:lang w:eastAsia="sk-SK"/>
              </w:rPr>
            </w:pPr>
            <w:r w:rsidRPr="00784B41">
              <w:rPr>
                <w:rFonts w:ascii="Cambria" w:hAnsi="Cambria"/>
                <w:color w:val="3B3838" w:themeColor="background2" w:themeShade="40"/>
                <w:sz w:val="20"/>
                <w:szCs w:val="20"/>
                <w:lang w:eastAsia="sk-SK"/>
              </w:rPr>
              <w:t>Total volume</w:t>
            </w:r>
          </w:p>
        </w:tc>
        <w:tc>
          <w:tcPr>
            <w:tcW w:w="3209" w:type="dxa"/>
          </w:tcPr>
          <w:p w14:paraId="3AB3D448" w14:textId="77777777" w:rsidR="00EE7EB3" w:rsidRPr="00784B41" w:rsidRDefault="00EE7EB3" w:rsidP="00F233D4">
            <w:pPr>
              <w:cnfStyle w:val="010000000000" w:firstRow="0" w:lastRow="1"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784B41">
              <w:rPr>
                <w:rFonts w:ascii="Cambria" w:hAnsi="Cambria"/>
                <w:color w:val="3B3838" w:themeColor="background2" w:themeShade="40"/>
                <w:sz w:val="20"/>
                <w:szCs w:val="20"/>
              </w:rPr>
              <w:t>8000 µl</w:t>
            </w:r>
          </w:p>
        </w:tc>
      </w:tr>
    </w:tbl>
    <w:p w14:paraId="7C182EA6" w14:textId="77777777" w:rsidR="00EE7EB3" w:rsidRDefault="00EE7EB3" w:rsidP="00EE7EB3">
      <w:pPr>
        <w:pStyle w:val="Odstavec1"/>
        <w:rPr>
          <w:lang w:val="en-GB"/>
        </w:rPr>
      </w:pPr>
    </w:p>
    <w:p w14:paraId="46C29B27" w14:textId="77777777" w:rsidR="00EE7EB3" w:rsidRPr="00C83EDC" w:rsidRDefault="00EE7EB3" w:rsidP="00EE7EB3">
      <w:pPr>
        <w:pStyle w:val="Odstavec1"/>
        <w:rPr>
          <w:lang w:val="en-GB"/>
        </w:rPr>
      </w:pPr>
      <w:r w:rsidRPr="00C83EDC">
        <w:rPr>
          <w:lang w:val="en-GB"/>
        </w:rPr>
        <w:t xml:space="preserve">A volume of 10 µl of the reaction mixture was dispensed into each well of </w:t>
      </w:r>
      <w:proofErr w:type="spellStart"/>
      <w:r w:rsidRPr="00C83EDC">
        <w:rPr>
          <w:lang w:val="en-GB"/>
        </w:rPr>
        <w:t>miRNome</w:t>
      </w:r>
      <w:proofErr w:type="spellEnd"/>
      <w:r w:rsidRPr="00C83EDC">
        <w:rPr>
          <w:lang w:val="en-GB"/>
        </w:rPr>
        <w:t xml:space="preserve"> Human PCR Panel 1 and 2. The plates were sealed with sealing foils and spun at 1,000 rpm at room </w:t>
      </w:r>
      <w:r w:rsidRPr="00C83EDC">
        <w:rPr>
          <w:lang w:val="en-GB"/>
        </w:rPr>
        <w:lastRenderedPageBreak/>
        <w:t xml:space="preserve">temperature for 1 minute. After the centrifugation, the primers were left to dissolve in the reaction mix for 5 minutes. In the meantime, </w:t>
      </w:r>
      <w:proofErr w:type="spellStart"/>
      <w:r w:rsidRPr="00C83EDC">
        <w:rPr>
          <w:lang w:val="en-GB"/>
        </w:rPr>
        <w:t>QuantStudio</w:t>
      </w:r>
      <w:proofErr w:type="spellEnd"/>
      <w:r w:rsidRPr="00C83EDC">
        <w:rPr>
          <w:lang w:val="en-GB"/>
        </w:rPr>
        <w:t xml:space="preserve"> 12K Flex Real Time PCR system (Thermo Fisher Scientific, Waltham, MA, USA) was programmed according to </w:t>
      </w:r>
      <w:r w:rsidRPr="00EF3D19">
        <w:rPr>
          <w:lang w:val="en-GB"/>
        </w:rPr>
        <w:t xml:space="preserve">Table </w:t>
      </w:r>
      <w:r>
        <w:rPr>
          <w:lang w:val="en-GB"/>
        </w:rPr>
        <w:t>X</w:t>
      </w:r>
      <w:r w:rsidRPr="00C83EDC">
        <w:rPr>
          <w:lang w:val="en-GB"/>
        </w:rPr>
        <w:t xml:space="preserve"> with the data set to be collected during the annealing step.</w:t>
      </w:r>
    </w:p>
    <w:p w14:paraId="32C702F5" w14:textId="21C43EA3" w:rsidR="00EE7EB3" w:rsidRPr="00DF41F6" w:rsidRDefault="00EE7EB3" w:rsidP="00EE7EB3">
      <w:pPr>
        <w:pStyle w:val="Titulektabulky"/>
        <w:jc w:val="left"/>
        <w:rPr>
          <w:lang w:val="en-GB"/>
        </w:rPr>
      </w:pPr>
      <w:bookmarkStart w:id="61" w:name="_Toc47541143"/>
      <w:r w:rsidRPr="00DF41F6">
        <w:rPr>
          <w:lang w:val="en-GB"/>
        </w:rPr>
        <w:t xml:space="preserve">Table </w:t>
      </w:r>
      <w:r w:rsidRPr="00DF41F6">
        <w:rPr>
          <w:noProof/>
          <w:lang w:val="en-GB"/>
        </w:rPr>
        <w:fldChar w:fldCharType="begin"/>
      </w:r>
      <w:r w:rsidRPr="00DF41F6">
        <w:rPr>
          <w:noProof/>
          <w:lang w:val="en-GB"/>
        </w:rPr>
        <w:instrText xml:space="preserve"> SEQ Tab. \* ARABIC \* ROMAN </w:instrText>
      </w:r>
      <w:r w:rsidRPr="00DF41F6">
        <w:rPr>
          <w:noProof/>
          <w:lang w:val="en-GB"/>
        </w:rPr>
        <w:fldChar w:fldCharType="separate"/>
      </w:r>
      <w:r w:rsidR="0048503A">
        <w:rPr>
          <w:noProof/>
          <w:lang w:val="en-GB"/>
        </w:rPr>
        <w:t>X</w:t>
      </w:r>
      <w:r w:rsidRPr="00DF41F6">
        <w:rPr>
          <w:noProof/>
          <w:lang w:val="en-GB"/>
        </w:rPr>
        <w:fldChar w:fldCharType="end"/>
      </w:r>
      <w:r w:rsidRPr="00DF41F6">
        <w:rPr>
          <w:noProof/>
          <w:lang w:val="en-GB"/>
        </w:rPr>
        <w:t>.</w:t>
      </w:r>
      <w:r w:rsidRPr="00DF41F6">
        <w:rPr>
          <w:lang w:val="en-GB"/>
        </w:rPr>
        <w:t xml:space="preserve"> </w:t>
      </w:r>
      <w:r w:rsidRPr="00DF41F6">
        <w:rPr>
          <w:b w:val="0"/>
          <w:bCs w:val="0"/>
          <w:lang w:val="en-GB"/>
        </w:rPr>
        <w:t>PCR cycling conditions.</w:t>
      </w:r>
      <w:bookmarkEnd w:id="61"/>
    </w:p>
    <w:tbl>
      <w:tblPr>
        <w:tblStyle w:val="Tabulkasmkou4zvraznn31"/>
        <w:tblW w:w="0" w:type="auto"/>
        <w:tblLook w:val="06A0" w:firstRow="1" w:lastRow="0" w:firstColumn="1" w:lastColumn="0" w:noHBand="1" w:noVBand="1"/>
      </w:tblPr>
      <w:tblGrid>
        <w:gridCol w:w="3321"/>
        <w:gridCol w:w="1898"/>
        <w:gridCol w:w="1898"/>
        <w:gridCol w:w="1899"/>
      </w:tblGrid>
      <w:tr w:rsidR="00EE7EB3" w:rsidRPr="00035332" w14:paraId="1014276D"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1" w:type="dxa"/>
            <w:shd w:val="clear" w:color="auto" w:fill="FFFFFF" w:themeFill="background1"/>
          </w:tcPr>
          <w:p w14:paraId="17C9380A" w14:textId="77777777" w:rsidR="00EE7EB3" w:rsidRPr="00035332" w:rsidRDefault="00EE7EB3" w:rsidP="00F233D4">
            <w:pPr>
              <w:rPr>
                <w:rFonts w:ascii="Cambria" w:hAnsi="Cambria"/>
                <w:color w:val="171717" w:themeColor="background2" w:themeShade="1A"/>
                <w:sz w:val="20"/>
                <w:szCs w:val="20"/>
                <w:lang w:eastAsia="sk-SK"/>
              </w:rPr>
            </w:pPr>
            <w:r w:rsidRPr="00035332">
              <w:rPr>
                <w:rFonts w:ascii="Cambria" w:hAnsi="Cambria"/>
                <w:color w:val="171717" w:themeColor="background2" w:themeShade="1A"/>
                <w:sz w:val="20"/>
                <w:szCs w:val="20"/>
                <w:lang w:eastAsia="sk-SK"/>
              </w:rPr>
              <w:t>Step</w:t>
            </w:r>
          </w:p>
        </w:tc>
        <w:tc>
          <w:tcPr>
            <w:tcW w:w="1898" w:type="dxa"/>
            <w:shd w:val="clear" w:color="auto" w:fill="FFFFFF" w:themeFill="background1"/>
          </w:tcPr>
          <w:p w14:paraId="1D77929B" w14:textId="77777777" w:rsidR="00EE7EB3" w:rsidRPr="00035332"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olor w:val="171717" w:themeColor="background2" w:themeShade="1A"/>
                <w:sz w:val="20"/>
                <w:szCs w:val="20"/>
              </w:rPr>
            </w:pPr>
            <w:r w:rsidRPr="00035332">
              <w:rPr>
                <w:rFonts w:ascii="Cambria" w:hAnsi="Cambria"/>
                <w:color w:val="171717" w:themeColor="background2" w:themeShade="1A"/>
                <w:sz w:val="20"/>
                <w:szCs w:val="20"/>
              </w:rPr>
              <w:t>Time</w:t>
            </w:r>
          </w:p>
        </w:tc>
        <w:tc>
          <w:tcPr>
            <w:tcW w:w="1898" w:type="dxa"/>
            <w:shd w:val="clear" w:color="auto" w:fill="FFFFFF" w:themeFill="background1"/>
          </w:tcPr>
          <w:p w14:paraId="0F3FF5EA" w14:textId="77777777" w:rsidR="00EE7EB3" w:rsidRPr="00035332"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olor w:val="171717" w:themeColor="background2" w:themeShade="1A"/>
                <w:sz w:val="20"/>
                <w:szCs w:val="20"/>
              </w:rPr>
            </w:pPr>
            <w:r w:rsidRPr="00035332">
              <w:rPr>
                <w:rFonts w:ascii="Cambria" w:hAnsi="Cambria"/>
                <w:color w:val="171717" w:themeColor="background2" w:themeShade="1A"/>
                <w:sz w:val="20"/>
                <w:szCs w:val="20"/>
              </w:rPr>
              <w:t>Temperature</w:t>
            </w:r>
          </w:p>
        </w:tc>
        <w:tc>
          <w:tcPr>
            <w:tcW w:w="1899" w:type="dxa"/>
            <w:shd w:val="clear" w:color="auto" w:fill="FFFFFF" w:themeFill="background1"/>
          </w:tcPr>
          <w:p w14:paraId="23C9CEED" w14:textId="77777777" w:rsidR="00EE7EB3" w:rsidRPr="00035332"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olor w:val="171717" w:themeColor="background2" w:themeShade="1A"/>
                <w:sz w:val="20"/>
                <w:szCs w:val="20"/>
              </w:rPr>
            </w:pPr>
            <w:r w:rsidRPr="00035332">
              <w:rPr>
                <w:rFonts w:ascii="Cambria" w:hAnsi="Cambria"/>
                <w:color w:val="171717" w:themeColor="background2" w:themeShade="1A"/>
                <w:sz w:val="20"/>
                <w:szCs w:val="20"/>
              </w:rPr>
              <w:t>Ramp rate</w:t>
            </w:r>
          </w:p>
        </w:tc>
      </w:tr>
      <w:tr w:rsidR="00EE7EB3" w:rsidRPr="00035332" w14:paraId="752B7898"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3321" w:type="dxa"/>
          </w:tcPr>
          <w:p w14:paraId="70394574" w14:textId="77777777" w:rsidR="00EE7EB3" w:rsidRPr="00035332" w:rsidRDefault="00EE7EB3" w:rsidP="00F233D4">
            <w:pPr>
              <w:rPr>
                <w:rFonts w:ascii="Cambria" w:hAnsi="Cambria"/>
                <w:b w:val="0"/>
                <w:bCs w:val="0"/>
                <w:color w:val="3B3838" w:themeColor="background2" w:themeShade="40"/>
                <w:sz w:val="20"/>
                <w:szCs w:val="20"/>
              </w:rPr>
            </w:pPr>
            <w:r w:rsidRPr="00035332">
              <w:rPr>
                <w:rFonts w:ascii="Cambria" w:hAnsi="Cambria"/>
                <w:b w:val="0"/>
                <w:bCs w:val="0"/>
                <w:color w:val="3B3838" w:themeColor="background2" w:themeShade="40"/>
                <w:sz w:val="20"/>
                <w:szCs w:val="20"/>
              </w:rPr>
              <w:t>PCR initial heat activation</w:t>
            </w:r>
          </w:p>
        </w:tc>
        <w:tc>
          <w:tcPr>
            <w:tcW w:w="1898" w:type="dxa"/>
          </w:tcPr>
          <w:p w14:paraId="602A7092"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2 minutes</w:t>
            </w:r>
          </w:p>
        </w:tc>
        <w:tc>
          <w:tcPr>
            <w:tcW w:w="1898" w:type="dxa"/>
          </w:tcPr>
          <w:p w14:paraId="572D6D93"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95 °C</w:t>
            </w:r>
          </w:p>
        </w:tc>
        <w:tc>
          <w:tcPr>
            <w:tcW w:w="1899" w:type="dxa"/>
          </w:tcPr>
          <w:p w14:paraId="04D186C2"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Fast mode</w:t>
            </w:r>
          </w:p>
        </w:tc>
      </w:tr>
      <w:tr w:rsidR="00EE7EB3" w:rsidRPr="00035332" w14:paraId="0C59B219"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3321" w:type="dxa"/>
          </w:tcPr>
          <w:p w14:paraId="1FBE614C" w14:textId="77777777" w:rsidR="00EE7EB3" w:rsidRPr="00035332" w:rsidRDefault="00EE7EB3" w:rsidP="00F233D4">
            <w:pPr>
              <w:rPr>
                <w:rFonts w:ascii="Cambria" w:hAnsi="Cambria"/>
                <w:color w:val="3B3838" w:themeColor="background2" w:themeShade="40"/>
                <w:sz w:val="20"/>
                <w:szCs w:val="20"/>
              </w:rPr>
            </w:pPr>
            <w:r w:rsidRPr="00035332">
              <w:rPr>
                <w:rFonts w:ascii="Cambria" w:hAnsi="Cambria"/>
                <w:color w:val="3B3838" w:themeColor="background2" w:themeShade="40"/>
                <w:sz w:val="20"/>
                <w:szCs w:val="20"/>
              </w:rPr>
              <w:t>2-step cycling</w:t>
            </w:r>
          </w:p>
        </w:tc>
        <w:tc>
          <w:tcPr>
            <w:tcW w:w="1898" w:type="dxa"/>
          </w:tcPr>
          <w:p w14:paraId="65A760AC"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p>
        </w:tc>
        <w:tc>
          <w:tcPr>
            <w:tcW w:w="1898" w:type="dxa"/>
          </w:tcPr>
          <w:p w14:paraId="61348BF0"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p>
        </w:tc>
        <w:tc>
          <w:tcPr>
            <w:tcW w:w="1899" w:type="dxa"/>
          </w:tcPr>
          <w:p w14:paraId="37E94DC8"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p>
        </w:tc>
      </w:tr>
      <w:tr w:rsidR="00EE7EB3" w:rsidRPr="00035332" w14:paraId="6DD6044B"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3321" w:type="dxa"/>
            <w:shd w:val="clear" w:color="auto" w:fill="E7E6E6" w:themeFill="background2"/>
          </w:tcPr>
          <w:p w14:paraId="681224A6" w14:textId="77777777" w:rsidR="00EE7EB3" w:rsidRPr="00035332" w:rsidRDefault="00EE7EB3" w:rsidP="00F233D4">
            <w:pPr>
              <w:rPr>
                <w:rFonts w:ascii="Cambria" w:hAnsi="Cambria"/>
                <w:b w:val="0"/>
                <w:bCs w:val="0"/>
                <w:color w:val="3B3838" w:themeColor="background2" w:themeShade="40"/>
                <w:sz w:val="20"/>
                <w:szCs w:val="20"/>
              </w:rPr>
            </w:pPr>
            <w:r w:rsidRPr="00035332">
              <w:rPr>
                <w:rFonts w:ascii="Cambria" w:hAnsi="Cambria"/>
                <w:b w:val="0"/>
                <w:bCs w:val="0"/>
                <w:color w:val="3B3838" w:themeColor="background2" w:themeShade="40"/>
                <w:sz w:val="20"/>
                <w:szCs w:val="20"/>
              </w:rPr>
              <w:t xml:space="preserve"> Denaturation</w:t>
            </w:r>
          </w:p>
        </w:tc>
        <w:tc>
          <w:tcPr>
            <w:tcW w:w="1898" w:type="dxa"/>
            <w:shd w:val="clear" w:color="auto" w:fill="E7E6E6" w:themeFill="background2"/>
          </w:tcPr>
          <w:p w14:paraId="1B14DDA8"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10 seconds</w:t>
            </w:r>
          </w:p>
        </w:tc>
        <w:tc>
          <w:tcPr>
            <w:tcW w:w="1898" w:type="dxa"/>
            <w:shd w:val="clear" w:color="auto" w:fill="E7E6E6" w:themeFill="background2"/>
          </w:tcPr>
          <w:p w14:paraId="0A883859"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95 °C</w:t>
            </w:r>
          </w:p>
        </w:tc>
        <w:tc>
          <w:tcPr>
            <w:tcW w:w="1899" w:type="dxa"/>
            <w:shd w:val="clear" w:color="auto" w:fill="E7E6E6" w:themeFill="background2"/>
          </w:tcPr>
          <w:p w14:paraId="26E6584B"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Fast mode</w:t>
            </w:r>
          </w:p>
        </w:tc>
      </w:tr>
      <w:tr w:rsidR="00EE7EB3" w:rsidRPr="00035332" w14:paraId="63A3123F"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3321" w:type="dxa"/>
            <w:shd w:val="clear" w:color="auto" w:fill="E7E6E6" w:themeFill="background2"/>
          </w:tcPr>
          <w:p w14:paraId="466FA349" w14:textId="77777777" w:rsidR="00EE7EB3" w:rsidRPr="00035332" w:rsidRDefault="00EE7EB3" w:rsidP="00F233D4">
            <w:pPr>
              <w:rPr>
                <w:rFonts w:ascii="Cambria" w:hAnsi="Cambria"/>
                <w:b w:val="0"/>
                <w:bCs w:val="0"/>
                <w:color w:val="3B3838" w:themeColor="background2" w:themeShade="40"/>
                <w:sz w:val="20"/>
                <w:szCs w:val="20"/>
              </w:rPr>
            </w:pPr>
            <w:r w:rsidRPr="00035332">
              <w:rPr>
                <w:rFonts w:ascii="Cambria" w:hAnsi="Cambria"/>
                <w:b w:val="0"/>
                <w:bCs w:val="0"/>
                <w:color w:val="3B3838" w:themeColor="background2" w:themeShade="40"/>
                <w:sz w:val="20"/>
                <w:szCs w:val="20"/>
              </w:rPr>
              <w:t xml:space="preserve"> Combined annealing/extension</w:t>
            </w:r>
          </w:p>
        </w:tc>
        <w:tc>
          <w:tcPr>
            <w:tcW w:w="1898" w:type="dxa"/>
            <w:shd w:val="clear" w:color="auto" w:fill="E7E6E6" w:themeFill="background2"/>
          </w:tcPr>
          <w:p w14:paraId="43D8130B"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60 seconds</w:t>
            </w:r>
          </w:p>
        </w:tc>
        <w:tc>
          <w:tcPr>
            <w:tcW w:w="1898" w:type="dxa"/>
            <w:shd w:val="clear" w:color="auto" w:fill="E7E6E6" w:themeFill="background2"/>
          </w:tcPr>
          <w:p w14:paraId="535F5992"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56 °C</w:t>
            </w:r>
          </w:p>
        </w:tc>
        <w:tc>
          <w:tcPr>
            <w:tcW w:w="1899" w:type="dxa"/>
            <w:shd w:val="clear" w:color="auto" w:fill="E7E6E6" w:themeFill="background2"/>
          </w:tcPr>
          <w:p w14:paraId="0BFC284F"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Fast mode</w:t>
            </w:r>
          </w:p>
        </w:tc>
      </w:tr>
      <w:tr w:rsidR="00EE7EB3" w:rsidRPr="00035332" w14:paraId="701B8FDE"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3321" w:type="dxa"/>
            <w:shd w:val="clear" w:color="auto" w:fill="E7E6E6" w:themeFill="background2"/>
          </w:tcPr>
          <w:p w14:paraId="01FFF9E5" w14:textId="77777777" w:rsidR="00EE7EB3" w:rsidRPr="00035332" w:rsidRDefault="00EE7EB3" w:rsidP="00F233D4">
            <w:pPr>
              <w:rPr>
                <w:rFonts w:ascii="Cambria" w:hAnsi="Cambria"/>
                <w:b w:val="0"/>
                <w:bCs w:val="0"/>
                <w:color w:val="3B3838" w:themeColor="background2" w:themeShade="40"/>
                <w:sz w:val="20"/>
                <w:szCs w:val="20"/>
              </w:rPr>
            </w:pPr>
            <w:r w:rsidRPr="00035332">
              <w:rPr>
                <w:rFonts w:ascii="Cambria" w:hAnsi="Cambria"/>
                <w:b w:val="0"/>
                <w:bCs w:val="0"/>
                <w:color w:val="3B3838" w:themeColor="background2" w:themeShade="40"/>
                <w:sz w:val="20"/>
                <w:szCs w:val="20"/>
              </w:rPr>
              <w:t xml:space="preserve"> Cycle Number 40</w:t>
            </w:r>
          </w:p>
        </w:tc>
        <w:tc>
          <w:tcPr>
            <w:tcW w:w="1898" w:type="dxa"/>
            <w:shd w:val="clear" w:color="auto" w:fill="E7E6E6" w:themeFill="background2"/>
          </w:tcPr>
          <w:p w14:paraId="54227518"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p>
        </w:tc>
        <w:tc>
          <w:tcPr>
            <w:tcW w:w="1898" w:type="dxa"/>
            <w:shd w:val="clear" w:color="auto" w:fill="E7E6E6" w:themeFill="background2"/>
          </w:tcPr>
          <w:p w14:paraId="48F30EAF"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p>
        </w:tc>
        <w:tc>
          <w:tcPr>
            <w:tcW w:w="1899" w:type="dxa"/>
            <w:shd w:val="clear" w:color="auto" w:fill="E7E6E6" w:themeFill="background2"/>
          </w:tcPr>
          <w:p w14:paraId="2F872ECF"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p>
        </w:tc>
      </w:tr>
      <w:tr w:rsidR="00EE7EB3" w:rsidRPr="00035332" w14:paraId="2D26F8D0"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3321" w:type="dxa"/>
          </w:tcPr>
          <w:p w14:paraId="6C6B1B3A" w14:textId="77777777" w:rsidR="00EE7EB3" w:rsidRPr="00035332" w:rsidRDefault="00EE7EB3" w:rsidP="00F233D4">
            <w:pPr>
              <w:rPr>
                <w:rFonts w:ascii="Cambria" w:hAnsi="Cambria"/>
                <w:color w:val="3B3838" w:themeColor="background2" w:themeShade="40"/>
                <w:sz w:val="20"/>
                <w:szCs w:val="20"/>
                <w:lang w:eastAsia="sk-SK"/>
              </w:rPr>
            </w:pPr>
            <w:r w:rsidRPr="00035332">
              <w:rPr>
                <w:rFonts w:ascii="Cambria" w:hAnsi="Cambria"/>
                <w:color w:val="3B3838" w:themeColor="background2" w:themeShade="40"/>
                <w:sz w:val="20"/>
                <w:szCs w:val="20"/>
                <w:lang w:eastAsia="sk-SK"/>
              </w:rPr>
              <w:t>Melting curve analysis</w:t>
            </w:r>
          </w:p>
        </w:tc>
        <w:tc>
          <w:tcPr>
            <w:tcW w:w="1898" w:type="dxa"/>
          </w:tcPr>
          <w:p w14:paraId="64006958"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p>
        </w:tc>
        <w:tc>
          <w:tcPr>
            <w:tcW w:w="1898" w:type="dxa"/>
          </w:tcPr>
          <w:p w14:paraId="7ED636BF"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035332">
              <w:rPr>
                <w:rFonts w:ascii="Cambria" w:hAnsi="Cambria"/>
                <w:color w:val="3B3838" w:themeColor="background2" w:themeShade="40"/>
                <w:sz w:val="20"/>
                <w:szCs w:val="20"/>
              </w:rPr>
              <w:t>60–95 °C</w:t>
            </w:r>
          </w:p>
        </w:tc>
        <w:tc>
          <w:tcPr>
            <w:tcW w:w="1899" w:type="dxa"/>
          </w:tcPr>
          <w:p w14:paraId="7AFF3F29" w14:textId="77777777" w:rsidR="00EE7EB3" w:rsidRPr="00035332"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p>
        </w:tc>
      </w:tr>
    </w:tbl>
    <w:p w14:paraId="4B241336" w14:textId="77777777" w:rsidR="00EE7EB3" w:rsidRPr="00C83EDC" w:rsidRDefault="00EE7EB3" w:rsidP="00EE7EB3">
      <w:pPr>
        <w:pStyle w:val="Nadpis3"/>
        <w:rPr>
          <w:lang w:val="en-GB"/>
        </w:rPr>
      </w:pPr>
      <w:r w:rsidRPr="00C83EDC">
        <w:rPr>
          <w:lang w:val="en-GB"/>
        </w:rPr>
        <w:t xml:space="preserve"> Data processing and analysis</w:t>
      </w:r>
    </w:p>
    <w:p w14:paraId="4201DBAE" w14:textId="77777777" w:rsidR="00EE7EB3" w:rsidRPr="00C83EDC" w:rsidRDefault="00EE7EB3" w:rsidP="00EE7EB3">
      <w:pPr>
        <w:pStyle w:val="Dalodstavce"/>
        <w:ind w:firstLine="0"/>
        <w:rPr>
          <w:lang w:val="en-GB"/>
        </w:rPr>
      </w:pPr>
      <w:r w:rsidRPr="00C83EDC">
        <w:rPr>
          <w:lang w:val="en-GB"/>
        </w:rPr>
        <w:t xml:space="preserve">The </w:t>
      </w:r>
      <w:proofErr w:type="spellStart"/>
      <w:r>
        <w:rPr>
          <w:lang w:val="en-GB"/>
        </w:rPr>
        <w:t>qRT</w:t>
      </w:r>
      <w:proofErr w:type="spellEnd"/>
      <w:r>
        <w:rPr>
          <w:lang w:val="en-GB"/>
        </w:rPr>
        <w:t>-</w:t>
      </w:r>
      <w:r w:rsidRPr="00C83EDC">
        <w:rPr>
          <w:lang w:val="en-GB"/>
        </w:rPr>
        <w:t xml:space="preserve">PCR data were </w:t>
      </w:r>
      <w:r>
        <w:rPr>
          <w:lang w:val="en-GB"/>
        </w:rPr>
        <w:t>evaluated</w:t>
      </w:r>
      <w:r w:rsidRPr="00C83EDC">
        <w:rPr>
          <w:lang w:val="en-GB"/>
        </w:rPr>
        <w:t xml:space="preserve"> by </w:t>
      </w:r>
      <w:proofErr w:type="spellStart"/>
      <w:r w:rsidRPr="00C83EDC">
        <w:rPr>
          <w:lang w:val="en-GB"/>
        </w:rPr>
        <w:t>QuantStudio</w:t>
      </w:r>
      <w:proofErr w:type="spellEnd"/>
      <w:r w:rsidRPr="00C83EDC">
        <w:rPr>
          <w:lang w:val="en-GB"/>
        </w:rPr>
        <w:t xml:space="preserve"> 12K Flex software </w:t>
      </w:r>
      <w:r>
        <w:rPr>
          <w:lang w:val="en-GB"/>
        </w:rPr>
        <w:t>(</w:t>
      </w:r>
      <w:r w:rsidRPr="00C83EDC">
        <w:rPr>
          <w:lang w:val="en-GB"/>
        </w:rPr>
        <w:t>v</w:t>
      </w:r>
      <w:r>
        <w:rPr>
          <w:lang w:val="en-GB"/>
        </w:rPr>
        <w:t>ersion 1.2) and</w:t>
      </w:r>
      <w:r w:rsidRPr="00C83EDC">
        <w:rPr>
          <w:lang w:val="en-GB"/>
        </w:rPr>
        <w:t xml:space="preserve"> the acquired data pre-processed</w:t>
      </w:r>
      <w:r>
        <w:rPr>
          <w:lang w:val="en-GB"/>
        </w:rPr>
        <w:t>. A</w:t>
      </w:r>
      <w:r w:rsidRPr="00C83EDC">
        <w:rPr>
          <w:lang w:val="en-GB"/>
        </w:rPr>
        <w:t xml:space="preserve">ssays with a detected </w:t>
      </w:r>
      <w:r>
        <w:rPr>
          <w:lang w:val="en-GB"/>
        </w:rPr>
        <w:t>cycle of threshold (</w:t>
      </w:r>
      <w:r w:rsidRPr="00C83EDC">
        <w:rPr>
          <w:lang w:val="en-GB"/>
        </w:rPr>
        <w:t>C</w:t>
      </w:r>
      <w:r>
        <w:rPr>
          <w:lang w:val="en-GB"/>
        </w:rPr>
        <w:t>t)</w:t>
      </w:r>
      <w:r w:rsidRPr="00C83EDC">
        <w:rPr>
          <w:lang w:val="en-GB"/>
        </w:rPr>
        <w:t xml:space="preserve"> value</w:t>
      </w:r>
      <w:r>
        <w:rPr>
          <w:lang w:val="en-GB"/>
        </w:rPr>
        <w:t xml:space="preserve"> and at the same time with</w:t>
      </w:r>
      <w:r w:rsidRPr="00C83EDC">
        <w:rPr>
          <w:lang w:val="en-GB"/>
        </w:rPr>
        <w:t xml:space="preserve"> multiple melting points indicating off-target amplification products were manually checked and removed for the subsequent analysis. For the quality control of each plate run the inter-plate calibrators were calculated. Three wells within each </w:t>
      </w:r>
      <w:proofErr w:type="spellStart"/>
      <w:r w:rsidRPr="00C83EDC">
        <w:rPr>
          <w:lang w:val="en-GB"/>
        </w:rPr>
        <w:t>miRNome</w:t>
      </w:r>
      <w:proofErr w:type="spellEnd"/>
      <w:r w:rsidRPr="00C83EDC">
        <w:rPr>
          <w:lang w:val="en-GB"/>
        </w:rPr>
        <w:t xml:space="preserve"> PCR panel contained UniSp3 as the inter-plate calibrator</w:t>
      </w:r>
      <w:r>
        <w:rPr>
          <w:lang w:val="en-GB"/>
        </w:rPr>
        <w:t xml:space="preserve"> (IPC)</w:t>
      </w:r>
      <w:r w:rsidRPr="00C83EDC">
        <w:rPr>
          <w:lang w:val="en-GB"/>
        </w:rPr>
        <w:t xml:space="preserve"> assay. First, the average of the replicates for each plate and the overall average (average of IPC values from plates 1 and 2) were calculated. Next, the calibration factor was determined as the difference between plate average and overall average for plate 1 and 2 (calibration factor = IPC plate − IPC overall). Each plate was then calibrated by subtracting the calibration factor from C</w:t>
      </w:r>
      <w:r w:rsidRPr="00923F8C">
        <w:rPr>
          <w:lang w:val="en-GB"/>
        </w:rPr>
        <w:t>t</w:t>
      </w:r>
      <w:r w:rsidRPr="00C83EDC">
        <w:rPr>
          <w:lang w:val="en-GB"/>
        </w:rPr>
        <w:t xml:space="preserve"> values in the plate.</w:t>
      </w:r>
    </w:p>
    <w:p w14:paraId="5C556C9D" w14:textId="77777777" w:rsidR="00EE7EB3" w:rsidRDefault="00EE7EB3" w:rsidP="00EE7EB3">
      <w:pPr>
        <w:pStyle w:val="Dalodstavce"/>
        <w:rPr>
          <w:lang w:val="en-GB"/>
        </w:rPr>
      </w:pPr>
      <w:r w:rsidRPr="00C83EDC">
        <w:rPr>
          <w:lang w:val="en-GB"/>
        </w:rPr>
        <w:t xml:space="preserve">For the data normalization we used three stably expressed reference genes that were identified using </w:t>
      </w:r>
      <w:proofErr w:type="spellStart"/>
      <w:r w:rsidRPr="00C83EDC">
        <w:rPr>
          <w:lang w:val="en-GB"/>
        </w:rPr>
        <w:t>genEx</w:t>
      </w:r>
      <w:proofErr w:type="spellEnd"/>
      <w:r w:rsidRPr="00C83EDC">
        <w:rPr>
          <w:lang w:val="en-GB"/>
        </w:rPr>
        <w:t xml:space="preserve"> software (</w:t>
      </w:r>
      <w:proofErr w:type="spellStart"/>
      <w:r w:rsidRPr="00C83EDC">
        <w:rPr>
          <w:lang w:val="en-GB"/>
        </w:rPr>
        <w:t>MultiD</w:t>
      </w:r>
      <w:proofErr w:type="spellEnd"/>
      <w:r w:rsidRPr="00C83EDC">
        <w:rPr>
          <w:lang w:val="en-GB"/>
        </w:rPr>
        <w:t xml:space="preserve"> Analyses AB, Sweden). The data was normalized using the formula </w:t>
      </w:r>
      <m:oMath>
        <m:sSup>
          <m:sSupPr>
            <m:ctrlPr>
              <w:rPr>
                <w:rFonts w:ascii="Cambria Math" w:eastAsia="TimesNewRoman" w:hAnsi="Cambria Math" w:cstheme="minorHAnsi"/>
                <w:i/>
                <w:sz w:val="22"/>
                <w:szCs w:val="22"/>
                <w:lang w:val="en-GB" w:eastAsia="en-US"/>
              </w:rPr>
            </m:ctrlPr>
          </m:sSupPr>
          <m:e>
            <m:r>
              <w:rPr>
                <w:rFonts w:ascii="Cambria Math" w:eastAsia="TimesNewRoman" w:hAnsi="Cambria Math" w:cstheme="minorHAnsi"/>
                <w:lang w:val="en-GB"/>
              </w:rPr>
              <m:t>2</m:t>
            </m:r>
          </m:e>
          <m:sup>
            <m:r>
              <w:rPr>
                <w:rFonts w:ascii="Cambria Math" w:eastAsia="TimesNewRoman" w:hAnsi="Cambria Math" w:cstheme="minorHAnsi"/>
                <w:lang w:val="en-GB"/>
              </w:rPr>
              <m:t>-</m:t>
            </m:r>
            <m:d>
              <m:dPr>
                <m:begChr m:val="["/>
                <m:endChr m:val="]"/>
                <m:ctrlPr>
                  <w:rPr>
                    <w:rFonts w:ascii="Cambria Math" w:eastAsia="TimesNewRoman" w:hAnsi="Cambria Math" w:cstheme="minorHAnsi"/>
                    <w:i/>
                    <w:sz w:val="22"/>
                    <w:szCs w:val="22"/>
                    <w:lang w:val="en-GB" w:eastAsia="en-US"/>
                  </w:rPr>
                </m:ctrlPr>
              </m:dPr>
              <m:e>
                <m:sSub>
                  <m:sSubPr>
                    <m:ctrlPr>
                      <w:rPr>
                        <w:rFonts w:ascii="Cambria Math" w:eastAsia="TimesNewRoman" w:hAnsi="Cambria Math" w:cstheme="minorHAnsi"/>
                        <w:i/>
                        <w:sz w:val="22"/>
                        <w:szCs w:val="22"/>
                        <w:lang w:val="en-GB" w:eastAsia="en-US"/>
                      </w:rPr>
                    </m:ctrlPr>
                  </m:sSubPr>
                  <m:e>
                    <m:r>
                      <w:rPr>
                        <w:rFonts w:ascii="Cambria Math" w:eastAsia="TimesNewRoman" w:hAnsi="Cambria Math" w:cstheme="minorHAnsi"/>
                        <w:lang w:val="en-GB"/>
                      </w:rPr>
                      <m:t>Ct</m:t>
                    </m:r>
                  </m:e>
                  <m:sub>
                    <m:r>
                      <w:rPr>
                        <w:rFonts w:ascii="Cambria Math" w:eastAsia="TimesNewRoman" w:hAnsi="Cambria Math" w:cstheme="minorHAnsi"/>
                        <w:lang w:val="en-GB"/>
                      </w:rPr>
                      <m:t>GOI</m:t>
                    </m:r>
                  </m:sub>
                </m:sSub>
                <m:r>
                  <w:rPr>
                    <w:rFonts w:ascii="Cambria Math" w:eastAsia="TimesNewRoman" w:hAnsi="Cambria Math" w:cstheme="minorHAnsi"/>
                    <w:lang w:val="en-GB"/>
                  </w:rPr>
                  <m:t xml:space="preserve">- </m:t>
                </m:r>
                <m:sSub>
                  <m:sSubPr>
                    <m:ctrlPr>
                      <w:rPr>
                        <w:rFonts w:ascii="Cambria Math" w:eastAsia="TimesNewRoman" w:hAnsi="Cambria Math" w:cstheme="minorHAnsi"/>
                        <w:i/>
                        <w:sz w:val="22"/>
                        <w:szCs w:val="22"/>
                        <w:lang w:val="en-GB" w:eastAsia="en-US"/>
                      </w:rPr>
                    </m:ctrlPr>
                  </m:sSubPr>
                  <m:e>
                    <m:r>
                      <w:rPr>
                        <w:rFonts w:ascii="Cambria Math" w:eastAsia="TimesNewRoman" w:hAnsi="Cambria Math" w:cstheme="minorHAnsi"/>
                        <w:lang w:val="en-GB"/>
                      </w:rPr>
                      <m:t>Ct</m:t>
                    </m:r>
                  </m:e>
                  <m:sub>
                    <m:r>
                      <w:rPr>
                        <w:rFonts w:ascii="Cambria Math" w:eastAsia="TimesNewRoman" w:hAnsi="Cambria Math" w:cstheme="minorHAnsi"/>
                        <w:lang w:val="en-GB"/>
                      </w:rPr>
                      <m:t>REF</m:t>
                    </m:r>
                  </m:sub>
                </m:sSub>
              </m:e>
            </m:d>
          </m:sup>
        </m:sSup>
      </m:oMath>
      <w:r w:rsidRPr="00C83EDC">
        <w:rPr>
          <w:lang w:val="en-GB"/>
        </w:rPr>
        <w:t>, where C</w:t>
      </w:r>
      <w:r>
        <w:rPr>
          <w:lang w:val="en-GB"/>
        </w:rPr>
        <w:t>t</w:t>
      </w:r>
      <w:r w:rsidRPr="00C83EDC">
        <w:rPr>
          <w:vertAlign w:val="subscript"/>
          <w:lang w:val="en-GB"/>
        </w:rPr>
        <w:t xml:space="preserve"> GOI </w:t>
      </w:r>
      <w:r w:rsidRPr="00C83EDC">
        <w:rPr>
          <w:lang w:val="en-GB"/>
        </w:rPr>
        <w:t>represents C</w:t>
      </w:r>
      <w:r>
        <w:rPr>
          <w:lang w:val="en-GB"/>
        </w:rPr>
        <w:t>t</w:t>
      </w:r>
      <w:r w:rsidRPr="00C83EDC">
        <w:rPr>
          <w:lang w:val="en-GB"/>
        </w:rPr>
        <w:t xml:space="preserve"> values of the gene of interest and </w:t>
      </w:r>
      <w:r>
        <w:rPr>
          <w:lang w:val="en-GB"/>
        </w:rPr>
        <w:br/>
      </w:r>
      <w:r w:rsidRPr="00C83EDC">
        <w:rPr>
          <w:lang w:val="en-GB"/>
        </w:rPr>
        <w:t>C</w:t>
      </w:r>
      <w:r>
        <w:rPr>
          <w:lang w:val="en-GB"/>
        </w:rPr>
        <w:t>t</w:t>
      </w:r>
      <w:r w:rsidRPr="00C83EDC">
        <w:rPr>
          <w:vertAlign w:val="subscript"/>
          <w:lang w:val="en-GB"/>
        </w:rPr>
        <w:t xml:space="preserve"> REF </w:t>
      </w:r>
      <w:r w:rsidRPr="00C83EDC">
        <w:rPr>
          <w:lang w:val="en-GB"/>
        </w:rPr>
        <w:t>is the geometric mean of C</w:t>
      </w:r>
      <w:r>
        <w:rPr>
          <w:lang w:val="en-GB"/>
        </w:rPr>
        <w:t>t</w:t>
      </w:r>
      <w:r w:rsidRPr="00C83EDC">
        <w:rPr>
          <w:lang w:val="en-GB"/>
        </w:rPr>
        <w:t xml:space="preserve"> values of three reference miRNAs. All the miRNAs that were expressed in less than two thirds of samples were excluded from the following statistical analysis. Significantly differentially expressed miRNAs were identified using</w:t>
      </w:r>
      <w:r>
        <w:rPr>
          <w:lang w:val="en-GB"/>
        </w:rPr>
        <w:t xml:space="preserve"> the</w:t>
      </w:r>
      <w:r w:rsidRPr="00C83EDC">
        <w:rPr>
          <w:lang w:val="en-GB"/>
        </w:rPr>
        <w:t xml:space="preserve"> Mann-Whitney U test and </w:t>
      </w:r>
      <w:r>
        <w:rPr>
          <w:lang w:val="en-GB"/>
        </w:rPr>
        <w:t xml:space="preserve">the </w:t>
      </w:r>
      <w:proofErr w:type="spellStart"/>
      <w:r w:rsidRPr="00C83EDC">
        <w:rPr>
          <w:lang w:val="en-GB"/>
        </w:rPr>
        <w:t>Benjamini</w:t>
      </w:r>
      <w:proofErr w:type="spellEnd"/>
      <w:r w:rsidRPr="00C83EDC">
        <w:rPr>
          <w:lang w:val="en-GB"/>
        </w:rPr>
        <w:t>-Hochberg correction for multiple hypothesis testing was used as well.</w:t>
      </w:r>
    </w:p>
    <w:p w14:paraId="5434AB09" w14:textId="77777777" w:rsidR="00EE7EB3" w:rsidRDefault="00EE7EB3" w:rsidP="00EE7EB3">
      <w:pPr>
        <w:pStyle w:val="Nadpis2"/>
        <w:rPr>
          <w:lang w:val="en-GB"/>
        </w:rPr>
      </w:pPr>
      <w:bookmarkStart w:id="62" w:name="_Toc47889326"/>
      <w:bookmarkStart w:id="63" w:name="_Toc48160997"/>
      <w:r>
        <w:rPr>
          <w:lang w:val="en-GB"/>
        </w:rPr>
        <w:lastRenderedPageBreak/>
        <w:t>miRNA validation</w:t>
      </w:r>
      <w:bookmarkEnd w:id="62"/>
      <w:bookmarkEnd w:id="63"/>
      <w:r>
        <w:rPr>
          <w:lang w:val="en-GB"/>
        </w:rPr>
        <w:t xml:space="preserve"> </w:t>
      </w:r>
    </w:p>
    <w:p w14:paraId="0392569C" w14:textId="77777777" w:rsidR="00EE7EB3" w:rsidRPr="00C83EDC" w:rsidRDefault="00EE7EB3" w:rsidP="00EE7EB3">
      <w:pPr>
        <w:pStyle w:val="Nadpis3"/>
        <w:rPr>
          <w:lang w:val="en-GB"/>
        </w:rPr>
      </w:pPr>
      <w:r>
        <w:rPr>
          <w:lang w:val="en-GB"/>
        </w:rPr>
        <w:t xml:space="preserve">cDNA synthesis and </w:t>
      </w:r>
      <w:proofErr w:type="spellStart"/>
      <w:r>
        <w:rPr>
          <w:lang w:val="en-GB"/>
        </w:rPr>
        <w:t>qRT</w:t>
      </w:r>
      <w:proofErr w:type="spellEnd"/>
      <w:r>
        <w:rPr>
          <w:lang w:val="en-GB"/>
        </w:rPr>
        <w:t>-PCR</w:t>
      </w:r>
    </w:p>
    <w:p w14:paraId="20114616" w14:textId="014BDA22" w:rsidR="00EE7EB3" w:rsidRPr="00C83EDC" w:rsidRDefault="00EE7EB3" w:rsidP="00EE7EB3">
      <w:pPr>
        <w:pStyle w:val="Odstavec1"/>
        <w:rPr>
          <w:lang w:val="en-GB"/>
        </w:rPr>
      </w:pPr>
      <w:r w:rsidRPr="00C83EDC">
        <w:rPr>
          <w:lang w:val="en-GB"/>
        </w:rPr>
        <w:t>RNA</w:t>
      </w:r>
      <w:r>
        <w:rPr>
          <w:lang w:val="en-GB"/>
        </w:rPr>
        <w:t xml:space="preserve"> was isolated according to 4.1.2 protocol </w:t>
      </w:r>
      <w:r w:rsidRPr="00C83EDC">
        <w:rPr>
          <w:lang w:val="en-GB"/>
        </w:rPr>
        <w:t xml:space="preserve">from 94 FFPE tissue samples </w:t>
      </w:r>
      <w:r>
        <w:rPr>
          <w:lang w:val="en-GB"/>
        </w:rPr>
        <w:t>and</w:t>
      </w:r>
      <w:r w:rsidRPr="00C83EDC">
        <w:rPr>
          <w:lang w:val="en-GB"/>
        </w:rPr>
        <w:t xml:space="preserve"> diluted to </w:t>
      </w:r>
      <w:r w:rsidR="00155472">
        <w:rPr>
          <w:lang w:val="en-GB"/>
        </w:rPr>
        <w:br/>
      </w:r>
      <w:r w:rsidRPr="00C83EDC">
        <w:rPr>
          <w:lang w:val="en-GB"/>
        </w:rPr>
        <w:t>a working concentration of 5 ng·µl</w:t>
      </w:r>
      <w:r w:rsidRPr="00C83EDC">
        <w:rPr>
          <w:vertAlign w:val="superscript"/>
          <w:lang w:val="en-GB"/>
        </w:rPr>
        <w:t>−1</w:t>
      </w:r>
      <w:r w:rsidRPr="00C83EDC">
        <w:rPr>
          <w:lang w:val="en-GB"/>
        </w:rPr>
        <w:t>.</w:t>
      </w:r>
      <w:r>
        <w:rPr>
          <w:lang w:val="en-GB"/>
        </w:rPr>
        <w:t xml:space="preserve"> Next, </w:t>
      </w:r>
      <w:r w:rsidRPr="00C83EDC">
        <w:rPr>
          <w:lang w:val="en-GB"/>
        </w:rPr>
        <w:t>cDNA was prepared using TaqMan® Advanced miRNA cDNA Synthesis Kit</w:t>
      </w:r>
      <w:r>
        <w:rPr>
          <w:lang w:val="en-GB"/>
        </w:rPr>
        <w:t xml:space="preserve"> (</w:t>
      </w:r>
      <w:r w:rsidRPr="00C83EDC">
        <w:rPr>
          <w:lang w:val="en-GB"/>
        </w:rPr>
        <w:t>Thermo Fisher Scientific, Waltham, MA, USA</w:t>
      </w:r>
      <w:r>
        <w:rPr>
          <w:lang w:val="en-GB"/>
        </w:rPr>
        <w:t>)</w:t>
      </w:r>
      <w:r w:rsidRPr="00C83EDC">
        <w:rPr>
          <w:lang w:val="en-GB"/>
        </w:rPr>
        <w:t>. The first three reactions (poly-A tailing, adaptor ligation, reverse transcription) were performed according to the manufacturers’ instructions. In</w:t>
      </w:r>
      <w:r>
        <w:rPr>
          <w:lang w:val="en-GB"/>
        </w:rPr>
        <w:t xml:space="preserve"> the</w:t>
      </w:r>
      <w:r w:rsidRPr="00C83EDC">
        <w:rPr>
          <w:lang w:val="en-GB"/>
        </w:rPr>
        <w:t xml:space="preserve"> </w:t>
      </w:r>
      <w:proofErr w:type="spellStart"/>
      <w:r>
        <w:rPr>
          <w:lang w:val="en-GB"/>
        </w:rPr>
        <w:t>miR</w:t>
      </w:r>
      <w:proofErr w:type="spellEnd"/>
      <w:r>
        <w:rPr>
          <w:lang w:val="en-GB"/>
        </w:rPr>
        <w:t>‑</w:t>
      </w:r>
      <w:r w:rsidRPr="00C83EDC">
        <w:rPr>
          <w:lang w:val="en-GB"/>
        </w:rPr>
        <w:t>Amp reaction step, the reaction volume was proportionally scaled down to 20 µl.</w:t>
      </w:r>
      <w:r>
        <w:rPr>
          <w:lang w:val="en-GB"/>
        </w:rPr>
        <w:t xml:space="preserve"> </w:t>
      </w:r>
      <w:r w:rsidRPr="00C83EDC">
        <w:rPr>
          <w:lang w:val="en-GB"/>
        </w:rPr>
        <w:t xml:space="preserve">After the amplification, the synthetized cDNA template was diluted with 0.1X TE buffer </w:t>
      </w:r>
      <w:r>
        <w:rPr>
          <w:lang w:val="en-GB"/>
        </w:rPr>
        <w:t>10</w:t>
      </w:r>
      <w:r w:rsidRPr="00C83EDC">
        <w:rPr>
          <w:lang w:val="en-GB"/>
        </w:rPr>
        <w:t>-fold.</w:t>
      </w:r>
      <w:r>
        <w:rPr>
          <w:lang w:val="en-GB"/>
        </w:rPr>
        <w:t xml:space="preserve"> </w:t>
      </w:r>
      <w:r w:rsidRPr="00C83EDC">
        <w:rPr>
          <w:lang w:val="en-GB"/>
        </w:rPr>
        <w:t>Next, the PCR reaction mix was prepared using TaqMan® Fast Advanced Master Mix (2X)</w:t>
      </w:r>
      <w:r>
        <w:rPr>
          <w:lang w:val="en-GB"/>
        </w:rPr>
        <w:t xml:space="preserve"> (</w:t>
      </w:r>
      <w:r w:rsidRPr="00C83EDC">
        <w:rPr>
          <w:lang w:val="en-GB"/>
        </w:rPr>
        <w:t>Thermo Fisher Scientific, Waltham, MA, USA</w:t>
      </w:r>
      <w:r>
        <w:rPr>
          <w:lang w:val="en-GB"/>
        </w:rPr>
        <w:t>)</w:t>
      </w:r>
      <w:r w:rsidRPr="00C83EDC">
        <w:rPr>
          <w:lang w:val="en-GB"/>
        </w:rPr>
        <w:t>, TaqMan® Advanced miRNA Assay (20X)</w:t>
      </w:r>
      <w:r>
        <w:rPr>
          <w:lang w:val="en-GB"/>
        </w:rPr>
        <w:t xml:space="preserve"> (</w:t>
      </w:r>
      <w:r w:rsidRPr="00C83EDC">
        <w:rPr>
          <w:lang w:val="en-GB"/>
        </w:rPr>
        <w:t>Thermo Fisher Scientific, Waltham, MA, USA</w:t>
      </w:r>
      <w:r>
        <w:rPr>
          <w:lang w:val="en-GB"/>
        </w:rPr>
        <w:t>)</w:t>
      </w:r>
      <w:r w:rsidRPr="00C83EDC">
        <w:rPr>
          <w:lang w:val="en-GB"/>
        </w:rPr>
        <w:t>, and RNase-free water according to</w:t>
      </w:r>
      <w:r>
        <w:rPr>
          <w:lang w:val="en-GB"/>
        </w:rPr>
        <w:t xml:space="preserve"> the</w:t>
      </w:r>
      <w:r w:rsidRPr="00C83EDC">
        <w:rPr>
          <w:lang w:val="en-GB"/>
        </w:rPr>
        <w:t xml:space="preserve"> manufacturers’ instructions. The volume of </w:t>
      </w:r>
      <w:r>
        <w:rPr>
          <w:lang w:val="en-GB"/>
        </w:rPr>
        <w:t xml:space="preserve">the </w:t>
      </w:r>
      <w:r w:rsidRPr="00C83EDC">
        <w:rPr>
          <w:lang w:val="en-GB"/>
        </w:rPr>
        <w:t>PCR reaction</w:t>
      </w:r>
      <w:r>
        <w:rPr>
          <w:lang w:val="en-GB"/>
        </w:rPr>
        <w:t xml:space="preserve"> master</w:t>
      </w:r>
      <w:r w:rsidRPr="00C83EDC">
        <w:rPr>
          <w:lang w:val="en-GB"/>
        </w:rPr>
        <w:t xml:space="preserve"> mix used for each reaction was adjusted to 7.5 µl. For each reaction, 2.5 µl of diluted cDNA template was added to the PCR reaction mix giving a final reaction volume of 10 µl. The samples were pipetted in duplicates, </w:t>
      </w:r>
      <w:r>
        <w:rPr>
          <w:lang w:val="en-GB"/>
        </w:rPr>
        <w:t>with</w:t>
      </w:r>
      <w:r w:rsidRPr="00C83EDC">
        <w:rPr>
          <w:lang w:val="en-GB"/>
        </w:rPr>
        <w:t xml:space="preserve"> one</w:t>
      </w:r>
      <w:r>
        <w:rPr>
          <w:lang w:val="en-GB"/>
        </w:rPr>
        <w:t xml:space="preserve"> negative control</w:t>
      </w:r>
      <w:r w:rsidRPr="00C83EDC">
        <w:rPr>
          <w:lang w:val="en-GB"/>
        </w:rPr>
        <w:t xml:space="preserve"> duplicate (</w:t>
      </w:r>
      <w:proofErr w:type="spellStart"/>
      <w:r w:rsidRPr="00C83EDC">
        <w:rPr>
          <w:lang w:val="en-GB"/>
        </w:rPr>
        <w:t>RNAse</w:t>
      </w:r>
      <w:proofErr w:type="spellEnd"/>
      <w:r w:rsidRPr="00C83EDC">
        <w:rPr>
          <w:lang w:val="en-GB"/>
        </w:rPr>
        <w:t xml:space="preserve">-free water instead of a sample). The </w:t>
      </w:r>
      <w:proofErr w:type="spellStart"/>
      <w:r w:rsidRPr="00C83EDC">
        <w:rPr>
          <w:lang w:val="en-GB"/>
        </w:rPr>
        <w:t>qRT</w:t>
      </w:r>
      <w:proofErr w:type="spellEnd"/>
      <w:r w:rsidRPr="00C83EDC">
        <w:rPr>
          <w:lang w:val="en-GB"/>
        </w:rPr>
        <w:t xml:space="preserve">-PCR reaction was run on the </w:t>
      </w:r>
      <w:proofErr w:type="spellStart"/>
      <w:r w:rsidRPr="00C83EDC">
        <w:rPr>
          <w:lang w:val="en-GB"/>
        </w:rPr>
        <w:t>QuantStudio</w:t>
      </w:r>
      <w:proofErr w:type="spellEnd"/>
      <w:r w:rsidRPr="00C83EDC">
        <w:rPr>
          <w:lang w:val="en-GB"/>
        </w:rPr>
        <w:t xml:space="preserve"> 12K Flex Real Time PCR system</w:t>
      </w:r>
      <w:r>
        <w:rPr>
          <w:lang w:val="en-GB"/>
        </w:rPr>
        <w:t xml:space="preserve"> (</w:t>
      </w:r>
      <w:r w:rsidRPr="00C83EDC">
        <w:rPr>
          <w:lang w:val="en-GB"/>
        </w:rPr>
        <w:t>Thermo Fisher Scientific, Waltham, MA, USA</w:t>
      </w:r>
      <w:r>
        <w:rPr>
          <w:lang w:val="en-GB"/>
        </w:rPr>
        <w:t>)</w:t>
      </w:r>
      <w:r w:rsidRPr="00C83EDC">
        <w:rPr>
          <w:lang w:val="en-GB"/>
        </w:rPr>
        <w:t xml:space="preserve">, which was set according to the manufacturers’ </w:t>
      </w:r>
      <w:r>
        <w:rPr>
          <w:lang w:val="en-GB"/>
        </w:rPr>
        <w:t>instructions</w:t>
      </w:r>
      <w:r w:rsidRPr="00C83EDC">
        <w:rPr>
          <w:lang w:val="en-GB"/>
        </w:rPr>
        <w:t xml:space="preserve">. </w:t>
      </w:r>
    </w:p>
    <w:p w14:paraId="51BA824C" w14:textId="77777777" w:rsidR="00EE7EB3" w:rsidRPr="00C83EDC" w:rsidRDefault="00EE7EB3" w:rsidP="00EE7EB3">
      <w:pPr>
        <w:pStyle w:val="Nadpis3"/>
        <w:rPr>
          <w:lang w:val="en-GB"/>
        </w:rPr>
      </w:pPr>
      <w:r w:rsidRPr="00C83EDC">
        <w:rPr>
          <w:lang w:val="en-GB"/>
        </w:rPr>
        <w:t>Data processing and analysis</w:t>
      </w:r>
    </w:p>
    <w:p w14:paraId="7B25824F" w14:textId="77777777" w:rsidR="00EE7EB3" w:rsidRDefault="00EE7EB3" w:rsidP="00EE7EB3">
      <w:pPr>
        <w:pStyle w:val="Odstavec1"/>
        <w:rPr>
          <w:lang w:val="en-GB"/>
        </w:rPr>
      </w:pPr>
      <w:r w:rsidRPr="00C83EDC">
        <w:rPr>
          <w:lang w:val="en-GB"/>
        </w:rPr>
        <w:t xml:space="preserve">The quantification of </w:t>
      </w:r>
      <w:r>
        <w:rPr>
          <w:lang w:val="en-GB"/>
        </w:rPr>
        <w:t>r</w:t>
      </w:r>
      <w:r w:rsidRPr="00C83EDC">
        <w:rPr>
          <w:lang w:val="en-GB"/>
        </w:rPr>
        <w:t xml:space="preserve">eal-time PCR data was </w:t>
      </w:r>
      <w:r>
        <w:rPr>
          <w:lang w:val="en-GB"/>
        </w:rPr>
        <w:t xml:space="preserve">performed </w:t>
      </w:r>
      <w:r w:rsidRPr="00C83EDC">
        <w:rPr>
          <w:lang w:val="en-GB"/>
        </w:rPr>
        <w:t xml:space="preserve">in </w:t>
      </w:r>
      <w:proofErr w:type="spellStart"/>
      <w:r w:rsidRPr="00C83EDC">
        <w:rPr>
          <w:lang w:val="en-GB"/>
        </w:rPr>
        <w:t>QuantStudio</w:t>
      </w:r>
      <w:proofErr w:type="spellEnd"/>
      <w:r w:rsidRPr="00C83EDC">
        <w:rPr>
          <w:lang w:val="en-GB"/>
        </w:rPr>
        <w:t xml:space="preserve"> 12K Flex software </w:t>
      </w:r>
      <w:r>
        <w:rPr>
          <w:lang w:val="en-GB"/>
        </w:rPr>
        <w:t>(</w:t>
      </w:r>
      <w:r w:rsidRPr="00C83EDC">
        <w:rPr>
          <w:lang w:val="en-GB"/>
        </w:rPr>
        <w:t>v</w:t>
      </w:r>
      <w:r>
        <w:rPr>
          <w:lang w:val="en-GB"/>
        </w:rPr>
        <w:t xml:space="preserve">ersion 1.2.). </w:t>
      </w:r>
      <w:r w:rsidRPr="00C83EDC">
        <w:rPr>
          <w:lang w:val="en-GB"/>
        </w:rPr>
        <w:t>Obtained Ct values were first processed in Microsoft Excel</w:t>
      </w:r>
      <w:r>
        <w:rPr>
          <w:lang w:val="en-GB"/>
        </w:rPr>
        <w:t>. A</w:t>
      </w:r>
      <w:r w:rsidRPr="00C83EDC">
        <w:rPr>
          <w:lang w:val="en-GB"/>
        </w:rPr>
        <w:t>fter calculating the average Ct values of measured duplicates, data were normalised with a geometric mean value of three reference genes</w:t>
      </w:r>
      <w:r>
        <w:rPr>
          <w:lang w:val="en-GB"/>
        </w:rPr>
        <w:t>.</w:t>
      </w:r>
      <w:r w:rsidRPr="00C83EDC">
        <w:rPr>
          <w:lang w:val="en-GB"/>
        </w:rPr>
        <w:t xml:space="preserve"> hsa‑miR‑26a‑5p, hsa-miR‑26b‑5p, and hsa-miR‑30e‑5p were found to be the most stably expressed genes across all the samples </w:t>
      </w:r>
      <w:r>
        <w:rPr>
          <w:lang w:val="en-GB"/>
        </w:rPr>
        <w:t xml:space="preserve">in </w:t>
      </w:r>
      <w:r w:rsidRPr="00C83EDC">
        <w:rPr>
          <w:lang w:val="en-GB"/>
        </w:rPr>
        <w:t xml:space="preserve">the discovery cohort. The data normalization was performed using the </w:t>
      </w:r>
      <m:oMath>
        <m:sSup>
          <m:sSupPr>
            <m:ctrlPr>
              <w:rPr>
                <w:rFonts w:ascii="Cambria Math" w:eastAsia="TimesNewRoman" w:hAnsi="Cambria Math" w:cstheme="minorHAnsi"/>
                <w:i/>
                <w:sz w:val="22"/>
                <w:szCs w:val="22"/>
                <w:lang w:val="en-GB" w:eastAsia="en-US"/>
              </w:rPr>
            </m:ctrlPr>
          </m:sSupPr>
          <m:e>
            <m:r>
              <w:rPr>
                <w:rFonts w:ascii="Cambria Math" w:eastAsia="TimesNewRoman" w:hAnsi="Cambria Math" w:cstheme="minorHAnsi"/>
                <w:lang w:val="en-GB"/>
              </w:rPr>
              <m:t>2</m:t>
            </m:r>
          </m:e>
          <m:sup>
            <m:r>
              <w:rPr>
                <w:rFonts w:ascii="Cambria Math" w:eastAsia="TimesNewRoman" w:hAnsi="Cambria Math" w:cstheme="minorHAnsi"/>
                <w:lang w:val="en-GB"/>
              </w:rPr>
              <m:t>-</m:t>
            </m:r>
            <m:r>
              <w:rPr>
                <w:rFonts w:ascii="Cambria Math" w:eastAsia="TimesNewRoman" w:hAnsi="Cambria Math" w:cstheme="minorHAnsi"/>
                <w:sz w:val="22"/>
                <w:szCs w:val="22"/>
                <w:lang w:val="en-GB" w:eastAsia="en-US"/>
              </w:rPr>
              <m:t>ΔCt</m:t>
            </m:r>
          </m:sup>
        </m:sSup>
      </m:oMath>
      <w:r w:rsidRPr="00C83EDC">
        <w:rPr>
          <w:sz w:val="22"/>
          <w:szCs w:val="22"/>
          <w:lang w:val="en-GB" w:eastAsia="en-US"/>
        </w:rPr>
        <w:t xml:space="preserve"> </w:t>
      </w:r>
      <w:r w:rsidRPr="00C83EDC">
        <w:rPr>
          <w:lang w:val="en-GB" w:eastAsia="en-US"/>
        </w:rPr>
        <w:t>method</w:t>
      </w:r>
      <w:r w:rsidRPr="00C83EDC">
        <w:rPr>
          <w:lang w:val="en-GB"/>
        </w:rPr>
        <w:t xml:space="preserve"> where the </w:t>
      </w:r>
      <w:proofErr w:type="spellStart"/>
      <w:r w:rsidRPr="00C83EDC">
        <w:rPr>
          <w:lang w:val="en-GB"/>
        </w:rPr>
        <w:t>ΔCt</w:t>
      </w:r>
      <w:proofErr w:type="spellEnd"/>
      <w:r w:rsidRPr="00C83EDC">
        <w:rPr>
          <w:lang w:val="en-GB"/>
        </w:rPr>
        <w:t xml:space="preserve"> value corresponds to the difference between the Ct of the detected miRNA and the Ct of the reference gene</w:t>
      </w:r>
      <w:r>
        <w:rPr>
          <w:lang w:val="en-GB"/>
        </w:rPr>
        <w:t>s</w:t>
      </w:r>
      <w:r w:rsidRPr="00C83EDC">
        <w:rPr>
          <w:lang w:val="en-GB"/>
        </w:rPr>
        <w:t xml:space="preserve">. Statistical analysis of normalized data was completed in GraphPad Prism </w:t>
      </w:r>
      <w:r>
        <w:rPr>
          <w:lang w:val="en-GB"/>
        </w:rPr>
        <w:t>(</w:t>
      </w:r>
      <w:r w:rsidRPr="00C83EDC">
        <w:rPr>
          <w:lang w:val="en-GB"/>
        </w:rPr>
        <w:t>version 8.4.3</w:t>
      </w:r>
      <w:r>
        <w:rPr>
          <w:lang w:val="en-GB"/>
        </w:rPr>
        <w:t>)</w:t>
      </w:r>
      <w:r w:rsidRPr="00C83EDC">
        <w:rPr>
          <w:lang w:val="en-GB"/>
        </w:rPr>
        <w:t>.</w:t>
      </w:r>
    </w:p>
    <w:p w14:paraId="690515B2" w14:textId="77777777" w:rsidR="00EE7EB3" w:rsidRPr="00EF3D19" w:rsidRDefault="00EE7EB3" w:rsidP="00EE7EB3">
      <w:pPr>
        <w:pStyle w:val="Dalodstavce"/>
        <w:rPr>
          <w:lang w:val="en-GB"/>
        </w:rPr>
      </w:pPr>
    </w:p>
    <w:p w14:paraId="031E3764" w14:textId="77777777" w:rsidR="00EE7EB3" w:rsidRPr="00C83EDC" w:rsidRDefault="00EE7EB3" w:rsidP="00EE7EB3">
      <w:pPr>
        <w:pStyle w:val="Nadpis2"/>
        <w:rPr>
          <w:lang w:val="en-GB"/>
        </w:rPr>
      </w:pPr>
      <w:bookmarkStart w:id="64" w:name="_Toc47889327"/>
      <w:bookmarkStart w:id="65" w:name="_Toc48160998"/>
      <w:r w:rsidRPr="00C83EDC">
        <w:rPr>
          <w:lang w:val="en-GB"/>
        </w:rPr>
        <w:lastRenderedPageBreak/>
        <w:t>miRNA profiling</w:t>
      </w:r>
      <w:r>
        <w:rPr>
          <w:lang w:val="en-GB"/>
        </w:rPr>
        <w:t xml:space="preserve"> in urine</w:t>
      </w:r>
      <w:bookmarkEnd w:id="64"/>
      <w:bookmarkEnd w:id="65"/>
    </w:p>
    <w:p w14:paraId="393FB61E" w14:textId="77777777" w:rsidR="00EE7EB3" w:rsidRPr="00C83EDC" w:rsidRDefault="00EE7EB3" w:rsidP="00EE7EB3">
      <w:pPr>
        <w:pStyle w:val="Nadpis3"/>
        <w:rPr>
          <w:lang w:val="en-GB"/>
        </w:rPr>
      </w:pPr>
      <w:r w:rsidRPr="00C83EDC">
        <w:rPr>
          <w:lang w:val="en-GB"/>
        </w:rPr>
        <w:t>Cohort of prostate cancer patients</w:t>
      </w:r>
    </w:p>
    <w:p w14:paraId="5C3A7EFB" w14:textId="77777777" w:rsidR="00EE7EB3" w:rsidRPr="00C83EDC" w:rsidRDefault="00EE7EB3" w:rsidP="00EE7EB3">
      <w:pPr>
        <w:pStyle w:val="Odstavec1"/>
        <w:rPr>
          <w:lang w:val="en-GB"/>
        </w:rPr>
      </w:pPr>
      <w:r w:rsidRPr="00C83EDC">
        <w:rPr>
          <w:lang w:val="en-GB"/>
        </w:rPr>
        <w:t>The prospective cohort for urine miRNA profiling consists of 80 men that were diagnosed and treated at the Department of Urologic Oncology at MMCI in Brno between the years 2015 and 2019 with suspected prostate cancer. The discovery phase of the study use</w:t>
      </w:r>
      <w:r>
        <w:rPr>
          <w:lang w:val="en-GB"/>
        </w:rPr>
        <w:t>d</w:t>
      </w:r>
      <w:r w:rsidRPr="00C83EDC">
        <w:rPr>
          <w:lang w:val="en-GB"/>
        </w:rPr>
        <w:t xml:space="preserve"> 20 urine samples of patients diagnosed with indolent prostate c</w:t>
      </w:r>
      <w:r>
        <w:rPr>
          <w:lang w:val="en-GB"/>
        </w:rPr>
        <w:t>ancer</w:t>
      </w:r>
      <w:r w:rsidRPr="00C83EDC">
        <w:rPr>
          <w:lang w:val="en-GB"/>
        </w:rPr>
        <w:t xml:space="preserve"> (ISUP grade 1), 20 patients with aggressive prostate </w:t>
      </w:r>
      <w:r>
        <w:rPr>
          <w:lang w:val="en-GB"/>
        </w:rPr>
        <w:t>cancer</w:t>
      </w:r>
      <w:r w:rsidRPr="00C83EDC">
        <w:rPr>
          <w:lang w:val="en-GB"/>
        </w:rPr>
        <w:t xml:space="preserve"> (ISUP grade 3–5), 20 patients with detected benign prostatic hyperplasia, and 20 samples from heathy controls. </w:t>
      </w:r>
      <w:r>
        <w:rPr>
          <w:lang w:val="en-GB"/>
        </w:rPr>
        <w:t>T</w:t>
      </w:r>
      <w:r w:rsidRPr="00C83EDC">
        <w:rPr>
          <w:lang w:val="en-GB"/>
        </w:rPr>
        <w:t>able</w:t>
      </w:r>
      <w:r>
        <w:rPr>
          <w:lang w:val="en-GB"/>
        </w:rPr>
        <w:t xml:space="preserve"> XI</w:t>
      </w:r>
      <w:r w:rsidRPr="00C83EDC">
        <w:rPr>
          <w:lang w:val="en-GB"/>
        </w:rPr>
        <w:t xml:space="preserve"> provides clinical characteristics of the cohort. </w:t>
      </w:r>
    </w:p>
    <w:p w14:paraId="4B264B1C" w14:textId="32C86B95" w:rsidR="00EE7EB3" w:rsidRPr="00DF41F6" w:rsidRDefault="00EE7EB3" w:rsidP="00EE7EB3">
      <w:pPr>
        <w:pStyle w:val="Titulektabulky"/>
        <w:jc w:val="left"/>
        <w:rPr>
          <w:b w:val="0"/>
          <w:bCs w:val="0"/>
          <w:lang w:val="en-GB"/>
        </w:rPr>
      </w:pPr>
      <w:bookmarkStart w:id="66" w:name="_Toc47541144"/>
      <w:r w:rsidRPr="00DF41F6">
        <w:rPr>
          <w:lang w:val="en-GB"/>
        </w:rPr>
        <w:t xml:space="preserve">Table </w:t>
      </w:r>
      <w:r w:rsidRPr="00DF41F6">
        <w:rPr>
          <w:noProof/>
          <w:lang w:val="en-GB"/>
        </w:rPr>
        <w:fldChar w:fldCharType="begin"/>
      </w:r>
      <w:r w:rsidRPr="00DF41F6">
        <w:rPr>
          <w:noProof/>
          <w:lang w:val="en-GB"/>
        </w:rPr>
        <w:instrText xml:space="preserve"> SEQ Tab. \* ARABIC \* ROMAN </w:instrText>
      </w:r>
      <w:r w:rsidRPr="00DF41F6">
        <w:rPr>
          <w:noProof/>
          <w:lang w:val="en-GB"/>
        </w:rPr>
        <w:fldChar w:fldCharType="separate"/>
      </w:r>
      <w:r w:rsidR="0048503A">
        <w:rPr>
          <w:noProof/>
          <w:lang w:val="en-GB"/>
        </w:rPr>
        <w:t>XI</w:t>
      </w:r>
      <w:r w:rsidRPr="00DF41F6">
        <w:rPr>
          <w:noProof/>
          <w:lang w:val="en-GB"/>
        </w:rPr>
        <w:fldChar w:fldCharType="end"/>
      </w:r>
      <w:r w:rsidRPr="00DF41F6">
        <w:rPr>
          <w:noProof/>
          <w:lang w:val="en-GB"/>
        </w:rPr>
        <w:t>.</w:t>
      </w:r>
      <w:r w:rsidRPr="00DF41F6">
        <w:rPr>
          <w:lang w:val="en-GB"/>
        </w:rPr>
        <w:t xml:space="preserve"> </w:t>
      </w:r>
      <w:r w:rsidRPr="00DF41F6">
        <w:rPr>
          <w:b w:val="0"/>
          <w:bCs w:val="0"/>
          <w:lang w:val="en-GB"/>
        </w:rPr>
        <w:t>Baseline clinical characteristics.</w:t>
      </w:r>
      <w:bookmarkEnd w:id="66"/>
    </w:p>
    <w:tbl>
      <w:tblPr>
        <w:tblStyle w:val="Tabulkasmkou4zvraznn31"/>
        <w:tblW w:w="9022" w:type="dxa"/>
        <w:tblLook w:val="0720" w:firstRow="1" w:lastRow="0" w:firstColumn="0" w:lastColumn="1" w:noHBand="1" w:noVBand="1"/>
      </w:tblPr>
      <w:tblGrid>
        <w:gridCol w:w="1980"/>
        <w:gridCol w:w="1757"/>
        <w:gridCol w:w="1757"/>
        <w:gridCol w:w="1757"/>
        <w:gridCol w:w="1757"/>
        <w:gridCol w:w="14"/>
      </w:tblGrid>
      <w:tr w:rsidR="00EE7EB3" w:rsidRPr="00035332" w14:paraId="3317A808" w14:textId="77777777" w:rsidTr="00F233D4">
        <w:trPr>
          <w:cnfStyle w:val="100000000000" w:firstRow="1" w:lastRow="0" w:firstColumn="0" w:lastColumn="0" w:oddVBand="0" w:evenVBand="0" w:oddHBand="0" w:evenHBand="0" w:firstRowFirstColumn="0" w:firstRowLastColumn="0" w:lastRowFirstColumn="0" w:lastRowLastColumn="0"/>
          <w:trHeight w:val="227"/>
        </w:trPr>
        <w:tc>
          <w:tcPr>
            <w:cnfStyle w:val="000100000000" w:firstRow="0" w:lastRow="0" w:firstColumn="0" w:lastColumn="1" w:oddVBand="0" w:evenVBand="0" w:oddHBand="0" w:evenHBand="0" w:firstRowFirstColumn="0" w:firstRowLastColumn="0" w:lastRowFirstColumn="0" w:lastRowLastColumn="0"/>
            <w:tcW w:w="9022" w:type="dxa"/>
            <w:gridSpan w:val="6"/>
            <w:shd w:val="clear" w:color="auto" w:fill="E7E6E6" w:themeFill="background2"/>
          </w:tcPr>
          <w:p w14:paraId="171C488B" w14:textId="77777777" w:rsidR="00EE7EB3" w:rsidRPr="00035332" w:rsidRDefault="00EE7EB3" w:rsidP="00F233D4">
            <w:pPr>
              <w:jc w:val="center"/>
              <w:rPr>
                <w:rFonts w:ascii="Cambria" w:hAnsi="Cambria" w:cs="Times New Roman"/>
                <w:b w:val="0"/>
                <w:bCs w:val="0"/>
                <w:color w:val="3B3838" w:themeColor="background2" w:themeShade="40"/>
                <w:sz w:val="20"/>
                <w:szCs w:val="20"/>
              </w:rPr>
            </w:pPr>
            <w:r w:rsidRPr="00035332">
              <w:rPr>
                <w:rFonts w:ascii="Cambria" w:hAnsi="Cambria" w:cs="Times New Roman"/>
                <w:color w:val="3B3838" w:themeColor="background2" w:themeShade="40"/>
                <w:sz w:val="20"/>
                <w:szCs w:val="20"/>
              </w:rPr>
              <w:t>Discovery cohort</w:t>
            </w:r>
          </w:p>
        </w:tc>
      </w:tr>
      <w:tr w:rsidR="00EE7EB3" w:rsidRPr="00035332" w14:paraId="266FCB1F" w14:textId="77777777" w:rsidTr="00F233D4">
        <w:trPr>
          <w:gridAfter w:val="1"/>
          <w:wAfter w:w="14" w:type="dxa"/>
          <w:trHeight w:val="227"/>
        </w:trPr>
        <w:tc>
          <w:tcPr>
            <w:tcW w:w="1980" w:type="dxa"/>
            <w:shd w:val="clear" w:color="auto" w:fill="E7E6E6" w:themeFill="background2"/>
          </w:tcPr>
          <w:p w14:paraId="2D9602D7" w14:textId="77777777" w:rsidR="00EE7EB3" w:rsidRPr="00035332" w:rsidRDefault="00EE7EB3" w:rsidP="00F233D4">
            <w:pPr>
              <w:jc w:val="center"/>
              <w:rPr>
                <w:rFonts w:ascii="Cambria" w:hAnsi="Cambria" w:cs="Times New Roman"/>
                <w:color w:val="3B3838" w:themeColor="background2" w:themeShade="40"/>
                <w:sz w:val="20"/>
                <w:szCs w:val="20"/>
              </w:rPr>
            </w:pPr>
          </w:p>
        </w:tc>
        <w:tc>
          <w:tcPr>
            <w:tcW w:w="1757" w:type="dxa"/>
            <w:shd w:val="clear" w:color="auto" w:fill="E7E6E6" w:themeFill="background2"/>
          </w:tcPr>
          <w:p w14:paraId="6EF7B3F7" w14:textId="77777777" w:rsidR="00EE7EB3" w:rsidRPr="00035332" w:rsidRDefault="00EE7EB3" w:rsidP="00F233D4">
            <w:pPr>
              <w:jc w:val="center"/>
              <w:rPr>
                <w:rFonts w:ascii="Cambria" w:hAnsi="Cambria" w:cs="Times New Roman"/>
                <w:color w:val="3B3838" w:themeColor="background2" w:themeShade="40"/>
                <w:sz w:val="20"/>
                <w:szCs w:val="20"/>
              </w:rPr>
            </w:pPr>
            <w:r w:rsidRPr="00035332">
              <w:rPr>
                <w:rFonts w:ascii="Cambria" w:hAnsi="Cambria" w:cs="Times New Roman"/>
                <w:color w:val="3B3838" w:themeColor="background2" w:themeShade="40"/>
                <w:sz w:val="20"/>
                <w:szCs w:val="20"/>
              </w:rPr>
              <w:t xml:space="preserve">Indolent </w:t>
            </w:r>
            <w:proofErr w:type="spellStart"/>
            <w:r w:rsidRPr="00035332">
              <w:rPr>
                <w:rFonts w:ascii="Cambria" w:hAnsi="Cambria" w:cs="Times New Roman"/>
                <w:color w:val="3B3838" w:themeColor="background2" w:themeShade="40"/>
                <w:sz w:val="20"/>
                <w:szCs w:val="20"/>
              </w:rPr>
              <w:t>PCa</w:t>
            </w:r>
            <w:proofErr w:type="spellEnd"/>
          </w:p>
        </w:tc>
        <w:tc>
          <w:tcPr>
            <w:tcW w:w="1757" w:type="dxa"/>
            <w:shd w:val="clear" w:color="auto" w:fill="E7E6E6" w:themeFill="background2"/>
          </w:tcPr>
          <w:p w14:paraId="2FBFFDF9" w14:textId="77777777" w:rsidR="00EE7EB3" w:rsidRPr="00035332" w:rsidRDefault="00EE7EB3" w:rsidP="00F233D4">
            <w:pPr>
              <w:jc w:val="center"/>
              <w:rPr>
                <w:rFonts w:ascii="Cambria" w:hAnsi="Cambria" w:cs="Times New Roman"/>
                <w:color w:val="3B3838" w:themeColor="background2" w:themeShade="40"/>
                <w:sz w:val="20"/>
                <w:szCs w:val="20"/>
              </w:rPr>
            </w:pPr>
            <w:r w:rsidRPr="00035332">
              <w:rPr>
                <w:rFonts w:ascii="Cambria" w:hAnsi="Cambria" w:cs="Times New Roman"/>
                <w:color w:val="3B3838" w:themeColor="background2" w:themeShade="40"/>
                <w:sz w:val="20"/>
                <w:szCs w:val="20"/>
              </w:rPr>
              <w:t xml:space="preserve">Aggressive </w:t>
            </w:r>
            <w:proofErr w:type="spellStart"/>
            <w:r w:rsidRPr="00035332">
              <w:rPr>
                <w:rFonts w:ascii="Cambria" w:hAnsi="Cambria" w:cs="Times New Roman"/>
                <w:color w:val="3B3838" w:themeColor="background2" w:themeShade="40"/>
                <w:sz w:val="20"/>
                <w:szCs w:val="20"/>
              </w:rPr>
              <w:t>PCa</w:t>
            </w:r>
            <w:proofErr w:type="spellEnd"/>
          </w:p>
        </w:tc>
        <w:tc>
          <w:tcPr>
            <w:tcW w:w="1757" w:type="dxa"/>
            <w:shd w:val="clear" w:color="auto" w:fill="E7E6E6" w:themeFill="background2"/>
          </w:tcPr>
          <w:p w14:paraId="737EFB04" w14:textId="77777777" w:rsidR="00EE7EB3" w:rsidRPr="00035332" w:rsidRDefault="00EE7EB3" w:rsidP="00F233D4">
            <w:pPr>
              <w:jc w:val="center"/>
              <w:rPr>
                <w:rFonts w:ascii="Cambria" w:hAnsi="Cambria" w:cs="Times New Roman"/>
                <w:color w:val="3B3838" w:themeColor="background2" w:themeShade="40"/>
                <w:sz w:val="20"/>
                <w:szCs w:val="20"/>
              </w:rPr>
            </w:pPr>
            <w:r w:rsidRPr="00035332">
              <w:rPr>
                <w:rFonts w:ascii="Cambria" w:hAnsi="Cambria" w:cs="Times New Roman"/>
                <w:color w:val="3B3838" w:themeColor="background2" w:themeShade="40"/>
                <w:sz w:val="20"/>
                <w:szCs w:val="20"/>
              </w:rPr>
              <w:t>BPH</w:t>
            </w:r>
          </w:p>
        </w:tc>
        <w:tc>
          <w:tcPr>
            <w:cnfStyle w:val="000100000000" w:firstRow="0" w:lastRow="0" w:firstColumn="0" w:lastColumn="1" w:oddVBand="0" w:evenVBand="0" w:oddHBand="0" w:evenHBand="0" w:firstRowFirstColumn="0" w:firstRowLastColumn="0" w:lastRowFirstColumn="0" w:lastRowLastColumn="0"/>
            <w:tcW w:w="1757" w:type="dxa"/>
            <w:shd w:val="clear" w:color="auto" w:fill="E7E6E6" w:themeFill="background2"/>
          </w:tcPr>
          <w:p w14:paraId="6970C62E" w14:textId="77777777" w:rsidR="00EE7EB3" w:rsidRPr="00035332" w:rsidRDefault="00EE7EB3" w:rsidP="00F233D4">
            <w:pPr>
              <w:jc w:val="center"/>
              <w:rPr>
                <w:rFonts w:ascii="Cambria" w:hAnsi="Cambria" w:cs="Times New Roman"/>
                <w:b w:val="0"/>
                <w:bCs w:val="0"/>
                <w:color w:val="3B3838" w:themeColor="background2" w:themeShade="40"/>
                <w:sz w:val="20"/>
                <w:szCs w:val="20"/>
              </w:rPr>
            </w:pPr>
            <w:r w:rsidRPr="00035332">
              <w:rPr>
                <w:rFonts w:ascii="Cambria" w:hAnsi="Cambria" w:cs="Times New Roman"/>
                <w:b w:val="0"/>
                <w:bCs w:val="0"/>
                <w:color w:val="3B3838" w:themeColor="background2" w:themeShade="40"/>
                <w:sz w:val="20"/>
                <w:szCs w:val="20"/>
              </w:rPr>
              <w:t>Healthy</w:t>
            </w:r>
          </w:p>
        </w:tc>
      </w:tr>
      <w:tr w:rsidR="00EE7EB3" w:rsidRPr="00035332" w14:paraId="534390E7" w14:textId="77777777" w:rsidTr="00F233D4">
        <w:trPr>
          <w:gridAfter w:val="1"/>
          <w:wAfter w:w="14" w:type="dxa"/>
          <w:trHeight w:val="227"/>
        </w:trPr>
        <w:tc>
          <w:tcPr>
            <w:tcW w:w="1980" w:type="dxa"/>
            <w:vAlign w:val="center"/>
          </w:tcPr>
          <w:p w14:paraId="29D03A22" w14:textId="77777777" w:rsidR="00EE7EB3" w:rsidRPr="00035332" w:rsidRDefault="00EE7EB3" w:rsidP="00F233D4">
            <w:pPr>
              <w:jc w:val="center"/>
              <w:rPr>
                <w:rFonts w:ascii="Cambria" w:hAnsi="Cambria" w:cs="Times New Roman"/>
                <w:color w:val="000000"/>
                <w:sz w:val="20"/>
                <w:szCs w:val="20"/>
                <w:lang w:eastAsia="en-GB"/>
              </w:rPr>
            </w:pPr>
            <w:r w:rsidRPr="00035332">
              <w:rPr>
                <w:rFonts w:ascii="Cambria" w:hAnsi="Cambria" w:cs="Times New Roman"/>
                <w:color w:val="000000"/>
                <w:sz w:val="20"/>
                <w:szCs w:val="20"/>
                <w:lang w:eastAsia="en-GB"/>
              </w:rPr>
              <w:t>Patients (n)</w:t>
            </w:r>
          </w:p>
        </w:tc>
        <w:tc>
          <w:tcPr>
            <w:tcW w:w="1757" w:type="dxa"/>
            <w:vAlign w:val="center"/>
          </w:tcPr>
          <w:p w14:paraId="3452E3F9" w14:textId="77777777" w:rsidR="00EE7EB3" w:rsidRPr="00035332" w:rsidRDefault="00EE7EB3" w:rsidP="00F233D4">
            <w:pPr>
              <w:jc w:val="center"/>
              <w:rPr>
                <w:rFonts w:ascii="Cambria" w:hAnsi="Cambria" w:cs="Times New Roman"/>
                <w:color w:val="3B3838"/>
                <w:sz w:val="20"/>
                <w:szCs w:val="20"/>
                <w:lang w:eastAsia="en-GB"/>
              </w:rPr>
            </w:pPr>
            <w:r w:rsidRPr="00035332">
              <w:rPr>
                <w:rFonts w:ascii="Cambria" w:hAnsi="Cambria" w:cs="Times New Roman"/>
                <w:color w:val="3B3838"/>
                <w:sz w:val="20"/>
                <w:szCs w:val="20"/>
              </w:rPr>
              <w:t>19</w:t>
            </w:r>
          </w:p>
        </w:tc>
        <w:tc>
          <w:tcPr>
            <w:tcW w:w="1757" w:type="dxa"/>
            <w:vAlign w:val="center"/>
          </w:tcPr>
          <w:p w14:paraId="6B009515" w14:textId="77777777" w:rsidR="00EE7EB3" w:rsidRPr="00035332" w:rsidRDefault="00EE7EB3" w:rsidP="00F233D4">
            <w:pPr>
              <w:jc w:val="center"/>
              <w:rPr>
                <w:rFonts w:ascii="Cambria" w:hAnsi="Cambria" w:cs="Times New Roman"/>
                <w:color w:val="000000"/>
                <w:sz w:val="20"/>
                <w:szCs w:val="20"/>
                <w:lang w:eastAsia="en-GB"/>
              </w:rPr>
            </w:pPr>
            <w:r w:rsidRPr="00035332">
              <w:rPr>
                <w:rFonts w:ascii="Cambria" w:hAnsi="Cambria" w:cs="Times New Roman"/>
                <w:color w:val="000000"/>
                <w:sz w:val="20"/>
                <w:szCs w:val="20"/>
              </w:rPr>
              <w:t>19</w:t>
            </w:r>
          </w:p>
        </w:tc>
        <w:tc>
          <w:tcPr>
            <w:tcW w:w="1757" w:type="dxa"/>
            <w:vAlign w:val="center"/>
          </w:tcPr>
          <w:p w14:paraId="1064275D" w14:textId="77777777" w:rsidR="00EE7EB3" w:rsidRPr="00035332" w:rsidRDefault="00EE7EB3" w:rsidP="00F233D4">
            <w:pPr>
              <w:jc w:val="center"/>
              <w:rPr>
                <w:rFonts w:ascii="Cambria" w:hAnsi="Cambria" w:cs="Times New Roman"/>
                <w:color w:val="3B3838" w:themeColor="background2" w:themeShade="40"/>
                <w:sz w:val="20"/>
                <w:szCs w:val="20"/>
              </w:rPr>
            </w:pPr>
            <w:r w:rsidRPr="00035332">
              <w:rPr>
                <w:rFonts w:ascii="Cambria" w:hAnsi="Cambria" w:cs="Times New Roman"/>
                <w:color w:val="3B3838" w:themeColor="background2" w:themeShade="40"/>
                <w:sz w:val="20"/>
                <w:szCs w:val="20"/>
              </w:rPr>
              <w:t>20</w:t>
            </w: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6D46E171" w14:textId="77777777" w:rsidR="00EE7EB3" w:rsidRPr="00035332" w:rsidRDefault="00EE7EB3" w:rsidP="00F233D4">
            <w:pPr>
              <w:jc w:val="center"/>
              <w:rPr>
                <w:rFonts w:ascii="Cambria" w:hAnsi="Cambria" w:cs="Times New Roman"/>
                <w:b w:val="0"/>
                <w:bCs w:val="0"/>
                <w:color w:val="3B3838" w:themeColor="background2" w:themeShade="40"/>
                <w:sz w:val="20"/>
                <w:szCs w:val="20"/>
              </w:rPr>
            </w:pPr>
            <w:r w:rsidRPr="00035332">
              <w:rPr>
                <w:rFonts w:ascii="Cambria" w:hAnsi="Cambria" w:cs="Times New Roman"/>
                <w:b w:val="0"/>
                <w:bCs w:val="0"/>
                <w:color w:val="3B3838" w:themeColor="background2" w:themeShade="40"/>
                <w:sz w:val="20"/>
                <w:szCs w:val="20"/>
              </w:rPr>
              <w:t>14</w:t>
            </w:r>
          </w:p>
        </w:tc>
      </w:tr>
      <w:tr w:rsidR="00EE7EB3" w:rsidRPr="00035332" w14:paraId="275F3808" w14:textId="77777777" w:rsidTr="00F233D4">
        <w:trPr>
          <w:gridAfter w:val="1"/>
          <w:wAfter w:w="14" w:type="dxa"/>
          <w:trHeight w:val="227"/>
        </w:trPr>
        <w:tc>
          <w:tcPr>
            <w:tcW w:w="1980" w:type="dxa"/>
            <w:vAlign w:val="center"/>
          </w:tcPr>
          <w:p w14:paraId="621ADAA3"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 xml:space="preserve">Median age, </w:t>
            </w:r>
            <w:proofErr w:type="spellStart"/>
            <w:r w:rsidRPr="00035332">
              <w:rPr>
                <w:rFonts w:ascii="Cambria" w:hAnsi="Cambria" w:cs="Times New Roman"/>
                <w:color w:val="000000"/>
                <w:sz w:val="20"/>
                <w:szCs w:val="20"/>
              </w:rPr>
              <w:t>yr</w:t>
            </w:r>
            <w:proofErr w:type="spellEnd"/>
            <w:r w:rsidRPr="00035332">
              <w:rPr>
                <w:rFonts w:ascii="Cambria" w:hAnsi="Cambria" w:cs="Times New Roman"/>
                <w:color w:val="000000"/>
                <w:sz w:val="20"/>
                <w:szCs w:val="20"/>
              </w:rPr>
              <w:t xml:space="preserve"> (range)</w:t>
            </w:r>
          </w:p>
        </w:tc>
        <w:tc>
          <w:tcPr>
            <w:tcW w:w="1757" w:type="dxa"/>
            <w:vAlign w:val="center"/>
          </w:tcPr>
          <w:p w14:paraId="3B428E8F" w14:textId="77777777" w:rsidR="00EE7EB3" w:rsidRPr="00035332" w:rsidRDefault="00EE7EB3" w:rsidP="00F233D4">
            <w:pPr>
              <w:jc w:val="center"/>
              <w:rPr>
                <w:rFonts w:ascii="Cambria" w:hAnsi="Cambria" w:cs="Times New Roman"/>
                <w:sz w:val="20"/>
                <w:szCs w:val="20"/>
              </w:rPr>
            </w:pPr>
            <w:r w:rsidRPr="00035332">
              <w:rPr>
                <w:rFonts w:ascii="Cambria" w:hAnsi="Cambria" w:cs="Times New Roman"/>
                <w:sz w:val="20"/>
                <w:szCs w:val="20"/>
              </w:rPr>
              <w:t>65 (4</w:t>
            </w:r>
            <w:r>
              <w:rPr>
                <w:rFonts w:ascii="Cambria" w:hAnsi="Cambria" w:cs="Times New Roman"/>
                <w:sz w:val="20"/>
                <w:szCs w:val="20"/>
              </w:rPr>
              <w:t>9</w:t>
            </w:r>
            <w:r w:rsidRPr="00035332">
              <w:rPr>
                <w:rFonts w:ascii="Cambria" w:hAnsi="Cambria" w:cs="Times New Roman"/>
                <w:sz w:val="20"/>
                <w:szCs w:val="20"/>
              </w:rPr>
              <w:t>–7</w:t>
            </w:r>
            <w:r>
              <w:rPr>
                <w:rFonts w:ascii="Cambria" w:hAnsi="Cambria" w:cs="Times New Roman"/>
                <w:sz w:val="20"/>
                <w:szCs w:val="20"/>
              </w:rPr>
              <w:t>5</w:t>
            </w:r>
            <w:r w:rsidRPr="00035332">
              <w:rPr>
                <w:rFonts w:ascii="Cambria" w:hAnsi="Cambria" w:cs="Times New Roman"/>
                <w:sz w:val="20"/>
                <w:szCs w:val="20"/>
              </w:rPr>
              <w:t>)</w:t>
            </w:r>
          </w:p>
        </w:tc>
        <w:tc>
          <w:tcPr>
            <w:tcW w:w="1757" w:type="dxa"/>
            <w:vAlign w:val="center"/>
          </w:tcPr>
          <w:p w14:paraId="0363DAA5" w14:textId="77777777" w:rsidR="00EE7EB3" w:rsidRPr="00035332" w:rsidRDefault="00EE7EB3" w:rsidP="00F233D4">
            <w:pPr>
              <w:jc w:val="center"/>
              <w:rPr>
                <w:rFonts w:ascii="Cambria" w:hAnsi="Cambria" w:cs="Times New Roman"/>
                <w:sz w:val="20"/>
                <w:szCs w:val="20"/>
              </w:rPr>
            </w:pPr>
            <w:r w:rsidRPr="00035332">
              <w:rPr>
                <w:rFonts w:ascii="Cambria" w:hAnsi="Cambria" w:cs="Times New Roman"/>
                <w:sz w:val="20"/>
                <w:szCs w:val="20"/>
              </w:rPr>
              <w:t>6</w:t>
            </w:r>
            <w:r>
              <w:rPr>
                <w:rFonts w:ascii="Cambria" w:hAnsi="Cambria" w:cs="Times New Roman"/>
                <w:sz w:val="20"/>
                <w:szCs w:val="20"/>
              </w:rPr>
              <w:t>8</w:t>
            </w:r>
            <w:r w:rsidRPr="00035332">
              <w:rPr>
                <w:rFonts w:ascii="Cambria" w:hAnsi="Cambria" w:cs="Times New Roman"/>
                <w:sz w:val="20"/>
                <w:szCs w:val="20"/>
              </w:rPr>
              <w:t xml:space="preserve"> (</w:t>
            </w:r>
            <w:r>
              <w:rPr>
                <w:rFonts w:ascii="Cambria" w:hAnsi="Cambria" w:cs="Times New Roman"/>
                <w:sz w:val="20"/>
                <w:szCs w:val="20"/>
              </w:rPr>
              <w:t>48</w:t>
            </w:r>
            <w:r w:rsidRPr="00035332">
              <w:rPr>
                <w:rFonts w:ascii="Cambria" w:hAnsi="Cambria" w:cs="Times New Roman"/>
                <w:sz w:val="20"/>
                <w:szCs w:val="20"/>
              </w:rPr>
              <w:t>–</w:t>
            </w:r>
            <w:r>
              <w:rPr>
                <w:rFonts w:ascii="Cambria" w:hAnsi="Cambria" w:cs="Times New Roman"/>
                <w:sz w:val="20"/>
                <w:szCs w:val="20"/>
              </w:rPr>
              <w:t>88</w:t>
            </w:r>
            <w:r w:rsidRPr="00035332">
              <w:rPr>
                <w:rFonts w:ascii="Cambria" w:hAnsi="Cambria" w:cs="Times New Roman"/>
                <w:sz w:val="20"/>
                <w:szCs w:val="20"/>
              </w:rPr>
              <w:t>)</w:t>
            </w:r>
          </w:p>
        </w:tc>
        <w:tc>
          <w:tcPr>
            <w:tcW w:w="1757" w:type="dxa"/>
            <w:vAlign w:val="center"/>
          </w:tcPr>
          <w:p w14:paraId="28C7A57D" w14:textId="77777777" w:rsidR="00EE7EB3" w:rsidRPr="00035332" w:rsidRDefault="00EE7EB3" w:rsidP="00F233D4">
            <w:pPr>
              <w:jc w:val="center"/>
              <w:rPr>
                <w:rFonts w:ascii="Cambria" w:hAnsi="Cambria" w:cs="Times New Roman"/>
                <w:color w:val="3B3838" w:themeColor="background2" w:themeShade="40"/>
                <w:sz w:val="20"/>
                <w:szCs w:val="20"/>
              </w:rPr>
            </w:pPr>
            <w:r>
              <w:rPr>
                <w:rFonts w:ascii="Cambria" w:hAnsi="Cambria" w:cs="Times New Roman"/>
                <w:color w:val="3B3838" w:themeColor="background2" w:themeShade="40"/>
                <w:sz w:val="20"/>
                <w:szCs w:val="20"/>
              </w:rPr>
              <w:t>64.</w:t>
            </w:r>
            <w:r w:rsidRPr="002879D0">
              <w:rPr>
                <w:rFonts w:ascii="Cambria" w:hAnsi="Cambria" w:cs="Times New Roman"/>
                <w:color w:val="3B3838" w:themeColor="background2" w:themeShade="40"/>
                <w:sz w:val="20"/>
                <w:szCs w:val="20"/>
              </w:rPr>
              <w:t>5 (</w:t>
            </w:r>
            <w:r>
              <w:rPr>
                <w:rFonts w:ascii="Cambria" w:hAnsi="Cambria" w:cs="Times New Roman"/>
                <w:color w:val="3B3838" w:themeColor="background2" w:themeShade="40"/>
                <w:sz w:val="20"/>
                <w:szCs w:val="20"/>
              </w:rPr>
              <w:t>52</w:t>
            </w:r>
            <w:r w:rsidRPr="002879D0">
              <w:rPr>
                <w:rFonts w:cs="Times New Roman"/>
                <w:color w:val="3B3838" w:themeColor="background2" w:themeShade="40"/>
                <w:sz w:val="20"/>
                <w:szCs w:val="20"/>
              </w:rPr>
              <w:t>–</w:t>
            </w:r>
            <w:r w:rsidRPr="002879D0">
              <w:rPr>
                <w:rFonts w:ascii="Cambria" w:hAnsi="Cambria" w:cs="Times New Roman"/>
                <w:color w:val="3B3838" w:themeColor="background2" w:themeShade="40"/>
                <w:sz w:val="20"/>
                <w:szCs w:val="20"/>
              </w:rPr>
              <w:t>77)</w:t>
            </w: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0E247312" w14:textId="77777777" w:rsidR="00EE7EB3" w:rsidRPr="00035332" w:rsidRDefault="00EE7EB3" w:rsidP="00F233D4">
            <w:pPr>
              <w:jc w:val="center"/>
              <w:rPr>
                <w:rFonts w:ascii="Cambria" w:hAnsi="Cambria" w:cs="Times New Roman"/>
                <w:b w:val="0"/>
                <w:bCs w:val="0"/>
                <w:color w:val="3B3838" w:themeColor="background2" w:themeShade="40"/>
                <w:sz w:val="20"/>
                <w:szCs w:val="20"/>
              </w:rPr>
            </w:pPr>
            <w:r>
              <w:rPr>
                <w:rFonts w:ascii="Cambria" w:hAnsi="Cambria" w:cs="Times New Roman"/>
                <w:b w:val="0"/>
                <w:bCs w:val="0"/>
                <w:color w:val="3B3838" w:themeColor="background2" w:themeShade="40"/>
                <w:sz w:val="20"/>
                <w:szCs w:val="20"/>
              </w:rPr>
              <w:t>67 (43</w:t>
            </w:r>
            <w:r>
              <w:rPr>
                <w:rFonts w:cs="Times New Roman"/>
                <w:b w:val="0"/>
                <w:bCs w:val="0"/>
                <w:color w:val="3B3838" w:themeColor="background2" w:themeShade="40"/>
                <w:sz w:val="20"/>
                <w:szCs w:val="20"/>
              </w:rPr>
              <w:t>–</w:t>
            </w:r>
            <w:r>
              <w:rPr>
                <w:rFonts w:ascii="Cambria" w:hAnsi="Cambria" w:cs="Times New Roman"/>
                <w:b w:val="0"/>
                <w:bCs w:val="0"/>
                <w:color w:val="3B3838" w:themeColor="background2" w:themeShade="40"/>
                <w:sz w:val="20"/>
                <w:szCs w:val="20"/>
              </w:rPr>
              <w:t>77)</w:t>
            </w:r>
          </w:p>
        </w:tc>
      </w:tr>
      <w:tr w:rsidR="00EE7EB3" w:rsidRPr="00035332" w14:paraId="1AD7EB83" w14:textId="77777777" w:rsidTr="00F233D4">
        <w:trPr>
          <w:gridAfter w:val="1"/>
          <w:wAfter w:w="14" w:type="dxa"/>
          <w:trHeight w:val="227"/>
        </w:trPr>
        <w:tc>
          <w:tcPr>
            <w:tcW w:w="1980" w:type="dxa"/>
            <w:vAlign w:val="center"/>
          </w:tcPr>
          <w:p w14:paraId="0AF5511E"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Median PSA (range)</w:t>
            </w:r>
          </w:p>
        </w:tc>
        <w:tc>
          <w:tcPr>
            <w:tcW w:w="1757" w:type="dxa"/>
            <w:vAlign w:val="center"/>
          </w:tcPr>
          <w:p w14:paraId="0035A6F2" w14:textId="77777777" w:rsidR="00EE7EB3" w:rsidRPr="00035332" w:rsidRDefault="00EE7EB3" w:rsidP="00F233D4">
            <w:pPr>
              <w:jc w:val="center"/>
              <w:rPr>
                <w:rFonts w:ascii="Cambria" w:hAnsi="Cambria" w:cs="Times New Roman"/>
                <w:color w:val="3B3838"/>
                <w:sz w:val="20"/>
                <w:szCs w:val="20"/>
              </w:rPr>
            </w:pPr>
            <w:r w:rsidRPr="00035332">
              <w:rPr>
                <w:rFonts w:ascii="Cambria" w:hAnsi="Cambria" w:cs="Times New Roman"/>
                <w:color w:val="3B3838"/>
                <w:sz w:val="20"/>
                <w:szCs w:val="20"/>
              </w:rPr>
              <w:t>5.2 (2.5–9.3)</w:t>
            </w:r>
          </w:p>
        </w:tc>
        <w:tc>
          <w:tcPr>
            <w:tcW w:w="1757" w:type="dxa"/>
            <w:vAlign w:val="center"/>
          </w:tcPr>
          <w:p w14:paraId="25524A7D"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12.5 (4.1</w:t>
            </w:r>
            <w:r w:rsidRPr="00035332">
              <w:rPr>
                <w:rFonts w:ascii="Cambria" w:hAnsi="Cambria" w:cs="Times New Roman"/>
                <w:color w:val="3B3838"/>
                <w:sz w:val="20"/>
                <w:szCs w:val="20"/>
              </w:rPr>
              <w:t>–291)</w:t>
            </w:r>
          </w:p>
        </w:tc>
        <w:tc>
          <w:tcPr>
            <w:tcW w:w="1757" w:type="dxa"/>
            <w:vAlign w:val="center"/>
          </w:tcPr>
          <w:p w14:paraId="61005635" w14:textId="77777777" w:rsidR="00EE7EB3" w:rsidRPr="00035332" w:rsidRDefault="00EE7EB3" w:rsidP="00F233D4">
            <w:pPr>
              <w:jc w:val="center"/>
              <w:rPr>
                <w:rFonts w:ascii="Cambria" w:hAnsi="Cambria" w:cs="Times New Roman"/>
                <w:color w:val="3B3838" w:themeColor="background2" w:themeShade="40"/>
                <w:sz w:val="20"/>
                <w:szCs w:val="20"/>
              </w:rPr>
            </w:pPr>
            <w:r w:rsidRPr="00035332">
              <w:rPr>
                <w:rFonts w:ascii="Cambria" w:hAnsi="Cambria" w:cs="Times New Roman"/>
                <w:color w:val="3B3838" w:themeColor="background2" w:themeShade="40"/>
                <w:sz w:val="20"/>
                <w:szCs w:val="20"/>
              </w:rPr>
              <w:t xml:space="preserve">3.7 </w:t>
            </w:r>
            <w:r w:rsidRPr="00035332">
              <w:rPr>
                <w:rFonts w:ascii="Cambria" w:hAnsi="Cambria" w:cs="Times New Roman"/>
                <w:color w:val="000000"/>
                <w:sz w:val="20"/>
                <w:szCs w:val="20"/>
                <w:lang w:eastAsia="en-GB"/>
              </w:rPr>
              <w:t>(0.6</w:t>
            </w:r>
            <w:r w:rsidRPr="00035332">
              <w:rPr>
                <w:rFonts w:ascii="Cambria" w:hAnsi="Cambria" w:cs="Times New Roman"/>
                <w:color w:val="3B3838"/>
                <w:sz w:val="20"/>
                <w:szCs w:val="20"/>
              </w:rPr>
              <w:t>–9.2)</w:t>
            </w: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64F80B57" w14:textId="77777777" w:rsidR="00EE7EB3" w:rsidRPr="00035332" w:rsidRDefault="00EE7EB3" w:rsidP="00F233D4">
            <w:pPr>
              <w:jc w:val="center"/>
              <w:rPr>
                <w:rFonts w:ascii="Cambria" w:hAnsi="Cambria" w:cs="Times New Roman"/>
                <w:b w:val="0"/>
                <w:bCs w:val="0"/>
                <w:color w:val="000000"/>
                <w:sz w:val="20"/>
                <w:szCs w:val="20"/>
                <w:lang w:eastAsia="en-GB"/>
              </w:rPr>
            </w:pPr>
            <w:r w:rsidRPr="00035332">
              <w:rPr>
                <w:rFonts w:ascii="Cambria" w:hAnsi="Cambria" w:cs="Times New Roman"/>
                <w:b w:val="0"/>
                <w:bCs w:val="0"/>
                <w:color w:val="000000"/>
                <w:sz w:val="20"/>
                <w:szCs w:val="20"/>
                <w:lang w:eastAsia="en-GB"/>
              </w:rPr>
              <w:t>0.8 (0.2</w:t>
            </w:r>
            <w:r w:rsidRPr="00035332">
              <w:rPr>
                <w:rFonts w:ascii="Cambria" w:hAnsi="Cambria" w:cs="Times New Roman"/>
                <w:b w:val="0"/>
                <w:bCs w:val="0"/>
                <w:color w:val="3B3838"/>
                <w:sz w:val="20"/>
                <w:szCs w:val="20"/>
              </w:rPr>
              <w:t>–1.9)</w:t>
            </w:r>
          </w:p>
        </w:tc>
      </w:tr>
      <w:tr w:rsidR="00EE7EB3" w:rsidRPr="00035332" w14:paraId="5CED9811" w14:textId="77777777" w:rsidTr="00F233D4">
        <w:trPr>
          <w:gridAfter w:val="1"/>
          <w:wAfter w:w="14" w:type="dxa"/>
          <w:trHeight w:val="227"/>
        </w:trPr>
        <w:tc>
          <w:tcPr>
            <w:tcW w:w="1980" w:type="dxa"/>
            <w:vAlign w:val="center"/>
          </w:tcPr>
          <w:p w14:paraId="6872D16F"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≤10 ng ml</w:t>
            </w:r>
          </w:p>
        </w:tc>
        <w:tc>
          <w:tcPr>
            <w:tcW w:w="1757" w:type="dxa"/>
            <w:vAlign w:val="center"/>
          </w:tcPr>
          <w:p w14:paraId="17D98F28" w14:textId="77777777" w:rsidR="00EE7EB3" w:rsidRPr="00035332" w:rsidRDefault="00EE7EB3" w:rsidP="00F233D4">
            <w:pPr>
              <w:jc w:val="center"/>
              <w:rPr>
                <w:rFonts w:ascii="Cambria" w:hAnsi="Cambria" w:cs="Times New Roman"/>
                <w:color w:val="3B3838"/>
                <w:sz w:val="20"/>
                <w:szCs w:val="20"/>
              </w:rPr>
            </w:pPr>
            <w:r w:rsidRPr="00035332">
              <w:rPr>
                <w:rFonts w:ascii="Cambria" w:hAnsi="Cambria" w:cs="Times New Roman"/>
                <w:color w:val="3B3838"/>
                <w:sz w:val="20"/>
                <w:szCs w:val="20"/>
              </w:rPr>
              <w:t>19</w:t>
            </w:r>
          </w:p>
        </w:tc>
        <w:tc>
          <w:tcPr>
            <w:tcW w:w="1757" w:type="dxa"/>
            <w:vAlign w:val="center"/>
          </w:tcPr>
          <w:p w14:paraId="1055A05D"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7</w:t>
            </w:r>
          </w:p>
        </w:tc>
        <w:tc>
          <w:tcPr>
            <w:tcW w:w="1757" w:type="dxa"/>
            <w:vAlign w:val="center"/>
          </w:tcPr>
          <w:p w14:paraId="3FF5D76B" w14:textId="77777777" w:rsidR="00EE7EB3" w:rsidRPr="00035332" w:rsidRDefault="00EE7EB3" w:rsidP="00F233D4">
            <w:pPr>
              <w:jc w:val="center"/>
              <w:rPr>
                <w:rFonts w:ascii="Cambria" w:hAnsi="Cambria" w:cs="Times New Roman"/>
                <w:color w:val="3B3838" w:themeColor="background2" w:themeShade="40"/>
                <w:sz w:val="20"/>
                <w:szCs w:val="20"/>
              </w:rPr>
            </w:pPr>
            <w:r w:rsidRPr="00035332">
              <w:rPr>
                <w:rFonts w:ascii="Cambria" w:hAnsi="Cambria" w:cs="Times New Roman"/>
                <w:color w:val="3B3838" w:themeColor="background2" w:themeShade="40"/>
                <w:sz w:val="20"/>
                <w:szCs w:val="20"/>
              </w:rPr>
              <w:t>20</w:t>
            </w: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5555F039" w14:textId="77777777" w:rsidR="00EE7EB3" w:rsidRPr="00035332" w:rsidRDefault="00EE7EB3" w:rsidP="00F233D4">
            <w:pPr>
              <w:jc w:val="center"/>
              <w:rPr>
                <w:rFonts w:ascii="Cambria" w:hAnsi="Cambria" w:cs="Times New Roman"/>
                <w:b w:val="0"/>
                <w:bCs w:val="0"/>
                <w:color w:val="000000"/>
                <w:sz w:val="20"/>
                <w:szCs w:val="20"/>
              </w:rPr>
            </w:pPr>
            <w:r w:rsidRPr="00035332">
              <w:rPr>
                <w:rFonts w:ascii="Cambria" w:hAnsi="Cambria" w:cs="Times New Roman"/>
                <w:b w:val="0"/>
                <w:bCs w:val="0"/>
                <w:color w:val="000000"/>
                <w:sz w:val="20"/>
                <w:szCs w:val="20"/>
              </w:rPr>
              <w:t>14</w:t>
            </w:r>
          </w:p>
        </w:tc>
      </w:tr>
      <w:tr w:rsidR="00EE7EB3" w:rsidRPr="00035332" w14:paraId="20B6097A" w14:textId="77777777" w:rsidTr="00F233D4">
        <w:trPr>
          <w:gridAfter w:val="1"/>
          <w:wAfter w:w="14" w:type="dxa"/>
          <w:trHeight w:val="227"/>
        </w:trPr>
        <w:tc>
          <w:tcPr>
            <w:tcW w:w="1980" w:type="dxa"/>
            <w:vAlign w:val="center"/>
          </w:tcPr>
          <w:p w14:paraId="21EFAA74"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&gt;10 ng ml</w:t>
            </w:r>
          </w:p>
        </w:tc>
        <w:tc>
          <w:tcPr>
            <w:tcW w:w="1757" w:type="dxa"/>
            <w:vAlign w:val="center"/>
          </w:tcPr>
          <w:p w14:paraId="026AFBA9" w14:textId="77777777" w:rsidR="00EE7EB3" w:rsidRPr="00035332" w:rsidRDefault="00EE7EB3" w:rsidP="00F233D4">
            <w:pPr>
              <w:jc w:val="center"/>
              <w:rPr>
                <w:rFonts w:ascii="Cambria" w:hAnsi="Cambria" w:cs="Times New Roman"/>
                <w:color w:val="3B3838"/>
                <w:sz w:val="20"/>
                <w:szCs w:val="20"/>
              </w:rPr>
            </w:pPr>
            <w:r w:rsidRPr="00035332">
              <w:rPr>
                <w:rFonts w:ascii="Cambria" w:hAnsi="Cambria" w:cs="Times New Roman"/>
                <w:color w:val="3B3838"/>
                <w:sz w:val="20"/>
                <w:szCs w:val="20"/>
              </w:rPr>
              <w:t>0</w:t>
            </w:r>
          </w:p>
        </w:tc>
        <w:tc>
          <w:tcPr>
            <w:tcW w:w="1757" w:type="dxa"/>
            <w:vAlign w:val="center"/>
          </w:tcPr>
          <w:p w14:paraId="5D453BDD"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12</w:t>
            </w:r>
          </w:p>
        </w:tc>
        <w:tc>
          <w:tcPr>
            <w:tcW w:w="1757" w:type="dxa"/>
            <w:vAlign w:val="center"/>
          </w:tcPr>
          <w:p w14:paraId="44167357"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2C53AA39" w14:textId="77777777" w:rsidR="00EE7EB3" w:rsidRPr="00035332" w:rsidRDefault="00EE7EB3" w:rsidP="00F233D4">
            <w:pPr>
              <w:jc w:val="center"/>
              <w:rPr>
                <w:rFonts w:ascii="Cambria" w:hAnsi="Cambria" w:cs="Times New Roman"/>
                <w:b w:val="0"/>
                <w:bCs w:val="0"/>
                <w:color w:val="000000"/>
                <w:sz w:val="20"/>
                <w:szCs w:val="20"/>
              </w:rPr>
            </w:pPr>
          </w:p>
        </w:tc>
      </w:tr>
      <w:tr w:rsidR="00EE7EB3" w:rsidRPr="00035332" w14:paraId="26A84C6C" w14:textId="77777777" w:rsidTr="00F233D4">
        <w:trPr>
          <w:gridAfter w:val="1"/>
          <w:wAfter w:w="14" w:type="dxa"/>
          <w:trHeight w:val="227"/>
        </w:trPr>
        <w:tc>
          <w:tcPr>
            <w:tcW w:w="1980" w:type="dxa"/>
            <w:vAlign w:val="center"/>
          </w:tcPr>
          <w:p w14:paraId="02964CB7" w14:textId="77777777" w:rsidR="00EE7EB3" w:rsidRPr="00035332" w:rsidRDefault="00EE7EB3" w:rsidP="00F233D4">
            <w:pPr>
              <w:jc w:val="center"/>
              <w:rPr>
                <w:rFonts w:ascii="Cambria" w:hAnsi="Cambria" w:cs="Times New Roman"/>
                <w:color w:val="000000"/>
                <w:sz w:val="20"/>
                <w:szCs w:val="20"/>
              </w:rPr>
            </w:pPr>
            <w:r>
              <w:rPr>
                <w:rFonts w:ascii="Cambria" w:hAnsi="Cambria" w:cs="Times New Roman"/>
                <w:color w:val="000000"/>
                <w:sz w:val="20"/>
                <w:szCs w:val="20"/>
              </w:rPr>
              <w:t>Tumour</w:t>
            </w:r>
            <w:r w:rsidRPr="00035332">
              <w:rPr>
                <w:rFonts w:ascii="Cambria" w:hAnsi="Cambria" w:cs="Times New Roman"/>
                <w:color w:val="000000"/>
                <w:sz w:val="20"/>
                <w:szCs w:val="20"/>
              </w:rPr>
              <w:t xml:space="preserve"> stage, n</w:t>
            </w:r>
          </w:p>
        </w:tc>
        <w:tc>
          <w:tcPr>
            <w:tcW w:w="1757" w:type="dxa"/>
            <w:vAlign w:val="center"/>
          </w:tcPr>
          <w:p w14:paraId="5B09AF38"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1D93CDAA" w14:textId="77777777" w:rsidR="00EE7EB3" w:rsidRPr="00035332" w:rsidRDefault="00EE7EB3" w:rsidP="00F233D4">
            <w:pPr>
              <w:rPr>
                <w:rFonts w:ascii="Cambria" w:hAnsi="Cambria" w:cs="Times New Roman"/>
                <w:color w:val="000000"/>
                <w:sz w:val="20"/>
                <w:szCs w:val="20"/>
              </w:rPr>
            </w:pPr>
          </w:p>
        </w:tc>
        <w:tc>
          <w:tcPr>
            <w:tcW w:w="1757" w:type="dxa"/>
            <w:vAlign w:val="center"/>
          </w:tcPr>
          <w:p w14:paraId="4A45C6D4" w14:textId="77777777" w:rsidR="00EE7EB3" w:rsidRPr="00035332" w:rsidRDefault="00EE7EB3" w:rsidP="00F233D4">
            <w:pPr>
              <w:jc w:val="center"/>
              <w:rPr>
                <w:rFonts w:ascii="Cambria" w:hAnsi="Cambria" w:cs="Times New Roman"/>
                <w:color w:val="3B3838" w:themeColor="background2" w:themeShade="40"/>
                <w:sz w:val="20"/>
                <w:szCs w:val="20"/>
              </w:rPr>
            </w:pPr>
            <w:r>
              <w:rPr>
                <w:rFonts w:ascii="Cambria" w:hAnsi="Cambria" w:cs="Times New Roman"/>
                <w:color w:val="3B3838" w:themeColor="background2" w:themeShade="40"/>
                <w:sz w:val="20"/>
                <w:szCs w:val="20"/>
              </w:rPr>
              <w:t>NA</w:t>
            </w: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71E98536" w14:textId="77777777" w:rsidR="00EE7EB3" w:rsidRPr="0046041D" w:rsidRDefault="00EE7EB3" w:rsidP="00F233D4">
            <w:pPr>
              <w:jc w:val="center"/>
              <w:rPr>
                <w:rFonts w:ascii="Cambria" w:hAnsi="Cambria" w:cs="Times New Roman"/>
                <w:b w:val="0"/>
                <w:bCs w:val="0"/>
                <w:color w:val="000000"/>
                <w:sz w:val="20"/>
                <w:szCs w:val="20"/>
              </w:rPr>
            </w:pPr>
            <w:r w:rsidRPr="0046041D">
              <w:rPr>
                <w:rFonts w:ascii="Cambria" w:hAnsi="Cambria" w:cs="Times New Roman"/>
                <w:b w:val="0"/>
                <w:bCs w:val="0"/>
                <w:color w:val="000000"/>
                <w:sz w:val="20"/>
                <w:szCs w:val="20"/>
              </w:rPr>
              <w:t>NA</w:t>
            </w:r>
          </w:p>
        </w:tc>
      </w:tr>
      <w:tr w:rsidR="00EE7EB3" w:rsidRPr="00035332" w14:paraId="5CD16A36" w14:textId="77777777" w:rsidTr="00F233D4">
        <w:trPr>
          <w:gridAfter w:val="1"/>
          <w:wAfter w:w="14" w:type="dxa"/>
          <w:trHeight w:val="227"/>
        </w:trPr>
        <w:tc>
          <w:tcPr>
            <w:tcW w:w="1980" w:type="dxa"/>
            <w:vAlign w:val="center"/>
          </w:tcPr>
          <w:p w14:paraId="2188A2FA"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T1a–c</w:t>
            </w:r>
          </w:p>
        </w:tc>
        <w:tc>
          <w:tcPr>
            <w:tcW w:w="1757" w:type="dxa"/>
            <w:vAlign w:val="center"/>
          </w:tcPr>
          <w:p w14:paraId="11E11F33" w14:textId="77777777" w:rsidR="00EE7EB3" w:rsidRPr="00035332" w:rsidRDefault="00EE7EB3" w:rsidP="00F233D4">
            <w:pPr>
              <w:jc w:val="center"/>
              <w:rPr>
                <w:rFonts w:ascii="Cambria" w:hAnsi="Cambria" w:cs="Times New Roman"/>
                <w:color w:val="3B3838"/>
                <w:sz w:val="20"/>
                <w:szCs w:val="20"/>
              </w:rPr>
            </w:pPr>
            <w:r w:rsidRPr="00035332">
              <w:rPr>
                <w:rFonts w:ascii="Cambria" w:hAnsi="Cambria" w:cs="Times New Roman"/>
                <w:color w:val="3B3838"/>
                <w:sz w:val="20"/>
                <w:szCs w:val="20"/>
              </w:rPr>
              <w:t>16</w:t>
            </w:r>
          </w:p>
        </w:tc>
        <w:tc>
          <w:tcPr>
            <w:tcW w:w="1757" w:type="dxa"/>
            <w:vAlign w:val="center"/>
          </w:tcPr>
          <w:p w14:paraId="04769ADB"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5</w:t>
            </w:r>
          </w:p>
        </w:tc>
        <w:tc>
          <w:tcPr>
            <w:tcW w:w="1757" w:type="dxa"/>
            <w:vAlign w:val="center"/>
          </w:tcPr>
          <w:p w14:paraId="551F874B"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359629E1"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23240337" w14:textId="77777777" w:rsidTr="00F233D4">
        <w:trPr>
          <w:gridAfter w:val="1"/>
          <w:wAfter w:w="14" w:type="dxa"/>
          <w:trHeight w:val="227"/>
        </w:trPr>
        <w:tc>
          <w:tcPr>
            <w:tcW w:w="1980" w:type="dxa"/>
            <w:vAlign w:val="center"/>
          </w:tcPr>
          <w:p w14:paraId="68E492C6"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T2a–c</w:t>
            </w:r>
          </w:p>
        </w:tc>
        <w:tc>
          <w:tcPr>
            <w:tcW w:w="1757" w:type="dxa"/>
            <w:vAlign w:val="center"/>
          </w:tcPr>
          <w:p w14:paraId="23DFAB1F" w14:textId="77777777" w:rsidR="00EE7EB3" w:rsidRPr="00035332" w:rsidRDefault="00EE7EB3" w:rsidP="00F233D4">
            <w:pPr>
              <w:jc w:val="center"/>
              <w:rPr>
                <w:rFonts w:ascii="Cambria" w:hAnsi="Cambria" w:cs="Times New Roman"/>
                <w:color w:val="3B3838"/>
                <w:sz w:val="20"/>
                <w:szCs w:val="20"/>
              </w:rPr>
            </w:pPr>
            <w:r w:rsidRPr="00035332">
              <w:rPr>
                <w:rFonts w:ascii="Cambria" w:hAnsi="Cambria" w:cs="Times New Roman"/>
                <w:color w:val="3B3838"/>
                <w:sz w:val="20"/>
                <w:szCs w:val="20"/>
              </w:rPr>
              <w:t>3</w:t>
            </w:r>
          </w:p>
        </w:tc>
        <w:tc>
          <w:tcPr>
            <w:tcW w:w="1757" w:type="dxa"/>
            <w:vAlign w:val="center"/>
          </w:tcPr>
          <w:p w14:paraId="56B47B09"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9</w:t>
            </w:r>
          </w:p>
        </w:tc>
        <w:tc>
          <w:tcPr>
            <w:tcW w:w="1757" w:type="dxa"/>
            <w:vAlign w:val="center"/>
          </w:tcPr>
          <w:p w14:paraId="64E0D9A4"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210A4C76"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4B4192C5" w14:textId="77777777" w:rsidTr="00F233D4">
        <w:trPr>
          <w:gridAfter w:val="1"/>
          <w:wAfter w:w="14" w:type="dxa"/>
          <w:trHeight w:val="227"/>
        </w:trPr>
        <w:tc>
          <w:tcPr>
            <w:tcW w:w="1980" w:type="dxa"/>
            <w:vAlign w:val="center"/>
          </w:tcPr>
          <w:p w14:paraId="379C1F3C"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T3a–c</w:t>
            </w:r>
          </w:p>
        </w:tc>
        <w:tc>
          <w:tcPr>
            <w:tcW w:w="1757" w:type="dxa"/>
            <w:vAlign w:val="center"/>
          </w:tcPr>
          <w:p w14:paraId="7B671ADB"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3D7E5080"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4</w:t>
            </w:r>
          </w:p>
        </w:tc>
        <w:tc>
          <w:tcPr>
            <w:tcW w:w="1757" w:type="dxa"/>
            <w:vAlign w:val="center"/>
          </w:tcPr>
          <w:p w14:paraId="31E30B9A"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6E40E943"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045B246B" w14:textId="77777777" w:rsidTr="00F233D4">
        <w:trPr>
          <w:gridAfter w:val="1"/>
          <w:wAfter w:w="14" w:type="dxa"/>
          <w:trHeight w:val="227"/>
        </w:trPr>
        <w:tc>
          <w:tcPr>
            <w:tcW w:w="1980" w:type="dxa"/>
            <w:vAlign w:val="center"/>
          </w:tcPr>
          <w:p w14:paraId="2DA86AE8"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T4</w:t>
            </w:r>
          </w:p>
        </w:tc>
        <w:tc>
          <w:tcPr>
            <w:tcW w:w="1757" w:type="dxa"/>
            <w:vAlign w:val="center"/>
          </w:tcPr>
          <w:p w14:paraId="311A09DE"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4EF95D58" w14:textId="77777777" w:rsidR="00EE7EB3" w:rsidRPr="00035332" w:rsidRDefault="00EE7EB3" w:rsidP="00F233D4">
            <w:pPr>
              <w:jc w:val="center"/>
              <w:rPr>
                <w:rFonts w:ascii="Cambria" w:hAnsi="Cambria" w:cs="Times New Roman"/>
                <w:color w:val="000000"/>
                <w:sz w:val="20"/>
                <w:szCs w:val="20"/>
              </w:rPr>
            </w:pPr>
          </w:p>
        </w:tc>
        <w:tc>
          <w:tcPr>
            <w:tcW w:w="1757" w:type="dxa"/>
            <w:vAlign w:val="center"/>
          </w:tcPr>
          <w:p w14:paraId="4F7ECEB0"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4ECC07FC"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0DADA1BC" w14:textId="77777777" w:rsidTr="00F233D4">
        <w:trPr>
          <w:gridAfter w:val="1"/>
          <w:wAfter w:w="14" w:type="dxa"/>
          <w:trHeight w:val="227"/>
        </w:trPr>
        <w:tc>
          <w:tcPr>
            <w:tcW w:w="1980" w:type="dxa"/>
            <w:vAlign w:val="center"/>
          </w:tcPr>
          <w:p w14:paraId="3790D67E"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Unknown</w:t>
            </w:r>
          </w:p>
        </w:tc>
        <w:tc>
          <w:tcPr>
            <w:tcW w:w="1757" w:type="dxa"/>
            <w:vAlign w:val="center"/>
          </w:tcPr>
          <w:p w14:paraId="4A816D66"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624EC2C9"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1</w:t>
            </w:r>
          </w:p>
        </w:tc>
        <w:tc>
          <w:tcPr>
            <w:tcW w:w="1757" w:type="dxa"/>
            <w:vAlign w:val="center"/>
          </w:tcPr>
          <w:p w14:paraId="029385F8"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7087329D"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67BD0669" w14:textId="77777777" w:rsidTr="00F233D4">
        <w:trPr>
          <w:gridAfter w:val="1"/>
          <w:wAfter w:w="14" w:type="dxa"/>
          <w:trHeight w:val="227"/>
        </w:trPr>
        <w:tc>
          <w:tcPr>
            <w:tcW w:w="1980" w:type="dxa"/>
            <w:vAlign w:val="center"/>
          </w:tcPr>
          <w:p w14:paraId="592254AE"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 xml:space="preserve">Gleason score, n </w:t>
            </w:r>
          </w:p>
        </w:tc>
        <w:tc>
          <w:tcPr>
            <w:tcW w:w="1757" w:type="dxa"/>
            <w:vAlign w:val="center"/>
          </w:tcPr>
          <w:p w14:paraId="15177792"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4052E625" w14:textId="77777777" w:rsidR="00EE7EB3" w:rsidRPr="00035332" w:rsidRDefault="00EE7EB3" w:rsidP="00F233D4">
            <w:pPr>
              <w:jc w:val="center"/>
              <w:rPr>
                <w:rFonts w:ascii="Cambria" w:hAnsi="Cambria" w:cs="Times New Roman"/>
                <w:color w:val="000000"/>
                <w:sz w:val="20"/>
                <w:szCs w:val="20"/>
              </w:rPr>
            </w:pPr>
          </w:p>
        </w:tc>
        <w:tc>
          <w:tcPr>
            <w:tcW w:w="1757" w:type="dxa"/>
            <w:vAlign w:val="center"/>
          </w:tcPr>
          <w:p w14:paraId="4753E592" w14:textId="77777777" w:rsidR="00EE7EB3" w:rsidRPr="00035332" w:rsidRDefault="00EE7EB3" w:rsidP="00F233D4">
            <w:pPr>
              <w:jc w:val="center"/>
              <w:rPr>
                <w:rFonts w:ascii="Cambria" w:hAnsi="Cambria" w:cs="Times New Roman"/>
                <w:color w:val="3B3838" w:themeColor="background2" w:themeShade="40"/>
                <w:sz w:val="20"/>
                <w:szCs w:val="20"/>
              </w:rPr>
            </w:pPr>
            <w:r>
              <w:rPr>
                <w:rFonts w:ascii="Cambria" w:hAnsi="Cambria" w:cs="Times New Roman"/>
                <w:color w:val="3B3838" w:themeColor="background2" w:themeShade="40"/>
                <w:sz w:val="20"/>
                <w:szCs w:val="20"/>
              </w:rPr>
              <w:t>NA</w:t>
            </w: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789ADA7E" w14:textId="77777777" w:rsidR="00EE7EB3" w:rsidRPr="0046041D" w:rsidRDefault="00EE7EB3" w:rsidP="00F233D4">
            <w:pPr>
              <w:jc w:val="center"/>
              <w:rPr>
                <w:rFonts w:ascii="Cambria" w:hAnsi="Cambria" w:cs="Times New Roman"/>
                <w:b w:val="0"/>
                <w:bCs w:val="0"/>
                <w:color w:val="000000"/>
                <w:sz w:val="20"/>
                <w:szCs w:val="20"/>
              </w:rPr>
            </w:pPr>
            <w:r w:rsidRPr="0046041D">
              <w:rPr>
                <w:rFonts w:ascii="Cambria" w:hAnsi="Cambria" w:cs="Times New Roman"/>
                <w:b w:val="0"/>
                <w:bCs w:val="0"/>
                <w:color w:val="000000"/>
                <w:sz w:val="20"/>
                <w:szCs w:val="20"/>
              </w:rPr>
              <w:t>NA</w:t>
            </w:r>
          </w:p>
        </w:tc>
      </w:tr>
      <w:tr w:rsidR="00EE7EB3" w:rsidRPr="00035332" w14:paraId="1187C585" w14:textId="77777777" w:rsidTr="00F233D4">
        <w:trPr>
          <w:gridAfter w:val="1"/>
          <w:wAfter w:w="14" w:type="dxa"/>
          <w:trHeight w:val="227"/>
        </w:trPr>
        <w:tc>
          <w:tcPr>
            <w:tcW w:w="1980" w:type="dxa"/>
            <w:vAlign w:val="center"/>
          </w:tcPr>
          <w:p w14:paraId="59ABE70C"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&lt;7</w:t>
            </w:r>
          </w:p>
        </w:tc>
        <w:tc>
          <w:tcPr>
            <w:tcW w:w="1757" w:type="dxa"/>
            <w:vAlign w:val="center"/>
          </w:tcPr>
          <w:p w14:paraId="32CBAFB2" w14:textId="77777777" w:rsidR="00EE7EB3" w:rsidRPr="00035332" w:rsidRDefault="00EE7EB3" w:rsidP="00F233D4">
            <w:pPr>
              <w:jc w:val="center"/>
              <w:rPr>
                <w:rFonts w:ascii="Cambria" w:hAnsi="Cambria" w:cs="Times New Roman"/>
                <w:color w:val="3B3838"/>
                <w:sz w:val="20"/>
                <w:szCs w:val="20"/>
              </w:rPr>
            </w:pPr>
            <w:r w:rsidRPr="00035332">
              <w:rPr>
                <w:rFonts w:ascii="Cambria" w:hAnsi="Cambria" w:cs="Times New Roman"/>
                <w:color w:val="3B3838"/>
                <w:sz w:val="20"/>
                <w:szCs w:val="20"/>
              </w:rPr>
              <w:t xml:space="preserve">19 </w:t>
            </w:r>
          </w:p>
        </w:tc>
        <w:tc>
          <w:tcPr>
            <w:tcW w:w="1757" w:type="dxa"/>
            <w:vAlign w:val="center"/>
          </w:tcPr>
          <w:p w14:paraId="4B200E90"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2</w:t>
            </w:r>
          </w:p>
        </w:tc>
        <w:tc>
          <w:tcPr>
            <w:tcW w:w="1757" w:type="dxa"/>
            <w:vAlign w:val="center"/>
          </w:tcPr>
          <w:p w14:paraId="27DB8E6B"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2CF36C20"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6AE582FE" w14:textId="77777777" w:rsidTr="00F233D4">
        <w:trPr>
          <w:gridAfter w:val="1"/>
          <w:wAfter w:w="14" w:type="dxa"/>
          <w:trHeight w:val="227"/>
        </w:trPr>
        <w:tc>
          <w:tcPr>
            <w:tcW w:w="1980" w:type="dxa"/>
            <w:vAlign w:val="center"/>
          </w:tcPr>
          <w:p w14:paraId="20B13425"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7–8</w:t>
            </w:r>
          </w:p>
        </w:tc>
        <w:tc>
          <w:tcPr>
            <w:tcW w:w="1757" w:type="dxa"/>
            <w:vAlign w:val="center"/>
          </w:tcPr>
          <w:p w14:paraId="492A2517"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70DDBF4A"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12</w:t>
            </w:r>
          </w:p>
        </w:tc>
        <w:tc>
          <w:tcPr>
            <w:tcW w:w="1757" w:type="dxa"/>
            <w:vAlign w:val="center"/>
          </w:tcPr>
          <w:p w14:paraId="06007538"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5A9D9838"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50E171F1" w14:textId="77777777" w:rsidTr="00F233D4">
        <w:trPr>
          <w:gridAfter w:val="1"/>
          <w:wAfter w:w="14" w:type="dxa"/>
          <w:trHeight w:val="227"/>
        </w:trPr>
        <w:tc>
          <w:tcPr>
            <w:tcW w:w="1980" w:type="dxa"/>
            <w:vAlign w:val="center"/>
          </w:tcPr>
          <w:p w14:paraId="01DF44A3"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9–10</w:t>
            </w:r>
          </w:p>
        </w:tc>
        <w:tc>
          <w:tcPr>
            <w:tcW w:w="1757" w:type="dxa"/>
            <w:vAlign w:val="center"/>
          </w:tcPr>
          <w:p w14:paraId="6D58C627"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01B6B511"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5</w:t>
            </w:r>
          </w:p>
        </w:tc>
        <w:tc>
          <w:tcPr>
            <w:tcW w:w="1757" w:type="dxa"/>
            <w:vAlign w:val="center"/>
          </w:tcPr>
          <w:p w14:paraId="594D1122"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7C973BE3"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1364A0CD" w14:textId="77777777" w:rsidTr="00F233D4">
        <w:trPr>
          <w:gridAfter w:val="1"/>
          <w:wAfter w:w="14" w:type="dxa"/>
          <w:trHeight w:val="227"/>
        </w:trPr>
        <w:tc>
          <w:tcPr>
            <w:tcW w:w="1980" w:type="dxa"/>
            <w:vAlign w:val="center"/>
          </w:tcPr>
          <w:p w14:paraId="73DD1BC4"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Grade group</w:t>
            </w:r>
          </w:p>
        </w:tc>
        <w:tc>
          <w:tcPr>
            <w:tcW w:w="1757" w:type="dxa"/>
            <w:vAlign w:val="center"/>
          </w:tcPr>
          <w:p w14:paraId="047F19A7"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1B07E16E" w14:textId="77777777" w:rsidR="00EE7EB3" w:rsidRPr="00035332" w:rsidRDefault="00EE7EB3" w:rsidP="00F233D4">
            <w:pPr>
              <w:jc w:val="center"/>
              <w:rPr>
                <w:rFonts w:ascii="Cambria" w:hAnsi="Cambria" w:cs="Times New Roman"/>
                <w:color w:val="000000"/>
                <w:sz w:val="20"/>
                <w:szCs w:val="20"/>
              </w:rPr>
            </w:pPr>
          </w:p>
        </w:tc>
        <w:tc>
          <w:tcPr>
            <w:tcW w:w="1757" w:type="dxa"/>
            <w:vAlign w:val="center"/>
          </w:tcPr>
          <w:p w14:paraId="185FF08F" w14:textId="77777777" w:rsidR="00EE7EB3" w:rsidRPr="00035332" w:rsidRDefault="00EE7EB3" w:rsidP="00F233D4">
            <w:pPr>
              <w:jc w:val="center"/>
              <w:rPr>
                <w:rFonts w:ascii="Cambria" w:hAnsi="Cambria" w:cs="Times New Roman"/>
                <w:color w:val="3B3838" w:themeColor="background2" w:themeShade="40"/>
                <w:sz w:val="20"/>
                <w:szCs w:val="20"/>
              </w:rPr>
            </w:pPr>
            <w:r>
              <w:rPr>
                <w:rFonts w:ascii="Cambria" w:hAnsi="Cambria" w:cs="Times New Roman"/>
                <w:color w:val="3B3838" w:themeColor="background2" w:themeShade="40"/>
                <w:sz w:val="20"/>
                <w:szCs w:val="20"/>
              </w:rPr>
              <w:t>NA</w:t>
            </w: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339C6F3F" w14:textId="77777777" w:rsidR="00EE7EB3" w:rsidRPr="0046041D" w:rsidRDefault="00EE7EB3" w:rsidP="00F233D4">
            <w:pPr>
              <w:jc w:val="center"/>
              <w:rPr>
                <w:rFonts w:ascii="Cambria" w:hAnsi="Cambria" w:cs="Times New Roman"/>
                <w:b w:val="0"/>
                <w:bCs w:val="0"/>
                <w:color w:val="000000"/>
                <w:sz w:val="20"/>
                <w:szCs w:val="20"/>
              </w:rPr>
            </w:pPr>
            <w:r w:rsidRPr="0046041D">
              <w:rPr>
                <w:rFonts w:ascii="Cambria" w:hAnsi="Cambria" w:cs="Times New Roman"/>
                <w:b w:val="0"/>
                <w:bCs w:val="0"/>
                <w:color w:val="000000"/>
                <w:sz w:val="20"/>
                <w:szCs w:val="20"/>
              </w:rPr>
              <w:t>NA</w:t>
            </w:r>
          </w:p>
        </w:tc>
      </w:tr>
      <w:tr w:rsidR="00EE7EB3" w:rsidRPr="00035332" w14:paraId="30C255BE" w14:textId="77777777" w:rsidTr="00F233D4">
        <w:trPr>
          <w:gridAfter w:val="1"/>
          <w:wAfter w:w="14" w:type="dxa"/>
          <w:trHeight w:val="227"/>
        </w:trPr>
        <w:tc>
          <w:tcPr>
            <w:tcW w:w="1980" w:type="dxa"/>
            <w:vAlign w:val="center"/>
          </w:tcPr>
          <w:p w14:paraId="167994F1"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1</w:t>
            </w:r>
          </w:p>
        </w:tc>
        <w:tc>
          <w:tcPr>
            <w:tcW w:w="1757" w:type="dxa"/>
            <w:vAlign w:val="center"/>
          </w:tcPr>
          <w:p w14:paraId="5153AB6E" w14:textId="77777777" w:rsidR="00EE7EB3" w:rsidRPr="00035332" w:rsidRDefault="00EE7EB3" w:rsidP="00F233D4">
            <w:pPr>
              <w:jc w:val="center"/>
              <w:rPr>
                <w:rFonts w:ascii="Cambria" w:hAnsi="Cambria" w:cs="Times New Roman"/>
                <w:color w:val="3B3838"/>
                <w:sz w:val="20"/>
                <w:szCs w:val="20"/>
              </w:rPr>
            </w:pPr>
            <w:r w:rsidRPr="00035332">
              <w:rPr>
                <w:rFonts w:ascii="Cambria" w:hAnsi="Cambria" w:cs="Times New Roman"/>
                <w:color w:val="3B3838"/>
                <w:sz w:val="20"/>
                <w:szCs w:val="20"/>
              </w:rPr>
              <w:t>19</w:t>
            </w:r>
          </w:p>
        </w:tc>
        <w:tc>
          <w:tcPr>
            <w:tcW w:w="1757" w:type="dxa"/>
            <w:vAlign w:val="center"/>
          </w:tcPr>
          <w:p w14:paraId="11E4788D"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1</w:t>
            </w:r>
          </w:p>
        </w:tc>
        <w:tc>
          <w:tcPr>
            <w:tcW w:w="1757" w:type="dxa"/>
            <w:vAlign w:val="center"/>
          </w:tcPr>
          <w:p w14:paraId="04F167AF"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3C23495D"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5482048B" w14:textId="77777777" w:rsidTr="00F233D4">
        <w:trPr>
          <w:gridAfter w:val="1"/>
          <w:wAfter w:w="14" w:type="dxa"/>
          <w:trHeight w:val="227"/>
        </w:trPr>
        <w:tc>
          <w:tcPr>
            <w:tcW w:w="1980" w:type="dxa"/>
            <w:vAlign w:val="center"/>
          </w:tcPr>
          <w:p w14:paraId="2A603583"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2</w:t>
            </w:r>
          </w:p>
        </w:tc>
        <w:tc>
          <w:tcPr>
            <w:tcW w:w="1757" w:type="dxa"/>
            <w:vAlign w:val="center"/>
          </w:tcPr>
          <w:p w14:paraId="47F1B41D"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1E9787FE"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2</w:t>
            </w:r>
          </w:p>
        </w:tc>
        <w:tc>
          <w:tcPr>
            <w:tcW w:w="1757" w:type="dxa"/>
            <w:vAlign w:val="center"/>
          </w:tcPr>
          <w:p w14:paraId="3648CB61"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21AF133E"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58B26645" w14:textId="77777777" w:rsidTr="00F233D4">
        <w:trPr>
          <w:gridAfter w:val="1"/>
          <w:wAfter w:w="14" w:type="dxa"/>
          <w:trHeight w:val="227"/>
        </w:trPr>
        <w:tc>
          <w:tcPr>
            <w:tcW w:w="1980" w:type="dxa"/>
            <w:vAlign w:val="center"/>
          </w:tcPr>
          <w:p w14:paraId="1AF52C3A"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3</w:t>
            </w:r>
          </w:p>
        </w:tc>
        <w:tc>
          <w:tcPr>
            <w:tcW w:w="1757" w:type="dxa"/>
            <w:vAlign w:val="center"/>
          </w:tcPr>
          <w:p w14:paraId="4AAE7DD8"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231E99F8"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6</w:t>
            </w:r>
          </w:p>
        </w:tc>
        <w:tc>
          <w:tcPr>
            <w:tcW w:w="1757" w:type="dxa"/>
            <w:vAlign w:val="center"/>
          </w:tcPr>
          <w:p w14:paraId="6805720B"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33F4FD9E" w14:textId="77777777" w:rsidR="00EE7EB3" w:rsidRPr="0046041D" w:rsidRDefault="00EE7EB3" w:rsidP="00F233D4">
            <w:pPr>
              <w:jc w:val="center"/>
              <w:rPr>
                <w:rFonts w:ascii="Cambria" w:hAnsi="Cambria" w:cs="Times New Roman"/>
                <w:b w:val="0"/>
                <w:bCs w:val="0"/>
                <w:color w:val="000000"/>
                <w:sz w:val="20"/>
                <w:szCs w:val="20"/>
              </w:rPr>
            </w:pPr>
          </w:p>
        </w:tc>
      </w:tr>
      <w:tr w:rsidR="00EE7EB3" w:rsidRPr="00035332" w14:paraId="4A5AB9A9" w14:textId="77777777" w:rsidTr="00F233D4">
        <w:trPr>
          <w:gridAfter w:val="1"/>
          <w:wAfter w:w="14" w:type="dxa"/>
          <w:trHeight w:val="227"/>
        </w:trPr>
        <w:tc>
          <w:tcPr>
            <w:tcW w:w="1980" w:type="dxa"/>
            <w:vAlign w:val="center"/>
          </w:tcPr>
          <w:p w14:paraId="4F0A5708"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4</w:t>
            </w:r>
          </w:p>
        </w:tc>
        <w:tc>
          <w:tcPr>
            <w:tcW w:w="1757" w:type="dxa"/>
            <w:vAlign w:val="center"/>
          </w:tcPr>
          <w:p w14:paraId="5AB9B24F"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20FA69D3"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5</w:t>
            </w:r>
          </w:p>
        </w:tc>
        <w:tc>
          <w:tcPr>
            <w:tcW w:w="1757" w:type="dxa"/>
            <w:vAlign w:val="center"/>
          </w:tcPr>
          <w:p w14:paraId="41BA976C"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2E4FE6EC" w14:textId="77777777" w:rsidR="00EE7EB3" w:rsidRPr="00035332" w:rsidRDefault="00EE7EB3" w:rsidP="00F233D4">
            <w:pPr>
              <w:jc w:val="center"/>
              <w:rPr>
                <w:rFonts w:ascii="Cambria" w:hAnsi="Cambria" w:cs="Times New Roman"/>
                <w:color w:val="000000"/>
                <w:sz w:val="20"/>
                <w:szCs w:val="20"/>
              </w:rPr>
            </w:pPr>
          </w:p>
        </w:tc>
      </w:tr>
      <w:tr w:rsidR="00EE7EB3" w:rsidRPr="00035332" w14:paraId="06B36B1F" w14:textId="77777777" w:rsidTr="00F233D4">
        <w:trPr>
          <w:gridAfter w:val="1"/>
          <w:wAfter w:w="14" w:type="dxa"/>
          <w:trHeight w:val="227"/>
        </w:trPr>
        <w:tc>
          <w:tcPr>
            <w:tcW w:w="1980" w:type="dxa"/>
            <w:vAlign w:val="center"/>
          </w:tcPr>
          <w:p w14:paraId="15915EA4"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5</w:t>
            </w:r>
          </w:p>
        </w:tc>
        <w:tc>
          <w:tcPr>
            <w:tcW w:w="1757" w:type="dxa"/>
            <w:vAlign w:val="center"/>
          </w:tcPr>
          <w:p w14:paraId="04E86FAE" w14:textId="77777777" w:rsidR="00EE7EB3" w:rsidRPr="00035332" w:rsidRDefault="00EE7EB3" w:rsidP="00F233D4">
            <w:pPr>
              <w:jc w:val="center"/>
              <w:rPr>
                <w:rFonts w:ascii="Cambria" w:hAnsi="Cambria" w:cs="Times New Roman"/>
                <w:color w:val="3B3838"/>
                <w:sz w:val="20"/>
                <w:szCs w:val="20"/>
              </w:rPr>
            </w:pPr>
          </w:p>
        </w:tc>
        <w:tc>
          <w:tcPr>
            <w:tcW w:w="1757" w:type="dxa"/>
            <w:vAlign w:val="center"/>
          </w:tcPr>
          <w:p w14:paraId="64111F3B" w14:textId="77777777" w:rsidR="00EE7EB3" w:rsidRPr="00035332" w:rsidRDefault="00EE7EB3" w:rsidP="00F233D4">
            <w:pPr>
              <w:jc w:val="center"/>
              <w:rPr>
                <w:rFonts w:ascii="Cambria" w:hAnsi="Cambria" w:cs="Times New Roman"/>
                <w:color w:val="000000"/>
                <w:sz w:val="20"/>
                <w:szCs w:val="20"/>
              </w:rPr>
            </w:pPr>
            <w:r w:rsidRPr="00035332">
              <w:rPr>
                <w:rFonts w:ascii="Cambria" w:hAnsi="Cambria" w:cs="Times New Roman"/>
                <w:color w:val="000000"/>
                <w:sz w:val="20"/>
                <w:szCs w:val="20"/>
              </w:rPr>
              <w:t>5</w:t>
            </w:r>
          </w:p>
        </w:tc>
        <w:tc>
          <w:tcPr>
            <w:tcW w:w="1757" w:type="dxa"/>
            <w:vAlign w:val="center"/>
          </w:tcPr>
          <w:p w14:paraId="7FE7FD09" w14:textId="77777777" w:rsidR="00EE7EB3" w:rsidRPr="00035332" w:rsidRDefault="00EE7EB3" w:rsidP="00F233D4">
            <w:pPr>
              <w:jc w:val="center"/>
              <w:rPr>
                <w:rFonts w:ascii="Cambria" w:hAnsi="Cambria" w:cs="Times New Roman"/>
                <w:color w:val="3B3838" w:themeColor="background2" w:themeShade="40"/>
                <w:sz w:val="20"/>
                <w:szCs w:val="20"/>
              </w:rPr>
            </w:pPr>
          </w:p>
        </w:tc>
        <w:tc>
          <w:tcPr>
            <w:cnfStyle w:val="000100000000" w:firstRow="0" w:lastRow="0" w:firstColumn="0" w:lastColumn="1" w:oddVBand="0" w:evenVBand="0" w:oddHBand="0" w:evenHBand="0" w:firstRowFirstColumn="0" w:firstRowLastColumn="0" w:lastRowFirstColumn="0" w:lastRowLastColumn="0"/>
            <w:tcW w:w="1757" w:type="dxa"/>
            <w:vAlign w:val="center"/>
          </w:tcPr>
          <w:p w14:paraId="01E343F9" w14:textId="77777777" w:rsidR="00EE7EB3" w:rsidRPr="00035332" w:rsidRDefault="00EE7EB3" w:rsidP="00F233D4">
            <w:pPr>
              <w:jc w:val="center"/>
              <w:rPr>
                <w:rFonts w:ascii="Cambria" w:hAnsi="Cambria" w:cs="Times New Roman"/>
                <w:color w:val="000000"/>
                <w:sz w:val="20"/>
                <w:szCs w:val="20"/>
              </w:rPr>
            </w:pPr>
          </w:p>
        </w:tc>
      </w:tr>
      <w:tr w:rsidR="00EE7EB3" w:rsidRPr="00035332" w14:paraId="4815F7B4" w14:textId="77777777" w:rsidTr="00F233D4">
        <w:trPr>
          <w:gridAfter w:val="1"/>
          <w:wAfter w:w="14" w:type="dxa"/>
          <w:trHeight w:val="227"/>
        </w:trPr>
        <w:tc>
          <w:tcPr>
            <w:cnfStyle w:val="000100000000" w:firstRow="0" w:lastRow="0" w:firstColumn="0" w:lastColumn="1" w:oddVBand="0" w:evenVBand="0" w:oddHBand="0" w:evenHBand="0" w:firstRowFirstColumn="0" w:firstRowLastColumn="0" w:lastRowFirstColumn="0" w:lastRowLastColumn="0"/>
            <w:tcW w:w="9008" w:type="dxa"/>
            <w:gridSpan w:val="5"/>
            <w:vAlign w:val="center"/>
          </w:tcPr>
          <w:p w14:paraId="2C213891" w14:textId="77777777" w:rsidR="00EE7EB3" w:rsidRPr="0046041D" w:rsidRDefault="00EE7EB3" w:rsidP="00F233D4">
            <w:pPr>
              <w:rPr>
                <w:color w:val="000000"/>
                <w:sz w:val="10"/>
                <w:szCs w:val="10"/>
              </w:rPr>
            </w:pPr>
          </w:p>
          <w:p w14:paraId="1183D4E8" w14:textId="77777777" w:rsidR="00EE7EB3" w:rsidRDefault="00EE7EB3" w:rsidP="00F233D4">
            <w:pPr>
              <w:rPr>
                <w:color w:val="000000"/>
                <w:sz w:val="20"/>
                <w:szCs w:val="20"/>
              </w:rPr>
            </w:pPr>
            <w:r>
              <w:rPr>
                <w:b w:val="0"/>
                <w:bCs w:val="0"/>
                <w:color w:val="000000"/>
                <w:sz w:val="20"/>
                <w:szCs w:val="20"/>
              </w:rPr>
              <w:t xml:space="preserve">Abbreviation: </w:t>
            </w:r>
            <w:r w:rsidRPr="0046041D">
              <w:rPr>
                <w:b w:val="0"/>
                <w:bCs w:val="0"/>
                <w:color w:val="000000"/>
                <w:sz w:val="20"/>
                <w:szCs w:val="20"/>
              </w:rPr>
              <w:t>NA, not applicable</w:t>
            </w:r>
          </w:p>
          <w:p w14:paraId="098B8264" w14:textId="77777777" w:rsidR="00EE7EB3" w:rsidRPr="0046041D" w:rsidRDefault="00EE7EB3" w:rsidP="00F233D4">
            <w:pPr>
              <w:rPr>
                <w:b w:val="0"/>
                <w:bCs w:val="0"/>
                <w:color w:val="000000"/>
                <w:sz w:val="6"/>
                <w:szCs w:val="6"/>
              </w:rPr>
            </w:pPr>
          </w:p>
        </w:tc>
      </w:tr>
    </w:tbl>
    <w:p w14:paraId="0DCC8D85" w14:textId="77777777" w:rsidR="00EE7EB3" w:rsidRPr="00C83EDC" w:rsidRDefault="00EE7EB3" w:rsidP="00EE7EB3">
      <w:pPr>
        <w:pStyle w:val="Nadpis3"/>
        <w:rPr>
          <w:lang w:val="en-GB"/>
        </w:rPr>
      </w:pPr>
      <w:r w:rsidRPr="00C83EDC">
        <w:rPr>
          <w:lang w:val="en-GB"/>
        </w:rPr>
        <w:t>RNA isolation</w:t>
      </w:r>
    </w:p>
    <w:p w14:paraId="7B5DF04B" w14:textId="0D6800CD" w:rsidR="00EE7EB3" w:rsidRPr="00C83EDC" w:rsidRDefault="00EE7EB3" w:rsidP="00EE7EB3">
      <w:pPr>
        <w:pStyle w:val="Odstavec1"/>
        <w:rPr>
          <w:lang w:val="en-GB"/>
        </w:rPr>
      </w:pPr>
      <w:r w:rsidRPr="00C83EDC">
        <w:rPr>
          <w:lang w:val="en-GB"/>
        </w:rPr>
        <w:t>A volume of 10 ml of first morning urine after</w:t>
      </w:r>
      <w:r>
        <w:rPr>
          <w:lang w:val="en-GB"/>
        </w:rPr>
        <w:t xml:space="preserve"> a prostate</w:t>
      </w:r>
      <w:r w:rsidRPr="00C83EDC">
        <w:rPr>
          <w:lang w:val="en-GB"/>
        </w:rPr>
        <w:t xml:space="preserve"> massage was collected into a tube containing 186 mg of EDTA. The sample was spun at 4 °C at 2000 g for 15 minutes and the collected sediment and supernatant aliquots were stored at −80 °C. For RNA isolation, Urine microRNA Purification Kit was used (</w:t>
      </w:r>
      <w:proofErr w:type="spellStart"/>
      <w:r w:rsidRPr="00C83EDC">
        <w:rPr>
          <w:lang w:val="en-GB"/>
        </w:rPr>
        <w:t>Norgen</w:t>
      </w:r>
      <w:proofErr w:type="spellEnd"/>
      <w:r w:rsidRPr="00C83EDC">
        <w:rPr>
          <w:lang w:val="en-GB"/>
        </w:rPr>
        <w:t xml:space="preserve">, </w:t>
      </w:r>
      <w:proofErr w:type="spellStart"/>
      <w:r w:rsidRPr="00C83EDC">
        <w:rPr>
          <w:lang w:val="en-GB"/>
        </w:rPr>
        <w:t>Biotek</w:t>
      </w:r>
      <w:proofErr w:type="spellEnd"/>
      <w:r w:rsidRPr="00C83EDC">
        <w:rPr>
          <w:lang w:val="en-GB"/>
        </w:rPr>
        <w:t xml:space="preserve"> Corp, Ontario, Canada). First, 2 ml supernatant aliquot was centrifuged at 4 °C at 11,400 rpm for 15 minutes and the supernatant was </w:t>
      </w:r>
      <w:r w:rsidRPr="00C83EDC">
        <w:rPr>
          <w:lang w:val="en-GB"/>
        </w:rPr>
        <w:lastRenderedPageBreak/>
        <w:t xml:space="preserve">transferred </w:t>
      </w:r>
      <w:r>
        <w:rPr>
          <w:lang w:val="en-GB"/>
        </w:rPr>
        <w:t>to</w:t>
      </w:r>
      <w:r w:rsidRPr="00C83EDC">
        <w:rPr>
          <w:lang w:val="en-GB"/>
        </w:rPr>
        <w:t xml:space="preserve"> a 15 ml conical tube. After pipetting 30 µl of β-mercaptoethanol (Sigma-Aldrich, St. Louise, MO, USA) to 3 ml of Lysis Buffer A, the lysis buffer was transferred to the tube containing the urine supernatant and the sample was vortexed for 30 seconds. Next, 3</w:t>
      </w:r>
      <w:r>
        <w:rPr>
          <w:lang w:val="en-GB"/>
        </w:rPr>
        <w:t> </w:t>
      </w:r>
      <w:r w:rsidRPr="00C83EDC">
        <w:rPr>
          <w:lang w:val="en-GB"/>
        </w:rPr>
        <w:t xml:space="preserve">ml of 96% ethanol was added to the lysate and the contents were mixed by 30-second vortexing. </w:t>
      </w:r>
      <w:r w:rsidR="00155472">
        <w:rPr>
          <w:lang w:val="en-GB"/>
        </w:rPr>
        <w:br/>
      </w:r>
      <w:r w:rsidRPr="00C83EDC">
        <w:rPr>
          <w:lang w:val="en-GB"/>
        </w:rPr>
        <w:t xml:space="preserve">A spin column provided by the manufacturer was attached to </w:t>
      </w:r>
      <w:proofErr w:type="spellStart"/>
      <w:r w:rsidRPr="00C83EDC">
        <w:rPr>
          <w:lang w:val="en-GB"/>
        </w:rPr>
        <w:t>QIAvac</w:t>
      </w:r>
      <w:proofErr w:type="spellEnd"/>
      <w:r w:rsidRPr="00C83EDC">
        <w:rPr>
          <w:lang w:val="en-GB"/>
        </w:rPr>
        <w:t xml:space="preserve"> 24 Plus Vacuum Manifold (Qiagen, Hilden, Germany) and 650 µl of the lysed sample was loaded onto the column. After vacuum processing the entire lysate, 400 µl of Wash Solution A was applied to the column and processed. The washing step was repeated twice. Then the column was assembled with one of the provided collection tubes and centrifuged empty for 2 minutes at 14,000 rpm. Next, the column was placed into a fresh 1.7 ml Elution tube provided with the kit. RNA elution was performed by adding 30 µl of Elution Solution A to the column and 20-minute incubation at room temperature. Then the column was spun for 2 minutes at 2,000 rpm, followed by additional 2 minutes at 14,000 rpm. RNA concentration and purity were measured using </w:t>
      </w:r>
      <w:proofErr w:type="spellStart"/>
      <w:r w:rsidRPr="00C83EDC">
        <w:rPr>
          <w:lang w:val="en-GB"/>
        </w:rPr>
        <w:t>NanoDrop</w:t>
      </w:r>
      <w:proofErr w:type="spellEnd"/>
      <w:r w:rsidRPr="00C83EDC">
        <w:rPr>
          <w:lang w:val="en-GB"/>
        </w:rPr>
        <w:t xml:space="preserve"> 2000 spectrophotometer (Thermo Fisher Scientific, Wilmington, DE, USA), and the RNA sample was stored at −80 °C. </w:t>
      </w:r>
    </w:p>
    <w:p w14:paraId="5DD86A4D" w14:textId="77777777" w:rsidR="00EE7EB3" w:rsidRPr="00C83EDC" w:rsidRDefault="00EE7EB3" w:rsidP="00EE7EB3">
      <w:pPr>
        <w:pStyle w:val="Nadpis3"/>
        <w:rPr>
          <w:lang w:val="en-GB"/>
        </w:rPr>
      </w:pPr>
      <w:r w:rsidRPr="00C83EDC">
        <w:rPr>
          <w:lang w:val="en-GB"/>
        </w:rPr>
        <w:t xml:space="preserve"> Next-generation sequencing library preparation</w:t>
      </w:r>
    </w:p>
    <w:p w14:paraId="5272EBF4" w14:textId="77777777" w:rsidR="00EE7EB3" w:rsidRPr="00C83EDC" w:rsidRDefault="00EE7EB3" w:rsidP="00EE7EB3">
      <w:pPr>
        <w:pStyle w:val="Odstavec1"/>
        <w:rPr>
          <w:lang w:val="en-GB"/>
        </w:rPr>
      </w:pPr>
      <w:r w:rsidRPr="00C83EDC">
        <w:rPr>
          <w:lang w:val="en-GB"/>
        </w:rPr>
        <w:t xml:space="preserve">Sequencing libraries were prepared using </w:t>
      </w:r>
      <w:r>
        <w:rPr>
          <w:lang w:val="en-GB"/>
        </w:rPr>
        <w:t xml:space="preserve">a </w:t>
      </w:r>
      <w:r w:rsidRPr="00C83EDC">
        <w:rPr>
          <w:lang w:val="en-GB"/>
        </w:rPr>
        <w:t xml:space="preserve">QIAseq™ miRNA Library Kit (Qiagen, Hilden, Germany) and QIAseq™ miRNA NGS 96 Index IL (Qiagen, Hilden, Germany). </w:t>
      </w:r>
      <w:r>
        <w:rPr>
          <w:lang w:val="en-GB"/>
        </w:rPr>
        <w:t xml:space="preserve">A </w:t>
      </w:r>
      <w:proofErr w:type="spellStart"/>
      <w:r w:rsidRPr="00C83EDC">
        <w:rPr>
          <w:lang w:val="en-GB"/>
        </w:rPr>
        <w:t>ProFlex</w:t>
      </w:r>
      <w:proofErr w:type="spellEnd"/>
      <w:r w:rsidRPr="00C83EDC">
        <w:rPr>
          <w:lang w:val="en-GB"/>
        </w:rPr>
        <w:t xml:space="preserve"> PCR System (</w:t>
      </w:r>
      <w:proofErr w:type="spellStart"/>
      <w:r w:rsidRPr="00C83EDC">
        <w:rPr>
          <w:lang w:val="en-GB"/>
        </w:rPr>
        <w:t>ThermoFisher</w:t>
      </w:r>
      <w:proofErr w:type="spellEnd"/>
      <w:r w:rsidRPr="00C83EDC">
        <w:rPr>
          <w:lang w:val="en-GB"/>
        </w:rPr>
        <w:t xml:space="preserve"> Scientific Inc., DE, USA) was used for the following reactions.</w:t>
      </w:r>
    </w:p>
    <w:p w14:paraId="1DD2E3A2" w14:textId="77777777" w:rsidR="00EE7EB3" w:rsidRPr="00C83EDC" w:rsidRDefault="00EE7EB3" w:rsidP="00F233D4">
      <w:pPr>
        <w:pStyle w:val="Styl2ff"/>
      </w:pPr>
      <w:r w:rsidRPr="00C83EDC">
        <w:t>3’ ligation</w:t>
      </w:r>
    </w:p>
    <w:p w14:paraId="3E737839" w14:textId="77777777" w:rsidR="00EE7EB3" w:rsidRDefault="00EE7EB3" w:rsidP="00EE7EB3">
      <w:pPr>
        <w:pStyle w:val="Odstavec1"/>
        <w:rPr>
          <w:lang w:val="en-GB"/>
        </w:rPr>
      </w:pPr>
      <w:r w:rsidRPr="00C83EDC">
        <w:rPr>
          <w:lang w:val="en-GB"/>
        </w:rPr>
        <w:t xml:space="preserve">The 3’ ligation reaction was set up on ice and the components were added according to </w:t>
      </w:r>
      <w:r>
        <w:rPr>
          <w:lang w:val="en-GB"/>
        </w:rPr>
        <w:br/>
      </w:r>
      <w:r w:rsidRPr="00EF3D19">
        <w:rPr>
          <w:lang w:val="en-GB"/>
        </w:rPr>
        <w:t xml:space="preserve">Table </w:t>
      </w:r>
      <w:r>
        <w:rPr>
          <w:lang w:val="en-GB"/>
        </w:rPr>
        <w:t>XII</w:t>
      </w:r>
      <w:r w:rsidRPr="00C83EDC">
        <w:rPr>
          <w:lang w:val="en-GB"/>
        </w:rPr>
        <w:t xml:space="preserve">. Using nuclease-free water QIAseq miRNA NGS 3’ Adapter was diluted </w:t>
      </w:r>
      <w:r>
        <w:rPr>
          <w:lang w:val="en-GB"/>
        </w:rPr>
        <w:t xml:space="preserve">10-fold </w:t>
      </w:r>
      <w:r w:rsidRPr="00C83EDC">
        <w:rPr>
          <w:lang w:val="en-GB"/>
        </w:rPr>
        <w:t>and the starting volume of undiluted template RNA was 5 µl. The reaction mix was incubated at 28 °C for 60 minutes followed by 20 minutes at 65 °C. The ligation reaction was left at 4 °C for</w:t>
      </w:r>
      <w:r>
        <w:rPr>
          <w:lang w:val="en-GB"/>
        </w:rPr>
        <w:t xml:space="preserve"> a</w:t>
      </w:r>
      <w:r w:rsidRPr="00C83EDC">
        <w:rPr>
          <w:lang w:val="en-GB"/>
        </w:rPr>
        <w:t xml:space="preserve"> further 5 minutes. </w:t>
      </w:r>
    </w:p>
    <w:p w14:paraId="6ED7E949" w14:textId="7F186BC6" w:rsidR="00EE7EB3" w:rsidRDefault="00EE7EB3" w:rsidP="00EE7EB3">
      <w:pPr>
        <w:pStyle w:val="Dalodstavce"/>
        <w:rPr>
          <w:lang w:val="en-GB"/>
        </w:rPr>
      </w:pPr>
    </w:p>
    <w:p w14:paraId="66EB783F" w14:textId="7621991D" w:rsidR="00F233D4" w:rsidRDefault="00F233D4" w:rsidP="00EE7EB3">
      <w:pPr>
        <w:pStyle w:val="Dalodstavce"/>
        <w:rPr>
          <w:lang w:val="en-GB"/>
        </w:rPr>
      </w:pPr>
    </w:p>
    <w:p w14:paraId="01FBE68C" w14:textId="77777777" w:rsidR="00F233D4" w:rsidRDefault="00F233D4" w:rsidP="00EE7EB3">
      <w:pPr>
        <w:pStyle w:val="Dalodstavce"/>
        <w:rPr>
          <w:lang w:val="en-GB"/>
        </w:rPr>
      </w:pPr>
    </w:p>
    <w:p w14:paraId="6C1D99C4" w14:textId="77777777" w:rsidR="00EE7EB3" w:rsidRPr="00743A6C" w:rsidRDefault="00EE7EB3" w:rsidP="00EE7EB3">
      <w:pPr>
        <w:pStyle w:val="Dalodstavce"/>
        <w:rPr>
          <w:lang w:val="en-GB"/>
        </w:rPr>
      </w:pPr>
    </w:p>
    <w:p w14:paraId="46A0E4F8" w14:textId="533D3496" w:rsidR="00EE7EB3" w:rsidRPr="00DF41F6" w:rsidRDefault="00EE7EB3" w:rsidP="00EE7EB3">
      <w:pPr>
        <w:pStyle w:val="Titulektabulky"/>
        <w:jc w:val="left"/>
        <w:rPr>
          <w:lang w:val="en-GB"/>
        </w:rPr>
      </w:pPr>
      <w:bookmarkStart w:id="67" w:name="_Toc47541145"/>
      <w:r w:rsidRPr="00DF41F6">
        <w:rPr>
          <w:lang w:val="en-GB"/>
        </w:rPr>
        <w:lastRenderedPageBreak/>
        <w:t xml:space="preserve">Table </w:t>
      </w:r>
      <w:r w:rsidRPr="00DF41F6">
        <w:rPr>
          <w:noProof/>
          <w:lang w:val="en-GB"/>
        </w:rPr>
        <w:fldChar w:fldCharType="begin"/>
      </w:r>
      <w:r w:rsidRPr="00DF41F6">
        <w:rPr>
          <w:noProof/>
          <w:lang w:val="en-GB"/>
        </w:rPr>
        <w:instrText xml:space="preserve"> SEQ Tab. \* ARABIC \* ROMAN </w:instrText>
      </w:r>
      <w:r w:rsidRPr="00DF41F6">
        <w:rPr>
          <w:noProof/>
          <w:lang w:val="en-GB"/>
        </w:rPr>
        <w:fldChar w:fldCharType="separate"/>
      </w:r>
      <w:r w:rsidR="0048503A">
        <w:rPr>
          <w:noProof/>
          <w:lang w:val="en-GB"/>
        </w:rPr>
        <w:t>XII</w:t>
      </w:r>
      <w:r w:rsidRPr="00DF41F6">
        <w:rPr>
          <w:noProof/>
          <w:lang w:val="en-GB"/>
        </w:rPr>
        <w:fldChar w:fldCharType="end"/>
      </w:r>
      <w:r w:rsidRPr="00DF41F6">
        <w:rPr>
          <w:noProof/>
          <w:lang w:val="en-GB"/>
        </w:rPr>
        <w:t>.</w:t>
      </w:r>
      <w:r w:rsidRPr="00DF41F6">
        <w:rPr>
          <w:lang w:val="en-GB"/>
        </w:rPr>
        <w:t xml:space="preserve"> </w:t>
      </w:r>
      <w:r w:rsidRPr="00DF41F6">
        <w:rPr>
          <w:b w:val="0"/>
          <w:bCs w:val="0"/>
          <w:color w:val="000000" w:themeColor="text1"/>
          <w:lang w:val="en-GB"/>
        </w:rPr>
        <w:t>Setup of 3’reaction.</w:t>
      </w:r>
      <w:bookmarkEnd w:id="67"/>
      <w:r w:rsidRPr="00DF41F6">
        <w:rPr>
          <w:color w:val="000000" w:themeColor="text1"/>
          <w:lang w:val="en-GB"/>
        </w:rPr>
        <w:t xml:space="preserve"> </w:t>
      </w:r>
    </w:p>
    <w:tbl>
      <w:tblPr>
        <w:tblStyle w:val="Tabulkasmkou4zvraznn31"/>
        <w:tblW w:w="0" w:type="auto"/>
        <w:tblLook w:val="04E0" w:firstRow="1" w:lastRow="1" w:firstColumn="1" w:lastColumn="0" w:noHBand="0" w:noVBand="1"/>
      </w:tblPr>
      <w:tblGrid>
        <w:gridCol w:w="5807"/>
        <w:gridCol w:w="3209"/>
      </w:tblGrid>
      <w:tr w:rsidR="00EE7EB3" w:rsidRPr="002D4B38" w14:paraId="0ED921C1"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shd w:val="clear" w:color="auto" w:fill="FFFFFF" w:themeFill="background1"/>
          </w:tcPr>
          <w:p w14:paraId="257CE62C" w14:textId="77777777" w:rsidR="00EE7EB3" w:rsidRPr="002D4B38" w:rsidRDefault="00EE7EB3" w:rsidP="00F233D4">
            <w:pPr>
              <w:rPr>
                <w:rFonts w:ascii="Cambria" w:hAnsi="Cambria" w:cs="Times New Roman"/>
                <w:color w:val="3B3838" w:themeColor="background2" w:themeShade="40"/>
                <w:sz w:val="20"/>
                <w:szCs w:val="20"/>
                <w:lang w:eastAsia="sk-SK"/>
              </w:rPr>
            </w:pPr>
            <w:bookmarkStart w:id="68" w:name="_Hlk35799723"/>
            <w:r w:rsidRPr="002D4B38">
              <w:rPr>
                <w:rFonts w:ascii="Cambria" w:hAnsi="Cambria" w:cs="Times New Roman"/>
                <w:color w:val="3B3838" w:themeColor="background2" w:themeShade="40"/>
                <w:sz w:val="20"/>
                <w:szCs w:val="20"/>
                <w:lang w:eastAsia="sk-SK"/>
              </w:rPr>
              <w:t>Component</w:t>
            </w:r>
          </w:p>
        </w:tc>
        <w:tc>
          <w:tcPr>
            <w:tcW w:w="3209" w:type="dxa"/>
            <w:shd w:val="clear" w:color="auto" w:fill="FFFFFF" w:themeFill="background1"/>
          </w:tcPr>
          <w:p w14:paraId="4396E4ED" w14:textId="77777777" w:rsidR="00EE7EB3" w:rsidRPr="002D4B38"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Volume/reaction</w:t>
            </w:r>
          </w:p>
        </w:tc>
      </w:tr>
      <w:tr w:rsidR="00EE7EB3" w:rsidRPr="002D4B38" w14:paraId="6FDB097D"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3AF0B1CB"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cs="Times New Roman"/>
                <w:b w:val="0"/>
                <w:bCs w:val="0"/>
                <w:color w:val="3B3838" w:themeColor="background2" w:themeShade="40"/>
                <w:sz w:val="20"/>
                <w:szCs w:val="20"/>
                <w:lang w:eastAsia="sk-SK"/>
              </w:rPr>
              <w:t>Diluted QIAseq miRNA NGS 3’ Adapter</w:t>
            </w:r>
          </w:p>
        </w:tc>
        <w:tc>
          <w:tcPr>
            <w:tcW w:w="3209" w:type="dxa"/>
          </w:tcPr>
          <w:p w14:paraId="3EE199EE"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1 µl</w:t>
            </w:r>
          </w:p>
        </w:tc>
      </w:tr>
      <w:tr w:rsidR="00EE7EB3" w:rsidRPr="002D4B38" w14:paraId="6FCCA730"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4107EBEF"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cs="Times New Roman"/>
                <w:b w:val="0"/>
                <w:bCs w:val="0"/>
                <w:color w:val="3B3838" w:themeColor="background2" w:themeShade="40"/>
                <w:sz w:val="20"/>
                <w:szCs w:val="20"/>
                <w:lang w:eastAsia="sk-SK"/>
              </w:rPr>
              <w:t>QIAseq miRNA NGS RI</w:t>
            </w:r>
          </w:p>
        </w:tc>
        <w:tc>
          <w:tcPr>
            <w:tcW w:w="3209" w:type="dxa"/>
          </w:tcPr>
          <w:p w14:paraId="67F2FC79"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1 µl</w:t>
            </w:r>
          </w:p>
        </w:tc>
      </w:tr>
      <w:tr w:rsidR="00EE7EB3" w:rsidRPr="002D4B38" w14:paraId="3251676A"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1936D899"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cs="Times New Roman"/>
                <w:b w:val="0"/>
                <w:bCs w:val="0"/>
                <w:color w:val="3B3838" w:themeColor="background2" w:themeShade="40"/>
                <w:sz w:val="20"/>
                <w:szCs w:val="20"/>
                <w:lang w:eastAsia="sk-SK"/>
              </w:rPr>
              <w:t>QIAseq miRNA NGS 3’ Ligase</w:t>
            </w:r>
          </w:p>
        </w:tc>
        <w:tc>
          <w:tcPr>
            <w:tcW w:w="3209" w:type="dxa"/>
          </w:tcPr>
          <w:p w14:paraId="6820184E"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1 µl</w:t>
            </w:r>
          </w:p>
        </w:tc>
      </w:tr>
      <w:tr w:rsidR="00EE7EB3" w:rsidRPr="002D4B38" w14:paraId="5BB56367"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77F929BE"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cs="Times New Roman"/>
                <w:b w:val="0"/>
                <w:bCs w:val="0"/>
                <w:color w:val="3B3838" w:themeColor="background2" w:themeShade="40"/>
                <w:sz w:val="20"/>
                <w:szCs w:val="20"/>
                <w:lang w:eastAsia="sk-SK"/>
              </w:rPr>
              <w:t>QIAseq miRNA NGS 3’ Buffer</w:t>
            </w:r>
          </w:p>
        </w:tc>
        <w:tc>
          <w:tcPr>
            <w:tcW w:w="3209" w:type="dxa"/>
          </w:tcPr>
          <w:p w14:paraId="2CC34EDE"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2 µl</w:t>
            </w:r>
          </w:p>
        </w:tc>
      </w:tr>
      <w:tr w:rsidR="00EE7EB3" w:rsidRPr="002D4B38" w14:paraId="52C9BBCF"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58B34E91"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cs="Times New Roman"/>
                <w:b w:val="0"/>
                <w:bCs w:val="0"/>
                <w:color w:val="3B3838" w:themeColor="background2" w:themeShade="40"/>
                <w:sz w:val="20"/>
                <w:szCs w:val="20"/>
                <w:lang w:eastAsia="sk-SK"/>
              </w:rPr>
              <w:t>2x miRNA Ligation Activator</w:t>
            </w:r>
          </w:p>
        </w:tc>
        <w:tc>
          <w:tcPr>
            <w:tcW w:w="3209" w:type="dxa"/>
          </w:tcPr>
          <w:p w14:paraId="71D9FCF2"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10 µl</w:t>
            </w:r>
          </w:p>
        </w:tc>
      </w:tr>
      <w:tr w:rsidR="00EE7EB3" w:rsidRPr="002D4B38" w14:paraId="11A6D53D"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036E39F" w14:textId="77777777" w:rsidR="00EE7EB3" w:rsidRPr="002D4B38" w:rsidRDefault="00EE7EB3" w:rsidP="00F233D4">
            <w:pPr>
              <w:rPr>
                <w:rFonts w:ascii="Cambria" w:hAnsi="Cambria" w:cs="Times New Roman"/>
                <w:b w:val="0"/>
                <w:bCs w:val="0"/>
                <w:color w:val="3B3838" w:themeColor="background2" w:themeShade="40"/>
                <w:sz w:val="20"/>
                <w:szCs w:val="20"/>
                <w:lang w:eastAsia="sk-SK"/>
              </w:rPr>
            </w:pPr>
            <w:r w:rsidRPr="002D4B38">
              <w:rPr>
                <w:rFonts w:ascii="Cambria" w:hAnsi="Cambria" w:cs="Times New Roman"/>
                <w:b w:val="0"/>
                <w:bCs w:val="0"/>
                <w:color w:val="3B3838" w:themeColor="background2" w:themeShade="40"/>
                <w:sz w:val="20"/>
                <w:szCs w:val="20"/>
                <w:lang w:eastAsia="sk-SK"/>
              </w:rPr>
              <w:t>Template RNA</w:t>
            </w:r>
          </w:p>
        </w:tc>
        <w:tc>
          <w:tcPr>
            <w:tcW w:w="3209" w:type="dxa"/>
          </w:tcPr>
          <w:p w14:paraId="74C7020E"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5 µl</w:t>
            </w:r>
          </w:p>
        </w:tc>
      </w:tr>
      <w:tr w:rsidR="00EE7EB3" w:rsidRPr="002D4B38" w14:paraId="6585BB35" w14:textId="77777777" w:rsidTr="00F233D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484F4C44" w14:textId="77777777" w:rsidR="00EE7EB3" w:rsidRPr="002D4B38" w:rsidRDefault="00EE7EB3" w:rsidP="00F233D4">
            <w:pPr>
              <w:rPr>
                <w:rFonts w:ascii="Cambria" w:hAnsi="Cambria" w:cs="Times New Roman"/>
                <w:color w:val="3B3838" w:themeColor="background2" w:themeShade="40"/>
                <w:sz w:val="20"/>
                <w:szCs w:val="20"/>
                <w:lang w:eastAsia="sk-SK"/>
              </w:rPr>
            </w:pPr>
            <w:r w:rsidRPr="002D4B38">
              <w:rPr>
                <w:rFonts w:ascii="Cambria" w:hAnsi="Cambria" w:cs="Times New Roman"/>
                <w:color w:val="3B3838" w:themeColor="background2" w:themeShade="40"/>
                <w:sz w:val="20"/>
                <w:szCs w:val="20"/>
                <w:lang w:eastAsia="sk-SK"/>
              </w:rPr>
              <w:t>Total volume</w:t>
            </w:r>
          </w:p>
        </w:tc>
        <w:tc>
          <w:tcPr>
            <w:tcW w:w="3209" w:type="dxa"/>
          </w:tcPr>
          <w:p w14:paraId="252DB501" w14:textId="77777777" w:rsidR="00EE7EB3" w:rsidRPr="002D4B38" w:rsidRDefault="00EE7EB3" w:rsidP="00F233D4">
            <w:pPr>
              <w:cnfStyle w:val="010000000000" w:firstRow="0" w:lastRow="1"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20 µl</w:t>
            </w:r>
          </w:p>
        </w:tc>
      </w:tr>
    </w:tbl>
    <w:bookmarkEnd w:id="68"/>
    <w:p w14:paraId="566BC3E8" w14:textId="77777777" w:rsidR="00EE7EB3" w:rsidRPr="00C83EDC" w:rsidRDefault="00EE7EB3" w:rsidP="00F233D4">
      <w:pPr>
        <w:pStyle w:val="Styl2ff"/>
      </w:pPr>
      <w:r w:rsidRPr="00C83EDC">
        <w:t>5’ ligation</w:t>
      </w:r>
    </w:p>
    <w:p w14:paraId="7F478B72" w14:textId="77777777" w:rsidR="00EE7EB3" w:rsidRPr="00C83EDC" w:rsidRDefault="00EE7EB3" w:rsidP="00EE7EB3">
      <w:pPr>
        <w:pStyle w:val="Dalodstavce"/>
        <w:ind w:firstLine="0"/>
        <w:rPr>
          <w:lang w:val="en-GB"/>
        </w:rPr>
      </w:pPr>
      <w:r w:rsidRPr="00C83EDC">
        <w:rPr>
          <w:lang w:val="en-GB"/>
        </w:rPr>
        <w:t xml:space="preserve">The 5’ ligation reaction was prepared on ice and the components listed </w:t>
      </w:r>
      <w:r w:rsidRPr="00EF3D19">
        <w:rPr>
          <w:lang w:val="en-GB"/>
        </w:rPr>
        <w:t xml:space="preserve">in Table </w:t>
      </w:r>
      <w:r>
        <w:rPr>
          <w:lang w:val="en-GB"/>
        </w:rPr>
        <w:t>XIII</w:t>
      </w:r>
      <w:r w:rsidRPr="00C83EDC">
        <w:rPr>
          <w:lang w:val="en-GB"/>
        </w:rPr>
        <w:t xml:space="preserve"> were added to the tube containing the completed 3’ ligation reaction. </w:t>
      </w:r>
      <w:r>
        <w:rPr>
          <w:lang w:val="en-GB"/>
        </w:rPr>
        <w:t xml:space="preserve">A </w:t>
      </w:r>
      <w:r w:rsidRPr="00C83EDC">
        <w:rPr>
          <w:lang w:val="en-GB"/>
        </w:rPr>
        <w:t xml:space="preserve">QIAseq miRNA NGS 5’ Adapter was diluted </w:t>
      </w:r>
      <w:r>
        <w:rPr>
          <w:lang w:val="en-GB"/>
        </w:rPr>
        <w:t>5-fold</w:t>
      </w:r>
      <w:r w:rsidRPr="00C83EDC">
        <w:rPr>
          <w:lang w:val="en-GB"/>
        </w:rPr>
        <w:t xml:space="preserve"> using nuclease-free water. The ligation mix was left to incubate at 28 °C for 30 minutes and then at 65 °C for 20 minutes. After that, it was </w:t>
      </w:r>
      <w:r>
        <w:rPr>
          <w:lang w:val="en-GB"/>
        </w:rPr>
        <w:t>kept</w:t>
      </w:r>
      <w:r w:rsidRPr="00C83EDC">
        <w:rPr>
          <w:lang w:val="en-GB"/>
        </w:rPr>
        <w:t xml:space="preserve"> at 4 °C for 5 minutes. </w:t>
      </w:r>
    </w:p>
    <w:p w14:paraId="76BD9164" w14:textId="4E1BB9A3" w:rsidR="00EE7EB3" w:rsidRPr="00DF41F6" w:rsidRDefault="00EE7EB3" w:rsidP="00EE7EB3">
      <w:pPr>
        <w:pStyle w:val="Titulektabulky"/>
        <w:jc w:val="left"/>
        <w:rPr>
          <w:rFonts w:asciiTheme="minorHAnsi" w:hAnsiTheme="minorHAnsi"/>
          <w:lang w:val="en-GB"/>
        </w:rPr>
      </w:pPr>
      <w:bookmarkStart w:id="69" w:name="_Toc47541146"/>
      <w:r w:rsidRPr="00DF41F6">
        <w:rPr>
          <w:rFonts w:asciiTheme="minorHAnsi" w:hAnsiTheme="minorHAnsi"/>
          <w:lang w:val="en-GB"/>
        </w:rPr>
        <w:t xml:space="preserve">Table </w:t>
      </w:r>
      <w:r w:rsidRPr="00DF41F6">
        <w:rPr>
          <w:rFonts w:asciiTheme="minorHAnsi" w:hAnsiTheme="minorHAnsi"/>
          <w:noProof/>
          <w:lang w:val="en-GB"/>
        </w:rPr>
        <w:fldChar w:fldCharType="begin"/>
      </w:r>
      <w:r w:rsidRPr="00DF41F6">
        <w:rPr>
          <w:rFonts w:asciiTheme="minorHAnsi" w:hAnsiTheme="minorHAnsi"/>
          <w:noProof/>
          <w:lang w:val="en-GB"/>
        </w:rPr>
        <w:instrText xml:space="preserve"> SEQ Tab. \* ARABIC \* ROMAN </w:instrText>
      </w:r>
      <w:r w:rsidRPr="00DF41F6">
        <w:rPr>
          <w:rFonts w:asciiTheme="minorHAnsi" w:hAnsiTheme="minorHAnsi"/>
          <w:noProof/>
          <w:lang w:val="en-GB"/>
        </w:rPr>
        <w:fldChar w:fldCharType="separate"/>
      </w:r>
      <w:r w:rsidR="0048503A">
        <w:rPr>
          <w:rFonts w:asciiTheme="minorHAnsi" w:hAnsiTheme="minorHAnsi"/>
          <w:noProof/>
          <w:lang w:val="en-GB"/>
        </w:rPr>
        <w:t>XIII</w:t>
      </w:r>
      <w:r w:rsidRPr="00DF41F6">
        <w:rPr>
          <w:rFonts w:asciiTheme="minorHAnsi" w:hAnsiTheme="minorHAnsi"/>
          <w:noProof/>
          <w:lang w:val="en-GB"/>
        </w:rPr>
        <w:fldChar w:fldCharType="end"/>
      </w:r>
      <w:r w:rsidRPr="00DF41F6">
        <w:rPr>
          <w:rFonts w:asciiTheme="minorHAnsi" w:hAnsiTheme="minorHAnsi"/>
          <w:noProof/>
          <w:lang w:val="en-GB"/>
        </w:rPr>
        <w:t>.</w:t>
      </w:r>
      <w:r w:rsidRPr="00DF41F6">
        <w:rPr>
          <w:rFonts w:asciiTheme="minorHAnsi" w:hAnsiTheme="minorHAnsi"/>
          <w:lang w:val="en-GB"/>
        </w:rPr>
        <w:t xml:space="preserve"> </w:t>
      </w:r>
      <w:r w:rsidRPr="00DF41F6">
        <w:rPr>
          <w:rFonts w:asciiTheme="minorHAnsi" w:hAnsiTheme="minorHAnsi"/>
          <w:b w:val="0"/>
          <w:bCs w:val="0"/>
          <w:color w:val="000000" w:themeColor="text1"/>
          <w:lang w:val="en-GB"/>
        </w:rPr>
        <w:t>Setup of 5’reaction.</w:t>
      </w:r>
      <w:bookmarkEnd w:id="69"/>
    </w:p>
    <w:tbl>
      <w:tblPr>
        <w:tblStyle w:val="Tabulkasmkou4zvraznn31"/>
        <w:tblW w:w="0" w:type="auto"/>
        <w:tblLook w:val="04E0" w:firstRow="1" w:lastRow="1" w:firstColumn="1" w:lastColumn="0" w:noHBand="0" w:noVBand="1"/>
      </w:tblPr>
      <w:tblGrid>
        <w:gridCol w:w="5807"/>
        <w:gridCol w:w="3209"/>
      </w:tblGrid>
      <w:tr w:rsidR="00EE7EB3" w:rsidRPr="002D4B38" w14:paraId="1C67F9D7"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shd w:val="clear" w:color="auto" w:fill="FFFFFF" w:themeFill="background1"/>
          </w:tcPr>
          <w:p w14:paraId="617FA8A1" w14:textId="77777777" w:rsidR="00EE7EB3" w:rsidRPr="002D4B38" w:rsidRDefault="00EE7EB3" w:rsidP="00F233D4">
            <w:pPr>
              <w:rPr>
                <w:rFonts w:ascii="Cambria" w:hAnsi="Cambria" w:cs="Times New Roman"/>
                <w:color w:val="3B3838" w:themeColor="background2" w:themeShade="40"/>
                <w:sz w:val="20"/>
                <w:szCs w:val="20"/>
                <w:lang w:eastAsia="sk-SK"/>
              </w:rPr>
            </w:pPr>
            <w:r w:rsidRPr="002D4B38">
              <w:rPr>
                <w:rFonts w:ascii="Cambria" w:hAnsi="Cambria" w:cs="Times New Roman"/>
                <w:color w:val="3B3838" w:themeColor="background2" w:themeShade="40"/>
                <w:sz w:val="20"/>
                <w:szCs w:val="20"/>
                <w:lang w:eastAsia="sk-SK"/>
              </w:rPr>
              <w:t>Component</w:t>
            </w:r>
          </w:p>
        </w:tc>
        <w:tc>
          <w:tcPr>
            <w:tcW w:w="3209" w:type="dxa"/>
            <w:shd w:val="clear" w:color="auto" w:fill="FFFFFF" w:themeFill="background1"/>
          </w:tcPr>
          <w:p w14:paraId="797519B4" w14:textId="77777777" w:rsidR="00EE7EB3" w:rsidRPr="002D4B38"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Volume/reaction</w:t>
            </w:r>
          </w:p>
        </w:tc>
      </w:tr>
      <w:tr w:rsidR="00EE7EB3" w:rsidRPr="002D4B38" w14:paraId="21DE5030"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5BE872DD"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cs="Times New Roman"/>
                <w:b w:val="0"/>
                <w:bCs w:val="0"/>
                <w:color w:val="3B3838" w:themeColor="background2" w:themeShade="40"/>
                <w:sz w:val="20"/>
                <w:szCs w:val="20"/>
                <w:lang w:eastAsia="sk-SK"/>
              </w:rPr>
              <w:t xml:space="preserve">3’ </w:t>
            </w:r>
            <w:r w:rsidRPr="002D4B38">
              <w:rPr>
                <w:rFonts w:ascii="Cambria" w:hAnsi="Cambria"/>
                <w:b w:val="0"/>
                <w:bCs w:val="0"/>
                <w:color w:val="3B3838" w:themeColor="background2" w:themeShade="40"/>
                <w:sz w:val="20"/>
                <w:szCs w:val="20"/>
                <w:lang w:eastAsia="sk-SK"/>
              </w:rPr>
              <w:t>ligation reaction (already in tube)</w:t>
            </w:r>
          </w:p>
        </w:tc>
        <w:tc>
          <w:tcPr>
            <w:tcW w:w="3209" w:type="dxa"/>
          </w:tcPr>
          <w:p w14:paraId="7F8B663E"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20</w:t>
            </w:r>
            <w:r w:rsidRPr="002D4B38">
              <w:rPr>
                <w:rFonts w:ascii="Cambria" w:hAnsi="Cambria" w:cs="Times New Roman"/>
                <w:color w:val="3B3838" w:themeColor="background2" w:themeShade="40"/>
                <w:sz w:val="20"/>
                <w:szCs w:val="20"/>
              </w:rPr>
              <w:t> µl</w:t>
            </w:r>
          </w:p>
        </w:tc>
      </w:tr>
      <w:tr w:rsidR="00EE7EB3" w:rsidRPr="002D4B38" w14:paraId="046EFA03"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68B6F80F"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b w:val="0"/>
                <w:bCs w:val="0"/>
                <w:color w:val="3B3838" w:themeColor="background2" w:themeShade="40"/>
                <w:sz w:val="20"/>
                <w:szCs w:val="20"/>
                <w:lang w:eastAsia="sk-SK"/>
              </w:rPr>
              <w:t>Nuclease-free water</w:t>
            </w:r>
          </w:p>
        </w:tc>
        <w:tc>
          <w:tcPr>
            <w:tcW w:w="3209" w:type="dxa"/>
          </w:tcPr>
          <w:p w14:paraId="4E57413F"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1</w:t>
            </w:r>
            <w:r w:rsidRPr="002D4B38">
              <w:rPr>
                <w:rFonts w:ascii="Cambria" w:hAnsi="Cambria"/>
                <w:color w:val="3B3838" w:themeColor="background2" w:themeShade="40"/>
                <w:sz w:val="20"/>
                <w:szCs w:val="20"/>
              </w:rPr>
              <w:t>5</w:t>
            </w:r>
            <w:r w:rsidRPr="002D4B38">
              <w:rPr>
                <w:rFonts w:ascii="Cambria" w:hAnsi="Cambria" w:cs="Times New Roman"/>
                <w:color w:val="3B3838" w:themeColor="background2" w:themeShade="40"/>
                <w:sz w:val="20"/>
                <w:szCs w:val="20"/>
              </w:rPr>
              <w:t> µl</w:t>
            </w:r>
          </w:p>
        </w:tc>
      </w:tr>
      <w:tr w:rsidR="00EE7EB3" w:rsidRPr="002D4B38" w14:paraId="6C6B83B5"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3079FCB0"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cs="Times New Roman"/>
                <w:b w:val="0"/>
                <w:bCs w:val="0"/>
                <w:color w:val="3B3838" w:themeColor="background2" w:themeShade="40"/>
                <w:sz w:val="20"/>
                <w:szCs w:val="20"/>
                <w:lang w:eastAsia="sk-SK"/>
              </w:rPr>
              <w:t xml:space="preserve">QIAseq miRNA NGS </w:t>
            </w:r>
            <w:r w:rsidRPr="002D4B38">
              <w:rPr>
                <w:rFonts w:ascii="Cambria" w:hAnsi="Cambria"/>
                <w:b w:val="0"/>
                <w:bCs w:val="0"/>
                <w:color w:val="3B3838" w:themeColor="background2" w:themeShade="40"/>
                <w:sz w:val="20"/>
                <w:szCs w:val="20"/>
                <w:lang w:eastAsia="sk-SK"/>
              </w:rPr>
              <w:t>5</w:t>
            </w:r>
            <w:r w:rsidRPr="002D4B38">
              <w:rPr>
                <w:rFonts w:ascii="Cambria" w:hAnsi="Cambria" w:cs="Times New Roman"/>
                <w:b w:val="0"/>
                <w:bCs w:val="0"/>
                <w:color w:val="3B3838" w:themeColor="background2" w:themeShade="40"/>
                <w:sz w:val="20"/>
                <w:szCs w:val="20"/>
                <w:lang w:eastAsia="sk-SK"/>
              </w:rPr>
              <w:t>’ Buffer</w:t>
            </w:r>
          </w:p>
        </w:tc>
        <w:tc>
          <w:tcPr>
            <w:tcW w:w="3209" w:type="dxa"/>
          </w:tcPr>
          <w:p w14:paraId="52DFBD3C"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2</w:t>
            </w:r>
            <w:r w:rsidRPr="002D4B38">
              <w:rPr>
                <w:rFonts w:ascii="Cambria" w:hAnsi="Cambria" w:cs="Times New Roman"/>
                <w:color w:val="3B3838" w:themeColor="background2" w:themeShade="40"/>
                <w:sz w:val="20"/>
                <w:szCs w:val="20"/>
              </w:rPr>
              <w:t> µl</w:t>
            </w:r>
          </w:p>
        </w:tc>
      </w:tr>
      <w:tr w:rsidR="00EE7EB3" w:rsidRPr="002D4B38" w14:paraId="225ACF0B"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73A89995"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cs="Times New Roman"/>
                <w:b w:val="0"/>
                <w:bCs w:val="0"/>
                <w:color w:val="3B3838" w:themeColor="background2" w:themeShade="40"/>
                <w:sz w:val="20"/>
                <w:szCs w:val="20"/>
                <w:lang w:eastAsia="sk-SK"/>
              </w:rPr>
              <w:t xml:space="preserve">QIAseq miRNA NGS </w:t>
            </w:r>
            <w:r w:rsidRPr="002D4B38">
              <w:rPr>
                <w:rFonts w:ascii="Cambria" w:hAnsi="Cambria"/>
                <w:b w:val="0"/>
                <w:bCs w:val="0"/>
                <w:color w:val="3B3838" w:themeColor="background2" w:themeShade="40"/>
                <w:sz w:val="20"/>
                <w:szCs w:val="20"/>
                <w:lang w:eastAsia="sk-SK"/>
              </w:rPr>
              <w:t>RI</w:t>
            </w:r>
          </w:p>
        </w:tc>
        <w:tc>
          <w:tcPr>
            <w:tcW w:w="3209" w:type="dxa"/>
          </w:tcPr>
          <w:p w14:paraId="2618D973"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1</w:t>
            </w:r>
            <w:r w:rsidRPr="002D4B38">
              <w:rPr>
                <w:rFonts w:ascii="Cambria" w:hAnsi="Cambria" w:cs="Times New Roman"/>
                <w:color w:val="3B3838" w:themeColor="background2" w:themeShade="40"/>
                <w:sz w:val="20"/>
                <w:szCs w:val="20"/>
              </w:rPr>
              <w:t> µl</w:t>
            </w:r>
          </w:p>
        </w:tc>
      </w:tr>
      <w:tr w:rsidR="00EE7EB3" w:rsidRPr="002D4B38" w14:paraId="13C5F612"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10C5B0AA"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b w:val="0"/>
                <w:bCs w:val="0"/>
                <w:color w:val="3B3838" w:themeColor="background2" w:themeShade="40"/>
                <w:sz w:val="20"/>
                <w:szCs w:val="20"/>
                <w:lang w:eastAsia="sk-SK"/>
              </w:rPr>
              <w:t>QIAseq miRNA NGS 5</w:t>
            </w:r>
            <w:r w:rsidRPr="002D4B38">
              <w:rPr>
                <w:rFonts w:ascii="Cambria" w:hAnsi="Cambria" w:cs="Times New Roman"/>
                <w:b w:val="0"/>
                <w:bCs w:val="0"/>
                <w:color w:val="3B3838" w:themeColor="background2" w:themeShade="40"/>
                <w:sz w:val="20"/>
                <w:szCs w:val="20"/>
                <w:lang w:eastAsia="sk-SK"/>
              </w:rPr>
              <w:t>’</w:t>
            </w:r>
            <w:r w:rsidRPr="002D4B38">
              <w:rPr>
                <w:rFonts w:ascii="Cambria" w:hAnsi="Cambria"/>
                <w:b w:val="0"/>
                <w:bCs w:val="0"/>
                <w:color w:val="3B3838" w:themeColor="background2" w:themeShade="40"/>
                <w:sz w:val="20"/>
                <w:szCs w:val="20"/>
                <w:lang w:eastAsia="sk-SK"/>
              </w:rPr>
              <w:t xml:space="preserve"> Ligase</w:t>
            </w:r>
          </w:p>
        </w:tc>
        <w:tc>
          <w:tcPr>
            <w:tcW w:w="3209" w:type="dxa"/>
          </w:tcPr>
          <w:p w14:paraId="0B17312B"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s="Times New Roman"/>
                <w:color w:val="3B3838" w:themeColor="background2" w:themeShade="40"/>
                <w:sz w:val="20"/>
                <w:szCs w:val="20"/>
              </w:rPr>
              <w:t>1 µl</w:t>
            </w:r>
          </w:p>
        </w:tc>
      </w:tr>
      <w:tr w:rsidR="00EE7EB3" w:rsidRPr="002D4B38" w14:paraId="439618D6"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C7DD3E7" w14:textId="77777777" w:rsidR="00EE7EB3" w:rsidRPr="002D4B38" w:rsidRDefault="00EE7EB3" w:rsidP="00F233D4">
            <w:pPr>
              <w:rPr>
                <w:rFonts w:ascii="Cambria" w:hAnsi="Cambria" w:cs="Times New Roman"/>
                <w:b w:val="0"/>
                <w:bCs w:val="0"/>
                <w:color w:val="3B3838" w:themeColor="background2" w:themeShade="40"/>
                <w:sz w:val="20"/>
                <w:szCs w:val="20"/>
                <w:lang w:eastAsia="sk-SK"/>
              </w:rPr>
            </w:pPr>
            <w:r w:rsidRPr="002D4B38">
              <w:rPr>
                <w:rFonts w:ascii="Cambria" w:hAnsi="Cambria"/>
                <w:b w:val="0"/>
                <w:bCs w:val="0"/>
                <w:color w:val="3B3838" w:themeColor="background2" w:themeShade="40"/>
                <w:sz w:val="20"/>
                <w:szCs w:val="20"/>
                <w:lang w:eastAsia="sk-SK"/>
              </w:rPr>
              <w:t>Diluted QIAseq miRNA NGS 5</w:t>
            </w:r>
            <w:r w:rsidRPr="002D4B38">
              <w:rPr>
                <w:rFonts w:ascii="Cambria" w:hAnsi="Cambria" w:cs="Times New Roman"/>
                <w:b w:val="0"/>
                <w:bCs w:val="0"/>
                <w:color w:val="3B3838" w:themeColor="background2" w:themeShade="40"/>
                <w:sz w:val="20"/>
                <w:szCs w:val="20"/>
                <w:lang w:eastAsia="sk-SK"/>
              </w:rPr>
              <w:t>’</w:t>
            </w:r>
            <w:r w:rsidRPr="002D4B38">
              <w:rPr>
                <w:rFonts w:ascii="Cambria" w:hAnsi="Cambria"/>
                <w:b w:val="0"/>
                <w:bCs w:val="0"/>
                <w:color w:val="3B3838" w:themeColor="background2" w:themeShade="40"/>
                <w:sz w:val="20"/>
                <w:szCs w:val="20"/>
                <w:lang w:eastAsia="sk-SK"/>
              </w:rPr>
              <w:t xml:space="preserve"> Adapter</w:t>
            </w:r>
          </w:p>
        </w:tc>
        <w:tc>
          <w:tcPr>
            <w:tcW w:w="3209" w:type="dxa"/>
          </w:tcPr>
          <w:p w14:paraId="723703B5"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1</w:t>
            </w:r>
            <w:r w:rsidRPr="002D4B38">
              <w:rPr>
                <w:rFonts w:ascii="Cambria" w:hAnsi="Cambria" w:cs="Times New Roman"/>
                <w:color w:val="3B3838" w:themeColor="background2" w:themeShade="40"/>
                <w:sz w:val="20"/>
                <w:szCs w:val="20"/>
              </w:rPr>
              <w:t> µl</w:t>
            </w:r>
          </w:p>
        </w:tc>
      </w:tr>
      <w:tr w:rsidR="00EE7EB3" w:rsidRPr="002D4B38" w14:paraId="0B6B2EC4" w14:textId="77777777" w:rsidTr="00F233D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70439ABD" w14:textId="77777777" w:rsidR="00EE7EB3" w:rsidRPr="002D4B38" w:rsidRDefault="00EE7EB3" w:rsidP="00F233D4">
            <w:pPr>
              <w:rPr>
                <w:rFonts w:ascii="Cambria" w:hAnsi="Cambria" w:cs="Times New Roman"/>
                <w:color w:val="3B3838" w:themeColor="background2" w:themeShade="40"/>
                <w:sz w:val="20"/>
                <w:szCs w:val="20"/>
                <w:lang w:eastAsia="sk-SK"/>
              </w:rPr>
            </w:pPr>
            <w:r w:rsidRPr="002D4B38">
              <w:rPr>
                <w:rFonts w:ascii="Cambria" w:hAnsi="Cambria" w:cs="Times New Roman"/>
                <w:color w:val="3B3838" w:themeColor="background2" w:themeShade="40"/>
                <w:sz w:val="20"/>
                <w:szCs w:val="20"/>
                <w:lang w:eastAsia="sk-SK"/>
              </w:rPr>
              <w:t>Total volume</w:t>
            </w:r>
          </w:p>
        </w:tc>
        <w:tc>
          <w:tcPr>
            <w:tcW w:w="3209" w:type="dxa"/>
          </w:tcPr>
          <w:p w14:paraId="6C942C0F" w14:textId="77777777" w:rsidR="00EE7EB3" w:rsidRPr="002D4B38" w:rsidRDefault="00EE7EB3" w:rsidP="00F233D4">
            <w:pPr>
              <w:cnfStyle w:val="010000000000" w:firstRow="0" w:lastRow="1"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4</w:t>
            </w:r>
            <w:r w:rsidRPr="002D4B38">
              <w:rPr>
                <w:rFonts w:ascii="Cambria" w:hAnsi="Cambria" w:cs="Times New Roman"/>
                <w:color w:val="3B3838" w:themeColor="background2" w:themeShade="40"/>
                <w:sz w:val="20"/>
                <w:szCs w:val="20"/>
              </w:rPr>
              <w:t>0 µl</w:t>
            </w:r>
          </w:p>
        </w:tc>
      </w:tr>
    </w:tbl>
    <w:p w14:paraId="29EDDDA9" w14:textId="77777777" w:rsidR="00EE7EB3" w:rsidRPr="00C83EDC" w:rsidRDefault="00EE7EB3" w:rsidP="00F233D4">
      <w:pPr>
        <w:pStyle w:val="Styl2ff"/>
      </w:pPr>
      <w:r w:rsidRPr="00C83EDC">
        <w:t>Reverse transcription</w:t>
      </w:r>
    </w:p>
    <w:p w14:paraId="255D68AC" w14:textId="77777777" w:rsidR="00EE7EB3" w:rsidRDefault="00EE7EB3" w:rsidP="00EE7EB3">
      <w:pPr>
        <w:pStyle w:val="Dalodstavce"/>
        <w:ind w:firstLine="0"/>
        <w:rPr>
          <w:lang w:val="en-GB"/>
        </w:rPr>
      </w:pPr>
      <w:r w:rsidRPr="00C83EDC">
        <w:rPr>
          <w:lang w:val="en-GB"/>
        </w:rPr>
        <w:t xml:space="preserve">To initiate the reverse transcription reaction, 2 μl of QIAseq miRNA NGS RT Initiator was pipetted directly to the tube with the reaction product from the previous step. The tube was incubated in the thermocycler that was set according to </w:t>
      </w:r>
      <w:r w:rsidRPr="00EF3D19">
        <w:rPr>
          <w:lang w:val="en-GB"/>
        </w:rPr>
        <w:t xml:space="preserve">Table </w:t>
      </w:r>
      <w:r>
        <w:rPr>
          <w:lang w:val="en-GB"/>
        </w:rPr>
        <w:t>XIV</w:t>
      </w:r>
      <w:r w:rsidRPr="00EF3D19">
        <w:rPr>
          <w:lang w:val="en-GB"/>
        </w:rPr>
        <w:t>.</w:t>
      </w:r>
      <w:r w:rsidRPr="00C83EDC">
        <w:rPr>
          <w:lang w:val="en-GB"/>
        </w:rPr>
        <w:t xml:space="preserve"> </w:t>
      </w:r>
    </w:p>
    <w:p w14:paraId="0B8564E1" w14:textId="77777777" w:rsidR="00EE7EB3" w:rsidRDefault="00EE7EB3" w:rsidP="00EE7EB3">
      <w:pPr>
        <w:pStyle w:val="Titulektabulky"/>
        <w:jc w:val="left"/>
        <w:rPr>
          <w:lang w:val="en-GB"/>
        </w:rPr>
      </w:pPr>
      <w:bookmarkStart w:id="70" w:name="_Toc47541147"/>
    </w:p>
    <w:p w14:paraId="177BCFC7" w14:textId="77777777" w:rsidR="00EE7EB3" w:rsidRDefault="00EE7EB3" w:rsidP="00EE7EB3">
      <w:pPr>
        <w:pStyle w:val="Titulektabulky"/>
        <w:jc w:val="left"/>
        <w:rPr>
          <w:lang w:val="en-GB"/>
        </w:rPr>
      </w:pPr>
    </w:p>
    <w:p w14:paraId="03DEB613" w14:textId="77777777" w:rsidR="00EE7EB3" w:rsidRDefault="00EE7EB3" w:rsidP="00EE7EB3">
      <w:pPr>
        <w:pStyle w:val="Odstavec1"/>
        <w:rPr>
          <w:lang w:val="en-GB"/>
        </w:rPr>
      </w:pPr>
    </w:p>
    <w:p w14:paraId="11FBB3E6" w14:textId="77777777" w:rsidR="00EE7EB3" w:rsidRDefault="00EE7EB3" w:rsidP="00EE7EB3">
      <w:pPr>
        <w:pStyle w:val="Odstavec1"/>
        <w:rPr>
          <w:lang w:val="en-GB"/>
        </w:rPr>
      </w:pPr>
    </w:p>
    <w:p w14:paraId="00312C7D" w14:textId="2F2D6121" w:rsidR="00EE7EB3" w:rsidRPr="00743A6C" w:rsidRDefault="00EE7EB3" w:rsidP="00EE7EB3">
      <w:pPr>
        <w:pStyle w:val="Odstavec1"/>
        <w:rPr>
          <w:rFonts w:ascii="Cambria" w:hAnsi="Cambria"/>
          <w:sz w:val="20"/>
          <w:szCs w:val="20"/>
          <w:lang w:val="en-GB"/>
        </w:rPr>
      </w:pPr>
      <w:r w:rsidRPr="00743A6C">
        <w:rPr>
          <w:rFonts w:ascii="Cambria" w:hAnsi="Cambria"/>
          <w:b/>
          <w:bCs/>
          <w:sz w:val="20"/>
          <w:szCs w:val="20"/>
          <w:lang w:val="en-GB"/>
        </w:rPr>
        <w:lastRenderedPageBreak/>
        <w:t xml:space="preserve">Table </w:t>
      </w:r>
      <w:r w:rsidRPr="00743A6C">
        <w:rPr>
          <w:rFonts w:ascii="Cambria" w:hAnsi="Cambria"/>
          <w:b/>
          <w:bCs/>
          <w:noProof/>
          <w:sz w:val="20"/>
          <w:szCs w:val="20"/>
          <w:lang w:val="en-GB"/>
        </w:rPr>
        <w:fldChar w:fldCharType="begin"/>
      </w:r>
      <w:r w:rsidRPr="00743A6C">
        <w:rPr>
          <w:rFonts w:ascii="Cambria" w:hAnsi="Cambria"/>
          <w:b/>
          <w:bCs/>
          <w:noProof/>
          <w:sz w:val="20"/>
          <w:szCs w:val="20"/>
          <w:lang w:val="en-GB"/>
        </w:rPr>
        <w:instrText xml:space="preserve"> SEQ Tab. \* ARABIC \* ROMAN </w:instrText>
      </w:r>
      <w:r w:rsidRPr="00743A6C">
        <w:rPr>
          <w:rFonts w:ascii="Cambria" w:hAnsi="Cambria"/>
          <w:b/>
          <w:bCs/>
          <w:noProof/>
          <w:sz w:val="20"/>
          <w:szCs w:val="20"/>
          <w:lang w:val="en-GB"/>
        </w:rPr>
        <w:fldChar w:fldCharType="separate"/>
      </w:r>
      <w:r w:rsidR="0048503A">
        <w:rPr>
          <w:rFonts w:ascii="Cambria" w:hAnsi="Cambria"/>
          <w:b/>
          <w:bCs/>
          <w:noProof/>
          <w:sz w:val="20"/>
          <w:szCs w:val="20"/>
          <w:lang w:val="en-GB"/>
        </w:rPr>
        <w:t>XIV</w:t>
      </w:r>
      <w:r w:rsidRPr="00743A6C">
        <w:rPr>
          <w:rFonts w:ascii="Cambria" w:hAnsi="Cambria"/>
          <w:b/>
          <w:bCs/>
          <w:noProof/>
          <w:sz w:val="20"/>
          <w:szCs w:val="20"/>
          <w:lang w:val="en-GB"/>
        </w:rPr>
        <w:fldChar w:fldCharType="end"/>
      </w:r>
      <w:r w:rsidRPr="00743A6C">
        <w:rPr>
          <w:rFonts w:ascii="Cambria" w:hAnsi="Cambria"/>
          <w:noProof/>
          <w:sz w:val="20"/>
          <w:szCs w:val="20"/>
          <w:lang w:val="en-GB"/>
        </w:rPr>
        <w:t>.</w:t>
      </w:r>
      <w:r w:rsidRPr="00743A6C">
        <w:rPr>
          <w:rFonts w:ascii="Cambria" w:hAnsi="Cambria"/>
          <w:sz w:val="20"/>
          <w:szCs w:val="20"/>
          <w:lang w:val="en-GB"/>
        </w:rPr>
        <w:t xml:space="preserve"> Incubation of the reaction mix with QIAseq miRNA NGS RT Initiator.</w:t>
      </w:r>
      <w:bookmarkEnd w:id="70"/>
    </w:p>
    <w:tbl>
      <w:tblPr>
        <w:tblStyle w:val="Tabulkasmkou4zvraznn31"/>
        <w:tblW w:w="0" w:type="auto"/>
        <w:tblLook w:val="04A0" w:firstRow="1" w:lastRow="0" w:firstColumn="1" w:lastColumn="0" w:noHBand="0" w:noVBand="1"/>
      </w:tblPr>
      <w:tblGrid>
        <w:gridCol w:w="5807"/>
        <w:gridCol w:w="3209"/>
      </w:tblGrid>
      <w:tr w:rsidR="00EE7EB3" w:rsidRPr="002D4B38" w14:paraId="6EC25536"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shd w:val="clear" w:color="auto" w:fill="FFFFFF" w:themeFill="background1"/>
          </w:tcPr>
          <w:p w14:paraId="79847825" w14:textId="77777777" w:rsidR="00EE7EB3" w:rsidRPr="002D4B38" w:rsidRDefault="00EE7EB3" w:rsidP="00F233D4">
            <w:pPr>
              <w:rPr>
                <w:rFonts w:ascii="Cambria" w:hAnsi="Cambria" w:cs="Times New Roman"/>
                <w:color w:val="3B3838" w:themeColor="background2" w:themeShade="40"/>
                <w:sz w:val="20"/>
                <w:szCs w:val="20"/>
                <w:lang w:eastAsia="sk-SK"/>
              </w:rPr>
            </w:pPr>
            <w:r w:rsidRPr="002D4B38">
              <w:rPr>
                <w:rFonts w:ascii="Cambria" w:hAnsi="Cambria"/>
                <w:color w:val="3B3838" w:themeColor="background2" w:themeShade="40"/>
                <w:sz w:val="20"/>
                <w:szCs w:val="20"/>
                <w:lang w:eastAsia="sk-SK"/>
              </w:rPr>
              <w:t>Time</w:t>
            </w:r>
          </w:p>
        </w:tc>
        <w:tc>
          <w:tcPr>
            <w:tcW w:w="3209" w:type="dxa"/>
            <w:shd w:val="clear" w:color="auto" w:fill="FFFFFF" w:themeFill="background1"/>
          </w:tcPr>
          <w:p w14:paraId="6A02213F" w14:textId="77777777" w:rsidR="00EE7EB3" w:rsidRPr="002D4B38"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Temperature</w:t>
            </w:r>
          </w:p>
        </w:tc>
      </w:tr>
      <w:tr w:rsidR="00EE7EB3" w:rsidRPr="002D4B38" w14:paraId="6FFE1678"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304BE4F7"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b w:val="0"/>
                <w:bCs w:val="0"/>
                <w:color w:val="3B3838" w:themeColor="background2" w:themeShade="40"/>
                <w:sz w:val="20"/>
                <w:szCs w:val="20"/>
              </w:rPr>
              <w:t>2 minutes</w:t>
            </w:r>
          </w:p>
        </w:tc>
        <w:tc>
          <w:tcPr>
            <w:tcW w:w="3209" w:type="dxa"/>
          </w:tcPr>
          <w:p w14:paraId="6A9BA461"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75 °C</w:t>
            </w:r>
          </w:p>
        </w:tc>
      </w:tr>
      <w:tr w:rsidR="00EE7EB3" w:rsidRPr="002D4B38" w14:paraId="6A90D3D2"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01B0F5C1"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b w:val="0"/>
                <w:bCs w:val="0"/>
                <w:color w:val="3B3838" w:themeColor="background2" w:themeShade="40"/>
                <w:sz w:val="20"/>
                <w:szCs w:val="20"/>
              </w:rPr>
              <w:t>2 minutes</w:t>
            </w:r>
          </w:p>
        </w:tc>
        <w:tc>
          <w:tcPr>
            <w:tcW w:w="3209" w:type="dxa"/>
          </w:tcPr>
          <w:p w14:paraId="7CD09FD6"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70 °C</w:t>
            </w:r>
          </w:p>
        </w:tc>
      </w:tr>
      <w:tr w:rsidR="00EE7EB3" w:rsidRPr="002D4B38" w14:paraId="6813279B"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511B129A"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b w:val="0"/>
                <w:bCs w:val="0"/>
                <w:color w:val="3B3838" w:themeColor="background2" w:themeShade="40"/>
                <w:sz w:val="20"/>
                <w:szCs w:val="20"/>
              </w:rPr>
              <w:t>2 minutes</w:t>
            </w:r>
          </w:p>
        </w:tc>
        <w:tc>
          <w:tcPr>
            <w:tcW w:w="3209" w:type="dxa"/>
          </w:tcPr>
          <w:p w14:paraId="16A58CB1"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65 °C</w:t>
            </w:r>
          </w:p>
        </w:tc>
      </w:tr>
      <w:tr w:rsidR="00EE7EB3" w:rsidRPr="002D4B38" w14:paraId="1F87B0BF"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41E3662F" w14:textId="77777777" w:rsidR="00EE7EB3" w:rsidRPr="002D4B38" w:rsidRDefault="00EE7EB3" w:rsidP="00F233D4">
            <w:pPr>
              <w:rPr>
                <w:rFonts w:ascii="Cambria" w:hAnsi="Cambria"/>
                <w:b w:val="0"/>
                <w:bCs w:val="0"/>
                <w:color w:val="3B3838" w:themeColor="background2" w:themeShade="40"/>
                <w:sz w:val="20"/>
                <w:szCs w:val="20"/>
              </w:rPr>
            </w:pPr>
            <w:r w:rsidRPr="002D4B38">
              <w:rPr>
                <w:rFonts w:ascii="Cambria" w:hAnsi="Cambria"/>
                <w:b w:val="0"/>
                <w:bCs w:val="0"/>
                <w:color w:val="3B3838" w:themeColor="background2" w:themeShade="40"/>
                <w:sz w:val="20"/>
                <w:szCs w:val="20"/>
              </w:rPr>
              <w:t>2 minutes</w:t>
            </w:r>
          </w:p>
        </w:tc>
        <w:tc>
          <w:tcPr>
            <w:tcW w:w="3209" w:type="dxa"/>
          </w:tcPr>
          <w:p w14:paraId="4BD40319"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2D4B38">
              <w:rPr>
                <w:rFonts w:ascii="Cambria" w:hAnsi="Cambria"/>
                <w:color w:val="3B3838" w:themeColor="background2" w:themeShade="40"/>
                <w:sz w:val="20"/>
                <w:szCs w:val="20"/>
              </w:rPr>
              <w:t>60 °C</w:t>
            </w:r>
          </w:p>
        </w:tc>
      </w:tr>
      <w:tr w:rsidR="00EE7EB3" w:rsidRPr="002D4B38" w14:paraId="290F7D71"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339460FC" w14:textId="77777777" w:rsidR="00EE7EB3" w:rsidRPr="002D4B38" w:rsidRDefault="00EE7EB3" w:rsidP="00F233D4">
            <w:pPr>
              <w:rPr>
                <w:rFonts w:ascii="Cambria" w:hAnsi="Cambria"/>
                <w:b w:val="0"/>
                <w:bCs w:val="0"/>
                <w:color w:val="3B3838" w:themeColor="background2" w:themeShade="40"/>
                <w:sz w:val="20"/>
                <w:szCs w:val="20"/>
              </w:rPr>
            </w:pPr>
            <w:r w:rsidRPr="002D4B38">
              <w:rPr>
                <w:rFonts w:ascii="Cambria" w:hAnsi="Cambria"/>
                <w:b w:val="0"/>
                <w:bCs w:val="0"/>
                <w:color w:val="3B3838" w:themeColor="background2" w:themeShade="40"/>
                <w:sz w:val="20"/>
                <w:szCs w:val="20"/>
              </w:rPr>
              <w:t>2 minutes</w:t>
            </w:r>
          </w:p>
        </w:tc>
        <w:tc>
          <w:tcPr>
            <w:tcW w:w="3209" w:type="dxa"/>
          </w:tcPr>
          <w:p w14:paraId="5E5975F7"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2D4B38">
              <w:rPr>
                <w:rFonts w:ascii="Cambria" w:hAnsi="Cambria"/>
                <w:color w:val="3B3838" w:themeColor="background2" w:themeShade="40"/>
                <w:sz w:val="20"/>
                <w:szCs w:val="20"/>
              </w:rPr>
              <w:t>55 °C</w:t>
            </w:r>
          </w:p>
        </w:tc>
      </w:tr>
      <w:tr w:rsidR="00EE7EB3" w:rsidRPr="002D4B38" w14:paraId="3E8337FE"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524C236E"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b w:val="0"/>
                <w:bCs w:val="0"/>
                <w:color w:val="3B3838" w:themeColor="background2" w:themeShade="40"/>
                <w:sz w:val="20"/>
                <w:szCs w:val="20"/>
              </w:rPr>
              <w:t>5 minutes</w:t>
            </w:r>
          </w:p>
        </w:tc>
        <w:tc>
          <w:tcPr>
            <w:tcW w:w="3209" w:type="dxa"/>
          </w:tcPr>
          <w:p w14:paraId="4DF80276"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37 °C</w:t>
            </w:r>
          </w:p>
        </w:tc>
      </w:tr>
      <w:tr w:rsidR="00EE7EB3" w:rsidRPr="002D4B38" w14:paraId="3A692424"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4B07DDEB" w14:textId="77777777" w:rsidR="00EE7EB3" w:rsidRPr="002D4B38" w:rsidRDefault="00EE7EB3" w:rsidP="00F233D4">
            <w:pPr>
              <w:rPr>
                <w:rFonts w:ascii="Cambria" w:hAnsi="Cambria" w:cs="Times New Roman"/>
                <w:b w:val="0"/>
                <w:bCs w:val="0"/>
                <w:color w:val="3B3838" w:themeColor="background2" w:themeShade="40"/>
                <w:sz w:val="20"/>
                <w:szCs w:val="20"/>
              </w:rPr>
            </w:pPr>
            <w:r w:rsidRPr="002D4B38">
              <w:rPr>
                <w:rFonts w:ascii="Cambria" w:hAnsi="Cambria"/>
                <w:b w:val="0"/>
                <w:bCs w:val="0"/>
                <w:color w:val="3B3838" w:themeColor="background2" w:themeShade="40"/>
                <w:sz w:val="20"/>
                <w:szCs w:val="20"/>
              </w:rPr>
              <w:t>5 minutes</w:t>
            </w:r>
          </w:p>
        </w:tc>
        <w:tc>
          <w:tcPr>
            <w:tcW w:w="3209" w:type="dxa"/>
          </w:tcPr>
          <w:p w14:paraId="07D967A0" w14:textId="77777777" w:rsidR="00EE7EB3" w:rsidRPr="002D4B38"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25 °C</w:t>
            </w:r>
          </w:p>
        </w:tc>
      </w:tr>
      <w:tr w:rsidR="00EE7EB3" w:rsidRPr="002D4B38" w14:paraId="104945EA"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6E9C49B3" w14:textId="77777777" w:rsidR="00EE7EB3" w:rsidRPr="002D4B38" w:rsidRDefault="00EE7EB3" w:rsidP="00F233D4">
            <w:pPr>
              <w:rPr>
                <w:rFonts w:ascii="Cambria" w:hAnsi="Cambria" w:cs="Times New Roman"/>
                <w:b w:val="0"/>
                <w:bCs w:val="0"/>
                <w:color w:val="3B3838" w:themeColor="background2" w:themeShade="40"/>
                <w:sz w:val="20"/>
                <w:szCs w:val="20"/>
                <w:lang w:eastAsia="sk-SK"/>
              </w:rPr>
            </w:pPr>
            <w:r w:rsidRPr="002D4B38">
              <w:rPr>
                <w:rFonts w:ascii="Cambria" w:hAnsi="Cambria"/>
                <w:b w:val="0"/>
                <w:bCs w:val="0"/>
                <w:color w:val="3B3838" w:themeColor="background2" w:themeShade="40"/>
                <w:sz w:val="20"/>
                <w:szCs w:val="20"/>
                <w:lang w:eastAsia="sk-SK"/>
              </w:rPr>
              <w:t xml:space="preserve"> ∞</w:t>
            </w:r>
          </w:p>
        </w:tc>
        <w:tc>
          <w:tcPr>
            <w:tcW w:w="3209" w:type="dxa"/>
          </w:tcPr>
          <w:p w14:paraId="7CC442F2" w14:textId="77777777" w:rsidR="00EE7EB3" w:rsidRPr="002D4B38"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2D4B38">
              <w:rPr>
                <w:rFonts w:ascii="Cambria" w:hAnsi="Cambria"/>
                <w:color w:val="3B3838" w:themeColor="background2" w:themeShade="40"/>
                <w:sz w:val="20"/>
                <w:szCs w:val="20"/>
              </w:rPr>
              <w:t>4 °C</w:t>
            </w:r>
          </w:p>
        </w:tc>
      </w:tr>
    </w:tbl>
    <w:p w14:paraId="660BC931" w14:textId="77777777" w:rsidR="00EE7EB3" w:rsidRPr="00C83EDC" w:rsidRDefault="00EE7EB3" w:rsidP="00EE7EB3">
      <w:pPr>
        <w:pStyle w:val="Dalodstavce"/>
        <w:rPr>
          <w:lang w:val="en-GB"/>
        </w:rPr>
      </w:pPr>
    </w:p>
    <w:p w14:paraId="6D325CED" w14:textId="77777777" w:rsidR="00EE7EB3" w:rsidRPr="00C83EDC" w:rsidRDefault="00EE7EB3" w:rsidP="00502B71">
      <w:pPr>
        <w:pStyle w:val="Dalodstavce"/>
        <w:ind w:firstLine="0"/>
        <w:rPr>
          <w:lang w:val="en-GB"/>
        </w:rPr>
      </w:pPr>
      <w:r w:rsidRPr="00C83EDC">
        <w:rPr>
          <w:lang w:val="en-GB"/>
        </w:rPr>
        <w:t>After the incubatio</w:t>
      </w:r>
      <w:r w:rsidRPr="00EF3D19">
        <w:rPr>
          <w:lang w:val="en-GB"/>
        </w:rPr>
        <w:t xml:space="preserve">n, the reverse transcription reaction mix was prepared on ice adding the components specified in Table </w:t>
      </w:r>
      <w:r>
        <w:rPr>
          <w:lang w:val="en-GB"/>
        </w:rPr>
        <w:t>XV</w:t>
      </w:r>
      <w:r w:rsidRPr="00EF3D19">
        <w:rPr>
          <w:lang w:val="en-GB"/>
        </w:rPr>
        <w:t xml:space="preserve"> directly</w:t>
      </w:r>
      <w:r w:rsidRPr="00C83EDC">
        <w:rPr>
          <w:lang w:val="en-GB"/>
        </w:rPr>
        <w:t xml:space="preserve"> to the tube containing the product. QIAseq miRNA NGS RT Primer was diluted 10x with nuclease-free water. The reverse transcription reaction was finished in the thermal cycler by a 60-minute incubation at 50 °C followed by 15 minutes at 70 °C. After that, the reaction tube was kept at 4 °C for at least 5 minutes.</w:t>
      </w:r>
    </w:p>
    <w:p w14:paraId="4023E12A" w14:textId="08568090" w:rsidR="00EE7EB3" w:rsidRPr="00035332" w:rsidRDefault="00EE7EB3" w:rsidP="00EE7EB3">
      <w:pPr>
        <w:pStyle w:val="Titulektabulky"/>
        <w:jc w:val="left"/>
        <w:rPr>
          <w:lang w:val="en-GB"/>
        </w:rPr>
      </w:pPr>
      <w:bookmarkStart w:id="71" w:name="_Toc47541148"/>
      <w:r w:rsidRPr="00035332">
        <w:rPr>
          <w:lang w:val="en-GB"/>
        </w:rPr>
        <w:t xml:space="preserve">Table </w:t>
      </w:r>
      <w:r w:rsidRPr="00035332">
        <w:rPr>
          <w:noProof/>
          <w:lang w:val="en-GB"/>
        </w:rPr>
        <w:fldChar w:fldCharType="begin"/>
      </w:r>
      <w:r w:rsidRPr="00035332">
        <w:rPr>
          <w:noProof/>
          <w:lang w:val="en-GB"/>
        </w:rPr>
        <w:instrText xml:space="preserve"> SEQ Tab. \* ARABIC \* ROMAN </w:instrText>
      </w:r>
      <w:r w:rsidRPr="00035332">
        <w:rPr>
          <w:noProof/>
          <w:lang w:val="en-GB"/>
        </w:rPr>
        <w:fldChar w:fldCharType="separate"/>
      </w:r>
      <w:r w:rsidR="0048503A">
        <w:rPr>
          <w:noProof/>
          <w:lang w:val="en-GB"/>
        </w:rPr>
        <w:t>XV</w:t>
      </w:r>
      <w:r w:rsidRPr="00035332">
        <w:rPr>
          <w:noProof/>
          <w:lang w:val="en-GB"/>
        </w:rPr>
        <w:fldChar w:fldCharType="end"/>
      </w:r>
      <w:r w:rsidRPr="00035332">
        <w:rPr>
          <w:noProof/>
          <w:lang w:val="en-GB"/>
        </w:rPr>
        <w:t>.</w:t>
      </w:r>
      <w:r w:rsidRPr="00035332">
        <w:rPr>
          <w:lang w:val="en-GB"/>
        </w:rPr>
        <w:t xml:space="preserve"> </w:t>
      </w:r>
      <w:r w:rsidRPr="00035332">
        <w:rPr>
          <w:b w:val="0"/>
          <w:bCs w:val="0"/>
          <w:lang w:val="en-GB"/>
        </w:rPr>
        <w:t>Setup of reverse transcription reaction.</w:t>
      </w:r>
      <w:bookmarkEnd w:id="71"/>
    </w:p>
    <w:tbl>
      <w:tblPr>
        <w:tblStyle w:val="Tabulkasmkou4zvraznn31"/>
        <w:tblW w:w="0" w:type="auto"/>
        <w:tblLook w:val="04E0" w:firstRow="1" w:lastRow="1" w:firstColumn="1" w:lastColumn="0" w:noHBand="0" w:noVBand="1"/>
      </w:tblPr>
      <w:tblGrid>
        <w:gridCol w:w="5807"/>
        <w:gridCol w:w="3209"/>
      </w:tblGrid>
      <w:tr w:rsidR="00EE7EB3" w:rsidRPr="00E1001F" w14:paraId="2A23360A"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shd w:val="clear" w:color="auto" w:fill="FFFFFF" w:themeFill="background1"/>
          </w:tcPr>
          <w:p w14:paraId="3B81E5D8" w14:textId="77777777" w:rsidR="00EE7EB3" w:rsidRPr="00E1001F" w:rsidRDefault="00EE7EB3" w:rsidP="00F233D4">
            <w:pPr>
              <w:rPr>
                <w:rFonts w:ascii="Cambria" w:hAnsi="Cambria" w:cs="Times New Roman"/>
                <w:color w:val="3B3838" w:themeColor="background2" w:themeShade="40"/>
                <w:sz w:val="20"/>
                <w:szCs w:val="20"/>
                <w:lang w:eastAsia="sk-SK"/>
              </w:rPr>
            </w:pPr>
            <w:r w:rsidRPr="00E1001F">
              <w:rPr>
                <w:rFonts w:ascii="Cambria" w:hAnsi="Cambria" w:cs="Times New Roman"/>
                <w:color w:val="3B3838" w:themeColor="background2" w:themeShade="40"/>
                <w:sz w:val="20"/>
                <w:szCs w:val="20"/>
                <w:lang w:eastAsia="sk-SK"/>
              </w:rPr>
              <w:t>Component</w:t>
            </w:r>
          </w:p>
        </w:tc>
        <w:tc>
          <w:tcPr>
            <w:tcW w:w="3209" w:type="dxa"/>
            <w:shd w:val="clear" w:color="auto" w:fill="FFFFFF" w:themeFill="background1"/>
          </w:tcPr>
          <w:p w14:paraId="015B644B" w14:textId="77777777" w:rsidR="00EE7EB3" w:rsidRPr="00E1001F"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E1001F">
              <w:rPr>
                <w:rFonts w:ascii="Cambria" w:hAnsi="Cambria" w:cs="Times New Roman"/>
                <w:color w:val="3B3838" w:themeColor="background2" w:themeShade="40"/>
                <w:sz w:val="20"/>
                <w:szCs w:val="20"/>
              </w:rPr>
              <w:t>Volume/reaction</w:t>
            </w:r>
          </w:p>
        </w:tc>
      </w:tr>
      <w:tr w:rsidR="00EE7EB3" w:rsidRPr="00E1001F" w14:paraId="0254EFA0"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3DCD83B" w14:textId="77777777" w:rsidR="00EE7EB3" w:rsidRPr="00E1001F" w:rsidRDefault="00EE7EB3" w:rsidP="00F233D4">
            <w:pPr>
              <w:rPr>
                <w:rFonts w:ascii="Cambria" w:hAnsi="Cambria" w:cs="Times New Roman"/>
                <w:b w:val="0"/>
                <w:bCs w:val="0"/>
                <w:color w:val="3B3838" w:themeColor="background2" w:themeShade="40"/>
                <w:sz w:val="20"/>
                <w:szCs w:val="20"/>
              </w:rPr>
            </w:pPr>
            <w:r w:rsidRPr="00E1001F">
              <w:rPr>
                <w:rFonts w:ascii="Cambria" w:hAnsi="Cambria" w:cs="Times New Roman"/>
                <w:b w:val="0"/>
                <w:bCs w:val="0"/>
                <w:color w:val="3B3838" w:themeColor="background2" w:themeShade="40"/>
                <w:sz w:val="20"/>
                <w:szCs w:val="20"/>
                <w:lang w:eastAsia="sk-SK"/>
              </w:rPr>
              <w:t>5’ ligation reaction</w:t>
            </w:r>
            <w:r w:rsidRPr="00E1001F">
              <w:rPr>
                <w:rFonts w:ascii="Cambria" w:hAnsi="Cambria"/>
                <w:b w:val="0"/>
                <w:bCs w:val="0"/>
                <w:color w:val="3B3838" w:themeColor="background2" w:themeShade="40"/>
                <w:sz w:val="20"/>
                <w:szCs w:val="20"/>
                <w:lang w:eastAsia="sk-SK"/>
              </w:rPr>
              <w:t xml:space="preserve"> +</w:t>
            </w:r>
            <w:r w:rsidRPr="00E1001F">
              <w:rPr>
                <w:rFonts w:ascii="Cambria" w:hAnsi="Cambria" w:cs="Times New Roman"/>
                <w:b w:val="0"/>
                <w:bCs w:val="0"/>
                <w:color w:val="3B3838" w:themeColor="background2" w:themeShade="40"/>
                <w:sz w:val="20"/>
                <w:szCs w:val="20"/>
                <w:lang w:eastAsia="sk-SK"/>
              </w:rPr>
              <w:t xml:space="preserve"> </w:t>
            </w:r>
            <w:r w:rsidRPr="00E1001F">
              <w:rPr>
                <w:rFonts w:ascii="Cambria" w:hAnsi="Cambria" w:cs="Times New Roman"/>
                <w:b w:val="0"/>
                <w:bCs w:val="0"/>
                <w:color w:val="3B3838" w:themeColor="background2" w:themeShade="40"/>
                <w:sz w:val="20"/>
                <w:szCs w:val="20"/>
              </w:rPr>
              <w:t>QIAseq miRNA NGS RT</w:t>
            </w:r>
            <w:r w:rsidRPr="00E1001F">
              <w:rPr>
                <w:rFonts w:ascii="Cambria" w:hAnsi="Cambria" w:cs="Times New Roman"/>
                <w:color w:val="3B3838" w:themeColor="background2" w:themeShade="40"/>
                <w:sz w:val="20"/>
                <w:szCs w:val="20"/>
              </w:rPr>
              <w:t xml:space="preserve"> </w:t>
            </w:r>
            <w:r w:rsidRPr="00E1001F">
              <w:rPr>
                <w:rFonts w:ascii="Cambria" w:hAnsi="Cambria"/>
                <w:b w:val="0"/>
                <w:bCs w:val="0"/>
                <w:color w:val="3B3838" w:themeColor="background2" w:themeShade="40"/>
                <w:sz w:val="20"/>
                <w:szCs w:val="20"/>
              </w:rPr>
              <w:t>initiator</w:t>
            </w:r>
            <w:r w:rsidRPr="00E1001F">
              <w:rPr>
                <w:rFonts w:ascii="Cambria" w:hAnsi="Cambria"/>
                <w:color w:val="3B3838" w:themeColor="background2" w:themeShade="40"/>
                <w:sz w:val="20"/>
                <w:szCs w:val="20"/>
              </w:rPr>
              <w:t xml:space="preserve"> </w:t>
            </w:r>
          </w:p>
        </w:tc>
        <w:tc>
          <w:tcPr>
            <w:tcW w:w="3209" w:type="dxa"/>
          </w:tcPr>
          <w:p w14:paraId="6A60100F" w14:textId="77777777" w:rsidR="00EE7EB3" w:rsidRPr="00E1001F"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E1001F">
              <w:rPr>
                <w:rFonts w:ascii="Cambria" w:hAnsi="Cambria"/>
                <w:color w:val="3B3838" w:themeColor="background2" w:themeShade="40"/>
                <w:sz w:val="20"/>
                <w:szCs w:val="20"/>
              </w:rPr>
              <w:t>42</w:t>
            </w:r>
            <w:r w:rsidRPr="00E1001F">
              <w:rPr>
                <w:rFonts w:ascii="Cambria" w:hAnsi="Cambria" w:cs="Times New Roman"/>
                <w:color w:val="3B3838" w:themeColor="background2" w:themeShade="40"/>
                <w:sz w:val="20"/>
                <w:szCs w:val="20"/>
              </w:rPr>
              <w:t> µl</w:t>
            </w:r>
          </w:p>
        </w:tc>
      </w:tr>
      <w:tr w:rsidR="00EE7EB3" w:rsidRPr="00E1001F" w14:paraId="17A2F53D"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0F797298" w14:textId="77777777" w:rsidR="00EE7EB3" w:rsidRPr="00E1001F" w:rsidRDefault="00EE7EB3" w:rsidP="00F233D4">
            <w:pPr>
              <w:rPr>
                <w:rFonts w:ascii="Cambria" w:hAnsi="Cambria" w:cs="Times New Roman"/>
                <w:b w:val="0"/>
                <w:bCs w:val="0"/>
                <w:color w:val="3B3838" w:themeColor="background2" w:themeShade="40"/>
                <w:sz w:val="20"/>
                <w:szCs w:val="20"/>
              </w:rPr>
            </w:pPr>
            <w:r w:rsidRPr="00E1001F">
              <w:rPr>
                <w:rFonts w:ascii="Cambria" w:hAnsi="Cambria"/>
                <w:b w:val="0"/>
                <w:bCs w:val="0"/>
                <w:color w:val="3B3838" w:themeColor="background2" w:themeShade="40"/>
                <w:sz w:val="20"/>
                <w:szCs w:val="20"/>
              </w:rPr>
              <w:t>Diluted QIAseq miRNA NGS RT Primer</w:t>
            </w:r>
          </w:p>
        </w:tc>
        <w:tc>
          <w:tcPr>
            <w:tcW w:w="3209" w:type="dxa"/>
          </w:tcPr>
          <w:p w14:paraId="412DDDCE"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E1001F">
              <w:rPr>
                <w:rFonts w:ascii="Cambria" w:hAnsi="Cambria"/>
                <w:color w:val="3B3838" w:themeColor="background2" w:themeShade="40"/>
                <w:sz w:val="20"/>
                <w:szCs w:val="20"/>
              </w:rPr>
              <w:t>2</w:t>
            </w:r>
            <w:r w:rsidRPr="00E1001F">
              <w:rPr>
                <w:rFonts w:ascii="Cambria" w:hAnsi="Cambria" w:cs="Times New Roman"/>
                <w:color w:val="3B3838" w:themeColor="background2" w:themeShade="40"/>
                <w:sz w:val="20"/>
                <w:szCs w:val="20"/>
              </w:rPr>
              <w:t> µl</w:t>
            </w:r>
          </w:p>
        </w:tc>
      </w:tr>
      <w:tr w:rsidR="00EE7EB3" w:rsidRPr="00E1001F" w14:paraId="7FC66A51"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61A6F0FC" w14:textId="77777777" w:rsidR="00EE7EB3" w:rsidRPr="00E1001F" w:rsidRDefault="00EE7EB3" w:rsidP="00F233D4">
            <w:pPr>
              <w:rPr>
                <w:rFonts w:ascii="Cambria" w:hAnsi="Cambria" w:cs="Times New Roman"/>
                <w:b w:val="0"/>
                <w:bCs w:val="0"/>
                <w:color w:val="3B3838" w:themeColor="background2" w:themeShade="40"/>
                <w:sz w:val="20"/>
                <w:szCs w:val="20"/>
              </w:rPr>
            </w:pPr>
            <w:r w:rsidRPr="00E1001F">
              <w:rPr>
                <w:rFonts w:ascii="Cambria" w:hAnsi="Cambria"/>
                <w:b w:val="0"/>
                <w:bCs w:val="0"/>
                <w:color w:val="3B3838" w:themeColor="background2" w:themeShade="40"/>
                <w:sz w:val="20"/>
                <w:szCs w:val="20"/>
                <w:lang w:eastAsia="sk-SK"/>
              </w:rPr>
              <w:t>Nuclease-free water</w:t>
            </w:r>
          </w:p>
        </w:tc>
        <w:tc>
          <w:tcPr>
            <w:tcW w:w="3209" w:type="dxa"/>
          </w:tcPr>
          <w:p w14:paraId="5C77ECDB" w14:textId="77777777" w:rsidR="00EE7EB3" w:rsidRPr="00E1001F"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E1001F">
              <w:rPr>
                <w:rFonts w:ascii="Cambria" w:hAnsi="Cambria"/>
                <w:color w:val="3B3838" w:themeColor="background2" w:themeShade="40"/>
                <w:sz w:val="20"/>
                <w:szCs w:val="20"/>
              </w:rPr>
              <w:t>2</w:t>
            </w:r>
            <w:r w:rsidRPr="00E1001F">
              <w:rPr>
                <w:rFonts w:ascii="Cambria" w:hAnsi="Cambria" w:cs="Times New Roman"/>
                <w:color w:val="3B3838" w:themeColor="background2" w:themeShade="40"/>
                <w:sz w:val="20"/>
                <w:szCs w:val="20"/>
              </w:rPr>
              <w:t> µl</w:t>
            </w:r>
          </w:p>
        </w:tc>
      </w:tr>
      <w:tr w:rsidR="00EE7EB3" w:rsidRPr="00E1001F" w14:paraId="578A0872"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79E9A0AE" w14:textId="77777777" w:rsidR="00EE7EB3" w:rsidRPr="00E1001F" w:rsidRDefault="00EE7EB3" w:rsidP="00F233D4">
            <w:pPr>
              <w:rPr>
                <w:rFonts w:ascii="Cambria" w:hAnsi="Cambria" w:cs="Times New Roman"/>
                <w:b w:val="0"/>
                <w:bCs w:val="0"/>
                <w:color w:val="3B3838" w:themeColor="background2" w:themeShade="40"/>
                <w:sz w:val="20"/>
                <w:szCs w:val="20"/>
              </w:rPr>
            </w:pPr>
            <w:r w:rsidRPr="00E1001F">
              <w:rPr>
                <w:rFonts w:ascii="Cambria" w:hAnsi="Cambria" w:cs="Times New Roman"/>
                <w:b w:val="0"/>
                <w:bCs w:val="0"/>
                <w:color w:val="3B3838" w:themeColor="background2" w:themeShade="40"/>
                <w:sz w:val="20"/>
                <w:szCs w:val="20"/>
                <w:lang w:eastAsia="sk-SK"/>
              </w:rPr>
              <w:t xml:space="preserve">QIAseq miRNA NGS </w:t>
            </w:r>
            <w:r w:rsidRPr="00E1001F">
              <w:rPr>
                <w:rFonts w:ascii="Cambria" w:hAnsi="Cambria"/>
                <w:b w:val="0"/>
                <w:bCs w:val="0"/>
                <w:color w:val="3B3838" w:themeColor="background2" w:themeShade="40"/>
                <w:sz w:val="20"/>
                <w:szCs w:val="20"/>
                <w:lang w:eastAsia="sk-SK"/>
              </w:rPr>
              <w:t xml:space="preserve">RT </w:t>
            </w:r>
            <w:r w:rsidRPr="00E1001F">
              <w:rPr>
                <w:rFonts w:ascii="Cambria" w:hAnsi="Cambria" w:cs="Times New Roman"/>
                <w:b w:val="0"/>
                <w:bCs w:val="0"/>
                <w:color w:val="3B3838" w:themeColor="background2" w:themeShade="40"/>
                <w:sz w:val="20"/>
                <w:szCs w:val="20"/>
                <w:lang w:eastAsia="sk-SK"/>
              </w:rPr>
              <w:t>Buffer</w:t>
            </w:r>
          </w:p>
        </w:tc>
        <w:tc>
          <w:tcPr>
            <w:tcW w:w="3209" w:type="dxa"/>
          </w:tcPr>
          <w:p w14:paraId="12C62BC6"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E1001F">
              <w:rPr>
                <w:rFonts w:ascii="Cambria" w:hAnsi="Cambria"/>
                <w:color w:val="3B3838" w:themeColor="background2" w:themeShade="40"/>
                <w:sz w:val="20"/>
                <w:szCs w:val="20"/>
              </w:rPr>
              <w:t>12</w:t>
            </w:r>
            <w:r w:rsidRPr="00E1001F">
              <w:rPr>
                <w:rFonts w:ascii="Cambria" w:hAnsi="Cambria" w:cs="Times New Roman"/>
                <w:color w:val="3B3838" w:themeColor="background2" w:themeShade="40"/>
                <w:sz w:val="20"/>
                <w:szCs w:val="20"/>
              </w:rPr>
              <w:t> µl</w:t>
            </w:r>
          </w:p>
        </w:tc>
      </w:tr>
      <w:tr w:rsidR="00EE7EB3" w:rsidRPr="00E1001F" w14:paraId="244A6ECE"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6572DC1F" w14:textId="77777777" w:rsidR="00EE7EB3" w:rsidRPr="00E1001F" w:rsidRDefault="00EE7EB3" w:rsidP="00F233D4">
            <w:pPr>
              <w:rPr>
                <w:rFonts w:ascii="Cambria" w:hAnsi="Cambria" w:cs="Times New Roman"/>
                <w:b w:val="0"/>
                <w:bCs w:val="0"/>
                <w:color w:val="3B3838" w:themeColor="background2" w:themeShade="40"/>
                <w:sz w:val="20"/>
                <w:szCs w:val="20"/>
              </w:rPr>
            </w:pPr>
            <w:r w:rsidRPr="00E1001F">
              <w:rPr>
                <w:rFonts w:ascii="Cambria" w:hAnsi="Cambria"/>
                <w:b w:val="0"/>
                <w:bCs w:val="0"/>
                <w:color w:val="3B3838" w:themeColor="background2" w:themeShade="40"/>
                <w:sz w:val="20"/>
                <w:szCs w:val="20"/>
                <w:lang w:eastAsia="sk-SK"/>
              </w:rPr>
              <w:t>QIAseq miRNA NGS RI</w:t>
            </w:r>
          </w:p>
        </w:tc>
        <w:tc>
          <w:tcPr>
            <w:tcW w:w="3209" w:type="dxa"/>
          </w:tcPr>
          <w:p w14:paraId="027381E2" w14:textId="77777777" w:rsidR="00EE7EB3" w:rsidRPr="00E1001F"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3B3838" w:themeColor="background2" w:themeShade="40"/>
                <w:sz w:val="20"/>
                <w:szCs w:val="20"/>
              </w:rPr>
            </w:pPr>
            <w:r w:rsidRPr="00E1001F">
              <w:rPr>
                <w:rFonts w:ascii="Cambria" w:hAnsi="Cambria" w:cs="Times New Roman"/>
                <w:color w:val="3B3838" w:themeColor="background2" w:themeShade="40"/>
                <w:sz w:val="20"/>
                <w:szCs w:val="20"/>
              </w:rPr>
              <w:t>1 µl</w:t>
            </w:r>
          </w:p>
        </w:tc>
      </w:tr>
      <w:tr w:rsidR="00EE7EB3" w:rsidRPr="00E1001F" w14:paraId="53586D65"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5689950D" w14:textId="77777777" w:rsidR="00EE7EB3" w:rsidRPr="00E1001F" w:rsidRDefault="00EE7EB3" w:rsidP="00F233D4">
            <w:pPr>
              <w:rPr>
                <w:rFonts w:ascii="Cambria" w:hAnsi="Cambria" w:cs="Times New Roman"/>
                <w:b w:val="0"/>
                <w:bCs w:val="0"/>
                <w:color w:val="3B3838" w:themeColor="background2" w:themeShade="40"/>
                <w:sz w:val="20"/>
                <w:szCs w:val="20"/>
                <w:lang w:eastAsia="sk-SK"/>
              </w:rPr>
            </w:pPr>
            <w:r w:rsidRPr="00E1001F">
              <w:rPr>
                <w:rFonts w:ascii="Cambria" w:hAnsi="Cambria"/>
                <w:b w:val="0"/>
                <w:bCs w:val="0"/>
                <w:color w:val="3B3838" w:themeColor="background2" w:themeShade="40"/>
                <w:sz w:val="20"/>
                <w:szCs w:val="20"/>
                <w:lang w:eastAsia="sk-SK"/>
              </w:rPr>
              <w:t>QIAseq miRNA NGS RT Enzyme</w:t>
            </w:r>
          </w:p>
        </w:tc>
        <w:tc>
          <w:tcPr>
            <w:tcW w:w="3209" w:type="dxa"/>
          </w:tcPr>
          <w:p w14:paraId="7727F7C0"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E1001F">
              <w:rPr>
                <w:rFonts w:ascii="Cambria" w:hAnsi="Cambria"/>
                <w:color w:val="3B3838" w:themeColor="background2" w:themeShade="40"/>
                <w:sz w:val="20"/>
                <w:szCs w:val="20"/>
              </w:rPr>
              <w:t>1</w:t>
            </w:r>
            <w:r w:rsidRPr="00E1001F">
              <w:rPr>
                <w:rFonts w:ascii="Cambria" w:hAnsi="Cambria" w:cs="Times New Roman"/>
                <w:color w:val="3B3838" w:themeColor="background2" w:themeShade="40"/>
                <w:sz w:val="20"/>
                <w:szCs w:val="20"/>
              </w:rPr>
              <w:t> µl</w:t>
            </w:r>
          </w:p>
        </w:tc>
      </w:tr>
      <w:tr w:rsidR="00EE7EB3" w:rsidRPr="00E1001F" w14:paraId="54816F3A" w14:textId="77777777" w:rsidTr="00F233D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0269A438" w14:textId="77777777" w:rsidR="00EE7EB3" w:rsidRPr="00E1001F" w:rsidRDefault="00EE7EB3" w:rsidP="00F233D4">
            <w:pPr>
              <w:rPr>
                <w:rFonts w:ascii="Cambria" w:hAnsi="Cambria" w:cs="Times New Roman"/>
                <w:color w:val="3B3838" w:themeColor="background2" w:themeShade="40"/>
                <w:sz w:val="20"/>
                <w:szCs w:val="20"/>
                <w:lang w:eastAsia="sk-SK"/>
              </w:rPr>
            </w:pPr>
            <w:r w:rsidRPr="00E1001F">
              <w:rPr>
                <w:rFonts w:ascii="Cambria" w:hAnsi="Cambria" w:cs="Times New Roman"/>
                <w:color w:val="3B3838" w:themeColor="background2" w:themeShade="40"/>
                <w:sz w:val="20"/>
                <w:szCs w:val="20"/>
                <w:lang w:eastAsia="sk-SK"/>
              </w:rPr>
              <w:t>Total volume</w:t>
            </w:r>
          </w:p>
        </w:tc>
        <w:tc>
          <w:tcPr>
            <w:tcW w:w="3209" w:type="dxa"/>
          </w:tcPr>
          <w:p w14:paraId="29CDBABB" w14:textId="77777777" w:rsidR="00EE7EB3" w:rsidRPr="00E1001F" w:rsidRDefault="00EE7EB3" w:rsidP="00F233D4">
            <w:pPr>
              <w:cnfStyle w:val="010000000000" w:firstRow="0" w:lastRow="1" w:firstColumn="0" w:lastColumn="0" w:oddVBand="0" w:evenVBand="0" w:oddHBand="0" w:evenHBand="0" w:firstRowFirstColumn="0" w:firstRowLastColumn="0" w:lastRowFirstColumn="0" w:lastRowLastColumn="0"/>
              <w:rPr>
                <w:rFonts w:ascii="Cambria" w:hAnsi="Cambria" w:cs="Times New Roman"/>
                <w:color w:val="3B3838" w:themeColor="background2" w:themeShade="40"/>
                <w:sz w:val="20"/>
                <w:szCs w:val="20"/>
              </w:rPr>
            </w:pPr>
            <w:r w:rsidRPr="00E1001F">
              <w:rPr>
                <w:rFonts w:ascii="Cambria" w:hAnsi="Cambria"/>
                <w:color w:val="3B3838" w:themeColor="background2" w:themeShade="40"/>
                <w:sz w:val="20"/>
                <w:szCs w:val="20"/>
              </w:rPr>
              <w:t>60</w:t>
            </w:r>
            <w:r w:rsidRPr="00E1001F">
              <w:rPr>
                <w:rFonts w:ascii="Cambria" w:hAnsi="Cambria" w:cs="Times New Roman"/>
                <w:color w:val="3B3838" w:themeColor="background2" w:themeShade="40"/>
                <w:sz w:val="20"/>
                <w:szCs w:val="20"/>
              </w:rPr>
              <w:t> µl</w:t>
            </w:r>
          </w:p>
        </w:tc>
      </w:tr>
    </w:tbl>
    <w:p w14:paraId="0494E601" w14:textId="77777777" w:rsidR="00EE7EB3" w:rsidRPr="00C83EDC" w:rsidRDefault="00EE7EB3" w:rsidP="00F233D4">
      <w:pPr>
        <w:pStyle w:val="Styl2ff"/>
      </w:pPr>
      <w:r w:rsidRPr="00C83EDC">
        <w:t>Preparation of QMN Beads</w:t>
      </w:r>
    </w:p>
    <w:p w14:paraId="5F487759" w14:textId="7776A961" w:rsidR="00EE7EB3" w:rsidRPr="00C83EDC" w:rsidRDefault="00EE7EB3" w:rsidP="00EE7EB3">
      <w:pPr>
        <w:pStyle w:val="Odstavec1"/>
        <w:rPr>
          <w:lang w:val="en-GB"/>
        </w:rPr>
      </w:pPr>
      <w:r w:rsidRPr="00C83EDC">
        <w:rPr>
          <w:lang w:val="en-GB"/>
        </w:rPr>
        <w:t xml:space="preserve">A volume of 400 µl of thoroughly vortexed QIAseq miRNA NGS Beads was transferred to </w:t>
      </w:r>
      <w:r w:rsidR="00155472">
        <w:rPr>
          <w:lang w:val="en-GB"/>
        </w:rPr>
        <w:br/>
      </w:r>
      <w:r w:rsidRPr="00C83EDC">
        <w:rPr>
          <w:lang w:val="en-GB"/>
        </w:rPr>
        <w:t>a microfuge tube, briefly centrifuged and the beads were separated on a magnet stand (</w:t>
      </w:r>
      <w:proofErr w:type="spellStart"/>
      <w:r w:rsidRPr="00C83EDC">
        <w:rPr>
          <w:lang w:val="en-GB"/>
        </w:rPr>
        <w:t>PureProteome</w:t>
      </w:r>
      <w:proofErr w:type="spellEnd"/>
      <w:r w:rsidRPr="00C83EDC">
        <w:rPr>
          <w:lang w:val="en-GB"/>
        </w:rPr>
        <w:t xml:space="preserve">™ Magnetic Stand (Millipore, MA, USA). After the beads migrated, the supernatant was removed and 150 µl of QIAseq miRNA NGS Bead Binding Buffer was pipetted onto the beads. The mixture was thoroughly vortexed, briefly centrifuged and separated on a magnet stand. After the bead separation, the supernatant was removed and 400 µl QIAseq miRNA NGS Bead Binding Buffer was added onto the beads. The suspension was vortexed again and prepared QMN Beads were stored at 4 °C until later use. </w:t>
      </w:r>
    </w:p>
    <w:p w14:paraId="7A177A01" w14:textId="77777777" w:rsidR="00EE7EB3" w:rsidRPr="00C83EDC" w:rsidRDefault="00EE7EB3" w:rsidP="00F233D4">
      <w:pPr>
        <w:pStyle w:val="Styl2ff"/>
      </w:pPr>
      <w:r w:rsidRPr="00C83EDC">
        <w:lastRenderedPageBreak/>
        <w:t xml:space="preserve">cDNA </w:t>
      </w:r>
      <w:proofErr w:type="spellStart"/>
      <w:r w:rsidRPr="00C83EDC">
        <w:t>Cleanup</w:t>
      </w:r>
      <w:proofErr w:type="spellEnd"/>
    </w:p>
    <w:p w14:paraId="71B06F0C" w14:textId="77777777" w:rsidR="00EE7EB3" w:rsidRPr="00C83EDC" w:rsidRDefault="00EE7EB3" w:rsidP="00EE7EB3">
      <w:pPr>
        <w:pStyle w:val="Odstavec1"/>
        <w:rPr>
          <w:lang w:val="en-GB"/>
        </w:rPr>
      </w:pPr>
      <w:r w:rsidRPr="00C83EDC">
        <w:rPr>
          <w:lang w:val="en-GB"/>
        </w:rPr>
        <w:t xml:space="preserve">The entire reaction of the 60 μl cDNA synthesis completed in step (C) Reverse transcription was the starting material for the </w:t>
      </w:r>
      <w:proofErr w:type="spellStart"/>
      <w:r w:rsidRPr="00C83EDC">
        <w:rPr>
          <w:lang w:val="en-GB"/>
        </w:rPr>
        <w:t>cleanup</w:t>
      </w:r>
      <w:proofErr w:type="spellEnd"/>
      <w:r w:rsidRPr="00C83EDC">
        <w:rPr>
          <w:lang w:val="en-GB"/>
        </w:rPr>
        <w:t xml:space="preserve"> procedure. A volume of 143 μl of vortexed QMN Beads was pipetted to</w:t>
      </w:r>
      <w:r>
        <w:rPr>
          <w:lang w:val="en-GB"/>
        </w:rPr>
        <w:t xml:space="preserve"> the</w:t>
      </w:r>
      <w:r w:rsidRPr="00C83EDC">
        <w:rPr>
          <w:lang w:val="en-GB"/>
        </w:rPr>
        <w:t xml:space="preserve"> microfuge tube containing the cDNA reactions, the suspension was briefly vortexed and centrifuged. The reaction was left incubating at room temperature for 5 minutes. After the incubation, the reaction was placed on a magnet stand until the beads fully migrated. The supernatant was removed, and the bound beads were washed twice with 200 µl of freshly prepared 80% ethanol. The beads were left to air dry at room temperature for 8 minutes and then resuspended in 17 μl of nuclease-free water. The suspension was incubated for 2 minutes at room temperature and then returned to the magnet stand. After the beads migrated, 15 µl of eluted DNA was transferred to a new tube. The completed cDNA </w:t>
      </w:r>
      <w:proofErr w:type="spellStart"/>
      <w:r w:rsidRPr="00C83EDC">
        <w:rPr>
          <w:lang w:val="en-GB"/>
        </w:rPr>
        <w:t>cleanup</w:t>
      </w:r>
      <w:proofErr w:type="spellEnd"/>
      <w:r w:rsidRPr="00C83EDC">
        <w:rPr>
          <w:lang w:val="en-GB"/>
        </w:rPr>
        <w:t xml:space="preserve"> product was stored in −20 °C. </w:t>
      </w:r>
    </w:p>
    <w:p w14:paraId="18A114C6" w14:textId="77777777" w:rsidR="00EE7EB3" w:rsidRPr="00C83EDC" w:rsidRDefault="00EE7EB3" w:rsidP="00F233D4">
      <w:pPr>
        <w:pStyle w:val="Styl2ff"/>
      </w:pPr>
      <w:r w:rsidRPr="00C83EDC">
        <w:t>Library Amplification using Tube Indices</w:t>
      </w:r>
    </w:p>
    <w:p w14:paraId="76A6BBAE" w14:textId="77777777" w:rsidR="00EE7EB3" w:rsidRPr="00C83EDC" w:rsidRDefault="00EE7EB3" w:rsidP="00EE7EB3">
      <w:pPr>
        <w:pStyle w:val="Odstavec1"/>
        <w:rPr>
          <w:lang w:val="en-GB"/>
        </w:rPr>
      </w:pPr>
      <w:r w:rsidRPr="00C83EDC">
        <w:rPr>
          <w:lang w:val="en-GB"/>
        </w:rPr>
        <w:t xml:space="preserve">The library amplification reaction was prepared on ice according to </w:t>
      </w:r>
      <w:r w:rsidRPr="00EF3D19">
        <w:rPr>
          <w:lang w:val="en-GB"/>
        </w:rPr>
        <w:t xml:space="preserve">Table </w:t>
      </w:r>
      <w:r>
        <w:rPr>
          <w:lang w:val="en-GB"/>
        </w:rPr>
        <w:t>XVI</w:t>
      </w:r>
      <w:r w:rsidRPr="00EF3D19">
        <w:rPr>
          <w:lang w:val="en-GB"/>
        </w:rPr>
        <w:t>.</w:t>
      </w:r>
      <w:r w:rsidRPr="00C83EDC">
        <w:rPr>
          <w:lang w:val="en-GB"/>
        </w:rPr>
        <w:t xml:space="preserve"> </w:t>
      </w:r>
    </w:p>
    <w:p w14:paraId="757AF48C" w14:textId="791D9605" w:rsidR="00EE7EB3" w:rsidRPr="00035332" w:rsidRDefault="00EE7EB3" w:rsidP="00EE7EB3">
      <w:pPr>
        <w:pStyle w:val="Titulektabulky"/>
        <w:jc w:val="left"/>
        <w:rPr>
          <w:lang w:val="en-GB"/>
        </w:rPr>
      </w:pPr>
      <w:bookmarkStart w:id="72" w:name="_Toc47541149"/>
      <w:r w:rsidRPr="00035332">
        <w:rPr>
          <w:lang w:val="en-GB"/>
        </w:rPr>
        <w:t xml:space="preserve">Table </w:t>
      </w:r>
      <w:r w:rsidRPr="00035332">
        <w:rPr>
          <w:noProof/>
          <w:lang w:val="en-GB"/>
        </w:rPr>
        <w:fldChar w:fldCharType="begin"/>
      </w:r>
      <w:r w:rsidRPr="00035332">
        <w:rPr>
          <w:noProof/>
          <w:lang w:val="en-GB"/>
        </w:rPr>
        <w:instrText xml:space="preserve"> SEQ Tab. \* ARABIC \* ROMAN </w:instrText>
      </w:r>
      <w:r w:rsidRPr="00035332">
        <w:rPr>
          <w:noProof/>
          <w:lang w:val="en-GB"/>
        </w:rPr>
        <w:fldChar w:fldCharType="separate"/>
      </w:r>
      <w:r w:rsidR="0048503A">
        <w:rPr>
          <w:noProof/>
          <w:lang w:val="en-GB"/>
        </w:rPr>
        <w:t>XVI</w:t>
      </w:r>
      <w:r w:rsidRPr="00035332">
        <w:rPr>
          <w:noProof/>
          <w:lang w:val="en-GB"/>
        </w:rPr>
        <w:fldChar w:fldCharType="end"/>
      </w:r>
      <w:r w:rsidRPr="00035332">
        <w:rPr>
          <w:noProof/>
          <w:lang w:val="en-GB"/>
        </w:rPr>
        <w:t>.</w:t>
      </w:r>
      <w:r w:rsidRPr="00035332">
        <w:rPr>
          <w:lang w:val="en-GB"/>
        </w:rPr>
        <w:t xml:space="preserve"> </w:t>
      </w:r>
      <w:r w:rsidRPr="00035332">
        <w:rPr>
          <w:b w:val="0"/>
          <w:bCs w:val="0"/>
          <w:lang w:val="en-GB"/>
        </w:rPr>
        <w:t>Setup of amplification reaction.</w:t>
      </w:r>
      <w:bookmarkEnd w:id="72"/>
    </w:p>
    <w:tbl>
      <w:tblPr>
        <w:tblStyle w:val="Tabulkasmkou4zvraznn31"/>
        <w:tblW w:w="0" w:type="auto"/>
        <w:tblLook w:val="04E0" w:firstRow="1" w:lastRow="1" w:firstColumn="1" w:lastColumn="0" w:noHBand="0" w:noVBand="1"/>
      </w:tblPr>
      <w:tblGrid>
        <w:gridCol w:w="5807"/>
        <w:gridCol w:w="3209"/>
      </w:tblGrid>
      <w:tr w:rsidR="00EE7EB3" w:rsidRPr="00E1001F" w14:paraId="2B3ED5D0"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shd w:val="clear" w:color="auto" w:fill="FFFFFF" w:themeFill="background1"/>
          </w:tcPr>
          <w:p w14:paraId="0904A642" w14:textId="77777777" w:rsidR="00EE7EB3" w:rsidRPr="00E1001F" w:rsidRDefault="00EE7EB3" w:rsidP="00F233D4">
            <w:pPr>
              <w:rPr>
                <w:rFonts w:ascii="Cambria" w:hAnsi="Cambria"/>
                <w:color w:val="3B3838" w:themeColor="background2" w:themeShade="40"/>
                <w:sz w:val="20"/>
                <w:szCs w:val="20"/>
                <w:lang w:eastAsia="sk-SK"/>
              </w:rPr>
            </w:pPr>
            <w:r w:rsidRPr="00E1001F">
              <w:rPr>
                <w:rFonts w:ascii="Cambria" w:hAnsi="Cambria"/>
                <w:color w:val="3B3838" w:themeColor="background2" w:themeShade="40"/>
                <w:sz w:val="20"/>
                <w:szCs w:val="20"/>
                <w:lang w:eastAsia="sk-SK"/>
              </w:rPr>
              <w:t>Component</w:t>
            </w:r>
          </w:p>
        </w:tc>
        <w:tc>
          <w:tcPr>
            <w:tcW w:w="3209" w:type="dxa"/>
            <w:shd w:val="clear" w:color="auto" w:fill="FFFFFF" w:themeFill="background1"/>
          </w:tcPr>
          <w:p w14:paraId="126AEE26" w14:textId="77777777" w:rsidR="00EE7EB3" w:rsidRPr="00E1001F"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E1001F">
              <w:rPr>
                <w:rFonts w:ascii="Cambria" w:hAnsi="Cambria"/>
                <w:color w:val="3B3838" w:themeColor="background2" w:themeShade="40"/>
                <w:sz w:val="20"/>
                <w:szCs w:val="20"/>
              </w:rPr>
              <w:t>Volume/reaction</w:t>
            </w:r>
          </w:p>
        </w:tc>
      </w:tr>
      <w:tr w:rsidR="00EE7EB3" w:rsidRPr="00E1001F" w14:paraId="754CE534"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49D5445" w14:textId="77777777" w:rsidR="00EE7EB3" w:rsidRPr="00E1001F" w:rsidRDefault="00EE7EB3" w:rsidP="00F233D4">
            <w:pPr>
              <w:rPr>
                <w:rFonts w:ascii="Cambria" w:hAnsi="Cambria"/>
                <w:b w:val="0"/>
                <w:bCs w:val="0"/>
                <w:color w:val="3B3838" w:themeColor="background2" w:themeShade="40"/>
                <w:sz w:val="20"/>
                <w:szCs w:val="20"/>
              </w:rPr>
            </w:pPr>
            <w:r w:rsidRPr="00E1001F">
              <w:rPr>
                <w:rFonts w:ascii="Cambria" w:hAnsi="Cambria"/>
                <w:b w:val="0"/>
                <w:bCs w:val="0"/>
                <w:color w:val="3B3838" w:themeColor="background2" w:themeShade="40"/>
                <w:sz w:val="20"/>
                <w:szCs w:val="20"/>
              </w:rPr>
              <w:t xml:space="preserve">cDNA </w:t>
            </w:r>
            <w:proofErr w:type="spellStart"/>
            <w:r w:rsidRPr="00E1001F">
              <w:rPr>
                <w:rFonts w:ascii="Cambria" w:hAnsi="Cambria"/>
                <w:b w:val="0"/>
                <w:bCs w:val="0"/>
                <w:color w:val="3B3838" w:themeColor="background2" w:themeShade="40"/>
                <w:sz w:val="20"/>
                <w:szCs w:val="20"/>
              </w:rPr>
              <w:t>cleanup</w:t>
            </w:r>
            <w:proofErr w:type="spellEnd"/>
            <w:r w:rsidRPr="00E1001F">
              <w:rPr>
                <w:rFonts w:ascii="Cambria" w:hAnsi="Cambria"/>
                <w:b w:val="0"/>
                <w:bCs w:val="0"/>
                <w:color w:val="3B3838" w:themeColor="background2" w:themeShade="40"/>
                <w:sz w:val="20"/>
                <w:szCs w:val="20"/>
              </w:rPr>
              <w:t xml:space="preserve"> product</w:t>
            </w:r>
          </w:p>
        </w:tc>
        <w:tc>
          <w:tcPr>
            <w:tcW w:w="3209" w:type="dxa"/>
          </w:tcPr>
          <w:p w14:paraId="42B6AE63" w14:textId="77777777" w:rsidR="00EE7EB3" w:rsidRPr="00E1001F"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E1001F">
              <w:rPr>
                <w:rFonts w:ascii="Cambria" w:hAnsi="Cambria"/>
                <w:color w:val="3B3838" w:themeColor="background2" w:themeShade="40"/>
                <w:sz w:val="20"/>
                <w:szCs w:val="20"/>
              </w:rPr>
              <w:t>15 µl</w:t>
            </w:r>
          </w:p>
        </w:tc>
      </w:tr>
      <w:tr w:rsidR="00EE7EB3" w:rsidRPr="00E1001F" w14:paraId="2AA3E6BF"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201E28B" w14:textId="77777777" w:rsidR="00EE7EB3" w:rsidRPr="00E1001F" w:rsidRDefault="00EE7EB3" w:rsidP="00F233D4">
            <w:pPr>
              <w:rPr>
                <w:rFonts w:ascii="Cambria" w:hAnsi="Cambria"/>
                <w:b w:val="0"/>
                <w:bCs w:val="0"/>
                <w:color w:val="3B3838" w:themeColor="background2" w:themeShade="40"/>
                <w:sz w:val="20"/>
                <w:szCs w:val="20"/>
              </w:rPr>
            </w:pPr>
            <w:r w:rsidRPr="00E1001F">
              <w:rPr>
                <w:rFonts w:ascii="Cambria" w:hAnsi="Cambria" w:cs="Times New Roman"/>
                <w:b w:val="0"/>
                <w:bCs w:val="0"/>
                <w:color w:val="3B3838" w:themeColor="background2" w:themeShade="40"/>
                <w:sz w:val="20"/>
                <w:szCs w:val="20"/>
              </w:rPr>
              <w:t>QIAseq miRNA NGS Library Buffer</w:t>
            </w:r>
          </w:p>
        </w:tc>
        <w:tc>
          <w:tcPr>
            <w:tcW w:w="3209" w:type="dxa"/>
          </w:tcPr>
          <w:p w14:paraId="3D5CC2A4"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E1001F">
              <w:rPr>
                <w:rFonts w:ascii="Cambria" w:hAnsi="Cambria"/>
                <w:color w:val="3B3838" w:themeColor="background2" w:themeShade="40"/>
                <w:sz w:val="20"/>
                <w:szCs w:val="20"/>
              </w:rPr>
              <w:t>16 µl</w:t>
            </w:r>
          </w:p>
        </w:tc>
      </w:tr>
      <w:tr w:rsidR="00EE7EB3" w:rsidRPr="00E1001F" w14:paraId="5BAE86DD"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6CD7E6B4" w14:textId="77777777" w:rsidR="00EE7EB3" w:rsidRPr="00E1001F" w:rsidRDefault="00EE7EB3" w:rsidP="00F233D4">
            <w:pPr>
              <w:rPr>
                <w:rFonts w:ascii="Cambria" w:hAnsi="Cambria"/>
                <w:b w:val="0"/>
                <w:bCs w:val="0"/>
                <w:color w:val="3B3838" w:themeColor="background2" w:themeShade="40"/>
                <w:sz w:val="20"/>
                <w:szCs w:val="20"/>
              </w:rPr>
            </w:pPr>
            <w:proofErr w:type="spellStart"/>
            <w:r w:rsidRPr="00E1001F">
              <w:rPr>
                <w:rFonts w:ascii="Cambria" w:hAnsi="Cambria" w:cs="Times New Roman"/>
                <w:b w:val="0"/>
                <w:bCs w:val="0"/>
                <w:color w:val="3B3838" w:themeColor="background2" w:themeShade="40"/>
                <w:sz w:val="20"/>
                <w:szCs w:val="20"/>
              </w:rPr>
              <w:t>HotStarTaq</w:t>
            </w:r>
            <w:proofErr w:type="spellEnd"/>
            <w:r w:rsidRPr="00E1001F">
              <w:rPr>
                <w:rFonts w:ascii="Cambria" w:hAnsi="Cambria" w:cs="Times New Roman"/>
                <w:b w:val="0"/>
                <w:bCs w:val="0"/>
                <w:color w:val="3B3838" w:themeColor="background2" w:themeShade="40"/>
                <w:sz w:val="20"/>
                <w:szCs w:val="20"/>
              </w:rPr>
              <w:t xml:space="preserve"> DNA Polymerase</w:t>
            </w:r>
          </w:p>
        </w:tc>
        <w:tc>
          <w:tcPr>
            <w:tcW w:w="3209" w:type="dxa"/>
          </w:tcPr>
          <w:p w14:paraId="31BA85DF" w14:textId="77777777" w:rsidR="00EE7EB3" w:rsidRPr="00E1001F"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E1001F">
              <w:rPr>
                <w:rFonts w:ascii="Cambria" w:hAnsi="Cambria"/>
                <w:color w:val="3B3838" w:themeColor="background2" w:themeShade="40"/>
                <w:sz w:val="20"/>
                <w:szCs w:val="20"/>
              </w:rPr>
              <w:t>3 µl</w:t>
            </w:r>
          </w:p>
        </w:tc>
      </w:tr>
      <w:tr w:rsidR="00EE7EB3" w:rsidRPr="00E1001F" w14:paraId="2CB7D04E"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5178B7BB" w14:textId="77777777" w:rsidR="00EE7EB3" w:rsidRPr="00E1001F" w:rsidRDefault="00EE7EB3" w:rsidP="00F233D4">
            <w:pPr>
              <w:rPr>
                <w:rFonts w:ascii="Cambria" w:hAnsi="Cambria"/>
                <w:b w:val="0"/>
                <w:bCs w:val="0"/>
                <w:color w:val="3B3838" w:themeColor="background2" w:themeShade="40"/>
                <w:sz w:val="20"/>
                <w:szCs w:val="20"/>
              </w:rPr>
            </w:pPr>
            <w:r w:rsidRPr="00E1001F">
              <w:rPr>
                <w:rFonts w:ascii="Cambria" w:hAnsi="Cambria" w:cs="Times New Roman"/>
                <w:b w:val="0"/>
                <w:bCs w:val="0"/>
                <w:color w:val="3B3838" w:themeColor="background2" w:themeShade="40"/>
                <w:sz w:val="20"/>
                <w:szCs w:val="20"/>
              </w:rPr>
              <w:t>QIAseq miRNA NGS ILM Library Forward Primer</w:t>
            </w:r>
          </w:p>
        </w:tc>
        <w:tc>
          <w:tcPr>
            <w:tcW w:w="3209" w:type="dxa"/>
          </w:tcPr>
          <w:p w14:paraId="1F2D6CE8"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E1001F">
              <w:rPr>
                <w:rFonts w:ascii="Cambria" w:hAnsi="Cambria"/>
                <w:color w:val="3B3838" w:themeColor="background2" w:themeShade="40"/>
                <w:sz w:val="20"/>
                <w:szCs w:val="20"/>
              </w:rPr>
              <w:t>2 µl</w:t>
            </w:r>
          </w:p>
        </w:tc>
      </w:tr>
      <w:tr w:rsidR="00EE7EB3" w:rsidRPr="00E1001F" w14:paraId="63ACABA4" w14:textId="77777777" w:rsidTr="00F233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22BF19E1" w14:textId="77777777" w:rsidR="00EE7EB3" w:rsidRPr="00E1001F" w:rsidRDefault="00EE7EB3" w:rsidP="00F233D4">
            <w:pPr>
              <w:rPr>
                <w:rFonts w:ascii="Cambria" w:hAnsi="Cambria"/>
                <w:b w:val="0"/>
                <w:bCs w:val="0"/>
                <w:color w:val="3B3838" w:themeColor="background2" w:themeShade="40"/>
                <w:sz w:val="20"/>
                <w:szCs w:val="20"/>
              </w:rPr>
            </w:pPr>
            <w:r w:rsidRPr="00E1001F">
              <w:rPr>
                <w:rFonts w:ascii="Cambria" w:hAnsi="Cambria" w:cs="Times New Roman"/>
                <w:b w:val="0"/>
                <w:bCs w:val="0"/>
                <w:color w:val="3B3838" w:themeColor="background2" w:themeShade="40"/>
                <w:sz w:val="20"/>
                <w:szCs w:val="20"/>
              </w:rPr>
              <w:t>QIAseq miRNA NGS ILM Index Primer</w:t>
            </w:r>
          </w:p>
        </w:tc>
        <w:tc>
          <w:tcPr>
            <w:tcW w:w="3209" w:type="dxa"/>
          </w:tcPr>
          <w:p w14:paraId="1850828A" w14:textId="77777777" w:rsidR="00EE7EB3" w:rsidRPr="00E1001F" w:rsidRDefault="00EE7EB3" w:rsidP="00F233D4">
            <w:pPr>
              <w:cnfStyle w:val="000000100000" w:firstRow="0" w:lastRow="0" w:firstColumn="0" w:lastColumn="0" w:oddVBand="0" w:evenVBand="0" w:oddHBand="1" w:evenHBand="0" w:firstRowFirstColumn="0" w:firstRowLastColumn="0" w:lastRowFirstColumn="0" w:lastRowLastColumn="0"/>
              <w:rPr>
                <w:rFonts w:ascii="Cambria" w:hAnsi="Cambria"/>
                <w:color w:val="3B3838" w:themeColor="background2" w:themeShade="40"/>
                <w:sz w:val="20"/>
                <w:szCs w:val="20"/>
              </w:rPr>
            </w:pPr>
            <w:r w:rsidRPr="00E1001F">
              <w:rPr>
                <w:rFonts w:ascii="Cambria" w:hAnsi="Cambria"/>
                <w:color w:val="3B3838" w:themeColor="background2" w:themeShade="40"/>
                <w:sz w:val="20"/>
                <w:szCs w:val="20"/>
              </w:rPr>
              <w:t>2 µl</w:t>
            </w:r>
          </w:p>
        </w:tc>
      </w:tr>
      <w:tr w:rsidR="00EE7EB3" w:rsidRPr="00E1001F" w14:paraId="757D311C" w14:textId="77777777" w:rsidTr="00F233D4">
        <w:trPr>
          <w:trHeight w:val="340"/>
        </w:trPr>
        <w:tc>
          <w:tcPr>
            <w:cnfStyle w:val="001000000000" w:firstRow="0" w:lastRow="0" w:firstColumn="1" w:lastColumn="0" w:oddVBand="0" w:evenVBand="0" w:oddHBand="0" w:evenHBand="0" w:firstRowFirstColumn="0" w:firstRowLastColumn="0" w:lastRowFirstColumn="0" w:lastRowLastColumn="0"/>
            <w:tcW w:w="5807" w:type="dxa"/>
          </w:tcPr>
          <w:p w14:paraId="7241A5AA" w14:textId="77777777" w:rsidR="00EE7EB3" w:rsidRPr="00E1001F" w:rsidRDefault="00EE7EB3" w:rsidP="00F233D4">
            <w:pPr>
              <w:rPr>
                <w:rFonts w:ascii="Cambria" w:hAnsi="Cambria"/>
                <w:b w:val="0"/>
                <w:bCs w:val="0"/>
                <w:color w:val="3B3838" w:themeColor="background2" w:themeShade="40"/>
                <w:sz w:val="20"/>
                <w:szCs w:val="20"/>
                <w:lang w:eastAsia="sk-SK"/>
              </w:rPr>
            </w:pPr>
            <w:r w:rsidRPr="00E1001F">
              <w:rPr>
                <w:rFonts w:ascii="Cambria" w:hAnsi="Cambria"/>
                <w:b w:val="0"/>
                <w:bCs w:val="0"/>
                <w:color w:val="3B3838" w:themeColor="background2" w:themeShade="40"/>
                <w:sz w:val="20"/>
                <w:szCs w:val="20"/>
                <w:lang w:eastAsia="sk-SK"/>
              </w:rPr>
              <w:t>Nuclease-free water</w:t>
            </w:r>
          </w:p>
        </w:tc>
        <w:tc>
          <w:tcPr>
            <w:tcW w:w="3209" w:type="dxa"/>
          </w:tcPr>
          <w:p w14:paraId="5B7D6AF5"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E1001F">
              <w:rPr>
                <w:rFonts w:ascii="Cambria" w:hAnsi="Cambria"/>
                <w:color w:val="3B3838" w:themeColor="background2" w:themeShade="40"/>
                <w:sz w:val="20"/>
                <w:szCs w:val="20"/>
              </w:rPr>
              <w:t>42 µl</w:t>
            </w:r>
          </w:p>
        </w:tc>
      </w:tr>
      <w:tr w:rsidR="00EE7EB3" w:rsidRPr="00E1001F" w14:paraId="34D3AB7B" w14:textId="77777777" w:rsidTr="00F233D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07" w:type="dxa"/>
          </w:tcPr>
          <w:p w14:paraId="5ED205E4" w14:textId="77777777" w:rsidR="00EE7EB3" w:rsidRPr="00E1001F" w:rsidRDefault="00EE7EB3" w:rsidP="00F233D4">
            <w:pPr>
              <w:rPr>
                <w:rFonts w:ascii="Cambria" w:hAnsi="Cambria"/>
                <w:color w:val="3B3838" w:themeColor="background2" w:themeShade="40"/>
                <w:sz w:val="20"/>
                <w:szCs w:val="20"/>
                <w:lang w:eastAsia="sk-SK"/>
              </w:rPr>
            </w:pPr>
            <w:r w:rsidRPr="00E1001F">
              <w:rPr>
                <w:rFonts w:ascii="Cambria" w:hAnsi="Cambria"/>
                <w:color w:val="3B3838" w:themeColor="background2" w:themeShade="40"/>
                <w:sz w:val="20"/>
                <w:szCs w:val="20"/>
                <w:lang w:eastAsia="sk-SK"/>
              </w:rPr>
              <w:t>Total volume</w:t>
            </w:r>
          </w:p>
        </w:tc>
        <w:tc>
          <w:tcPr>
            <w:tcW w:w="3209" w:type="dxa"/>
          </w:tcPr>
          <w:p w14:paraId="3A38EC72" w14:textId="77777777" w:rsidR="00EE7EB3" w:rsidRPr="00E1001F" w:rsidRDefault="00EE7EB3" w:rsidP="00F233D4">
            <w:pPr>
              <w:cnfStyle w:val="010000000000" w:firstRow="0" w:lastRow="1" w:firstColumn="0" w:lastColumn="0" w:oddVBand="0" w:evenVBand="0" w:oddHBand="0" w:evenHBand="0" w:firstRowFirstColumn="0" w:firstRowLastColumn="0" w:lastRowFirstColumn="0" w:lastRowLastColumn="0"/>
              <w:rPr>
                <w:rFonts w:ascii="Cambria" w:hAnsi="Cambria"/>
                <w:color w:val="3B3838" w:themeColor="background2" w:themeShade="40"/>
                <w:sz w:val="20"/>
                <w:szCs w:val="20"/>
              </w:rPr>
            </w:pPr>
            <w:r w:rsidRPr="00E1001F">
              <w:rPr>
                <w:rFonts w:ascii="Cambria" w:hAnsi="Cambria"/>
                <w:color w:val="3B3838" w:themeColor="background2" w:themeShade="40"/>
                <w:sz w:val="20"/>
                <w:szCs w:val="20"/>
              </w:rPr>
              <w:t>80 µl</w:t>
            </w:r>
          </w:p>
        </w:tc>
      </w:tr>
    </w:tbl>
    <w:p w14:paraId="37664DE6" w14:textId="77777777" w:rsidR="00EE7EB3" w:rsidRPr="00C83EDC" w:rsidRDefault="00EE7EB3" w:rsidP="00EE7EB3">
      <w:pPr>
        <w:pStyle w:val="Dalodstavce"/>
        <w:rPr>
          <w:lang w:val="en-GB"/>
        </w:rPr>
      </w:pPr>
    </w:p>
    <w:p w14:paraId="6AC73D94" w14:textId="77777777" w:rsidR="00EE7EB3" w:rsidRDefault="00EE7EB3" w:rsidP="00EE7EB3">
      <w:pPr>
        <w:pStyle w:val="Odstavec1"/>
        <w:rPr>
          <w:lang w:val="en-GB"/>
        </w:rPr>
      </w:pPr>
      <w:r w:rsidRPr="00C83EDC">
        <w:rPr>
          <w:lang w:val="en-GB"/>
        </w:rPr>
        <w:t xml:space="preserve">The thermal cycler setting is specified in </w:t>
      </w:r>
      <w:r w:rsidRPr="00EF3D19">
        <w:rPr>
          <w:lang w:val="en-GB"/>
        </w:rPr>
        <w:t xml:space="preserve">Table </w:t>
      </w:r>
      <w:r>
        <w:rPr>
          <w:lang w:val="en-GB"/>
        </w:rPr>
        <w:t>XVII</w:t>
      </w:r>
      <w:r w:rsidRPr="00C83EDC">
        <w:rPr>
          <w:lang w:val="en-GB"/>
        </w:rPr>
        <w:t xml:space="preserve"> and the number of cycles was programmed to 22. Upon completion of</w:t>
      </w:r>
      <w:r>
        <w:rPr>
          <w:lang w:val="en-GB"/>
        </w:rPr>
        <w:t xml:space="preserve"> the</w:t>
      </w:r>
      <w:r w:rsidRPr="00C83EDC">
        <w:rPr>
          <w:lang w:val="en-GB"/>
        </w:rPr>
        <w:t xml:space="preserve"> PCR reaction, the product was </w:t>
      </w:r>
      <w:r>
        <w:rPr>
          <w:lang w:val="en-GB"/>
        </w:rPr>
        <w:t>kept</w:t>
      </w:r>
      <w:r w:rsidRPr="00C83EDC">
        <w:rPr>
          <w:lang w:val="en-GB"/>
        </w:rPr>
        <w:t xml:space="preserve"> at 4 °C for at least 5 minutes. </w:t>
      </w:r>
    </w:p>
    <w:p w14:paraId="78924C7A" w14:textId="56F0A845" w:rsidR="00EE7EB3" w:rsidRDefault="00EE7EB3" w:rsidP="00EE7EB3">
      <w:pPr>
        <w:pStyle w:val="Dalodstavce"/>
        <w:rPr>
          <w:lang w:val="en-GB"/>
        </w:rPr>
      </w:pPr>
    </w:p>
    <w:p w14:paraId="6974487D" w14:textId="1BA341FE" w:rsidR="00F233D4" w:rsidRDefault="00F233D4" w:rsidP="00EE7EB3">
      <w:pPr>
        <w:pStyle w:val="Dalodstavce"/>
        <w:rPr>
          <w:lang w:val="en-GB"/>
        </w:rPr>
      </w:pPr>
    </w:p>
    <w:p w14:paraId="61275D60" w14:textId="0B2486AF" w:rsidR="00F233D4" w:rsidRDefault="00F233D4" w:rsidP="00EE7EB3">
      <w:pPr>
        <w:pStyle w:val="Dalodstavce"/>
        <w:rPr>
          <w:lang w:val="en-GB"/>
        </w:rPr>
      </w:pPr>
    </w:p>
    <w:p w14:paraId="134F99DB" w14:textId="77777777" w:rsidR="00F233D4" w:rsidRPr="00EF3D19" w:rsidRDefault="00F233D4" w:rsidP="00EE7EB3">
      <w:pPr>
        <w:pStyle w:val="Dalodstavce"/>
        <w:rPr>
          <w:lang w:val="en-GB"/>
        </w:rPr>
      </w:pPr>
    </w:p>
    <w:p w14:paraId="1F8CCBF3" w14:textId="26672A2D" w:rsidR="00EE7EB3" w:rsidRPr="00035332" w:rsidRDefault="00EE7EB3" w:rsidP="00EE7EB3">
      <w:pPr>
        <w:pStyle w:val="Titulektabulky"/>
        <w:jc w:val="left"/>
        <w:rPr>
          <w:b w:val="0"/>
          <w:bCs w:val="0"/>
          <w:lang w:val="en-GB"/>
        </w:rPr>
      </w:pPr>
      <w:bookmarkStart w:id="73" w:name="_Toc47541150"/>
      <w:r w:rsidRPr="00035332">
        <w:rPr>
          <w:lang w:val="en-GB"/>
        </w:rPr>
        <w:lastRenderedPageBreak/>
        <w:t xml:space="preserve">Table </w:t>
      </w:r>
      <w:r w:rsidRPr="00035332">
        <w:rPr>
          <w:noProof/>
          <w:lang w:val="en-GB"/>
        </w:rPr>
        <w:fldChar w:fldCharType="begin"/>
      </w:r>
      <w:r w:rsidRPr="00035332">
        <w:rPr>
          <w:noProof/>
          <w:lang w:val="en-GB"/>
        </w:rPr>
        <w:instrText xml:space="preserve"> SEQ Tab. \* ARABIC \* ROMAN </w:instrText>
      </w:r>
      <w:r w:rsidRPr="00035332">
        <w:rPr>
          <w:noProof/>
          <w:lang w:val="en-GB"/>
        </w:rPr>
        <w:fldChar w:fldCharType="separate"/>
      </w:r>
      <w:r w:rsidR="0048503A">
        <w:rPr>
          <w:noProof/>
          <w:lang w:val="en-GB"/>
        </w:rPr>
        <w:t>XVII</w:t>
      </w:r>
      <w:r w:rsidRPr="00035332">
        <w:rPr>
          <w:noProof/>
          <w:lang w:val="en-GB"/>
        </w:rPr>
        <w:fldChar w:fldCharType="end"/>
      </w:r>
      <w:r w:rsidRPr="00035332">
        <w:rPr>
          <w:noProof/>
          <w:lang w:val="en-GB"/>
        </w:rPr>
        <w:t>.</w:t>
      </w:r>
      <w:r w:rsidRPr="00035332">
        <w:rPr>
          <w:lang w:val="en-GB"/>
        </w:rPr>
        <w:t xml:space="preserve"> </w:t>
      </w:r>
      <w:r w:rsidRPr="00035332">
        <w:rPr>
          <w:b w:val="0"/>
          <w:bCs w:val="0"/>
          <w:lang w:val="en-GB"/>
        </w:rPr>
        <w:t>Thermal cycler setup.</w:t>
      </w:r>
      <w:bookmarkEnd w:id="73"/>
    </w:p>
    <w:tbl>
      <w:tblPr>
        <w:tblStyle w:val="Tabulkasmkou4zvraznn31"/>
        <w:tblW w:w="0" w:type="auto"/>
        <w:tblLook w:val="06A0" w:firstRow="1" w:lastRow="0" w:firstColumn="1" w:lastColumn="0" w:noHBand="1" w:noVBand="1"/>
      </w:tblPr>
      <w:tblGrid>
        <w:gridCol w:w="3005"/>
        <w:gridCol w:w="3005"/>
        <w:gridCol w:w="3006"/>
      </w:tblGrid>
      <w:tr w:rsidR="00EE7EB3" w:rsidRPr="00E1001F" w14:paraId="7B4AE915" w14:textId="77777777" w:rsidTr="00F233D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05" w:type="dxa"/>
            <w:shd w:val="clear" w:color="auto" w:fill="E7E6E6" w:themeFill="background2"/>
          </w:tcPr>
          <w:p w14:paraId="7778E4D8" w14:textId="77777777" w:rsidR="00EE7EB3" w:rsidRPr="00E1001F" w:rsidRDefault="00EE7EB3" w:rsidP="00F233D4">
            <w:pPr>
              <w:rPr>
                <w:rFonts w:ascii="Cambria" w:hAnsi="Cambria" w:cs="Calibri"/>
                <w:color w:val="3B3838" w:themeColor="background2" w:themeShade="40"/>
                <w:sz w:val="20"/>
                <w:szCs w:val="20"/>
                <w:lang w:eastAsia="sk-SK"/>
              </w:rPr>
            </w:pPr>
            <w:r w:rsidRPr="00E1001F">
              <w:rPr>
                <w:rFonts w:ascii="Cambria" w:hAnsi="Cambria" w:cs="Calibri"/>
                <w:color w:val="3B3838" w:themeColor="background2" w:themeShade="40"/>
                <w:sz w:val="20"/>
                <w:szCs w:val="20"/>
                <w:lang w:eastAsia="sk-SK"/>
              </w:rPr>
              <w:t>Step</w:t>
            </w:r>
          </w:p>
        </w:tc>
        <w:tc>
          <w:tcPr>
            <w:tcW w:w="3005" w:type="dxa"/>
            <w:shd w:val="clear" w:color="auto" w:fill="E7E6E6" w:themeFill="background2"/>
          </w:tcPr>
          <w:p w14:paraId="73F01BD1" w14:textId="77777777" w:rsidR="00EE7EB3" w:rsidRPr="00E1001F"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Time</w:t>
            </w:r>
          </w:p>
        </w:tc>
        <w:tc>
          <w:tcPr>
            <w:tcW w:w="3006" w:type="dxa"/>
            <w:shd w:val="clear" w:color="auto" w:fill="E7E6E6" w:themeFill="background2"/>
          </w:tcPr>
          <w:p w14:paraId="5D6809C0" w14:textId="77777777" w:rsidR="00EE7EB3" w:rsidRPr="00E1001F" w:rsidRDefault="00EE7EB3" w:rsidP="00F233D4">
            <w:pPr>
              <w:cnfStyle w:val="100000000000" w:firstRow="1"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Temperature</w:t>
            </w:r>
          </w:p>
        </w:tc>
      </w:tr>
      <w:tr w:rsidR="00EE7EB3" w:rsidRPr="00E1001F" w14:paraId="5B10FCE5" w14:textId="77777777" w:rsidTr="00F233D4">
        <w:trPr>
          <w:trHeight w:val="283"/>
        </w:trPr>
        <w:tc>
          <w:tcPr>
            <w:cnfStyle w:val="001000000000" w:firstRow="0" w:lastRow="0" w:firstColumn="1" w:lastColumn="0" w:oddVBand="0" w:evenVBand="0" w:oddHBand="0" w:evenHBand="0" w:firstRowFirstColumn="0" w:firstRowLastColumn="0" w:lastRowFirstColumn="0" w:lastRowLastColumn="0"/>
            <w:tcW w:w="3005" w:type="dxa"/>
          </w:tcPr>
          <w:p w14:paraId="03DCBEC6" w14:textId="77777777" w:rsidR="00EE7EB3" w:rsidRPr="00E1001F" w:rsidRDefault="00EE7EB3" w:rsidP="00F233D4">
            <w:pPr>
              <w:rPr>
                <w:rFonts w:ascii="Cambria" w:hAnsi="Cambria" w:cs="Calibri"/>
                <w:b w:val="0"/>
                <w:bCs w:val="0"/>
                <w:color w:val="3B3838" w:themeColor="background2" w:themeShade="40"/>
                <w:sz w:val="20"/>
                <w:szCs w:val="20"/>
              </w:rPr>
            </w:pPr>
            <w:r w:rsidRPr="00E1001F">
              <w:rPr>
                <w:rFonts w:ascii="Cambria" w:hAnsi="Cambria" w:cs="Calibri"/>
                <w:b w:val="0"/>
                <w:bCs w:val="0"/>
                <w:color w:val="3B3838" w:themeColor="background2" w:themeShade="40"/>
                <w:sz w:val="20"/>
                <w:szCs w:val="20"/>
              </w:rPr>
              <w:t>Hold</w:t>
            </w:r>
          </w:p>
        </w:tc>
        <w:tc>
          <w:tcPr>
            <w:tcW w:w="3005" w:type="dxa"/>
          </w:tcPr>
          <w:p w14:paraId="468F5406"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15 minutes</w:t>
            </w:r>
          </w:p>
        </w:tc>
        <w:tc>
          <w:tcPr>
            <w:tcW w:w="3006" w:type="dxa"/>
          </w:tcPr>
          <w:p w14:paraId="03973676"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95 °C</w:t>
            </w:r>
          </w:p>
        </w:tc>
      </w:tr>
      <w:tr w:rsidR="00EE7EB3" w:rsidRPr="00E1001F" w14:paraId="16724B92" w14:textId="77777777" w:rsidTr="00F233D4">
        <w:trPr>
          <w:trHeight w:val="283"/>
        </w:trPr>
        <w:tc>
          <w:tcPr>
            <w:cnfStyle w:val="001000000000" w:firstRow="0" w:lastRow="0" w:firstColumn="1" w:lastColumn="0" w:oddVBand="0" w:evenVBand="0" w:oddHBand="0" w:evenHBand="0" w:firstRowFirstColumn="0" w:firstRowLastColumn="0" w:lastRowFirstColumn="0" w:lastRowLastColumn="0"/>
            <w:tcW w:w="3005" w:type="dxa"/>
          </w:tcPr>
          <w:p w14:paraId="35C2C797" w14:textId="77777777" w:rsidR="00EE7EB3" w:rsidRPr="00E1001F" w:rsidRDefault="00EE7EB3" w:rsidP="00F233D4">
            <w:pPr>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3-step cycling</w:t>
            </w:r>
          </w:p>
        </w:tc>
        <w:tc>
          <w:tcPr>
            <w:tcW w:w="3005" w:type="dxa"/>
          </w:tcPr>
          <w:p w14:paraId="0C6FC300"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p>
        </w:tc>
        <w:tc>
          <w:tcPr>
            <w:tcW w:w="3006" w:type="dxa"/>
          </w:tcPr>
          <w:p w14:paraId="369893FE"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p>
        </w:tc>
      </w:tr>
      <w:tr w:rsidR="00EE7EB3" w:rsidRPr="00E1001F" w14:paraId="71ECF111" w14:textId="77777777" w:rsidTr="00F233D4">
        <w:trPr>
          <w:trHeight w:val="283"/>
        </w:trPr>
        <w:tc>
          <w:tcPr>
            <w:cnfStyle w:val="001000000000" w:firstRow="0" w:lastRow="0" w:firstColumn="1" w:lastColumn="0" w:oddVBand="0" w:evenVBand="0" w:oddHBand="0" w:evenHBand="0" w:firstRowFirstColumn="0" w:firstRowLastColumn="0" w:lastRowFirstColumn="0" w:lastRowLastColumn="0"/>
            <w:tcW w:w="3005" w:type="dxa"/>
            <w:shd w:val="clear" w:color="auto" w:fill="E7E6E6" w:themeFill="background2"/>
          </w:tcPr>
          <w:p w14:paraId="39C9E0C7" w14:textId="77777777" w:rsidR="00EE7EB3" w:rsidRPr="00E1001F" w:rsidRDefault="00EE7EB3" w:rsidP="00F233D4">
            <w:pPr>
              <w:rPr>
                <w:rFonts w:ascii="Cambria" w:hAnsi="Cambria" w:cs="Calibri"/>
                <w:b w:val="0"/>
                <w:bCs w:val="0"/>
                <w:color w:val="3B3838" w:themeColor="background2" w:themeShade="40"/>
                <w:sz w:val="20"/>
                <w:szCs w:val="20"/>
              </w:rPr>
            </w:pPr>
            <w:r w:rsidRPr="00E1001F">
              <w:rPr>
                <w:rFonts w:ascii="Cambria" w:hAnsi="Cambria" w:cs="Calibri"/>
                <w:b w:val="0"/>
                <w:bCs w:val="0"/>
                <w:color w:val="3B3838" w:themeColor="background2" w:themeShade="40"/>
                <w:sz w:val="20"/>
                <w:szCs w:val="20"/>
              </w:rPr>
              <w:t xml:space="preserve"> Denaturation</w:t>
            </w:r>
          </w:p>
        </w:tc>
        <w:tc>
          <w:tcPr>
            <w:tcW w:w="3005" w:type="dxa"/>
            <w:shd w:val="clear" w:color="auto" w:fill="E7E6E6" w:themeFill="background2"/>
          </w:tcPr>
          <w:p w14:paraId="10C109BD"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15 seconds</w:t>
            </w:r>
          </w:p>
        </w:tc>
        <w:tc>
          <w:tcPr>
            <w:tcW w:w="3006" w:type="dxa"/>
            <w:shd w:val="clear" w:color="auto" w:fill="E7E6E6" w:themeFill="background2"/>
          </w:tcPr>
          <w:p w14:paraId="589F4A29"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95 °C</w:t>
            </w:r>
          </w:p>
        </w:tc>
      </w:tr>
      <w:tr w:rsidR="00EE7EB3" w:rsidRPr="00E1001F" w14:paraId="2B9AD2C6" w14:textId="77777777" w:rsidTr="00F233D4">
        <w:trPr>
          <w:trHeight w:val="283"/>
        </w:trPr>
        <w:tc>
          <w:tcPr>
            <w:cnfStyle w:val="001000000000" w:firstRow="0" w:lastRow="0" w:firstColumn="1" w:lastColumn="0" w:oddVBand="0" w:evenVBand="0" w:oddHBand="0" w:evenHBand="0" w:firstRowFirstColumn="0" w:firstRowLastColumn="0" w:lastRowFirstColumn="0" w:lastRowLastColumn="0"/>
            <w:tcW w:w="3005" w:type="dxa"/>
            <w:shd w:val="clear" w:color="auto" w:fill="E7E6E6" w:themeFill="background2"/>
          </w:tcPr>
          <w:p w14:paraId="29E901C7" w14:textId="77777777" w:rsidR="00EE7EB3" w:rsidRPr="00E1001F" w:rsidRDefault="00EE7EB3" w:rsidP="00F233D4">
            <w:pPr>
              <w:rPr>
                <w:rFonts w:ascii="Cambria" w:hAnsi="Cambria" w:cs="Calibri"/>
                <w:b w:val="0"/>
                <w:bCs w:val="0"/>
                <w:color w:val="3B3838" w:themeColor="background2" w:themeShade="40"/>
                <w:sz w:val="20"/>
                <w:szCs w:val="20"/>
              </w:rPr>
            </w:pPr>
            <w:r w:rsidRPr="00E1001F">
              <w:rPr>
                <w:rFonts w:ascii="Cambria" w:hAnsi="Cambria" w:cs="Calibri"/>
                <w:b w:val="0"/>
                <w:bCs w:val="0"/>
                <w:color w:val="3B3838" w:themeColor="background2" w:themeShade="40"/>
                <w:sz w:val="20"/>
                <w:szCs w:val="20"/>
              </w:rPr>
              <w:t xml:space="preserve"> Annealing</w:t>
            </w:r>
          </w:p>
        </w:tc>
        <w:tc>
          <w:tcPr>
            <w:tcW w:w="3005" w:type="dxa"/>
            <w:shd w:val="clear" w:color="auto" w:fill="E7E6E6" w:themeFill="background2"/>
          </w:tcPr>
          <w:p w14:paraId="6AF5F8A5"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30 seconds</w:t>
            </w:r>
          </w:p>
        </w:tc>
        <w:tc>
          <w:tcPr>
            <w:tcW w:w="3006" w:type="dxa"/>
            <w:shd w:val="clear" w:color="auto" w:fill="E7E6E6" w:themeFill="background2"/>
          </w:tcPr>
          <w:p w14:paraId="7950CB79"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60 °C</w:t>
            </w:r>
          </w:p>
        </w:tc>
      </w:tr>
      <w:tr w:rsidR="00EE7EB3" w:rsidRPr="00E1001F" w14:paraId="26AE2945" w14:textId="77777777" w:rsidTr="00F233D4">
        <w:trPr>
          <w:trHeight w:val="283"/>
        </w:trPr>
        <w:tc>
          <w:tcPr>
            <w:cnfStyle w:val="001000000000" w:firstRow="0" w:lastRow="0" w:firstColumn="1" w:lastColumn="0" w:oddVBand="0" w:evenVBand="0" w:oddHBand="0" w:evenHBand="0" w:firstRowFirstColumn="0" w:firstRowLastColumn="0" w:lastRowFirstColumn="0" w:lastRowLastColumn="0"/>
            <w:tcW w:w="3005" w:type="dxa"/>
            <w:shd w:val="clear" w:color="auto" w:fill="E7E6E6" w:themeFill="background2"/>
          </w:tcPr>
          <w:p w14:paraId="6D94CC78" w14:textId="77777777" w:rsidR="00EE7EB3" w:rsidRPr="00E1001F" w:rsidRDefault="00EE7EB3" w:rsidP="00F233D4">
            <w:pPr>
              <w:rPr>
                <w:rFonts w:ascii="Cambria" w:hAnsi="Cambria" w:cs="Calibri"/>
                <w:b w:val="0"/>
                <w:bCs w:val="0"/>
                <w:color w:val="3B3838" w:themeColor="background2" w:themeShade="40"/>
                <w:sz w:val="20"/>
                <w:szCs w:val="20"/>
              </w:rPr>
            </w:pPr>
            <w:r w:rsidRPr="00E1001F">
              <w:rPr>
                <w:rFonts w:ascii="Cambria" w:hAnsi="Cambria" w:cs="Calibri"/>
                <w:b w:val="0"/>
                <w:bCs w:val="0"/>
                <w:color w:val="3B3838" w:themeColor="background2" w:themeShade="40"/>
                <w:sz w:val="20"/>
                <w:szCs w:val="20"/>
              </w:rPr>
              <w:t xml:space="preserve"> Extension</w:t>
            </w:r>
          </w:p>
        </w:tc>
        <w:tc>
          <w:tcPr>
            <w:tcW w:w="3005" w:type="dxa"/>
            <w:shd w:val="clear" w:color="auto" w:fill="E7E6E6" w:themeFill="background2"/>
          </w:tcPr>
          <w:p w14:paraId="00750FEF"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15 seconds</w:t>
            </w:r>
          </w:p>
        </w:tc>
        <w:tc>
          <w:tcPr>
            <w:tcW w:w="3006" w:type="dxa"/>
            <w:shd w:val="clear" w:color="auto" w:fill="E7E6E6" w:themeFill="background2"/>
          </w:tcPr>
          <w:p w14:paraId="25F0EC83"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72 °C</w:t>
            </w:r>
          </w:p>
        </w:tc>
      </w:tr>
      <w:tr w:rsidR="00EE7EB3" w:rsidRPr="00E1001F" w14:paraId="171FFEEE" w14:textId="77777777" w:rsidTr="00F233D4">
        <w:trPr>
          <w:trHeight w:val="283"/>
        </w:trPr>
        <w:tc>
          <w:tcPr>
            <w:cnfStyle w:val="001000000000" w:firstRow="0" w:lastRow="0" w:firstColumn="1" w:lastColumn="0" w:oddVBand="0" w:evenVBand="0" w:oddHBand="0" w:evenHBand="0" w:firstRowFirstColumn="0" w:firstRowLastColumn="0" w:lastRowFirstColumn="0" w:lastRowLastColumn="0"/>
            <w:tcW w:w="3005" w:type="dxa"/>
            <w:shd w:val="clear" w:color="auto" w:fill="E7E6E6" w:themeFill="background2"/>
          </w:tcPr>
          <w:p w14:paraId="02720C95" w14:textId="77777777" w:rsidR="00EE7EB3" w:rsidRPr="00E1001F" w:rsidRDefault="00EE7EB3" w:rsidP="00F233D4">
            <w:pPr>
              <w:rPr>
                <w:rFonts w:ascii="Cambria" w:hAnsi="Cambria" w:cs="Calibri"/>
                <w:b w:val="0"/>
                <w:bCs w:val="0"/>
                <w:color w:val="3B3838" w:themeColor="background2" w:themeShade="40"/>
                <w:sz w:val="20"/>
                <w:szCs w:val="20"/>
              </w:rPr>
            </w:pPr>
            <w:r w:rsidRPr="00E1001F">
              <w:rPr>
                <w:rFonts w:ascii="Cambria" w:hAnsi="Cambria" w:cs="Calibri"/>
                <w:b w:val="0"/>
                <w:bCs w:val="0"/>
                <w:color w:val="3B3838" w:themeColor="background2" w:themeShade="40"/>
                <w:sz w:val="20"/>
                <w:szCs w:val="20"/>
              </w:rPr>
              <w:t xml:space="preserve"> Cycle Number 22</w:t>
            </w:r>
          </w:p>
        </w:tc>
        <w:tc>
          <w:tcPr>
            <w:tcW w:w="3005" w:type="dxa"/>
            <w:shd w:val="clear" w:color="auto" w:fill="E7E6E6" w:themeFill="background2"/>
          </w:tcPr>
          <w:p w14:paraId="6C59570D"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p>
        </w:tc>
        <w:tc>
          <w:tcPr>
            <w:tcW w:w="3006" w:type="dxa"/>
            <w:shd w:val="clear" w:color="auto" w:fill="E7E6E6" w:themeFill="background2"/>
          </w:tcPr>
          <w:p w14:paraId="3A6D88A5"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p>
        </w:tc>
      </w:tr>
      <w:tr w:rsidR="00EE7EB3" w:rsidRPr="00E1001F" w14:paraId="1321AAA1" w14:textId="77777777" w:rsidTr="00F233D4">
        <w:trPr>
          <w:trHeight w:val="283"/>
        </w:trPr>
        <w:tc>
          <w:tcPr>
            <w:cnfStyle w:val="001000000000" w:firstRow="0" w:lastRow="0" w:firstColumn="1" w:lastColumn="0" w:oddVBand="0" w:evenVBand="0" w:oddHBand="0" w:evenHBand="0" w:firstRowFirstColumn="0" w:firstRowLastColumn="0" w:lastRowFirstColumn="0" w:lastRowLastColumn="0"/>
            <w:tcW w:w="3005" w:type="dxa"/>
          </w:tcPr>
          <w:p w14:paraId="4183B3E6" w14:textId="77777777" w:rsidR="00EE7EB3" w:rsidRPr="00E1001F" w:rsidRDefault="00EE7EB3" w:rsidP="00F233D4">
            <w:pPr>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 xml:space="preserve">Hold </w:t>
            </w:r>
          </w:p>
        </w:tc>
        <w:tc>
          <w:tcPr>
            <w:tcW w:w="3005" w:type="dxa"/>
          </w:tcPr>
          <w:p w14:paraId="7499444F"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2 minutes</w:t>
            </w:r>
          </w:p>
        </w:tc>
        <w:tc>
          <w:tcPr>
            <w:tcW w:w="3006" w:type="dxa"/>
          </w:tcPr>
          <w:p w14:paraId="36DE8F06"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72 °C</w:t>
            </w:r>
          </w:p>
        </w:tc>
      </w:tr>
      <w:tr w:rsidR="00EE7EB3" w:rsidRPr="00E1001F" w14:paraId="42A03F74" w14:textId="77777777" w:rsidTr="00F233D4">
        <w:trPr>
          <w:trHeight w:val="283"/>
        </w:trPr>
        <w:tc>
          <w:tcPr>
            <w:cnfStyle w:val="001000000000" w:firstRow="0" w:lastRow="0" w:firstColumn="1" w:lastColumn="0" w:oddVBand="0" w:evenVBand="0" w:oddHBand="0" w:evenHBand="0" w:firstRowFirstColumn="0" w:firstRowLastColumn="0" w:lastRowFirstColumn="0" w:lastRowLastColumn="0"/>
            <w:tcW w:w="3005" w:type="dxa"/>
          </w:tcPr>
          <w:p w14:paraId="0D9BA6FA" w14:textId="77777777" w:rsidR="00EE7EB3" w:rsidRPr="00E1001F" w:rsidRDefault="00EE7EB3" w:rsidP="00F233D4">
            <w:pPr>
              <w:rPr>
                <w:rFonts w:ascii="Cambria" w:hAnsi="Cambria" w:cs="Calibri"/>
                <w:color w:val="3B3838" w:themeColor="background2" w:themeShade="40"/>
                <w:sz w:val="20"/>
                <w:szCs w:val="20"/>
                <w:lang w:eastAsia="sk-SK"/>
              </w:rPr>
            </w:pPr>
            <w:r w:rsidRPr="00E1001F">
              <w:rPr>
                <w:rFonts w:ascii="Cambria" w:hAnsi="Cambria" w:cs="Calibri"/>
                <w:color w:val="3B3838" w:themeColor="background2" w:themeShade="40"/>
                <w:sz w:val="20"/>
                <w:szCs w:val="20"/>
                <w:lang w:eastAsia="sk-SK"/>
              </w:rPr>
              <w:t>Hold</w:t>
            </w:r>
          </w:p>
        </w:tc>
        <w:tc>
          <w:tcPr>
            <w:tcW w:w="3005" w:type="dxa"/>
          </w:tcPr>
          <w:p w14:paraId="2761790C"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 xml:space="preserve"> ∞</w:t>
            </w:r>
          </w:p>
        </w:tc>
        <w:tc>
          <w:tcPr>
            <w:tcW w:w="3006" w:type="dxa"/>
          </w:tcPr>
          <w:p w14:paraId="616D8BFC" w14:textId="77777777" w:rsidR="00EE7EB3" w:rsidRPr="00E1001F" w:rsidRDefault="00EE7EB3" w:rsidP="00F233D4">
            <w:pPr>
              <w:cnfStyle w:val="000000000000" w:firstRow="0" w:lastRow="0" w:firstColumn="0" w:lastColumn="0" w:oddVBand="0" w:evenVBand="0" w:oddHBand="0" w:evenHBand="0" w:firstRowFirstColumn="0" w:firstRowLastColumn="0" w:lastRowFirstColumn="0" w:lastRowLastColumn="0"/>
              <w:rPr>
                <w:rFonts w:ascii="Cambria" w:hAnsi="Cambria" w:cs="Calibri"/>
                <w:color w:val="3B3838" w:themeColor="background2" w:themeShade="40"/>
                <w:sz w:val="20"/>
                <w:szCs w:val="20"/>
              </w:rPr>
            </w:pPr>
            <w:r w:rsidRPr="00E1001F">
              <w:rPr>
                <w:rFonts w:ascii="Cambria" w:hAnsi="Cambria" w:cs="Calibri"/>
                <w:color w:val="3B3838" w:themeColor="background2" w:themeShade="40"/>
                <w:sz w:val="20"/>
                <w:szCs w:val="20"/>
              </w:rPr>
              <w:t>4 °C</w:t>
            </w:r>
          </w:p>
        </w:tc>
      </w:tr>
    </w:tbl>
    <w:p w14:paraId="18AF171D" w14:textId="77777777" w:rsidR="00EE7EB3" w:rsidRPr="00C83EDC" w:rsidRDefault="00EE7EB3" w:rsidP="00F233D4">
      <w:pPr>
        <w:pStyle w:val="Styl2ff"/>
      </w:pPr>
      <w:r w:rsidRPr="00C83EDC">
        <w:t xml:space="preserve">PCR product </w:t>
      </w:r>
      <w:proofErr w:type="spellStart"/>
      <w:r w:rsidRPr="00C83EDC">
        <w:t>cleanup</w:t>
      </w:r>
      <w:proofErr w:type="spellEnd"/>
    </w:p>
    <w:p w14:paraId="10168270" w14:textId="77777777" w:rsidR="00EE7EB3" w:rsidRPr="00C83EDC" w:rsidRDefault="00EE7EB3" w:rsidP="00EE7EB3">
      <w:pPr>
        <w:pStyle w:val="Odstavec1"/>
        <w:rPr>
          <w:lang w:val="en-GB"/>
        </w:rPr>
      </w:pPr>
      <w:r w:rsidRPr="00C83EDC">
        <w:rPr>
          <w:lang w:val="en-GB"/>
        </w:rPr>
        <w:t>A volume of 75 µl of vortexed QMN beads was placed to a new microfuge tube and 75 µl of library amplification reaction was added to it. The suspension was vortexed and briefly centrifuged. After the 5-minute incubation at room temperature, the tube was placed on a magnet stand. When the beads finished migrating, 145 µl of the supernatant was transferred to a new microfuge tube and 130 μl of vortexed QMN Beads were added to it. The suspension was then vortexed, briefly centrifuged and left to incubate at room temperature for 5 minutes. After that, the suspension was separated on the magnet stand and the supernatant was discarded. The bound beads were washed twice with 200 µl of freshly prepared 80% ethanol and air dried at room temperature for 8 minutes. Then they were resuspended in 17 µl of nuclease-free water and left to incubate at room temperature for 2 minutes. After the incubation, the beads were separated on the magnet stand and 15 µl of eluted DNA was transferred to a new tube. Prepared miRNA Sequencing Libraries were stored at −20 °C for later use.</w:t>
      </w:r>
    </w:p>
    <w:p w14:paraId="4A96C06E" w14:textId="77777777" w:rsidR="00EE7EB3" w:rsidRPr="00C83EDC" w:rsidRDefault="00EE7EB3" w:rsidP="00EE7EB3">
      <w:pPr>
        <w:pStyle w:val="Nadpis3"/>
        <w:rPr>
          <w:lang w:val="en-GB"/>
        </w:rPr>
      </w:pPr>
      <w:r w:rsidRPr="00C83EDC">
        <w:rPr>
          <w:lang w:val="en-GB"/>
        </w:rPr>
        <w:t xml:space="preserve">miRNA library pre-sequencing quantity and quality control </w:t>
      </w:r>
    </w:p>
    <w:p w14:paraId="14610937" w14:textId="77777777" w:rsidR="00EE7EB3" w:rsidRPr="00C83EDC" w:rsidRDefault="00EE7EB3" w:rsidP="00EE7EB3">
      <w:pPr>
        <w:pStyle w:val="Odstavec1"/>
        <w:rPr>
          <w:lang w:val="en-GB"/>
        </w:rPr>
      </w:pPr>
      <w:r w:rsidRPr="00C83EDC">
        <w:rPr>
          <w:lang w:val="en-GB"/>
        </w:rPr>
        <w:t>The library concentration was measured by Qubit 2.0 Fluorometer (</w:t>
      </w:r>
      <w:proofErr w:type="spellStart"/>
      <w:r w:rsidRPr="00C83EDC">
        <w:rPr>
          <w:lang w:val="en-GB"/>
        </w:rPr>
        <w:t>ThermoFisher</w:t>
      </w:r>
      <w:proofErr w:type="spellEnd"/>
      <w:r w:rsidRPr="00C83EDC">
        <w:rPr>
          <w:lang w:val="en-GB"/>
        </w:rPr>
        <w:t xml:space="preserve"> Scientific Inc., DE, USA) using reagents provided in Qubit™ dsDNA HS Assay Kit (</w:t>
      </w:r>
      <w:proofErr w:type="spellStart"/>
      <w:r w:rsidRPr="00C83EDC">
        <w:rPr>
          <w:lang w:val="en-GB"/>
        </w:rPr>
        <w:t>ThermoFisher</w:t>
      </w:r>
      <w:proofErr w:type="spellEnd"/>
      <w:r w:rsidRPr="00C83EDC">
        <w:rPr>
          <w:lang w:val="en-GB"/>
        </w:rPr>
        <w:t xml:space="preserve"> Scientific Inc., DE, USA). The Qubit working solution was prepared by diluting 1 µl of the Qubit dsDNA HS Reagent in 199 µl Qubit dsDNA HS Buffer. The calibration of the fluorometer was performed by using two standards. Both calibrating solutions were prepared by pipetting 10 µl Qubit dsDNA HS Standard #1 or #2 to 190 µl Qubit working solution. To prepare the sample, 2 µl of the library sample was added to 198 µl of the Qubit working solution. The solution was left incubating at room temperature for 2 minutes before the sample concentration was measured.</w:t>
      </w:r>
    </w:p>
    <w:p w14:paraId="69AB40DE" w14:textId="77777777" w:rsidR="00EE7EB3" w:rsidRPr="00C83EDC" w:rsidRDefault="00EE7EB3" w:rsidP="00EE7EB3">
      <w:pPr>
        <w:pStyle w:val="Dalodstavce"/>
        <w:rPr>
          <w:lang w:val="en-GB"/>
        </w:rPr>
      </w:pPr>
      <w:r w:rsidRPr="00C83EDC">
        <w:rPr>
          <w:lang w:val="en-GB"/>
        </w:rPr>
        <w:lastRenderedPageBreak/>
        <w:t xml:space="preserve">The quality of the library was analysed by capillary electrophoresis using 2200 </w:t>
      </w:r>
      <w:proofErr w:type="spellStart"/>
      <w:r w:rsidRPr="00C83EDC">
        <w:rPr>
          <w:lang w:val="en-GB"/>
        </w:rPr>
        <w:t>TapeStation</w:t>
      </w:r>
      <w:proofErr w:type="spellEnd"/>
      <w:r w:rsidRPr="00C83EDC">
        <w:rPr>
          <w:lang w:val="en-GB"/>
        </w:rPr>
        <w:t xml:space="preserve"> (Agilent, CA, USA). The assay was prepared by mixing 2 μl High Sensitivity D1000 Sample Buffer (Agilent, CA, USA) with 2 μl library sample, which was followed by thorough vortexing and centrifuging. For the sample analysis High Sensitivity D1000 </w:t>
      </w:r>
      <w:proofErr w:type="spellStart"/>
      <w:r w:rsidRPr="00C83EDC">
        <w:rPr>
          <w:lang w:val="en-GB"/>
        </w:rPr>
        <w:t>ScreenTape</w:t>
      </w:r>
      <w:proofErr w:type="spellEnd"/>
      <w:r w:rsidRPr="00C83EDC">
        <w:rPr>
          <w:lang w:val="en-GB"/>
        </w:rPr>
        <w:t xml:space="preserve"> (Agilent, CA, USA) was used and the results were processed in 2200 </w:t>
      </w:r>
      <w:proofErr w:type="spellStart"/>
      <w:r w:rsidRPr="00C83EDC">
        <w:rPr>
          <w:lang w:val="en-GB"/>
        </w:rPr>
        <w:t>TapeStation</w:t>
      </w:r>
      <w:proofErr w:type="spellEnd"/>
      <w:r w:rsidRPr="00C83EDC">
        <w:rPr>
          <w:lang w:val="en-GB"/>
        </w:rPr>
        <w:t xml:space="preserve"> Analysis Software (A.02.01 release).</w:t>
      </w:r>
    </w:p>
    <w:p w14:paraId="69E48632" w14:textId="77777777" w:rsidR="00EE7EB3" w:rsidRPr="00C83EDC" w:rsidRDefault="00EE7EB3" w:rsidP="00EE7EB3">
      <w:pPr>
        <w:pStyle w:val="Nadpis3"/>
        <w:rPr>
          <w:lang w:val="en-GB"/>
        </w:rPr>
      </w:pPr>
      <w:r w:rsidRPr="00C83EDC">
        <w:rPr>
          <w:lang w:val="en-GB"/>
        </w:rPr>
        <w:t xml:space="preserve">Small RNA sequencing </w:t>
      </w:r>
    </w:p>
    <w:p w14:paraId="7EFD2E89" w14:textId="0D5BF295" w:rsidR="00EE7EB3" w:rsidRPr="00C83EDC" w:rsidRDefault="00EE7EB3" w:rsidP="00EE7EB3">
      <w:pPr>
        <w:pStyle w:val="Odstavec1"/>
        <w:rPr>
          <w:lang w:val="en-GB"/>
        </w:rPr>
      </w:pPr>
      <w:r>
        <w:rPr>
          <w:lang w:val="en-GB"/>
        </w:rPr>
        <w:t xml:space="preserve">Each </w:t>
      </w:r>
      <w:r w:rsidRPr="00C83EDC">
        <w:rPr>
          <w:lang w:val="en-GB"/>
        </w:rPr>
        <w:t>miRNA Sequencing Librar</w:t>
      </w:r>
      <w:r>
        <w:rPr>
          <w:lang w:val="en-GB"/>
        </w:rPr>
        <w:t xml:space="preserve">y was diluted with nuclease-free water to 4 </w:t>
      </w:r>
      <w:proofErr w:type="spellStart"/>
      <w:r>
        <w:rPr>
          <w:lang w:val="en-GB"/>
        </w:rPr>
        <w:t>nM</w:t>
      </w:r>
      <w:proofErr w:type="spellEnd"/>
      <w:r>
        <w:rPr>
          <w:lang w:val="en-GB"/>
        </w:rPr>
        <w:t xml:space="preserve"> (2nM) and 2 </w:t>
      </w:r>
      <w:r w:rsidRPr="00C83EDC">
        <w:rPr>
          <w:lang w:val="en-GB"/>
        </w:rPr>
        <w:t>µl</w:t>
      </w:r>
      <w:r>
        <w:rPr>
          <w:lang w:val="en-GB"/>
        </w:rPr>
        <w:t> aliquot from each diluted library was pipetted in one tube to create a library pool.</w:t>
      </w:r>
      <w:r w:rsidRPr="00C83EDC">
        <w:rPr>
          <w:lang w:val="en-GB"/>
        </w:rPr>
        <w:t xml:space="preserve"> The amount of 5 µl (10 µl) of pooled 4.0 </w:t>
      </w:r>
      <w:proofErr w:type="spellStart"/>
      <w:r w:rsidRPr="00C83EDC">
        <w:rPr>
          <w:lang w:val="en-GB"/>
        </w:rPr>
        <w:t>nM</w:t>
      </w:r>
      <w:proofErr w:type="spellEnd"/>
      <w:r w:rsidRPr="00C83EDC">
        <w:rPr>
          <w:lang w:val="en-GB"/>
        </w:rPr>
        <w:t xml:space="preserve"> (2.0 </w:t>
      </w:r>
      <w:proofErr w:type="spellStart"/>
      <w:r w:rsidRPr="00C83EDC">
        <w:rPr>
          <w:lang w:val="en-GB"/>
        </w:rPr>
        <w:t>nM</w:t>
      </w:r>
      <w:proofErr w:type="spellEnd"/>
      <w:r w:rsidRPr="00C83EDC">
        <w:rPr>
          <w:lang w:val="en-GB"/>
        </w:rPr>
        <w:t>) sequencing libraries was denatured using 5</w:t>
      </w:r>
      <w:r>
        <w:rPr>
          <w:lang w:val="en-GB"/>
        </w:rPr>
        <w:t> </w:t>
      </w:r>
      <w:r w:rsidRPr="00C83EDC">
        <w:rPr>
          <w:lang w:val="en-GB"/>
        </w:rPr>
        <w:t xml:space="preserve">µl </w:t>
      </w:r>
      <w:r>
        <w:t>(</w:t>
      </w:r>
      <w:r w:rsidRPr="00C83EDC">
        <w:rPr>
          <w:lang w:val="en-GB"/>
        </w:rPr>
        <w:t>10 µl</w:t>
      </w:r>
      <w:r>
        <w:rPr>
          <w:lang w:val="en-GB"/>
        </w:rPr>
        <w:t>)</w:t>
      </w:r>
      <w:r w:rsidRPr="00C83EDC">
        <w:rPr>
          <w:lang w:val="en-GB"/>
        </w:rPr>
        <w:t xml:space="preserve"> of freshly diluted 0.2 M NaOH. The combined volumes were vortexed briefly, centrifuged at 280</w:t>
      </w:r>
      <w:r>
        <w:rPr>
          <w:lang w:val="en-GB"/>
        </w:rPr>
        <w:t> </w:t>
      </w:r>
      <w:r w:rsidRPr="00C83EDC">
        <w:rPr>
          <w:lang w:val="en-GB"/>
        </w:rPr>
        <w:t>x</w:t>
      </w:r>
      <w:r>
        <w:rPr>
          <w:lang w:val="en-GB"/>
        </w:rPr>
        <w:t> </w:t>
      </w:r>
      <w:r w:rsidRPr="00C83EDC">
        <w:rPr>
          <w:lang w:val="en-GB"/>
        </w:rPr>
        <w:t>g for 1 minute and left incubating at room temperature for 5 minutes. Then 5ul (10 µl) of 200 mM Tris-HCl</w:t>
      </w:r>
      <w:r>
        <w:rPr>
          <w:lang w:val="en-GB"/>
        </w:rPr>
        <w:t xml:space="preserve"> (</w:t>
      </w:r>
      <w:r w:rsidRPr="009D4DEE">
        <w:rPr>
          <w:lang w:val="en-GB"/>
        </w:rPr>
        <w:t>Sigma-Aldrich Inc., MO, USA</w:t>
      </w:r>
      <w:r>
        <w:rPr>
          <w:lang w:val="en-GB"/>
        </w:rPr>
        <w:t>)</w:t>
      </w:r>
      <w:r w:rsidRPr="00C83EDC">
        <w:rPr>
          <w:lang w:val="en-GB"/>
        </w:rPr>
        <w:t>, pH 7 was added. The contents were again vortexed and centrifuged at 280</w:t>
      </w:r>
      <w:r>
        <w:rPr>
          <w:lang w:val="en-GB"/>
        </w:rPr>
        <w:t> </w:t>
      </w:r>
      <w:r w:rsidRPr="00C83EDC">
        <w:rPr>
          <w:lang w:val="en-GB"/>
        </w:rPr>
        <w:t>x</w:t>
      </w:r>
      <w:r>
        <w:rPr>
          <w:lang w:val="en-GB"/>
        </w:rPr>
        <w:t> </w:t>
      </w:r>
      <w:r w:rsidRPr="00C83EDC">
        <w:rPr>
          <w:lang w:val="en-GB"/>
        </w:rPr>
        <w:t>g for 1 minute. Denatured libraries were diluted to the concentration of 20 </w:t>
      </w:r>
      <w:proofErr w:type="spellStart"/>
      <w:r w:rsidRPr="00C83EDC">
        <w:rPr>
          <w:lang w:val="en-GB"/>
        </w:rPr>
        <w:t>pM</w:t>
      </w:r>
      <w:proofErr w:type="spellEnd"/>
      <w:r w:rsidRPr="00C83EDC">
        <w:rPr>
          <w:lang w:val="en-GB"/>
        </w:rPr>
        <w:t xml:space="preserve"> by </w:t>
      </w:r>
      <w:r>
        <w:rPr>
          <w:lang w:val="en-GB"/>
        </w:rPr>
        <w:t>combining with</w:t>
      </w:r>
      <w:r w:rsidRPr="00C83EDC">
        <w:rPr>
          <w:lang w:val="en-GB"/>
        </w:rPr>
        <w:t xml:space="preserve"> 985 ul (970 µl) of prechilled HT1 buffer. The microfuge tube was vortexed briefly, centrifuged at 280 x g for 1 minute and placed on ice. The final dilution of</w:t>
      </w:r>
      <w:r>
        <w:rPr>
          <w:lang w:val="en-GB"/>
        </w:rPr>
        <w:t xml:space="preserve"> 20 </w:t>
      </w:r>
      <w:proofErr w:type="spellStart"/>
      <w:r>
        <w:rPr>
          <w:lang w:val="en-GB"/>
        </w:rPr>
        <w:t>pM</w:t>
      </w:r>
      <w:proofErr w:type="spellEnd"/>
      <w:r w:rsidRPr="00C83EDC">
        <w:rPr>
          <w:lang w:val="en-GB"/>
        </w:rPr>
        <w:t xml:space="preserve"> library </w:t>
      </w:r>
      <w:r>
        <w:rPr>
          <w:lang w:val="en-GB"/>
        </w:rPr>
        <w:t>solution</w:t>
      </w:r>
      <w:r w:rsidRPr="00C83EDC">
        <w:rPr>
          <w:lang w:val="en-GB"/>
        </w:rPr>
        <w:t xml:space="preserve"> to </w:t>
      </w:r>
      <w:r>
        <w:rPr>
          <w:lang w:val="en-GB"/>
        </w:rPr>
        <w:t>1.8 </w:t>
      </w:r>
      <w:proofErr w:type="spellStart"/>
      <w:r w:rsidRPr="00C83EDC">
        <w:rPr>
          <w:lang w:val="en-GB"/>
        </w:rPr>
        <w:t>pM</w:t>
      </w:r>
      <w:proofErr w:type="spellEnd"/>
      <w:r w:rsidRPr="00C83EDC">
        <w:rPr>
          <w:lang w:val="en-GB"/>
        </w:rPr>
        <w:t xml:space="preserve"> was performed by combining 117</w:t>
      </w:r>
      <w:r w:rsidR="00205DD1">
        <w:rPr>
          <w:lang w:val="en-GB"/>
        </w:rPr>
        <w:t> </w:t>
      </w:r>
      <w:r w:rsidRPr="00C83EDC">
        <w:rPr>
          <w:lang w:val="en-GB"/>
        </w:rPr>
        <w:t>µl of diluted pool with 1183 µl of prechilled HT1 buffer</w:t>
      </w:r>
      <w:r>
        <w:rPr>
          <w:lang w:val="en-GB"/>
        </w:rPr>
        <w:t>.</w:t>
      </w:r>
      <w:r w:rsidRPr="00C83EDC">
        <w:rPr>
          <w:lang w:val="en-GB"/>
        </w:rPr>
        <w:t xml:space="preserve"> The tube containing diluted pool was gently mixed and briefly centrifuged. As a sequencing control, 2 µl of 20 </w:t>
      </w:r>
      <w:proofErr w:type="spellStart"/>
      <w:r w:rsidRPr="00C83EDC">
        <w:rPr>
          <w:lang w:val="en-GB"/>
        </w:rPr>
        <w:t>pM</w:t>
      </w:r>
      <w:proofErr w:type="spellEnd"/>
      <w:r w:rsidRPr="00C83EDC">
        <w:rPr>
          <w:lang w:val="en-GB"/>
        </w:rPr>
        <w:t xml:space="preserve"> </w:t>
      </w:r>
      <w:proofErr w:type="spellStart"/>
      <w:r w:rsidRPr="00C83EDC">
        <w:rPr>
          <w:lang w:val="en-GB"/>
        </w:rPr>
        <w:t>PhiX</w:t>
      </w:r>
      <w:proofErr w:type="spellEnd"/>
      <w:r w:rsidRPr="00C83EDC">
        <w:rPr>
          <w:lang w:val="en-GB"/>
        </w:rPr>
        <w:t xml:space="preserve"> (Illumina, CA, USA) was added to the tube. Then the total volume of 1302 µl was loaded onto the reagent cartridge (</w:t>
      </w:r>
      <w:proofErr w:type="spellStart"/>
      <w:r w:rsidRPr="00C83EDC">
        <w:rPr>
          <w:lang w:val="en-GB"/>
        </w:rPr>
        <w:t>NextSeq</w:t>
      </w:r>
      <w:proofErr w:type="spellEnd"/>
      <w:r w:rsidRPr="00C83EDC">
        <w:rPr>
          <w:lang w:val="en-GB"/>
        </w:rPr>
        <w:t xml:space="preserve"> 500/550 High Output v2 Kit (75 cycles) (Illumina, CA, USA) and Small RNA sequencing was performed on </w:t>
      </w:r>
      <w:proofErr w:type="spellStart"/>
      <w:r w:rsidRPr="00C83EDC">
        <w:rPr>
          <w:lang w:val="en-GB"/>
        </w:rPr>
        <w:t>NextSeq</w:t>
      </w:r>
      <w:proofErr w:type="spellEnd"/>
      <w:r w:rsidRPr="00C83EDC">
        <w:rPr>
          <w:lang w:val="en-GB"/>
        </w:rPr>
        <w:t xml:space="preserve"> 500 System (Illumina, CA, USA)</w:t>
      </w:r>
      <w:r>
        <w:rPr>
          <w:lang w:val="en-GB"/>
        </w:rPr>
        <w:t>.</w:t>
      </w:r>
    </w:p>
    <w:p w14:paraId="51EF4012" w14:textId="77777777" w:rsidR="00EE7EB3" w:rsidRPr="00C83EDC" w:rsidRDefault="00EE7EB3" w:rsidP="00EE7EB3">
      <w:pPr>
        <w:pStyle w:val="Nadpis3"/>
        <w:rPr>
          <w:lang w:val="en-GB"/>
        </w:rPr>
      </w:pPr>
      <w:r w:rsidRPr="00C83EDC">
        <w:rPr>
          <w:lang w:val="en-GB"/>
        </w:rPr>
        <w:t xml:space="preserve"> Data </w:t>
      </w:r>
      <w:r>
        <w:rPr>
          <w:lang w:val="en-GB"/>
        </w:rPr>
        <w:t xml:space="preserve">processing and </w:t>
      </w:r>
      <w:r w:rsidRPr="00C83EDC">
        <w:rPr>
          <w:lang w:val="en-GB"/>
        </w:rPr>
        <w:t>analysis</w:t>
      </w:r>
    </w:p>
    <w:p w14:paraId="6279C795" w14:textId="77777777" w:rsidR="00EE7EB3" w:rsidRPr="00C83EDC" w:rsidRDefault="00EE7EB3" w:rsidP="00EE7EB3">
      <w:pPr>
        <w:pStyle w:val="Odstavec1"/>
        <w:rPr>
          <w:lang w:val="en-GB"/>
        </w:rPr>
      </w:pPr>
      <w:r>
        <w:rPr>
          <w:lang w:val="en-GB"/>
        </w:rPr>
        <w:t>Initially, t</w:t>
      </w:r>
      <w:r w:rsidRPr="005E273C">
        <w:rPr>
          <w:lang w:val="en-GB"/>
        </w:rPr>
        <w:t xml:space="preserve">he raw sequencing images </w:t>
      </w:r>
      <w:r>
        <w:rPr>
          <w:lang w:val="en-GB"/>
        </w:rPr>
        <w:t xml:space="preserve">were </w:t>
      </w:r>
      <w:r w:rsidRPr="005E273C">
        <w:rPr>
          <w:lang w:val="en-GB"/>
        </w:rPr>
        <w:t xml:space="preserve">converted to the </w:t>
      </w:r>
      <w:proofErr w:type="spellStart"/>
      <w:r w:rsidRPr="005E273C">
        <w:rPr>
          <w:lang w:val="en-GB"/>
        </w:rPr>
        <w:t>fastq</w:t>
      </w:r>
      <w:proofErr w:type="spellEnd"/>
      <w:r w:rsidRPr="005E273C">
        <w:rPr>
          <w:lang w:val="en-GB"/>
        </w:rPr>
        <w:t xml:space="preserve"> format using bcl2fastq (version 2.20.0)</w:t>
      </w:r>
      <w:r>
        <w:rPr>
          <w:lang w:val="en-GB"/>
        </w:rPr>
        <w:t xml:space="preserve">. </w:t>
      </w:r>
      <w:proofErr w:type="spellStart"/>
      <w:r w:rsidRPr="005E273C">
        <w:rPr>
          <w:lang w:val="en-GB"/>
        </w:rPr>
        <w:t>Preprocessing</w:t>
      </w:r>
      <w:proofErr w:type="spellEnd"/>
      <w:r>
        <w:rPr>
          <w:lang w:val="en-GB"/>
        </w:rPr>
        <w:t xml:space="preserve"> of the sequencing data involved several steps. First, the quality of </w:t>
      </w:r>
      <w:r w:rsidRPr="005E273C">
        <w:rPr>
          <w:lang w:val="en-GB"/>
        </w:rPr>
        <w:t xml:space="preserve">raw reads </w:t>
      </w:r>
      <w:r>
        <w:rPr>
          <w:lang w:val="en-GB"/>
        </w:rPr>
        <w:t>was</w:t>
      </w:r>
      <w:r w:rsidRPr="005E273C">
        <w:rPr>
          <w:lang w:val="en-GB"/>
        </w:rPr>
        <w:t xml:space="preserve"> checked with the </w:t>
      </w:r>
      <w:proofErr w:type="spellStart"/>
      <w:r w:rsidRPr="005E273C">
        <w:rPr>
          <w:lang w:val="en-GB"/>
        </w:rPr>
        <w:t>FastQC</w:t>
      </w:r>
      <w:proofErr w:type="spellEnd"/>
      <w:r w:rsidRPr="005E273C">
        <w:rPr>
          <w:lang w:val="en-GB"/>
        </w:rPr>
        <w:t xml:space="preserve"> package (version 0.11.8)</w:t>
      </w:r>
      <w:r>
        <w:rPr>
          <w:lang w:val="en-GB"/>
        </w:rPr>
        <w:t xml:space="preserve">, then </w:t>
      </w:r>
      <w:r w:rsidRPr="005E273C">
        <w:rPr>
          <w:lang w:val="en-GB"/>
        </w:rPr>
        <w:t>adapter sequences</w:t>
      </w:r>
      <w:r>
        <w:rPr>
          <w:lang w:val="en-GB"/>
        </w:rPr>
        <w:t xml:space="preserve"> were</w:t>
      </w:r>
      <w:r w:rsidRPr="005E273C">
        <w:rPr>
          <w:lang w:val="en-GB"/>
        </w:rPr>
        <w:t xml:space="preserve"> identified by Kraken package (15-065) and trimmed using </w:t>
      </w:r>
      <w:proofErr w:type="spellStart"/>
      <w:r w:rsidRPr="005E273C">
        <w:rPr>
          <w:lang w:val="en-GB"/>
        </w:rPr>
        <w:t>Cutadapt</w:t>
      </w:r>
      <w:proofErr w:type="spellEnd"/>
      <w:r>
        <w:rPr>
          <w:lang w:val="en-GB"/>
        </w:rPr>
        <w:t xml:space="preserve"> </w:t>
      </w:r>
      <w:r w:rsidRPr="005E273C">
        <w:rPr>
          <w:lang w:val="en-GB"/>
        </w:rPr>
        <w:t>(version 1.18)</w:t>
      </w:r>
      <w:r>
        <w:rPr>
          <w:lang w:val="en-GB"/>
        </w:rPr>
        <w:t xml:space="preserve">. After that, </w:t>
      </w:r>
      <w:r w:rsidRPr="005E273C">
        <w:rPr>
          <w:lang w:val="en-GB"/>
        </w:rPr>
        <w:t>read</w:t>
      </w:r>
      <w:r>
        <w:rPr>
          <w:lang w:val="en-GB"/>
        </w:rPr>
        <w:t>s</w:t>
      </w:r>
      <w:r w:rsidRPr="005E273C">
        <w:rPr>
          <w:lang w:val="en-GB"/>
        </w:rPr>
        <w:t xml:space="preserve"> </w:t>
      </w:r>
      <w:r>
        <w:rPr>
          <w:lang w:val="en-GB"/>
        </w:rPr>
        <w:t xml:space="preserve">were </w:t>
      </w:r>
      <w:r w:rsidRPr="005E273C">
        <w:rPr>
          <w:lang w:val="en-GB"/>
        </w:rPr>
        <w:t>collaps</w:t>
      </w:r>
      <w:r>
        <w:rPr>
          <w:lang w:val="en-GB"/>
        </w:rPr>
        <w:t>ed</w:t>
      </w:r>
      <w:r w:rsidRPr="005E273C">
        <w:rPr>
          <w:lang w:val="en-GB"/>
        </w:rPr>
        <w:t xml:space="preserve"> </w:t>
      </w:r>
      <w:r>
        <w:rPr>
          <w:lang w:val="en-GB"/>
        </w:rPr>
        <w:t>using</w:t>
      </w:r>
      <w:r w:rsidRPr="005E273C">
        <w:rPr>
          <w:lang w:val="en-GB"/>
        </w:rPr>
        <w:t xml:space="preserve"> unique molecular identifiers (UMIs) with FASTX-Toolkit (version</w:t>
      </w:r>
      <w:r>
        <w:rPr>
          <w:lang w:val="en-GB"/>
        </w:rPr>
        <w:t xml:space="preserve"> </w:t>
      </w:r>
      <w:r w:rsidRPr="005E273C">
        <w:rPr>
          <w:lang w:val="en-GB"/>
        </w:rPr>
        <w:t>0.0.14)</w:t>
      </w:r>
      <w:r>
        <w:rPr>
          <w:lang w:val="en-GB"/>
        </w:rPr>
        <w:t xml:space="preserve">. Lastly, </w:t>
      </w:r>
      <w:r w:rsidRPr="005E273C">
        <w:rPr>
          <w:lang w:val="en-GB"/>
        </w:rPr>
        <w:t xml:space="preserve">reads originating from snoRNAs, snRNAs, rRNAs, tRNAs, </w:t>
      </w:r>
      <w:proofErr w:type="spellStart"/>
      <w:r w:rsidRPr="005E273C">
        <w:rPr>
          <w:lang w:val="en-GB"/>
        </w:rPr>
        <w:t>piRNAs</w:t>
      </w:r>
      <w:proofErr w:type="spellEnd"/>
      <w:r w:rsidRPr="005E273C">
        <w:rPr>
          <w:lang w:val="en-GB"/>
        </w:rPr>
        <w:t xml:space="preserve"> and YRNAs</w:t>
      </w:r>
      <w:r>
        <w:rPr>
          <w:lang w:val="en-GB"/>
        </w:rPr>
        <w:t xml:space="preserve"> </w:t>
      </w:r>
      <w:r w:rsidRPr="005E273C">
        <w:rPr>
          <w:lang w:val="en-GB"/>
        </w:rPr>
        <w:t xml:space="preserve">(sequences downloaded from </w:t>
      </w:r>
      <w:proofErr w:type="spellStart"/>
      <w:r w:rsidRPr="005E273C">
        <w:rPr>
          <w:lang w:val="en-GB"/>
        </w:rPr>
        <w:t>Ensembl</w:t>
      </w:r>
      <w:proofErr w:type="spellEnd"/>
      <w:r w:rsidRPr="005E273C">
        <w:rPr>
          <w:lang w:val="en-GB"/>
        </w:rPr>
        <w:t xml:space="preserve"> and </w:t>
      </w:r>
      <w:proofErr w:type="spellStart"/>
      <w:r w:rsidRPr="005E273C">
        <w:rPr>
          <w:lang w:val="en-GB"/>
        </w:rPr>
        <w:t>RefSeq</w:t>
      </w:r>
      <w:proofErr w:type="spellEnd"/>
      <w:r w:rsidRPr="005E273C">
        <w:rPr>
          <w:lang w:val="en-GB"/>
        </w:rPr>
        <w:t xml:space="preserve"> databases) </w:t>
      </w:r>
      <w:r>
        <w:rPr>
          <w:lang w:val="en-GB"/>
        </w:rPr>
        <w:t xml:space="preserve">were </w:t>
      </w:r>
      <w:r w:rsidRPr="005E273C">
        <w:rPr>
          <w:lang w:val="en-GB"/>
        </w:rPr>
        <w:t>identified using Bowtie</w:t>
      </w:r>
      <w:r>
        <w:rPr>
          <w:lang w:val="en-GB"/>
        </w:rPr>
        <w:t xml:space="preserve"> </w:t>
      </w:r>
      <w:r w:rsidRPr="005E273C">
        <w:rPr>
          <w:lang w:val="en-GB"/>
        </w:rPr>
        <w:t xml:space="preserve">(version 1.2.2) and </w:t>
      </w:r>
      <w:r>
        <w:rPr>
          <w:lang w:val="en-GB"/>
        </w:rPr>
        <w:t xml:space="preserve">then </w:t>
      </w:r>
      <w:r w:rsidRPr="005E273C">
        <w:rPr>
          <w:lang w:val="en-GB"/>
        </w:rPr>
        <w:t>removed from the data</w:t>
      </w:r>
      <w:r>
        <w:rPr>
          <w:lang w:val="en-GB"/>
        </w:rPr>
        <w:t>. Reads were m</w:t>
      </w:r>
      <w:r w:rsidRPr="005E273C">
        <w:rPr>
          <w:lang w:val="en-GB"/>
        </w:rPr>
        <w:t>app</w:t>
      </w:r>
      <w:r>
        <w:rPr>
          <w:lang w:val="en-GB"/>
        </w:rPr>
        <w:t>ed</w:t>
      </w:r>
      <w:r w:rsidRPr="005E273C">
        <w:rPr>
          <w:lang w:val="en-GB"/>
        </w:rPr>
        <w:t xml:space="preserve"> </w:t>
      </w:r>
      <w:r>
        <w:rPr>
          <w:lang w:val="en-GB"/>
        </w:rPr>
        <w:t xml:space="preserve">to </w:t>
      </w:r>
      <w:proofErr w:type="spellStart"/>
      <w:r w:rsidRPr="005E273C">
        <w:rPr>
          <w:lang w:val="en-GB"/>
        </w:rPr>
        <w:t>miRBase</w:t>
      </w:r>
      <w:proofErr w:type="spellEnd"/>
      <w:r w:rsidRPr="005E273C">
        <w:rPr>
          <w:lang w:val="en-GB"/>
        </w:rPr>
        <w:t xml:space="preserve"> (version </w:t>
      </w:r>
      <w:r w:rsidRPr="005E273C">
        <w:rPr>
          <w:lang w:val="en-GB"/>
        </w:rPr>
        <w:lastRenderedPageBreak/>
        <w:t>21) u</w:t>
      </w:r>
      <w:r>
        <w:rPr>
          <w:lang w:val="en-GB"/>
        </w:rPr>
        <w:t>sing</w:t>
      </w:r>
      <w:r w:rsidRPr="005E273C">
        <w:rPr>
          <w:lang w:val="en-GB"/>
        </w:rPr>
        <w:t xml:space="preserve"> </w:t>
      </w:r>
      <w:proofErr w:type="spellStart"/>
      <w:r w:rsidRPr="005E273C">
        <w:rPr>
          <w:lang w:val="en-GB"/>
        </w:rPr>
        <w:t>miraligner</w:t>
      </w:r>
      <w:proofErr w:type="spellEnd"/>
      <w:r w:rsidRPr="005E273C">
        <w:rPr>
          <w:lang w:val="en-GB"/>
        </w:rPr>
        <w:t xml:space="preserve"> tool (version 1.2.4)</w:t>
      </w:r>
      <w:r>
        <w:rPr>
          <w:lang w:val="en-GB"/>
        </w:rPr>
        <w:t xml:space="preserve">. </w:t>
      </w:r>
      <w:r w:rsidRPr="005E273C">
        <w:rPr>
          <w:lang w:val="en-GB"/>
        </w:rPr>
        <w:t>Statistical analysi</w:t>
      </w:r>
      <w:r>
        <w:rPr>
          <w:lang w:val="en-GB"/>
        </w:rPr>
        <w:t xml:space="preserve">s was </w:t>
      </w:r>
      <w:r w:rsidRPr="005E273C">
        <w:rPr>
          <w:lang w:val="en-GB"/>
        </w:rPr>
        <w:t xml:space="preserve">carried out in R (version 3.4.3) with DESeq2 package (version 1.18.1) and </w:t>
      </w:r>
      <w:proofErr w:type="spellStart"/>
      <w:r w:rsidRPr="005E273C">
        <w:rPr>
          <w:lang w:val="en-GB"/>
        </w:rPr>
        <w:t>edgeR</w:t>
      </w:r>
      <w:proofErr w:type="spellEnd"/>
      <w:r>
        <w:rPr>
          <w:lang w:val="en-GB"/>
        </w:rPr>
        <w:t xml:space="preserve"> </w:t>
      </w:r>
      <w:r w:rsidRPr="005E273C">
        <w:rPr>
          <w:lang w:val="en-GB"/>
        </w:rPr>
        <w:t>package (3.26.8)</w:t>
      </w:r>
      <w:r>
        <w:rPr>
          <w:lang w:val="en-GB"/>
        </w:rPr>
        <w:t>.</w:t>
      </w:r>
      <w:r w:rsidRPr="00C83EDC">
        <w:rPr>
          <w:lang w:val="en-GB"/>
        </w:rPr>
        <w:br w:type="page"/>
      </w:r>
    </w:p>
    <w:p w14:paraId="74EA7F2F" w14:textId="77777777" w:rsidR="00EE7EB3" w:rsidRPr="00C83EDC" w:rsidRDefault="00EE7EB3" w:rsidP="00EE7EB3">
      <w:pPr>
        <w:pStyle w:val="Nadpis1"/>
        <w:rPr>
          <w:lang w:val="en-GB"/>
        </w:rPr>
      </w:pPr>
      <w:bookmarkStart w:id="74" w:name="_Toc47889328"/>
      <w:bookmarkStart w:id="75" w:name="_Toc48160999"/>
      <w:r w:rsidRPr="00C83EDC">
        <w:rPr>
          <w:lang w:val="en-GB"/>
        </w:rPr>
        <w:lastRenderedPageBreak/>
        <w:t>Results</w:t>
      </w:r>
      <w:bookmarkEnd w:id="74"/>
      <w:bookmarkEnd w:id="75"/>
    </w:p>
    <w:p w14:paraId="631E2908" w14:textId="77777777" w:rsidR="00EE7EB3" w:rsidRPr="00C83EDC" w:rsidRDefault="00EE7EB3" w:rsidP="00EE7EB3">
      <w:pPr>
        <w:pStyle w:val="Nadpis2"/>
        <w:rPr>
          <w:lang w:val="en-GB"/>
        </w:rPr>
      </w:pPr>
      <w:bookmarkStart w:id="76" w:name="_Toc47889329"/>
      <w:bookmarkStart w:id="77" w:name="_Toc48161000"/>
      <w:r w:rsidRPr="00C83EDC">
        <w:rPr>
          <w:lang w:val="en-GB"/>
        </w:rPr>
        <w:t>miRNA profiling</w:t>
      </w:r>
      <w:r>
        <w:rPr>
          <w:lang w:val="en-GB"/>
        </w:rPr>
        <w:t xml:space="preserve"> in tumour tissue</w:t>
      </w:r>
      <w:bookmarkEnd w:id="76"/>
      <w:bookmarkEnd w:id="77"/>
      <w:r>
        <w:rPr>
          <w:lang w:val="en-GB"/>
        </w:rPr>
        <w:t xml:space="preserve"> </w:t>
      </w:r>
    </w:p>
    <w:p w14:paraId="1718F498" w14:textId="77777777" w:rsidR="00EE7EB3" w:rsidRPr="00C83EDC" w:rsidRDefault="00EE7EB3" w:rsidP="00EE7EB3">
      <w:pPr>
        <w:pStyle w:val="Nadpis3"/>
        <w:rPr>
          <w:lang w:val="en-GB"/>
        </w:rPr>
      </w:pPr>
      <w:r w:rsidRPr="00C83EDC">
        <w:rPr>
          <w:lang w:val="en-GB"/>
        </w:rPr>
        <w:t xml:space="preserve"> RNA isolation</w:t>
      </w:r>
    </w:p>
    <w:p w14:paraId="336C3925" w14:textId="77777777" w:rsidR="00EE7EB3" w:rsidRPr="00C83EDC" w:rsidRDefault="00EE7EB3" w:rsidP="00EE7EB3">
      <w:pPr>
        <w:pStyle w:val="Odstavec1"/>
        <w:rPr>
          <w:lang w:val="en-GB"/>
        </w:rPr>
      </w:pPr>
      <w:r w:rsidRPr="00C83EDC">
        <w:rPr>
          <w:lang w:val="en-GB"/>
        </w:rPr>
        <w:t xml:space="preserve">RNA was extracted from 40 FFPE samples of prostate tissue of indolent and aggressive prostate cancer patients who underwent biopsy at </w:t>
      </w:r>
      <w:r>
        <w:rPr>
          <w:lang w:val="en-GB"/>
        </w:rPr>
        <w:t>MMCI</w:t>
      </w:r>
      <w:r w:rsidRPr="00C83EDC">
        <w:rPr>
          <w:lang w:val="en-GB"/>
        </w:rPr>
        <w:t xml:space="preserve"> in Brno. Patient and clinical characteristics are summarized in </w:t>
      </w:r>
      <w:r w:rsidRPr="00EF3D19">
        <w:rPr>
          <w:lang w:val="en-GB"/>
        </w:rPr>
        <w:t xml:space="preserve">Table </w:t>
      </w:r>
      <w:r>
        <w:rPr>
          <w:lang w:val="en-GB"/>
        </w:rPr>
        <w:t>VII</w:t>
      </w:r>
      <w:r w:rsidRPr="00C83EDC">
        <w:rPr>
          <w:lang w:val="en-GB"/>
        </w:rPr>
        <w:t>. Obtained average concentration of RNA was 338 ng·µl</w:t>
      </w:r>
      <w:r w:rsidRPr="00C83EDC">
        <w:rPr>
          <w:vertAlign w:val="superscript"/>
          <w:lang w:val="en-GB"/>
        </w:rPr>
        <w:t>−1</w:t>
      </w:r>
      <w:r w:rsidRPr="00C83EDC">
        <w:rPr>
          <w:lang w:val="en-GB"/>
        </w:rPr>
        <w:t>; the concentration values ranged from 113 to 821 ng·µl</w:t>
      </w:r>
      <w:r w:rsidRPr="00C83EDC">
        <w:rPr>
          <w:vertAlign w:val="superscript"/>
          <w:lang w:val="en-GB"/>
        </w:rPr>
        <w:t>−1</w:t>
      </w:r>
      <w:r w:rsidRPr="00C83EDC">
        <w:rPr>
          <w:lang w:val="en-GB"/>
        </w:rPr>
        <w:t xml:space="preserve">. For the following cDNA synthesis, RNA was diluted to a working concentration </w:t>
      </w:r>
      <w:r>
        <w:rPr>
          <w:lang w:val="en-GB"/>
        </w:rPr>
        <w:t xml:space="preserve">of </w:t>
      </w:r>
      <w:r w:rsidRPr="00C83EDC">
        <w:rPr>
          <w:lang w:val="en-GB"/>
        </w:rPr>
        <w:t>5 ng·µl</w:t>
      </w:r>
      <w:r w:rsidRPr="00C83EDC">
        <w:rPr>
          <w:vertAlign w:val="superscript"/>
          <w:lang w:val="en-GB"/>
        </w:rPr>
        <w:t>−1</w:t>
      </w:r>
      <w:r w:rsidRPr="00C83EDC">
        <w:rPr>
          <w:lang w:val="en-GB"/>
        </w:rPr>
        <w:t>.</w:t>
      </w:r>
    </w:p>
    <w:p w14:paraId="59D916AF" w14:textId="77777777" w:rsidR="00EE7EB3" w:rsidRPr="00C83EDC" w:rsidRDefault="00EE7EB3" w:rsidP="00EE7EB3">
      <w:pPr>
        <w:pStyle w:val="Nadpis3"/>
        <w:rPr>
          <w:lang w:val="en-GB"/>
        </w:rPr>
      </w:pPr>
      <w:r w:rsidRPr="00C83EDC">
        <w:rPr>
          <w:lang w:val="en-GB"/>
        </w:rPr>
        <w:t>Quantitative Real-Time PCR assay and data analysis</w:t>
      </w:r>
    </w:p>
    <w:p w14:paraId="78481408" w14:textId="77777777" w:rsidR="00EE7EB3" w:rsidRPr="00C83EDC" w:rsidRDefault="00EE7EB3" w:rsidP="00EE7EB3">
      <w:pPr>
        <w:pStyle w:val="Odstavec1"/>
        <w:rPr>
          <w:lang w:val="en-GB"/>
        </w:rPr>
      </w:pPr>
      <w:r w:rsidRPr="00C83EDC">
        <w:rPr>
          <w:lang w:val="en-GB"/>
        </w:rPr>
        <w:t xml:space="preserve">The detection of miRNA expression levels was performed using </w:t>
      </w:r>
      <w:proofErr w:type="spellStart"/>
      <w:r w:rsidRPr="00C83EDC">
        <w:rPr>
          <w:lang w:val="en-GB"/>
        </w:rPr>
        <w:t>miRCURY</w:t>
      </w:r>
      <w:proofErr w:type="spellEnd"/>
      <w:r w:rsidRPr="00C83EDC">
        <w:rPr>
          <w:lang w:val="en-GB"/>
        </w:rPr>
        <w:t xml:space="preserve"> LNA miRNA </w:t>
      </w:r>
      <w:proofErr w:type="spellStart"/>
      <w:r w:rsidRPr="00C83EDC">
        <w:rPr>
          <w:lang w:val="en-GB"/>
        </w:rPr>
        <w:t>miRNome</w:t>
      </w:r>
      <w:proofErr w:type="spellEnd"/>
      <w:r w:rsidRPr="00C83EDC">
        <w:rPr>
          <w:lang w:val="en-GB"/>
        </w:rPr>
        <w:t xml:space="preserve"> PCR Panels that offer profiling of 752 unique and specific miRNA targets.</w:t>
      </w:r>
      <w:r>
        <w:rPr>
          <w:lang w:val="en-GB"/>
        </w:rPr>
        <w:t xml:space="preserve"> One sample of indolent </w:t>
      </w:r>
      <w:proofErr w:type="spellStart"/>
      <w:r>
        <w:rPr>
          <w:lang w:val="en-GB"/>
        </w:rPr>
        <w:t>PCa</w:t>
      </w:r>
      <w:proofErr w:type="spellEnd"/>
      <w:r>
        <w:rPr>
          <w:lang w:val="en-GB"/>
        </w:rPr>
        <w:t xml:space="preserve"> was removed from the analysis because of the failed quantification reaction.</w:t>
      </w:r>
      <w:r w:rsidRPr="00C83EDC">
        <w:rPr>
          <w:lang w:val="en-GB"/>
        </w:rPr>
        <w:t xml:space="preserve"> After data pre-processing and C</w:t>
      </w:r>
      <w:r>
        <w:rPr>
          <w:lang w:val="en-GB"/>
        </w:rPr>
        <w:t>t</w:t>
      </w:r>
      <w:r w:rsidRPr="00C83EDC">
        <w:rPr>
          <w:lang w:val="en-GB"/>
        </w:rPr>
        <w:t xml:space="preserve"> value recalculation by IPC calibration factor, three </w:t>
      </w:r>
      <w:r>
        <w:rPr>
          <w:lang w:val="en-GB"/>
        </w:rPr>
        <w:t>reference</w:t>
      </w:r>
      <w:r w:rsidRPr="00C83EDC">
        <w:rPr>
          <w:lang w:val="en-GB"/>
        </w:rPr>
        <w:t xml:space="preserve"> genes were selected for</w:t>
      </w:r>
      <w:r>
        <w:rPr>
          <w:lang w:val="en-GB"/>
        </w:rPr>
        <w:t xml:space="preserve"> the</w:t>
      </w:r>
      <w:r w:rsidRPr="00C83EDC">
        <w:rPr>
          <w:lang w:val="en-GB"/>
        </w:rPr>
        <w:t xml:space="preserve"> following </w:t>
      </w:r>
      <w:proofErr w:type="spellStart"/>
      <w:r w:rsidRPr="00C83EDC">
        <w:rPr>
          <w:lang w:val="en-GB"/>
        </w:rPr>
        <w:t>qRT</w:t>
      </w:r>
      <w:proofErr w:type="spellEnd"/>
      <w:r w:rsidRPr="00C83EDC">
        <w:rPr>
          <w:lang w:val="en-GB"/>
        </w:rPr>
        <w:t xml:space="preserve">-PCR data normalization. Using two </w:t>
      </w:r>
      <w:proofErr w:type="spellStart"/>
      <w:r w:rsidRPr="00C83EDC">
        <w:rPr>
          <w:lang w:val="en-GB"/>
        </w:rPr>
        <w:t>genEx</w:t>
      </w:r>
      <w:proofErr w:type="spellEnd"/>
      <w:r w:rsidRPr="00C83EDC">
        <w:rPr>
          <w:lang w:val="en-GB"/>
        </w:rPr>
        <w:t xml:space="preserve"> algorithms, </w:t>
      </w:r>
      <w:proofErr w:type="spellStart"/>
      <w:r w:rsidRPr="00C83EDC">
        <w:rPr>
          <w:lang w:val="en-GB"/>
        </w:rPr>
        <w:t>GeNorm</w:t>
      </w:r>
      <w:proofErr w:type="spellEnd"/>
      <w:r w:rsidRPr="00C83EDC">
        <w:rPr>
          <w:lang w:val="en-GB"/>
        </w:rPr>
        <w:t xml:space="preserve"> and </w:t>
      </w:r>
      <w:proofErr w:type="spellStart"/>
      <w:r w:rsidRPr="00C83EDC">
        <w:rPr>
          <w:lang w:val="en-GB"/>
        </w:rPr>
        <w:t>Normfinder</w:t>
      </w:r>
      <w:proofErr w:type="spellEnd"/>
      <w:r w:rsidRPr="00C83EDC">
        <w:rPr>
          <w:lang w:val="en-GB"/>
        </w:rPr>
        <w:t>, hsa‑miR‑26a‑5p, hsa-miR‑26b‑5p, and hsa-miR‑30e‑5p were found the best endogenous controls with most stable expression across the analysed cohort. All three miRNAs were top candidates with lowest M-value</w:t>
      </w:r>
      <w:r w:rsidRPr="00EF3D19">
        <w:rPr>
          <w:lang w:val="en-GB"/>
        </w:rPr>
        <w:t xml:space="preserve">s identified by </w:t>
      </w:r>
      <w:proofErr w:type="spellStart"/>
      <w:r w:rsidRPr="00EF3D19">
        <w:rPr>
          <w:lang w:val="en-GB"/>
        </w:rPr>
        <w:t>GeNorm</w:t>
      </w:r>
      <w:proofErr w:type="spellEnd"/>
      <w:r w:rsidRPr="00EF3D19">
        <w:rPr>
          <w:lang w:val="en-GB"/>
        </w:rPr>
        <w:t xml:space="preserve"> (Fig</w:t>
      </w:r>
      <w:r>
        <w:rPr>
          <w:lang w:val="en-GB"/>
        </w:rPr>
        <w:t>ure</w:t>
      </w:r>
      <w:r w:rsidRPr="00EF3D19">
        <w:rPr>
          <w:lang w:val="en-GB"/>
        </w:rPr>
        <w:t xml:space="preserve"> 2) and low standard deviation calculated with </w:t>
      </w:r>
      <w:proofErr w:type="spellStart"/>
      <w:r w:rsidRPr="00EF3D19">
        <w:rPr>
          <w:lang w:val="en-GB"/>
        </w:rPr>
        <w:t>Normfinder</w:t>
      </w:r>
      <w:proofErr w:type="spellEnd"/>
      <w:r w:rsidRPr="00EF3D19">
        <w:rPr>
          <w:lang w:val="en-GB"/>
        </w:rPr>
        <w:t xml:space="preserve"> (Fig</w:t>
      </w:r>
      <w:r>
        <w:rPr>
          <w:lang w:val="en-GB"/>
        </w:rPr>
        <w:t>ure</w:t>
      </w:r>
      <w:r w:rsidRPr="00EF3D19">
        <w:rPr>
          <w:lang w:val="en-GB"/>
        </w:rPr>
        <w:t xml:space="preserve"> 3).</w:t>
      </w:r>
      <w:r>
        <w:rPr>
          <w:lang w:val="en-GB"/>
        </w:rPr>
        <w:t xml:space="preserve"> </w:t>
      </w:r>
    </w:p>
    <w:p w14:paraId="00357CA8" w14:textId="77777777" w:rsidR="00EE7EB3" w:rsidRPr="00C83EDC" w:rsidRDefault="00EE7EB3" w:rsidP="00EE7EB3">
      <w:pPr>
        <w:pStyle w:val="Obrzek"/>
        <w:rPr>
          <w:lang w:val="en-GB"/>
        </w:rPr>
      </w:pPr>
      <w:r w:rsidRPr="00C83EDC">
        <w:rPr>
          <w:noProof/>
          <w:lang w:val="en-GB"/>
        </w:rPr>
        <w:lastRenderedPageBreak/>
        <w:drawing>
          <wp:inline distT="0" distB="0" distL="0" distR="0" wp14:anchorId="6CDFCC4D" wp14:editId="60AD9DDB">
            <wp:extent cx="3932537" cy="2819400"/>
            <wp:effectExtent l="0" t="0" r="0" b="8890"/>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tretch>
                      <a:fillRect/>
                    </a:stretch>
                  </pic:blipFill>
                  <pic:spPr bwMode="auto">
                    <a:xfrm>
                      <a:off x="0" y="0"/>
                      <a:ext cx="3932537" cy="2819400"/>
                    </a:xfrm>
                    <a:prstGeom prst="rect">
                      <a:avLst/>
                    </a:prstGeom>
                    <a:noFill/>
                    <a:ln>
                      <a:noFill/>
                    </a:ln>
                  </pic:spPr>
                </pic:pic>
              </a:graphicData>
            </a:graphic>
          </wp:inline>
        </w:drawing>
      </w:r>
    </w:p>
    <w:p w14:paraId="1EFBF55A" w14:textId="61C73CB4" w:rsidR="00EE7EB3" w:rsidRPr="00F233D4" w:rsidRDefault="00EE7EB3" w:rsidP="00F233D4">
      <w:pPr>
        <w:pStyle w:val="Titulek"/>
        <w:jc w:val="left"/>
        <w:rPr>
          <w:b w:val="0"/>
          <w:bCs w:val="0"/>
          <w:lang w:val="en-GB"/>
        </w:rPr>
      </w:pPr>
      <w:bookmarkStart w:id="78" w:name="_Toc47541124"/>
      <w:r w:rsidRPr="00C83EDC">
        <w:rPr>
          <w:lang w:val="en-GB"/>
        </w:rPr>
        <w:t>Fig</w:t>
      </w:r>
      <w:r>
        <w:rPr>
          <w:lang w:val="en-GB"/>
        </w:rPr>
        <w:t>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2</w:t>
      </w:r>
      <w:r w:rsidRPr="00C83EDC">
        <w:rPr>
          <w:noProof/>
          <w:lang w:val="en-GB"/>
        </w:rPr>
        <w:fldChar w:fldCharType="end"/>
      </w:r>
      <w:r w:rsidRPr="00C83EDC">
        <w:rPr>
          <w:noProof/>
          <w:lang w:val="en-GB"/>
        </w:rPr>
        <w:t>.</w:t>
      </w:r>
      <w:r w:rsidRPr="00C83EDC">
        <w:rPr>
          <w:lang w:val="en-GB"/>
        </w:rPr>
        <w:t xml:space="preserve"> </w:t>
      </w:r>
      <w:r w:rsidRPr="00F8726D">
        <w:rPr>
          <w:lang w:val="en-GB"/>
        </w:rPr>
        <w:t xml:space="preserve">Identification of reference genes using </w:t>
      </w:r>
      <w:proofErr w:type="spellStart"/>
      <w:r w:rsidRPr="00F8726D">
        <w:rPr>
          <w:lang w:val="en-GB"/>
        </w:rPr>
        <w:t>GeNorm</w:t>
      </w:r>
      <w:proofErr w:type="spellEnd"/>
      <w:r w:rsidRPr="00F8726D">
        <w:rPr>
          <w:lang w:val="en-GB"/>
        </w:rPr>
        <w:t xml:space="preserve"> algorithm</w:t>
      </w:r>
      <w:bookmarkEnd w:id="78"/>
      <w:r w:rsidRPr="00F8726D">
        <w:rPr>
          <w:lang w:val="en-GB"/>
        </w:rPr>
        <w:t>.</w:t>
      </w:r>
      <w:r w:rsidR="00F233D4" w:rsidRPr="00C83EDC">
        <w:rPr>
          <w:lang w:val="en-GB"/>
        </w:rPr>
        <w:t xml:space="preserve"> </w:t>
      </w:r>
      <w:r w:rsidR="00F233D4" w:rsidRPr="00F233D4">
        <w:rPr>
          <w:b w:val="0"/>
          <w:bCs w:val="0"/>
          <w:lang w:val="en-GB"/>
        </w:rPr>
        <w:t>Candidate</w:t>
      </w:r>
      <w:r w:rsidR="00155472">
        <w:rPr>
          <w:b w:val="0"/>
          <w:bCs w:val="0"/>
          <w:lang w:val="en-GB"/>
        </w:rPr>
        <w:t xml:space="preserve"> genes</w:t>
      </w:r>
      <w:r w:rsidR="00F233D4" w:rsidRPr="00F233D4">
        <w:rPr>
          <w:b w:val="0"/>
          <w:bCs w:val="0"/>
          <w:lang w:val="en-GB"/>
        </w:rPr>
        <w:t xml:space="preserve"> with lowest M-values are considered the bes</w:t>
      </w:r>
      <w:r w:rsidR="00F233D4">
        <w:rPr>
          <w:b w:val="0"/>
          <w:bCs w:val="0"/>
          <w:lang w:val="en-GB"/>
        </w:rPr>
        <w:t>t</w:t>
      </w:r>
      <w:r w:rsidR="00155472">
        <w:rPr>
          <w:b w:val="0"/>
          <w:bCs w:val="0"/>
          <w:lang w:val="en-GB"/>
        </w:rPr>
        <w:t>.</w:t>
      </w:r>
    </w:p>
    <w:p w14:paraId="430039A4" w14:textId="77777777" w:rsidR="00EE7EB3" w:rsidRPr="00C83EDC" w:rsidRDefault="00EE7EB3" w:rsidP="00EE7EB3">
      <w:pPr>
        <w:pStyle w:val="Obrzek"/>
        <w:rPr>
          <w:lang w:val="en-GB"/>
        </w:rPr>
      </w:pPr>
      <w:r w:rsidRPr="00C83EDC">
        <w:rPr>
          <w:noProof/>
          <w:lang w:val="en-GB"/>
        </w:rPr>
        <w:drawing>
          <wp:inline distT="0" distB="0" distL="0" distR="0" wp14:anchorId="7F8DCC5F" wp14:editId="7DE65557">
            <wp:extent cx="3905966" cy="2800350"/>
            <wp:effectExtent l="0" t="0" r="0" b="0"/>
            <wp:docPr id="1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tretch>
                      <a:fillRect/>
                    </a:stretch>
                  </pic:blipFill>
                  <pic:spPr bwMode="auto">
                    <a:xfrm>
                      <a:off x="0" y="0"/>
                      <a:ext cx="3905966" cy="2800350"/>
                    </a:xfrm>
                    <a:prstGeom prst="rect">
                      <a:avLst/>
                    </a:prstGeom>
                    <a:noFill/>
                    <a:ln>
                      <a:noFill/>
                    </a:ln>
                  </pic:spPr>
                </pic:pic>
              </a:graphicData>
            </a:graphic>
          </wp:inline>
        </w:drawing>
      </w:r>
    </w:p>
    <w:p w14:paraId="7AB0166D" w14:textId="027DAF1A" w:rsidR="00EE7EB3" w:rsidRPr="00C83EDC" w:rsidRDefault="00EE7EB3" w:rsidP="00F233D4">
      <w:pPr>
        <w:pStyle w:val="Titulekpedpopisem"/>
        <w:jc w:val="left"/>
        <w:rPr>
          <w:lang w:val="en-GB"/>
        </w:rPr>
      </w:pPr>
      <w:bookmarkStart w:id="79" w:name="_Toc47541125"/>
      <w:r w:rsidRPr="00C83EDC">
        <w:rPr>
          <w:lang w:val="en-GB"/>
        </w:rPr>
        <w:t>Fig</w:t>
      </w:r>
      <w:r>
        <w:rPr>
          <w:lang w:val="en-GB"/>
        </w:rPr>
        <w:t>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3</w:t>
      </w:r>
      <w:r w:rsidRPr="00C83EDC">
        <w:rPr>
          <w:noProof/>
          <w:lang w:val="en-GB"/>
        </w:rPr>
        <w:fldChar w:fldCharType="end"/>
      </w:r>
      <w:r w:rsidRPr="00C83EDC">
        <w:rPr>
          <w:noProof/>
          <w:lang w:val="en-GB"/>
        </w:rPr>
        <w:t>.</w:t>
      </w:r>
      <w:r w:rsidRPr="00E66D12">
        <w:rPr>
          <w:b w:val="0"/>
          <w:bCs w:val="0"/>
          <w:lang w:val="en-GB"/>
        </w:rPr>
        <w:t xml:space="preserve"> </w:t>
      </w:r>
      <w:r w:rsidRPr="00F8726D">
        <w:rPr>
          <w:lang w:val="en-GB"/>
        </w:rPr>
        <w:t xml:space="preserve">Identification of reference genes using </w:t>
      </w:r>
      <w:proofErr w:type="spellStart"/>
      <w:r w:rsidRPr="00F8726D">
        <w:rPr>
          <w:lang w:val="en-GB"/>
        </w:rPr>
        <w:t>Normfinder</w:t>
      </w:r>
      <w:proofErr w:type="spellEnd"/>
      <w:r w:rsidRPr="00F8726D">
        <w:rPr>
          <w:lang w:val="en-GB"/>
        </w:rPr>
        <w:t xml:space="preserve"> algorithm</w:t>
      </w:r>
      <w:bookmarkEnd w:id="79"/>
      <w:r w:rsidRPr="00F8726D">
        <w:rPr>
          <w:lang w:val="en-GB"/>
        </w:rPr>
        <w:t>.</w:t>
      </w:r>
      <w:r w:rsidR="00F233D4">
        <w:rPr>
          <w:lang w:val="en-GB"/>
        </w:rPr>
        <w:t xml:space="preserve"> </w:t>
      </w:r>
      <w:r w:rsidR="00F233D4" w:rsidRPr="00F233D4">
        <w:rPr>
          <w:b w:val="0"/>
          <w:bCs w:val="0"/>
          <w:lang w:val="en-GB"/>
        </w:rPr>
        <w:t>Candidate genes with low standard deviation are considered the best</w:t>
      </w:r>
      <w:r w:rsidR="00F233D4">
        <w:rPr>
          <w:b w:val="0"/>
          <w:bCs w:val="0"/>
          <w:lang w:val="en-GB"/>
        </w:rPr>
        <w:t>.</w:t>
      </w:r>
    </w:p>
    <w:p w14:paraId="5059493C" w14:textId="77777777" w:rsidR="00EE7EB3" w:rsidRPr="00C83EDC" w:rsidRDefault="00EE7EB3" w:rsidP="00EE7EB3">
      <w:pPr>
        <w:pStyle w:val="Popisobrzku"/>
        <w:rPr>
          <w:lang w:val="en-GB"/>
        </w:rPr>
      </w:pPr>
    </w:p>
    <w:p w14:paraId="0C5B6388" w14:textId="77777777" w:rsidR="00EE7EB3" w:rsidRPr="00C83EDC" w:rsidRDefault="00EE7EB3" w:rsidP="00646C4C">
      <w:pPr>
        <w:pStyle w:val="Odstavec1"/>
        <w:rPr>
          <w:lang w:val="en-GB"/>
        </w:rPr>
      </w:pPr>
      <w:r w:rsidRPr="00C83EDC">
        <w:rPr>
          <w:lang w:val="en-GB"/>
        </w:rPr>
        <w:t xml:space="preserve">Normalised miRNA expression profiles were evaluated by Mann-Whitney U test and by </w:t>
      </w:r>
      <w:proofErr w:type="spellStart"/>
      <w:r w:rsidRPr="00C83EDC">
        <w:rPr>
          <w:lang w:val="en-GB"/>
        </w:rPr>
        <w:t>Benjamini</w:t>
      </w:r>
      <w:proofErr w:type="spellEnd"/>
      <w:r w:rsidRPr="00C83EDC">
        <w:rPr>
          <w:lang w:val="en-GB"/>
        </w:rPr>
        <w:t xml:space="preserve">-Hochberg correction for multiple hypothesis testing performed by bioinformatician Mgr. </w:t>
      </w:r>
      <w:proofErr w:type="spellStart"/>
      <w:r w:rsidRPr="00C83EDC">
        <w:rPr>
          <w:lang w:val="en-GB"/>
        </w:rPr>
        <w:t>Karolína</w:t>
      </w:r>
      <w:proofErr w:type="spellEnd"/>
      <w:r w:rsidRPr="00C83EDC">
        <w:rPr>
          <w:lang w:val="en-GB"/>
        </w:rPr>
        <w:t xml:space="preserve"> </w:t>
      </w:r>
      <w:proofErr w:type="spellStart"/>
      <w:r w:rsidRPr="00C83EDC">
        <w:rPr>
          <w:lang w:val="en-GB"/>
        </w:rPr>
        <w:t>Trachtová</w:t>
      </w:r>
      <w:proofErr w:type="spellEnd"/>
      <w:r w:rsidRPr="00C83EDC">
        <w:rPr>
          <w:lang w:val="en-GB"/>
        </w:rPr>
        <w:t xml:space="preserve">. At the significance level of 0.01, the statistical analysis revealed 149 dysregulated miRNAs, with 137 miRNAs upregulated and 12 miRNAs downregulated in aggressive prostate cancer (ISUP 3–5) compared to indolent </w:t>
      </w:r>
      <w:proofErr w:type="spellStart"/>
      <w:r w:rsidRPr="00C83EDC">
        <w:rPr>
          <w:lang w:val="en-GB"/>
        </w:rPr>
        <w:t>P</w:t>
      </w:r>
      <w:r>
        <w:rPr>
          <w:lang w:val="en-GB"/>
        </w:rPr>
        <w:t>C</w:t>
      </w:r>
      <w:r w:rsidRPr="00C83EDC">
        <w:rPr>
          <w:lang w:val="en-GB"/>
        </w:rPr>
        <w:t>a</w:t>
      </w:r>
      <w:proofErr w:type="spellEnd"/>
      <w:r w:rsidRPr="00C83EDC">
        <w:rPr>
          <w:lang w:val="en-GB"/>
        </w:rPr>
        <w:t xml:space="preserve"> (ISUP 1) tissue. By implementing stricter criteria: C</w:t>
      </w:r>
      <w:r>
        <w:rPr>
          <w:lang w:val="en-GB"/>
        </w:rPr>
        <w:t>t</w:t>
      </w:r>
      <w:r w:rsidRPr="00C83EDC">
        <w:rPr>
          <w:lang w:val="en-GB"/>
        </w:rPr>
        <w:t xml:space="preserve"> &lt; 30, </w:t>
      </w:r>
      <w:r>
        <w:rPr>
          <w:lang w:val="en-GB"/>
        </w:rPr>
        <w:t xml:space="preserve">fold change (FC) </w:t>
      </w:r>
      <w:r w:rsidRPr="00C83EDC">
        <w:rPr>
          <w:lang w:val="en-GB"/>
        </w:rPr>
        <w:t xml:space="preserve">&gt; 2 at the adjusted significance levels of 0.001, we identified 21 miRNAs with upregulated gene expression in the tissue of high-grade prostate </w:t>
      </w:r>
      <w:r w:rsidRPr="00C83EDC">
        <w:rPr>
          <w:lang w:val="en-GB"/>
        </w:rPr>
        <w:lastRenderedPageBreak/>
        <w:t>ca</w:t>
      </w:r>
      <w:r>
        <w:rPr>
          <w:lang w:val="en-GB"/>
        </w:rPr>
        <w:t>ncer</w:t>
      </w:r>
      <w:r w:rsidRPr="00C83EDC">
        <w:rPr>
          <w:lang w:val="en-GB"/>
        </w:rPr>
        <w:t xml:space="preserve"> (</w:t>
      </w:r>
      <w:r w:rsidRPr="00EF3D19">
        <w:rPr>
          <w:lang w:val="en-GB"/>
        </w:rPr>
        <w:t xml:space="preserve">Table </w:t>
      </w:r>
      <w:r>
        <w:rPr>
          <w:lang w:val="en-GB"/>
        </w:rPr>
        <w:t>XVIII</w:t>
      </w:r>
      <w:r w:rsidRPr="00C83EDC">
        <w:rPr>
          <w:lang w:val="en-GB"/>
        </w:rPr>
        <w:t>)</w:t>
      </w:r>
      <w:r>
        <w:rPr>
          <w:lang w:val="en-GB"/>
        </w:rPr>
        <w:t xml:space="preserve">. </w:t>
      </w:r>
      <w:r w:rsidRPr="00C83EDC">
        <w:rPr>
          <w:lang w:val="en-GB"/>
        </w:rPr>
        <w:t xml:space="preserve">Employed statistical methods for </w:t>
      </w:r>
      <w:proofErr w:type="spellStart"/>
      <w:r>
        <w:rPr>
          <w:lang w:val="en-GB"/>
        </w:rPr>
        <w:t>qRT</w:t>
      </w:r>
      <w:proofErr w:type="spellEnd"/>
      <w:r>
        <w:rPr>
          <w:lang w:val="en-GB"/>
        </w:rPr>
        <w:t xml:space="preserve">-PCR </w:t>
      </w:r>
      <w:r w:rsidRPr="00C83EDC">
        <w:rPr>
          <w:lang w:val="en-GB"/>
        </w:rPr>
        <w:t xml:space="preserve">data analysis also included hierarchical clustering algorithm. The algorithm groups samples with similar miRNA expression profiles and displays them in a tree-structured graph (dendrogram). </w:t>
      </w:r>
      <w:r>
        <w:rPr>
          <w:lang w:val="en-GB"/>
        </w:rPr>
        <w:t xml:space="preserve">In Figure 4, </w:t>
      </w:r>
      <w:r w:rsidRPr="00713A8E">
        <w:rPr>
          <w:lang w:val="en-GB"/>
        </w:rPr>
        <w:t>the</w:t>
      </w:r>
      <w:r w:rsidRPr="00C83EDC">
        <w:rPr>
          <w:lang w:val="en-GB"/>
        </w:rPr>
        <w:t xml:space="preserve"> dendrogram is combined with a heat map</w:t>
      </w:r>
      <w:r>
        <w:rPr>
          <w:lang w:val="en-GB"/>
        </w:rPr>
        <w:t xml:space="preserve"> representing 21 miRNAs that were differentially expressed between aggressive and indolent </w:t>
      </w:r>
      <w:proofErr w:type="spellStart"/>
      <w:r>
        <w:rPr>
          <w:lang w:val="en-GB"/>
        </w:rPr>
        <w:t>PCa</w:t>
      </w:r>
      <w:proofErr w:type="spellEnd"/>
      <w:r>
        <w:rPr>
          <w:lang w:val="en-GB"/>
        </w:rPr>
        <w:t>.</w:t>
      </w:r>
      <w:r w:rsidRPr="00C83EDC">
        <w:rPr>
          <w:lang w:val="en-GB"/>
        </w:rPr>
        <w:t xml:space="preserve"> Based on the recent literature, microRNAs that exceeded FC </w:t>
      </w:r>
      <w:r>
        <w:rPr>
          <w:lang w:val="en-GB"/>
        </w:rPr>
        <w:t>=</w:t>
      </w:r>
      <w:r w:rsidRPr="00C83EDC">
        <w:rPr>
          <w:lang w:val="en-GB"/>
        </w:rPr>
        <w:t xml:space="preserve"> 2.5 with adjusted p-value &lt; 0.00005 were chosen for the training </w:t>
      </w:r>
      <w:r w:rsidRPr="00EF3D19">
        <w:rPr>
          <w:lang w:val="en-GB"/>
        </w:rPr>
        <w:t>phase</w:t>
      </w:r>
      <w:r>
        <w:rPr>
          <w:lang w:val="en-GB"/>
        </w:rPr>
        <w:t>. The panel of</w:t>
      </w:r>
      <w:r w:rsidRPr="00EF3D19">
        <w:rPr>
          <w:lang w:val="en-GB"/>
        </w:rPr>
        <w:t xml:space="preserve"> </w:t>
      </w:r>
      <w:r>
        <w:rPr>
          <w:lang w:val="en-GB"/>
        </w:rPr>
        <w:t xml:space="preserve">miRNAs selected for validation is highlighted red in </w:t>
      </w:r>
      <w:r w:rsidRPr="00EF3D19">
        <w:rPr>
          <w:lang w:val="en-GB"/>
        </w:rPr>
        <w:t xml:space="preserve">Table </w:t>
      </w:r>
      <w:r>
        <w:rPr>
          <w:lang w:val="en-GB"/>
        </w:rPr>
        <w:t>XVIII</w:t>
      </w:r>
      <w:r w:rsidRPr="00EF3D19">
        <w:rPr>
          <w:lang w:val="en-GB"/>
        </w:rPr>
        <w:t>.</w:t>
      </w:r>
      <w:r w:rsidRPr="00C83EDC">
        <w:rPr>
          <w:lang w:val="en-GB"/>
        </w:rPr>
        <w:t xml:space="preserve"> </w:t>
      </w:r>
    </w:p>
    <w:p w14:paraId="29061EFE" w14:textId="77777777" w:rsidR="00EE7EB3" w:rsidRPr="00C83EDC" w:rsidRDefault="00EE7EB3" w:rsidP="00EE7EB3">
      <w:pPr>
        <w:rPr>
          <w:lang w:val="en-GB"/>
        </w:rPr>
      </w:pPr>
    </w:p>
    <w:p w14:paraId="6ADFADCB" w14:textId="180C2657" w:rsidR="00EE7EB3" w:rsidRPr="00C83EDC" w:rsidRDefault="00EE7EB3" w:rsidP="00EE7EB3">
      <w:pPr>
        <w:pStyle w:val="Titulektabulky"/>
        <w:jc w:val="left"/>
        <w:rPr>
          <w:lang w:val="en-GB"/>
        </w:rPr>
      </w:pPr>
      <w:bookmarkStart w:id="80" w:name="_Toc47541151"/>
      <w:r w:rsidRPr="00C83EDC">
        <w:rPr>
          <w:lang w:val="en-GB"/>
        </w:rPr>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XVIII</w:t>
      </w:r>
      <w:r>
        <w:rPr>
          <w:noProof/>
          <w:lang w:val="en-GB"/>
        </w:rPr>
        <w:fldChar w:fldCharType="end"/>
      </w:r>
      <w:r w:rsidRPr="00C83EDC">
        <w:rPr>
          <w:lang w:val="en-GB"/>
        </w:rPr>
        <w:t xml:space="preserve">. </w:t>
      </w:r>
      <w:r w:rsidRPr="00C83EDC">
        <w:rPr>
          <w:b w:val="0"/>
          <w:bCs w:val="0"/>
          <w:lang w:val="en-GB"/>
        </w:rPr>
        <w:t xml:space="preserve">Overview of miRNAs with upregulated expression levels in aggressive vs indolent </w:t>
      </w:r>
      <w:proofErr w:type="spellStart"/>
      <w:r w:rsidRPr="00C83EDC">
        <w:rPr>
          <w:b w:val="0"/>
          <w:bCs w:val="0"/>
          <w:lang w:val="en-GB"/>
        </w:rPr>
        <w:t>PCa</w:t>
      </w:r>
      <w:proofErr w:type="spellEnd"/>
      <w:r w:rsidRPr="00C83EDC">
        <w:rPr>
          <w:b w:val="0"/>
          <w:bCs w:val="0"/>
          <w:lang w:val="en-GB"/>
        </w:rPr>
        <w:t xml:space="preserve"> tissue</w:t>
      </w:r>
      <w:bookmarkEnd w:id="80"/>
      <w:r>
        <w:rPr>
          <w:b w:val="0"/>
          <w:bCs w:val="0"/>
          <w:lang w:val="en-GB"/>
        </w:rPr>
        <w:t>. Highlighted miRNAs were selected for validation.</w:t>
      </w:r>
    </w:p>
    <w:tbl>
      <w:tblPr>
        <w:tblStyle w:val="Tabulkasmkou4zvraznn3"/>
        <w:tblW w:w="8784" w:type="dxa"/>
        <w:tblLook w:val="0720" w:firstRow="1" w:lastRow="0" w:firstColumn="0" w:lastColumn="1" w:noHBand="1" w:noVBand="1"/>
      </w:tblPr>
      <w:tblGrid>
        <w:gridCol w:w="2196"/>
        <w:gridCol w:w="2196"/>
        <w:gridCol w:w="2196"/>
        <w:gridCol w:w="2196"/>
      </w:tblGrid>
      <w:tr w:rsidR="00EE7EB3" w:rsidRPr="00E1001F" w14:paraId="752738B3"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2196" w:type="dxa"/>
            <w:shd w:val="clear" w:color="auto" w:fill="E7E6E6" w:themeFill="background2"/>
            <w:vAlign w:val="center"/>
          </w:tcPr>
          <w:p w14:paraId="221B3571" w14:textId="77777777" w:rsidR="00EE7EB3" w:rsidRPr="00E1001F" w:rsidRDefault="00EE7EB3" w:rsidP="00F233D4">
            <w:pPr>
              <w:jc w:val="center"/>
              <w:rPr>
                <w:rFonts w:ascii="Cambria" w:hAnsi="Cambria" w:cstheme="minorHAnsi"/>
                <w:color w:val="3B3838" w:themeColor="background2" w:themeShade="40"/>
                <w:sz w:val="20"/>
                <w:szCs w:val="20"/>
              </w:rPr>
            </w:pPr>
            <w:bookmarkStart w:id="81" w:name="_Hlk43235660"/>
            <w:r w:rsidRPr="00E1001F">
              <w:rPr>
                <w:rFonts w:ascii="Cambria" w:hAnsi="Cambria" w:cstheme="minorHAnsi"/>
                <w:color w:val="3B3838" w:themeColor="background2" w:themeShade="40"/>
                <w:sz w:val="20"/>
                <w:szCs w:val="20"/>
              </w:rPr>
              <w:t>miRNA</w:t>
            </w:r>
          </w:p>
        </w:tc>
        <w:tc>
          <w:tcPr>
            <w:tcW w:w="2196" w:type="dxa"/>
            <w:shd w:val="clear" w:color="auto" w:fill="E7E6E6" w:themeFill="background2"/>
            <w:vAlign w:val="center"/>
          </w:tcPr>
          <w:p w14:paraId="08DDEAB9" w14:textId="77777777" w:rsidR="00EE7EB3" w:rsidRPr="00E1001F" w:rsidRDefault="00EE7EB3" w:rsidP="00F233D4">
            <w:pPr>
              <w:jc w:val="center"/>
              <w:rPr>
                <w:rFonts w:ascii="Cambria" w:hAnsi="Cambria" w:cstheme="minorHAnsi"/>
                <w:color w:val="3B3838" w:themeColor="background2" w:themeShade="40"/>
                <w:sz w:val="20"/>
                <w:szCs w:val="20"/>
              </w:rPr>
            </w:pPr>
            <w:r w:rsidRPr="00E1001F">
              <w:rPr>
                <w:rFonts w:ascii="Cambria" w:hAnsi="Cambria" w:cstheme="minorHAnsi"/>
                <w:color w:val="3B3838" w:themeColor="background2" w:themeShade="40"/>
                <w:sz w:val="20"/>
                <w:szCs w:val="20"/>
              </w:rPr>
              <w:t>FC</w:t>
            </w:r>
          </w:p>
        </w:tc>
        <w:tc>
          <w:tcPr>
            <w:tcW w:w="2196" w:type="dxa"/>
            <w:shd w:val="clear" w:color="auto" w:fill="E7E6E6" w:themeFill="background2"/>
            <w:vAlign w:val="center"/>
          </w:tcPr>
          <w:p w14:paraId="4482774D" w14:textId="77777777" w:rsidR="00EE7EB3" w:rsidRPr="00E1001F" w:rsidRDefault="00EE7EB3" w:rsidP="00F233D4">
            <w:pPr>
              <w:jc w:val="center"/>
              <w:rPr>
                <w:rFonts w:ascii="Cambria" w:hAnsi="Cambria" w:cstheme="minorHAnsi"/>
                <w:color w:val="3B3838" w:themeColor="background2" w:themeShade="40"/>
                <w:sz w:val="20"/>
                <w:szCs w:val="20"/>
              </w:rPr>
            </w:pPr>
            <w:r w:rsidRPr="00E1001F">
              <w:rPr>
                <w:rFonts w:ascii="Cambria" w:hAnsi="Cambria" w:cstheme="minorHAnsi"/>
                <w:color w:val="3B3838" w:themeColor="background2" w:themeShade="40"/>
                <w:sz w:val="20"/>
                <w:szCs w:val="20"/>
              </w:rPr>
              <w:t>Adjusted p-value</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E7E6E6" w:themeFill="background2"/>
            <w:vAlign w:val="center"/>
          </w:tcPr>
          <w:p w14:paraId="5C27925F" w14:textId="77777777" w:rsidR="00EE7EB3" w:rsidRPr="00E1001F" w:rsidRDefault="00EE7EB3" w:rsidP="00F233D4">
            <w:pPr>
              <w:jc w:val="center"/>
              <w:rPr>
                <w:rFonts w:ascii="Cambria" w:hAnsi="Cambria" w:cstheme="minorHAnsi"/>
                <w:color w:val="3B3838" w:themeColor="background2" w:themeShade="40"/>
                <w:sz w:val="20"/>
                <w:szCs w:val="20"/>
              </w:rPr>
            </w:pPr>
            <w:r w:rsidRPr="00E1001F">
              <w:rPr>
                <w:rFonts w:ascii="Cambria" w:hAnsi="Cambria" w:cstheme="minorHAnsi"/>
                <w:color w:val="3B3838" w:themeColor="background2" w:themeShade="40"/>
                <w:sz w:val="20"/>
                <w:szCs w:val="20"/>
              </w:rPr>
              <w:t>Average Ct value</w:t>
            </w:r>
          </w:p>
        </w:tc>
      </w:tr>
      <w:tr w:rsidR="00EE7EB3" w:rsidRPr="00E1001F" w14:paraId="40E8AB03" w14:textId="77777777" w:rsidTr="00F233D4">
        <w:trPr>
          <w:trHeight w:val="340"/>
        </w:trPr>
        <w:tc>
          <w:tcPr>
            <w:tcW w:w="2196" w:type="dxa"/>
            <w:vAlign w:val="center"/>
          </w:tcPr>
          <w:p w14:paraId="7CB72455" w14:textId="77777777" w:rsidR="00EE7EB3" w:rsidRPr="00E1001F" w:rsidRDefault="00EE7EB3" w:rsidP="00F233D4">
            <w:pPr>
              <w:jc w:val="center"/>
              <w:rPr>
                <w:rFonts w:ascii="Cambria" w:hAnsi="Cambria"/>
                <w:color w:val="3B3838" w:themeColor="background2" w:themeShade="40"/>
                <w:sz w:val="20"/>
                <w:szCs w:val="20"/>
                <w:lang w:eastAsia="en-GB"/>
              </w:rPr>
            </w:pPr>
            <w:r w:rsidRPr="00E1001F">
              <w:rPr>
                <w:rFonts w:ascii="Cambria" w:hAnsi="Cambria"/>
                <w:color w:val="3B3838" w:themeColor="background2" w:themeShade="40"/>
                <w:sz w:val="20"/>
                <w:szCs w:val="20"/>
              </w:rPr>
              <w:t>hsa-let-7d</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vAlign w:val="center"/>
          </w:tcPr>
          <w:p w14:paraId="18F9D415"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2.151023936</w:t>
            </w:r>
          </w:p>
        </w:tc>
        <w:tc>
          <w:tcPr>
            <w:tcW w:w="2196" w:type="dxa"/>
            <w:vAlign w:val="center"/>
          </w:tcPr>
          <w:p w14:paraId="4349DF34"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0.0000100199</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0404A2DD" w14:textId="77777777" w:rsidR="00EE7EB3" w:rsidRPr="00E1001F" w:rsidRDefault="00EE7EB3" w:rsidP="00F233D4">
            <w:pPr>
              <w:jc w:val="center"/>
              <w:rPr>
                <w:rFonts w:ascii="Cambria" w:hAnsi="Cambria"/>
                <w:color w:val="3B3838" w:themeColor="background2" w:themeShade="40"/>
                <w:sz w:val="20"/>
                <w:szCs w:val="20"/>
                <w:lang w:eastAsia="en-GB"/>
              </w:rPr>
            </w:pPr>
            <w:r w:rsidRPr="00E1001F">
              <w:rPr>
                <w:rFonts w:ascii="Cambria" w:hAnsi="Cambria"/>
                <w:color w:val="3B3838" w:themeColor="background2" w:themeShade="40"/>
                <w:sz w:val="20"/>
                <w:szCs w:val="20"/>
              </w:rPr>
              <w:t>29.43</w:t>
            </w:r>
          </w:p>
        </w:tc>
      </w:tr>
      <w:tr w:rsidR="00EE7EB3" w:rsidRPr="00E1001F" w14:paraId="40718F8B" w14:textId="77777777" w:rsidTr="00F233D4">
        <w:trPr>
          <w:trHeight w:val="340"/>
        </w:trPr>
        <w:tc>
          <w:tcPr>
            <w:tcW w:w="2196" w:type="dxa"/>
            <w:vAlign w:val="center"/>
          </w:tcPr>
          <w:p w14:paraId="38F56AC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hsa-let-7e</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vAlign w:val="center"/>
          </w:tcPr>
          <w:p w14:paraId="3A0F3D13"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2.044189689</w:t>
            </w:r>
          </w:p>
        </w:tc>
        <w:tc>
          <w:tcPr>
            <w:tcW w:w="2196" w:type="dxa"/>
            <w:vAlign w:val="center"/>
          </w:tcPr>
          <w:p w14:paraId="75A6CC61"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0.0000002333</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1AFB9436"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27.74</w:t>
            </w:r>
          </w:p>
        </w:tc>
      </w:tr>
      <w:tr w:rsidR="00EE7EB3" w:rsidRPr="00E1001F" w14:paraId="78489FBC" w14:textId="77777777" w:rsidTr="00F233D4">
        <w:trPr>
          <w:trHeight w:val="340"/>
        </w:trPr>
        <w:tc>
          <w:tcPr>
            <w:tcW w:w="2196" w:type="dxa"/>
            <w:vAlign w:val="center"/>
          </w:tcPr>
          <w:p w14:paraId="5F9C9C9D"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hsa-let-7g</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vAlign w:val="center"/>
          </w:tcPr>
          <w:p w14:paraId="16311A10"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2.188596758</w:t>
            </w:r>
          </w:p>
        </w:tc>
        <w:tc>
          <w:tcPr>
            <w:tcW w:w="2196" w:type="dxa"/>
            <w:vAlign w:val="center"/>
          </w:tcPr>
          <w:p w14:paraId="74C1A848"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0.0000289179</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4461D581"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27.98</w:t>
            </w:r>
          </w:p>
        </w:tc>
      </w:tr>
      <w:tr w:rsidR="00EE7EB3" w:rsidRPr="00E1001F" w14:paraId="67E51CA0" w14:textId="77777777" w:rsidTr="00F233D4">
        <w:trPr>
          <w:trHeight w:val="340"/>
        </w:trPr>
        <w:tc>
          <w:tcPr>
            <w:tcW w:w="2196" w:type="dxa"/>
            <w:shd w:val="clear" w:color="auto" w:fill="FBE4D5" w:themeFill="accent2" w:themeFillTint="33"/>
            <w:vAlign w:val="center"/>
          </w:tcPr>
          <w:p w14:paraId="1524E264"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hsa-let-7i</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shd w:val="clear" w:color="auto" w:fill="FBE4D5" w:themeFill="accent2" w:themeFillTint="33"/>
            <w:vAlign w:val="center"/>
          </w:tcPr>
          <w:p w14:paraId="430DC9C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4.600238457</w:t>
            </w:r>
          </w:p>
        </w:tc>
        <w:tc>
          <w:tcPr>
            <w:tcW w:w="2196" w:type="dxa"/>
            <w:shd w:val="clear" w:color="auto" w:fill="FBE4D5" w:themeFill="accent2" w:themeFillTint="33"/>
            <w:vAlign w:val="center"/>
          </w:tcPr>
          <w:p w14:paraId="0303B583"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0.0000020945</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4057159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28.73</w:t>
            </w:r>
          </w:p>
        </w:tc>
      </w:tr>
      <w:tr w:rsidR="00EE7EB3" w:rsidRPr="00E1001F" w14:paraId="497CC543" w14:textId="77777777" w:rsidTr="00F233D4">
        <w:trPr>
          <w:trHeight w:val="340"/>
        </w:trPr>
        <w:tc>
          <w:tcPr>
            <w:tcW w:w="2196" w:type="dxa"/>
            <w:vAlign w:val="center"/>
          </w:tcPr>
          <w:p w14:paraId="5B8808E1"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101</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vAlign w:val="center"/>
          </w:tcPr>
          <w:p w14:paraId="0CC98904"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2.175233624</w:t>
            </w:r>
          </w:p>
        </w:tc>
        <w:tc>
          <w:tcPr>
            <w:tcW w:w="2196" w:type="dxa"/>
            <w:vAlign w:val="center"/>
          </w:tcPr>
          <w:p w14:paraId="2A9A19C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0.0000000151</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74DC7B8D"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27.83</w:t>
            </w:r>
          </w:p>
        </w:tc>
      </w:tr>
      <w:tr w:rsidR="00EE7EB3" w:rsidRPr="00E1001F" w14:paraId="4FCBB398" w14:textId="77777777" w:rsidTr="00F233D4">
        <w:trPr>
          <w:trHeight w:val="340"/>
        </w:trPr>
        <w:tc>
          <w:tcPr>
            <w:tcW w:w="2196" w:type="dxa"/>
            <w:shd w:val="clear" w:color="auto" w:fill="FBE4D5" w:themeFill="accent2" w:themeFillTint="33"/>
            <w:vAlign w:val="center"/>
          </w:tcPr>
          <w:p w14:paraId="52A86AB0"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103a</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shd w:val="clear" w:color="auto" w:fill="FBE4D5" w:themeFill="accent2" w:themeFillTint="33"/>
            <w:vAlign w:val="center"/>
          </w:tcPr>
          <w:p w14:paraId="2211C97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4.404883568</w:t>
            </w:r>
          </w:p>
        </w:tc>
        <w:tc>
          <w:tcPr>
            <w:tcW w:w="2196" w:type="dxa"/>
            <w:shd w:val="clear" w:color="auto" w:fill="FBE4D5" w:themeFill="accent2" w:themeFillTint="33"/>
            <w:vAlign w:val="center"/>
          </w:tcPr>
          <w:p w14:paraId="1F6B9B4D"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0.0000001871</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7E31991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27.88</w:t>
            </w:r>
          </w:p>
        </w:tc>
      </w:tr>
      <w:tr w:rsidR="00EE7EB3" w:rsidRPr="00E1001F" w14:paraId="23D9E0F3" w14:textId="77777777" w:rsidTr="00F233D4">
        <w:trPr>
          <w:trHeight w:val="340"/>
        </w:trPr>
        <w:tc>
          <w:tcPr>
            <w:tcW w:w="2196" w:type="dxa"/>
            <w:vAlign w:val="center"/>
          </w:tcPr>
          <w:p w14:paraId="54B5A1C3"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106a</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vAlign w:val="center"/>
          </w:tcPr>
          <w:p w14:paraId="570BA3F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2.051148845</w:t>
            </w:r>
          </w:p>
        </w:tc>
        <w:tc>
          <w:tcPr>
            <w:tcW w:w="2196" w:type="dxa"/>
            <w:vAlign w:val="center"/>
          </w:tcPr>
          <w:p w14:paraId="749ED4D5"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0.0000100199</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0C57EADD"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27.61</w:t>
            </w:r>
          </w:p>
        </w:tc>
      </w:tr>
      <w:tr w:rsidR="00EE7EB3" w:rsidRPr="00E1001F" w14:paraId="2BA97DD4" w14:textId="77777777" w:rsidTr="00F233D4">
        <w:trPr>
          <w:trHeight w:val="340"/>
        </w:trPr>
        <w:tc>
          <w:tcPr>
            <w:tcW w:w="2196" w:type="dxa"/>
            <w:shd w:val="clear" w:color="auto" w:fill="FBE4D5" w:themeFill="accent2" w:themeFillTint="33"/>
            <w:vAlign w:val="center"/>
          </w:tcPr>
          <w:p w14:paraId="78979ABF"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106b</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shd w:val="clear" w:color="auto" w:fill="FBE4D5" w:themeFill="accent2" w:themeFillTint="33"/>
            <w:vAlign w:val="center"/>
          </w:tcPr>
          <w:p w14:paraId="6B1894B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3.750921099</w:t>
            </w:r>
          </w:p>
        </w:tc>
        <w:tc>
          <w:tcPr>
            <w:tcW w:w="2196" w:type="dxa"/>
            <w:shd w:val="clear" w:color="auto" w:fill="FBE4D5" w:themeFill="accent2" w:themeFillTint="33"/>
            <w:vAlign w:val="center"/>
          </w:tcPr>
          <w:p w14:paraId="290EDA2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0.0000001030</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39D496C9"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29.20</w:t>
            </w:r>
          </w:p>
        </w:tc>
      </w:tr>
      <w:tr w:rsidR="00EE7EB3" w:rsidRPr="00E1001F" w14:paraId="2F36DCFA" w14:textId="77777777" w:rsidTr="00F233D4">
        <w:trPr>
          <w:trHeight w:val="340"/>
        </w:trPr>
        <w:tc>
          <w:tcPr>
            <w:tcW w:w="2196" w:type="dxa"/>
            <w:shd w:val="clear" w:color="auto" w:fill="FBE4D5" w:themeFill="accent2" w:themeFillTint="33"/>
            <w:vAlign w:val="center"/>
          </w:tcPr>
          <w:p w14:paraId="204CFB92"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107</w:t>
            </w:r>
          </w:p>
        </w:tc>
        <w:tc>
          <w:tcPr>
            <w:tcW w:w="2196" w:type="dxa"/>
            <w:shd w:val="clear" w:color="auto" w:fill="FBE4D5" w:themeFill="accent2" w:themeFillTint="33"/>
            <w:vAlign w:val="center"/>
          </w:tcPr>
          <w:p w14:paraId="445BC371"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4.063626694</w:t>
            </w:r>
          </w:p>
        </w:tc>
        <w:tc>
          <w:tcPr>
            <w:tcW w:w="2196" w:type="dxa"/>
            <w:shd w:val="clear" w:color="auto" w:fill="FBE4D5" w:themeFill="accent2" w:themeFillTint="33"/>
            <w:vAlign w:val="center"/>
          </w:tcPr>
          <w:p w14:paraId="0F6590C2"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0.0000000108</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466F19A0"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28.72</w:t>
            </w:r>
          </w:p>
        </w:tc>
      </w:tr>
      <w:tr w:rsidR="00EE7EB3" w:rsidRPr="00E1001F" w14:paraId="353F34A5" w14:textId="77777777" w:rsidTr="00F233D4">
        <w:trPr>
          <w:trHeight w:val="340"/>
        </w:trPr>
        <w:tc>
          <w:tcPr>
            <w:tcW w:w="2196" w:type="dxa"/>
            <w:shd w:val="clear" w:color="auto" w:fill="FBE4D5" w:themeFill="accent2" w:themeFillTint="33"/>
            <w:vAlign w:val="center"/>
          </w:tcPr>
          <w:p w14:paraId="66C83218"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1260a</w:t>
            </w:r>
          </w:p>
        </w:tc>
        <w:tc>
          <w:tcPr>
            <w:tcW w:w="2196" w:type="dxa"/>
            <w:shd w:val="clear" w:color="auto" w:fill="FBE4D5" w:themeFill="accent2" w:themeFillTint="33"/>
            <w:vAlign w:val="center"/>
          </w:tcPr>
          <w:p w14:paraId="2936A34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3.676574882</w:t>
            </w:r>
          </w:p>
        </w:tc>
        <w:tc>
          <w:tcPr>
            <w:tcW w:w="2196" w:type="dxa"/>
            <w:shd w:val="clear" w:color="auto" w:fill="FBE4D5" w:themeFill="accent2" w:themeFillTint="33"/>
            <w:vAlign w:val="center"/>
          </w:tcPr>
          <w:p w14:paraId="30239FF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0.0000000108</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61BD464F"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21.63</w:t>
            </w:r>
          </w:p>
        </w:tc>
      </w:tr>
      <w:tr w:rsidR="00EE7EB3" w:rsidRPr="00E1001F" w14:paraId="3CDBAC2A" w14:textId="77777777" w:rsidTr="00F233D4">
        <w:trPr>
          <w:trHeight w:val="340"/>
        </w:trPr>
        <w:tc>
          <w:tcPr>
            <w:tcW w:w="2196" w:type="dxa"/>
            <w:vAlign w:val="center"/>
          </w:tcPr>
          <w:p w14:paraId="54D35FA7"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141</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vAlign w:val="center"/>
          </w:tcPr>
          <w:p w14:paraId="4C096EF8"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2.124813872</w:t>
            </w:r>
          </w:p>
        </w:tc>
        <w:tc>
          <w:tcPr>
            <w:tcW w:w="2196" w:type="dxa"/>
            <w:vAlign w:val="center"/>
          </w:tcPr>
          <w:p w14:paraId="20F3101D"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0.0001007092</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27BDF138"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25.42</w:t>
            </w:r>
          </w:p>
        </w:tc>
      </w:tr>
      <w:tr w:rsidR="00EE7EB3" w:rsidRPr="00E1001F" w14:paraId="119F6041" w14:textId="77777777" w:rsidTr="00F233D4">
        <w:trPr>
          <w:trHeight w:val="340"/>
        </w:trPr>
        <w:tc>
          <w:tcPr>
            <w:tcW w:w="2196" w:type="dxa"/>
            <w:vAlign w:val="center"/>
          </w:tcPr>
          <w:p w14:paraId="52689149"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142</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vAlign w:val="center"/>
          </w:tcPr>
          <w:p w14:paraId="109A890B"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3.945937544</w:t>
            </w:r>
          </w:p>
        </w:tc>
        <w:tc>
          <w:tcPr>
            <w:tcW w:w="2196" w:type="dxa"/>
            <w:vAlign w:val="center"/>
          </w:tcPr>
          <w:p w14:paraId="13883793"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0.0003447558</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6BC8CE4D"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28.16</w:t>
            </w:r>
          </w:p>
        </w:tc>
      </w:tr>
      <w:tr w:rsidR="00EE7EB3" w:rsidRPr="00E1001F" w14:paraId="4C854D92" w14:textId="77777777" w:rsidTr="00F233D4">
        <w:trPr>
          <w:trHeight w:val="340"/>
        </w:trPr>
        <w:tc>
          <w:tcPr>
            <w:tcW w:w="2196" w:type="dxa"/>
            <w:shd w:val="clear" w:color="auto" w:fill="FBE4D5" w:themeFill="accent2" w:themeFillTint="33"/>
            <w:vAlign w:val="center"/>
          </w:tcPr>
          <w:p w14:paraId="2A3C4FE4"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148a</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shd w:val="clear" w:color="auto" w:fill="FBE4D5" w:themeFill="accent2" w:themeFillTint="33"/>
            <w:vAlign w:val="center"/>
          </w:tcPr>
          <w:p w14:paraId="66D1B318"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4.129506183</w:t>
            </w:r>
          </w:p>
        </w:tc>
        <w:tc>
          <w:tcPr>
            <w:tcW w:w="2196" w:type="dxa"/>
            <w:shd w:val="clear" w:color="auto" w:fill="FBE4D5" w:themeFill="accent2" w:themeFillTint="33"/>
            <w:vAlign w:val="center"/>
          </w:tcPr>
          <w:p w14:paraId="15D094AF"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0.0000230055</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7DE4C5CD"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27.01</w:t>
            </w:r>
          </w:p>
        </w:tc>
      </w:tr>
      <w:tr w:rsidR="00EE7EB3" w:rsidRPr="00E1001F" w14:paraId="52D8A4AB" w14:textId="77777777" w:rsidTr="00F233D4">
        <w:trPr>
          <w:trHeight w:val="340"/>
        </w:trPr>
        <w:tc>
          <w:tcPr>
            <w:tcW w:w="2196" w:type="dxa"/>
            <w:vAlign w:val="center"/>
          </w:tcPr>
          <w:p w14:paraId="30FDBCDF"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15a</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vAlign w:val="center"/>
          </w:tcPr>
          <w:p w14:paraId="114380E5"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4.504378162</w:t>
            </w:r>
          </w:p>
        </w:tc>
        <w:tc>
          <w:tcPr>
            <w:tcW w:w="2196" w:type="dxa"/>
            <w:vAlign w:val="center"/>
          </w:tcPr>
          <w:p w14:paraId="65B48869"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0.0000688603</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59E21F53"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29.37</w:t>
            </w:r>
          </w:p>
        </w:tc>
      </w:tr>
      <w:tr w:rsidR="00EE7EB3" w:rsidRPr="00E1001F" w14:paraId="483F9A97" w14:textId="77777777" w:rsidTr="00F233D4">
        <w:trPr>
          <w:trHeight w:val="340"/>
        </w:trPr>
        <w:tc>
          <w:tcPr>
            <w:tcW w:w="2196" w:type="dxa"/>
            <w:shd w:val="clear" w:color="auto" w:fill="FBE4D5" w:themeFill="accent2" w:themeFillTint="33"/>
            <w:vAlign w:val="center"/>
          </w:tcPr>
          <w:p w14:paraId="5C321514"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15b</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shd w:val="clear" w:color="auto" w:fill="FBE4D5" w:themeFill="accent2" w:themeFillTint="33"/>
            <w:vAlign w:val="center"/>
          </w:tcPr>
          <w:p w14:paraId="085F7BC2"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2.591676712</w:t>
            </w:r>
          </w:p>
        </w:tc>
        <w:tc>
          <w:tcPr>
            <w:tcW w:w="2196" w:type="dxa"/>
            <w:shd w:val="clear" w:color="auto" w:fill="FBE4D5" w:themeFill="accent2" w:themeFillTint="33"/>
            <w:vAlign w:val="center"/>
          </w:tcPr>
          <w:p w14:paraId="521B6CA2"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0.0000008699</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012374A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29.80</w:t>
            </w:r>
          </w:p>
        </w:tc>
      </w:tr>
      <w:tr w:rsidR="00EE7EB3" w:rsidRPr="00E1001F" w14:paraId="0A1805FC" w14:textId="77777777" w:rsidTr="00F233D4">
        <w:trPr>
          <w:trHeight w:val="340"/>
        </w:trPr>
        <w:tc>
          <w:tcPr>
            <w:tcW w:w="2196" w:type="dxa"/>
            <w:vAlign w:val="center"/>
          </w:tcPr>
          <w:p w14:paraId="4B1A5DD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199a</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vAlign w:val="center"/>
          </w:tcPr>
          <w:p w14:paraId="4D8F9F68"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3.34603603</w:t>
            </w:r>
          </w:p>
        </w:tc>
        <w:tc>
          <w:tcPr>
            <w:tcW w:w="2196" w:type="dxa"/>
            <w:vAlign w:val="center"/>
          </w:tcPr>
          <w:p w14:paraId="19E3347F"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0.0000100199</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3C61AC33"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27.56</w:t>
            </w:r>
          </w:p>
        </w:tc>
      </w:tr>
      <w:tr w:rsidR="00EE7EB3" w:rsidRPr="00E1001F" w14:paraId="313A4887" w14:textId="77777777" w:rsidTr="00F233D4">
        <w:trPr>
          <w:trHeight w:val="340"/>
        </w:trPr>
        <w:tc>
          <w:tcPr>
            <w:tcW w:w="2196" w:type="dxa"/>
            <w:shd w:val="clear" w:color="auto" w:fill="FBE4D5" w:themeFill="accent2" w:themeFillTint="33"/>
            <w:vAlign w:val="center"/>
          </w:tcPr>
          <w:p w14:paraId="56AA45C6"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21</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shd w:val="clear" w:color="auto" w:fill="FBE4D5" w:themeFill="accent2" w:themeFillTint="33"/>
            <w:vAlign w:val="center"/>
          </w:tcPr>
          <w:p w14:paraId="5D43A3BB"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2.658130171</w:t>
            </w:r>
          </w:p>
        </w:tc>
        <w:tc>
          <w:tcPr>
            <w:tcW w:w="2196" w:type="dxa"/>
            <w:shd w:val="clear" w:color="auto" w:fill="FBE4D5" w:themeFill="accent2" w:themeFillTint="33"/>
            <w:vAlign w:val="center"/>
          </w:tcPr>
          <w:p w14:paraId="06ED1ED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0.0000062643</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51C5EDA2"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23.69</w:t>
            </w:r>
          </w:p>
        </w:tc>
      </w:tr>
      <w:tr w:rsidR="00EE7EB3" w:rsidRPr="00E1001F" w14:paraId="59071958" w14:textId="77777777" w:rsidTr="00F233D4">
        <w:trPr>
          <w:trHeight w:val="340"/>
        </w:trPr>
        <w:tc>
          <w:tcPr>
            <w:tcW w:w="2196" w:type="dxa"/>
            <w:vAlign w:val="center"/>
          </w:tcPr>
          <w:p w14:paraId="23FD335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22</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vAlign w:val="center"/>
          </w:tcPr>
          <w:p w14:paraId="43A86C33"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5.367284021</w:t>
            </w:r>
          </w:p>
        </w:tc>
        <w:tc>
          <w:tcPr>
            <w:tcW w:w="2196" w:type="dxa"/>
            <w:vAlign w:val="center"/>
          </w:tcPr>
          <w:p w14:paraId="2F4BAC35"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0.0001860936</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051A3244"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29.28</w:t>
            </w:r>
          </w:p>
        </w:tc>
      </w:tr>
      <w:tr w:rsidR="00EE7EB3" w:rsidRPr="00E1001F" w14:paraId="6E3EB5D1" w14:textId="77777777" w:rsidTr="00F233D4">
        <w:trPr>
          <w:trHeight w:val="340"/>
        </w:trPr>
        <w:tc>
          <w:tcPr>
            <w:tcW w:w="2196" w:type="dxa"/>
            <w:vAlign w:val="center"/>
          </w:tcPr>
          <w:p w14:paraId="0064191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29a</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vAlign w:val="center"/>
          </w:tcPr>
          <w:p w14:paraId="1B2446B4"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2.512522107</w:t>
            </w:r>
          </w:p>
        </w:tc>
        <w:tc>
          <w:tcPr>
            <w:tcW w:w="2196" w:type="dxa"/>
            <w:vAlign w:val="center"/>
          </w:tcPr>
          <w:p w14:paraId="59B920B6"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0.0000515057</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2E28CC9F"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27.75</w:t>
            </w:r>
          </w:p>
        </w:tc>
      </w:tr>
      <w:tr w:rsidR="00EE7EB3" w:rsidRPr="00E1001F" w14:paraId="75A29B70" w14:textId="77777777" w:rsidTr="00F233D4">
        <w:trPr>
          <w:trHeight w:val="340"/>
        </w:trPr>
        <w:tc>
          <w:tcPr>
            <w:tcW w:w="2196" w:type="dxa"/>
            <w:vAlign w:val="center"/>
          </w:tcPr>
          <w:p w14:paraId="76D20CC2"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29c</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3p</w:t>
            </w:r>
          </w:p>
        </w:tc>
        <w:tc>
          <w:tcPr>
            <w:tcW w:w="2196" w:type="dxa"/>
            <w:vAlign w:val="center"/>
          </w:tcPr>
          <w:p w14:paraId="734055CD"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3.376980106</w:t>
            </w:r>
          </w:p>
        </w:tc>
        <w:tc>
          <w:tcPr>
            <w:tcW w:w="2196" w:type="dxa"/>
            <w:vAlign w:val="center"/>
          </w:tcPr>
          <w:p w14:paraId="062885E6"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0.0000515057</w:t>
            </w:r>
          </w:p>
        </w:tc>
        <w:tc>
          <w:tcPr>
            <w:cnfStyle w:val="000100000000" w:firstRow="0" w:lastRow="0" w:firstColumn="0" w:lastColumn="1" w:oddVBand="0" w:evenVBand="0" w:oddHBand="0" w:evenHBand="0" w:firstRowFirstColumn="0" w:firstRowLastColumn="0" w:lastRowFirstColumn="0" w:lastRowLastColumn="0"/>
            <w:tcW w:w="2196" w:type="dxa"/>
            <w:vAlign w:val="center"/>
          </w:tcPr>
          <w:p w14:paraId="5BA575B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27.10</w:t>
            </w:r>
          </w:p>
        </w:tc>
      </w:tr>
      <w:tr w:rsidR="00EE7EB3" w:rsidRPr="00E1001F" w14:paraId="72B13204" w14:textId="77777777" w:rsidTr="00F233D4">
        <w:trPr>
          <w:trHeight w:val="340"/>
        </w:trPr>
        <w:tc>
          <w:tcPr>
            <w:tcW w:w="2196" w:type="dxa"/>
            <w:shd w:val="clear" w:color="auto" w:fill="FBE4D5" w:themeFill="accent2" w:themeFillTint="33"/>
            <w:vAlign w:val="center"/>
          </w:tcPr>
          <w:p w14:paraId="7A321856"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hsa-miR</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93</w:t>
            </w:r>
            <w:r w:rsidRPr="00E1001F">
              <w:rPr>
                <w:rFonts w:ascii="Cambria" w:hAnsi="Cambria" w:cs="Cambria Math"/>
                <w:color w:val="3B3838" w:themeColor="background2" w:themeShade="40"/>
                <w:sz w:val="20"/>
                <w:szCs w:val="20"/>
              </w:rPr>
              <w:t>‑</w:t>
            </w:r>
            <w:r w:rsidRPr="00E1001F">
              <w:rPr>
                <w:rFonts w:ascii="Cambria" w:hAnsi="Cambria"/>
                <w:color w:val="3B3838" w:themeColor="background2" w:themeShade="40"/>
                <w:sz w:val="20"/>
                <w:szCs w:val="20"/>
              </w:rPr>
              <w:t>5p</w:t>
            </w:r>
          </w:p>
        </w:tc>
        <w:tc>
          <w:tcPr>
            <w:tcW w:w="2196" w:type="dxa"/>
            <w:shd w:val="clear" w:color="auto" w:fill="FBE4D5" w:themeFill="accent2" w:themeFillTint="33"/>
            <w:vAlign w:val="center"/>
          </w:tcPr>
          <w:p w14:paraId="6EDC96CC"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3.471889324</w:t>
            </w:r>
          </w:p>
        </w:tc>
        <w:tc>
          <w:tcPr>
            <w:tcW w:w="2196" w:type="dxa"/>
            <w:shd w:val="clear" w:color="auto" w:fill="FBE4D5" w:themeFill="accent2" w:themeFillTint="33"/>
            <w:vAlign w:val="center"/>
          </w:tcPr>
          <w:p w14:paraId="1F91FE2E"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0.0000000108</w:t>
            </w:r>
          </w:p>
        </w:tc>
        <w:tc>
          <w:tcPr>
            <w:cnfStyle w:val="000100000000" w:firstRow="0" w:lastRow="0" w:firstColumn="0" w:lastColumn="1" w:oddVBand="0" w:evenVBand="0" w:oddHBand="0" w:evenHBand="0" w:firstRowFirstColumn="0" w:firstRowLastColumn="0" w:lastRowFirstColumn="0" w:lastRowLastColumn="0"/>
            <w:tcW w:w="2196" w:type="dxa"/>
            <w:shd w:val="clear" w:color="auto" w:fill="FBE4D5" w:themeFill="accent2" w:themeFillTint="33"/>
            <w:vAlign w:val="center"/>
          </w:tcPr>
          <w:p w14:paraId="3ED0FE1B" w14:textId="77777777" w:rsidR="00EE7EB3" w:rsidRPr="00E1001F" w:rsidRDefault="00EE7EB3" w:rsidP="00F233D4">
            <w:pPr>
              <w:jc w:val="center"/>
              <w:rPr>
                <w:rFonts w:ascii="Cambria" w:hAnsi="Cambria"/>
                <w:color w:val="3B3838" w:themeColor="background2" w:themeShade="40"/>
                <w:sz w:val="20"/>
                <w:szCs w:val="20"/>
              </w:rPr>
            </w:pPr>
            <w:r w:rsidRPr="00E1001F">
              <w:rPr>
                <w:rFonts w:ascii="Cambria" w:hAnsi="Cambria"/>
                <w:color w:val="3B3838" w:themeColor="background2" w:themeShade="40"/>
                <w:sz w:val="20"/>
                <w:szCs w:val="20"/>
              </w:rPr>
              <w:t>28.72</w:t>
            </w:r>
          </w:p>
        </w:tc>
      </w:tr>
      <w:tr w:rsidR="00EE7EB3" w:rsidRPr="00E1001F" w14:paraId="1C6488FE" w14:textId="77777777" w:rsidTr="00F233D4">
        <w:trPr>
          <w:trHeight w:val="340"/>
        </w:trPr>
        <w:tc>
          <w:tcPr>
            <w:cnfStyle w:val="000100000000" w:firstRow="0" w:lastRow="0" w:firstColumn="0" w:lastColumn="1" w:oddVBand="0" w:evenVBand="0" w:oddHBand="0" w:evenHBand="0" w:firstRowFirstColumn="0" w:firstRowLastColumn="0" w:lastRowFirstColumn="0" w:lastRowLastColumn="0"/>
            <w:tcW w:w="8784" w:type="dxa"/>
            <w:gridSpan w:val="4"/>
            <w:vAlign w:val="center"/>
          </w:tcPr>
          <w:p w14:paraId="12D8A5FD" w14:textId="77777777" w:rsidR="00EE7EB3" w:rsidRPr="00E1001F" w:rsidRDefault="00EE7EB3" w:rsidP="00F233D4">
            <w:pPr>
              <w:rPr>
                <w:rFonts w:ascii="Cambria" w:hAnsi="Cambria"/>
                <w:color w:val="3B3838" w:themeColor="background2" w:themeShade="40"/>
                <w:sz w:val="20"/>
                <w:szCs w:val="20"/>
              </w:rPr>
            </w:pPr>
            <w:r w:rsidRPr="00E1001F">
              <w:rPr>
                <w:rFonts w:ascii="Cambria" w:hAnsi="Cambria"/>
                <w:color w:val="3B3838" w:themeColor="background2" w:themeShade="40"/>
                <w:sz w:val="20"/>
                <w:szCs w:val="20"/>
              </w:rPr>
              <w:t xml:space="preserve">Abbreviations: </w:t>
            </w:r>
            <w:r w:rsidRPr="00E1001F">
              <w:rPr>
                <w:rFonts w:ascii="Cambria" w:hAnsi="Cambria"/>
                <w:b w:val="0"/>
                <w:bCs w:val="0"/>
                <w:color w:val="3B3838" w:themeColor="background2" w:themeShade="40"/>
                <w:sz w:val="20"/>
                <w:szCs w:val="20"/>
              </w:rPr>
              <w:t>FC, fold change; C</w:t>
            </w:r>
            <w:r w:rsidRPr="00E1001F">
              <w:rPr>
                <w:rFonts w:ascii="Cambria" w:hAnsi="Cambria"/>
                <w:b w:val="0"/>
                <w:bCs w:val="0"/>
                <w:color w:val="3B3838" w:themeColor="background2" w:themeShade="40"/>
                <w:sz w:val="20"/>
                <w:szCs w:val="20"/>
                <w:vertAlign w:val="subscript"/>
              </w:rPr>
              <w:t>T</w:t>
            </w:r>
            <w:r w:rsidRPr="00E1001F">
              <w:rPr>
                <w:rFonts w:ascii="Cambria" w:hAnsi="Cambria"/>
                <w:b w:val="0"/>
                <w:bCs w:val="0"/>
                <w:color w:val="3B3838" w:themeColor="background2" w:themeShade="40"/>
                <w:sz w:val="20"/>
                <w:szCs w:val="20"/>
              </w:rPr>
              <w:t>, the cycle threshold</w:t>
            </w:r>
          </w:p>
        </w:tc>
      </w:tr>
      <w:bookmarkEnd w:id="81"/>
    </w:tbl>
    <w:p w14:paraId="57E846F2" w14:textId="77777777" w:rsidR="00EE7EB3" w:rsidRPr="00C83EDC" w:rsidRDefault="00EE7EB3" w:rsidP="00EE7EB3">
      <w:pPr>
        <w:rPr>
          <w:lang w:val="en-GB"/>
        </w:rPr>
      </w:pPr>
    </w:p>
    <w:p w14:paraId="04F6A77B" w14:textId="77777777" w:rsidR="00EE7EB3" w:rsidRDefault="00EE7EB3" w:rsidP="00EE7EB3">
      <w:pPr>
        <w:pStyle w:val="Obrzek"/>
      </w:pPr>
      <w:bookmarkStart w:id="82" w:name="_Toc47541126"/>
      <w:r>
        <w:rPr>
          <w:noProof/>
        </w:rPr>
        <w:lastRenderedPageBreak/>
        <w:drawing>
          <wp:inline distT="0" distB="0" distL="0" distR="0" wp14:anchorId="0864DC20" wp14:editId="205D724C">
            <wp:extent cx="5086350" cy="5086350"/>
            <wp:effectExtent l="0" t="0" r="0" b="0"/>
            <wp:docPr id="1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8"/>
                    <pic:cNvPicPr>
                      <a:picLocks noChangeAspect="1" noChangeArrowheads="1"/>
                    </pic:cNvPicPr>
                  </pic:nvPicPr>
                  <pic:blipFill>
                    <a:blip r:embed="rId32"/>
                    <a:stretch>
                      <a:fillRect/>
                    </a:stretch>
                  </pic:blipFill>
                  <pic:spPr bwMode="auto">
                    <a:xfrm>
                      <a:off x="0" y="0"/>
                      <a:ext cx="5086350" cy="5086350"/>
                    </a:xfrm>
                    <a:prstGeom prst="rect">
                      <a:avLst/>
                    </a:prstGeom>
                    <a:noFill/>
                    <a:ln>
                      <a:noFill/>
                    </a:ln>
                  </pic:spPr>
                </pic:pic>
              </a:graphicData>
            </a:graphic>
          </wp:inline>
        </w:drawing>
      </w:r>
    </w:p>
    <w:p w14:paraId="0583CCF0" w14:textId="7E734271" w:rsidR="00EE7EB3" w:rsidRDefault="00EE7EB3" w:rsidP="00EE7EB3">
      <w:pPr>
        <w:pStyle w:val="Titulekpedpopisem"/>
        <w:jc w:val="both"/>
        <w:rPr>
          <w:rFonts w:asciiTheme="minorHAnsi" w:hAnsiTheme="minorHAnsi"/>
          <w:lang w:val="en-GB"/>
        </w:rPr>
      </w:pPr>
      <w:proofErr w:type="spellStart"/>
      <w:r>
        <w:t>Figure</w:t>
      </w:r>
      <w:proofErr w:type="spellEnd"/>
      <w:r>
        <w:t xml:space="preserve"> </w:t>
      </w:r>
      <w:r>
        <w:rPr>
          <w:noProof/>
        </w:rPr>
        <w:fldChar w:fldCharType="begin"/>
      </w:r>
      <w:r>
        <w:rPr>
          <w:noProof/>
        </w:rPr>
        <w:instrText xml:space="preserve"> SEQ Obr. \* ARABIC </w:instrText>
      </w:r>
      <w:r>
        <w:rPr>
          <w:noProof/>
        </w:rPr>
        <w:fldChar w:fldCharType="separate"/>
      </w:r>
      <w:r w:rsidR="0048503A">
        <w:rPr>
          <w:noProof/>
        </w:rPr>
        <w:t>4</w:t>
      </w:r>
      <w:r>
        <w:rPr>
          <w:noProof/>
        </w:rPr>
        <w:fldChar w:fldCharType="end"/>
      </w:r>
      <w:r>
        <w:t xml:space="preserve">. </w:t>
      </w:r>
      <w:r w:rsidRPr="00415D5B">
        <w:rPr>
          <w:lang w:val="en-GB"/>
        </w:rPr>
        <w:t>Heatmap visualization of sample clustering based on miRNA gene expression</w:t>
      </w:r>
      <w:r w:rsidRPr="00E66D12">
        <w:rPr>
          <w:b w:val="0"/>
          <w:bCs w:val="0"/>
          <w:lang w:val="en-GB"/>
        </w:rPr>
        <w:t>.</w:t>
      </w:r>
      <w:r>
        <w:rPr>
          <w:b w:val="0"/>
          <w:bCs w:val="0"/>
          <w:lang w:val="en-GB"/>
        </w:rPr>
        <w:t xml:space="preserve"> </w:t>
      </w:r>
      <w:r w:rsidRPr="00415D5B">
        <w:rPr>
          <w:b w:val="0"/>
          <w:bCs w:val="0"/>
          <w:lang w:val="en-GB"/>
        </w:rPr>
        <w:t xml:space="preserve">Differentially expressed miRNAs with p-value &lt; 0.0001 (log2 normalized), Ct </w:t>
      </w:r>
      <w:r w:rsidRPr="00415D5B">
        <w:rPr>
          <w:rFonts w:cs="Calibri"/>
          <w:b w:val="0"/>
          <w:bCs w:val="0"/>
          <w:lang w:val="en-GB"/>
        </w:rPr>
        <w:t>&lt;</w:t>
      </w:r>
      <w:r w:rsidRPr="00415D5B">
        <w:rPr>
          <w:b w:val="0"/>
          <w:bCs w:val="0"/>
          <w:lang w:val="en-GB"/>
        </w:rPr>
        <w:t xml:space="preserve"> 30, and fold-change </w:t>
      </w:r>
      <w:r w:rsidRPr="00415D5B">
        <w:rPr>
          <w:rFonts w:cs="Calibri"/>
          <w:b w:val="0"/>
          <w:bCs w:val="0"/>
          <w:lang w:val="en-GB"/>
        </w:rPr>
        <w:t>&gt; 2</w:t>
      </w:r>
      <w:r w:rsidRPr="00415D5B">
        <w:rPr>
          <w:b w:val="0"/>
          <w:bCs w:val="0"/>
          <w:lang w:val="en-GB"/>
        </w:rPr>
        <w:t xml:space="preserve"> discriminate between indolent and aggressive </w:t>
      </w:r>
      <w:proofErr w:type="spellStart"/>
      <w:r w:rsidRPr="00415D5B">
        <w:rPr>
          <w:b w:val="0"/>
          <w:bCs w:val="0"/>
          <w:lang w:val="en-GB"/>
        </w:rPr>
        <w:t>PCa</w:t>
      </w:r>
      <w:proofErr w:type="spellEnd"/>
      <w:r w:rsidRPr="00415D5B">
        <w:rPr>
          <w:b w:val="0"/>
          <w:bCs w:val="0"/>
          <w:lang w:val="en-GB"/>
        </w:rPr>
        <w:t xml:space="preserve"> tissue specimens. Samples are clustered according to the similarity of their miRNA expression profiles. The heat scale illustrates the rate of miRNA expression in which blue (red) colour means low (high) expression of a given miRNA in a </w:t>
      </w:r>
      <w:proofErr w:type="gramStart"/>
      <w:r w:rsidRPr="00415D5B">
        <w:rPr>
          <w:b w:val="0"/>
          <w:bCs w:val="0"/>
          <w:lang w:val="en-GB"/>
        </w:rPr>
        <w:t>particular sample</w:t>
      </w:r>
      <w:proofErr w:type="gramEnd"/>
      <w:r w:rsidRPr="00415D5B">
        <w:rPr>
          <w:b w:val="0"/>
          <w:bCs w:val="0"/>
          <w:lang w:val="en-GB"/>
        </w:rPr>
        <w:t>. In the heat map, columns represent analysed samples and rows depict miRNAs.</w:t>
      </w:r>
    </w:p>
    <w:p w14:paraId="2C59CFF5" w14:textId="77777777" w:rsidR="00EE7EB3" w:rsidRPr="00C83EDC" w:rsidRDefault="00EE7EB3" w:rsidP="00EE7EB3">
      <w:pPr>
        <w:pStyle w:val="Nadpis2"/>
        <w:rPr>
          <w:lang w:val="en-GB"/>
        </w:rPr>
      </w:pPr>
      <w:bookmarkStart w:id="83" w:name="_Toc47889330"/>
      <w:bookmarkStart w:id="84" w:name="_Toc48161001"/>
      <w:bookmarkStart w:id="85" w:name="_Hlk47530526"/>
      <w:bookmarkEnd w:id="82"/>
      <w:r>
        <w:rPr>
          <w:lang w:val="en-GB"/>
        </w:rPr>
        <w:t>miRNA v</w:t>
      </w:r>
      <w:r w:rsidRPr="00C83EDC">
        <w:rPr>
          <w:lang w:val="en-GB"/>
        </w:rPr>
        <w:t>alidation</w:t>
      </w:r>
      <w:bookmarkEnd w:id="83"/>
      <w:bookmarkEnd w:id="84"/>
    </w:p>
    <w:p w14:paraId="0C8BA966" w14:textId="77777777" w:rsidR="00EE7EB3" w:rsidRPr="00C83EDC" w:rsidRDefault="00EE7EB3" w:rsidP="00EE7EB3">
      <w:pPr>
        <w:pStyle w:val="Nadpis3"/>
        <w:rPr>
          <w:lang w:val="en-GB"/>
        </w:rPr>
      </w:pPr>
      <w:r w:rsidRPr="00C83EDC">
        <w:rPr>
          <w:lang w:val="en-GB"/>
        </w:rPr>
        <w:t>RNA isolation</w:t>
      </w:r>
    </w:p>
    <w:p w14:paraId="64EE54CA" w14:textId="77777777" w:rsidR="00EE7EB3" w:rsidRPr="00C83EDC" w:rsidRDefault="00EE7EB3" w:rsidP="00EE7EB3">
      <w:pPr>
        <w:pStyle w:val="Odstavec1"/>
        <w:rPr>
          <w:lang w:val="en-GB"/>
        </w:rPr>
      </w:pPr>
      <w:r w:rsidRPr="00C83EDC">
        <w:rPr>
          <w:lang w:val="en-GB"/>
        </w:rPr>
        <w:t>RNA was extracted from 94 FFPE tissue samples of prostate cancer patients</w:t>
      </w:r>
      <w:r>
        <w:rPr>
          <w:lang w:val="en-GB"/>
        </w:rPr>
        <w:t xml:space="preserve">. The cohort consists of three groups (indolent </w:t>
      </w:r>
      <w:proofErr w:type="spellStart"/>
      <w:r>
        <w:rPr>
          <w:lang w:val="en-GB"/>
        </w:rPr>
        <w:t>PCa</w:t>
      </w:r>
      <w:proofErr w:type="spellEnd"/>
      <w:r>
        <w:rPr>
          <w:lang w:val="en-GB"/>
        </w:rPr>
        <w:t xml:space="preserve">, aggressive </w:t>
      </w:r>
      <w:proofErr w:type="spellStart"/>
      <w:r>
        <w:rPr>
          <w:lang w:val="en-GB"/>
        </w:rPr>
        <w:t>PCa</w:t>
      </w:r>
      <w:proofErr w:type="spellEnd"/>
      <w:r>
        <w:rPr>
          <w:lang w:val="en-GB"/>
        </w:rPr>
        <w:t xml:space="preserve">, and GS 3+4) which are based on identified </w:t>
      </w:r>
      <w:r w:rsidRPr="00C83EDC">
        <w:rPr>
          <w:lang w:val="en-GB"/>
        </w:rPr>
        <w:t xml:space="preserve">histopathological </w:t>
      </w:r>
      <w:r>
        <w:rPr>
          <w:lang w:val="en-GB"/>
        </w:rPr>
        <w:t xml:space="preserve">grades with associated risk of cancer progression. </w:t>
      </w:r>
      <w:r w:rsidRPr="00C83EDC">
        <w:rPr>
          <w:lang w:val="en-GB"/>
        </w:rPr>
        <w:t xml:space="preserve">Patient and clinical characteristics are summarized in </w:t>
      </w:r>
      <w:r w:rsidRPr="007426A8">
        <w:rPr>
          <w:lang w:val="en-GB"/>
        </w:rPr>
        <w:t xml:space="preserve">Table </w:t>
      </w:r>
      <w:r>
        <w:rPr>
          <w:lang w:val="en-GB"/>
        </w:rPr>
        <w:t>VII</w:t>
      </w:r>
      <w:r w:rsidRPr="007426A8">
        <w:rPr>
          <w:lang w:val="en-GB"/>
        </w:rPr>
        <w:t>.</w:t>
      </w:r>
      <w:r w:rsidRPr="00C83EDC">
        <w:rPr>
          <w:lang w:val="en-GB"/>
        </w:rPr>
        <w:t xml:space="preserve"> Extracted average concentration of RNA was </w:t>
      </w:r>
      <w:r w:rsidRPr="00C83EDC">
        <w:rPr>
          <w:lang w:val="en-GB"/>
        </w:rPr>
        <w:lastRenderedPageBreak/>
        <w:t>348</w:t>
      </w:r>
      <w:r>
        <w:rPr>
          <w:lang w:val="en-GB"/>
        </w:rPr>
        <w:t> </w:t>
      </w:r>
      <w:r w:rsidRPr="00C83EDC">
        <w:rPr>
          <w:lang w:val="en-GB"/>
        </w:rPr>
        <w:t>ng·µl</w:t>
      </w:r>
      <w:r w:rsidRPr="00C83EDC">
        <w:rPr>
          <w:vertAlign w:val="superscript"/>
          <w:lang w:val="en-GB"/>
        </w:rPr>
        <w:t>−1</w:t>
      </w:r>
      <w:r w:rsidRPr="00C83EDC">
        <w:rPr>
          <w:lang w:val="en-GB"/>
        </w:rPr>
        <w:t>, with concentration values ranging from 66 to 1059 ng·µl</w:t>
      </w:r>
      <w:r w:rsidRPr="00C83EDC">
        <w:rPr>
          <w:vertAlign w:val="superscript"/>
          <w:lang w:val="en-GB"/>
        </w:rPr>
        <w:t>−1</w:t>
      </w:r>
      <w:r w:rsidRPr="00C83EDC">
        <w:rPr>
          <w:lang w:val="en-GB"/>
        </w:rPr>
        <w:t>. For the following cDNA synthesis, RNA was diluted to a working concentration of 5 ng·µl</w:t>
      </w:r>
      <w:r w:rsidRPr="00C83EDC">
        <w:rPr>
          <w:vertAlign w:val="superscript"/>
          <w:lang w:val="en-GB"/>
        </w:rPr>
        <w:t>−1</w:t>
      </w:r>
      <w:r w:rsidRPr="00C83EDC">
        <w:rPr>
          <w:lang w:val="en-GB"/>
        </w:rPr>
        <w:t>.</w:t>
      </w:r>
    </w:p>
    <w:p w14:paraId="2637C611" w14:textId="77777777" w:rsidR="00EE7EB3" w:rsidRPr="00C83EDC" w:rsidRDefault="00EE7EB3" w:rsidP="00EE7EB3">
      <w:pPr>
        <w:pStyle w:val="Nadpis3"/>
        <w:rPr>
          <w:lang w:val="en-GB"/>
        </w:rPr>
      </w:pPr>
      <w:r w:rsidRPr="00C83EDC">
        <w:rPr>
          <w:lang w:val="en-GB"/>
        </w:rPr>
        <w:t>Quantitative Real-Time PCR assay and data analysis</w:t>
      </w:r>
    </w:p>
    <w:p w14:paraId="44B6373E" w14:textId="77777777" w:rsidR="00EE7EB3" w:rsidRPr="00C83EDC" w:rsidRDefault="00EE7EB3" w:rsidP="00EE7EB3">
      <w:pPr>
        <w:pStyle w:val="Odstavec1"/>
        <w:rPr>
          <w:lang w:val="en-GB"/>
        </w:rPr>
      </w:pPr>
      <w:r w:rsidRPr="00C83EDC">
        <w:rPr>
          <w:lang w:val="en-GB"/>
        </w:rPr>
        <w:t>The expression of 1</w:t>
      </w:r>
      <w:r>
        <w:rPr>
          <w:lang w:val="en-GB"/>
        </w:rPr>
        <w:t>0</w:t>
      </w:r>
      <w:r w:rsidRPr="00C83EDC">
        <w:rPr>
          <w:lang w:val="en-GB"/>
        </w:rPr>
        <w:t xml:space="preserve"> miRNAs </w:t>
      </w:r>
      <w:r w:rsidRPr="007426A8">
        <w:rPr>
          <w:lang w:val="en-GB"/>
        </w:rPr>
        <w:t xml:space="preserve">(Table </w:t>
      </w:r>
      <w:r>
        <w:rPr>
          <w:lang w:val="en-GB"/>
        </w:rPr>
        <w:t>XVIII</w:t>
      </w:r>
      <w:r w:rsidRPr="007426A8">
        <w:rPr>
          <w:lang w:val="en-GB"/>
        </w:rPr>
        <w:t>)</w:t>
      </w:r>
      <w:r w:rsidRPr="00C83EDC">
        <w:rPr>
          <w:lang w:val="en-GB"/>
        </w:rPr>
        <w:t xml:space="preserve"> </w:t>
      </w:r>
      <w:r>
        <w:rPr>
          <w:lang w:val="en-GB"/>
        </w:rPr>
        <w:t xml:space="preserve">and three reference genes </w:t>
      </w:r>
      <w:r w:rsidRPr="00C83EDC">
        <w:rPr>
          <w:lang w:val="en-GB"/>
        </w:rPr>
        <w:t xml:space="preserve">was measured across 94 tissue samples by TaqMan® Advanced miRNA assay. </w:t>
      </w:r>
      <w:r>
        <w:rPr>
          <w:lang w:val="en-GB"/>
        </w:rPr>
        <w:t xml:space="preserve">A </w:t>
      </w:r>
      <w:r w:rsidRPr="00C83EDC">
        <w:rPr>
          <w:lang w:val="en-GB"/>
        </w:rPr>
        <w:t>Mann-Whitney test of miRNA expression levels revealed that</w:t>
      </w:r>
      <w:r>
        <w:rPr>
          <w:lang w:val="en-GB"/>
        </w:rPr>
        <w:t xml:space="preserve"> out of the 11 biomarker miRNAs tested only</w:t>
      </w:r>
      <w:r w:rsidRPr="00C83EDC">
        <w:rPr>
          <w:lang w:val="en-GB"/>
        </w:rPr>
        <w:t xml:space="preserve"> </w:t>
      </w:r>
      <w:r>
        <w:rPr>
          <w:lang w:val="en-GB"/>
        </w:rPr>
        <w:t>miR‑</w:t>
      </w:r>
      <w:r w:rsidRPr="00C83EDC">
        <w:rPr>
          <w:lang w:val="en-GB"/>
        </w:rPr>
        <w:t>15b</w:t>
      </w:r>
      <w:r>
        <w:rPr>
          <w:lang w:val="en-GB"/>
        </w:rPr>
        <w:t>‑5p</w:t>
      </w:r>
      <w:r w:rsidRPr="00C83EDC">
        <w:rPr>
          <w:lang w:val="en-GB"/>
        </w:rPr>
        <w:t xml:space="preserve"> and </w:t>
      </w:r>
      <w:r>
        <w:rPr>
          <w:lang w:val="en-GB"/>
        </w:rPr>
        <w:t>miR‑</w:t>
      </w:r>
      <w:r w:rsidRPr="00C83EDC">
        <w:rPr>
          <w:lang w:val="en-GB"/>
        </w:rPr>
        <w:t>106b</w:t>
      </w:r>
      <w:r>
        <w:rPr>
          <w:lang w:val="en-GB"/>
        </w:rPr>
        <w:t>‑5p</w:t>
      </w:r>
      <w:r w:rsidRPr="00C83EDC">
        <w:rPr>
          <w:lang w:val="en-GB"/>
        </w:rPr>
        <w:t xml:space="preserve"> were significantly differentially expressed in aggressive versus indolent type</w:t>
      </w:r>
      <w:r>
        <w:rPr>
          <w:lang w:val="en-GB"/>
        </w:rPr>
        <w:t>s</w:t>
      </w:r>
      <w:r w:rsidRPr="00C83EDC">
        <w:rPr>
          <w:lang w:val="en-GB"/>
        </w:rPr>
        <w:t xml:space="preserve"> of tumours with P</w:t>
      </w:r>
      <w:r>
        <w:rPr>
          <w:lang w:val="en-GB"/>
        </w:rPr>
        <w:t xml:space="preserve"> </w:t>
      </w:r>
      <w:r w:rsidRPr="00FB5ED4">
        <w:rPr>
          <w:rFonts w:ascii="Calibri" w:hAnsi="Calibri" w:cs="Calibri"/>
          <w:lang w:val="en-GB"/>
        </w:rPr>
        <w:t>&lt;</w:t>
      </w:r>
      <w:r w:rsidRPr="00FB5ED4">
        <w:rPr>
          <w:lang w:val="en-GB"/>
        </w:rPr>
        <w:t xml:space="preserve"> 0.0001 and P = 0.0002</w:t>
      </w:r>
      <w:r>
        <w:rPr>
          <w:lang w:val="en-GB"/>
        </w:rPr>
        <w:t xml:space="preserve">, respectively </w:t>
      </w:r>
      <w:r w:rsidRPr="00C83EDC">
        <w:rPr>
          <w:lang w:val="en-GB"/>
        </w:rPr>
        <w:t>(</w:t>
      </w:r>
      <w:r w:rsidRPr="007426A8">
        <w:rPr>
          <w:lang w:val="en-GB"/>
        </w:rPr>
        <w:t>Figures 5A and 5B).</w:t>
      </w:r>
      <w:r w:rsidRPr="00C83EDC">
        <w:rPr>
          <w:lang w:val="en-GB"/>
        </w:rPr>
        <w:t xml:space="preserve"> </w:t>
      </w:r>
      <w:r>
        <w:rPr>
          <w:lang w:val="en-GB"/>
        </w:rPr>
        <w:t>Subsequent</w:t>
      </w:r>
      <w:r w:rsidRPr="00C83EDC">
        <w:rPr>
          <w:lang w:val="en-GB"/>
        </w:rPr>
        <w:t xml:space="preserve"> ROC analysis</w:t>
      </w:r>
      <w:r>
        <w:rPr>
          <w:lang w:val="en-GB"/>
        </w:rPr>
        <w:t xml:space="preserve"> showed the ability of listed miRNAs to classify </w:t>
      </w:r>
      <w:proofErr w:type="spellStart"/>
      <w:r>
        <w:rPr>
          <w:lang w:val="en-GB"/>
        </w:rPr>
        <w:t>PCa</w:t>
      </w:r>
      <w:proofErr w:type="spellEnd"/>
      <w:r>
        <w:rPr>
          <w:lang w:val="en-GB"/>
        </w:rPr>
        <w:t xml:space="preserve"> patients according to the disease aggressiveness with</w:t>
      </w:r>
      <w:r w:rsidRPr="00C83EDC">
        <w:rPr>
          <w:lang w:val="en-GB"/>
        </w:rPr>
        <w:t xml:space="preserve"> computed AUC values of 0.771 and 0.755 for </w:t>
      </w:r>
      <w:r>
        <w:rPr>
          <w:lang w:val="en-GB"/>
        </w:rPr>
        <w:t>miR‑</w:t>
      </w:r>
      <w:r w:rsidRPr="00C83EDC">
        <w:rPr>
          <w:lang w:val="en-GB"/>
        </w:rPr>
        <w:t>15b</w:t>
      </w:r>
      <w:r>
        <w:rPr>
          <w:lang w:val="en-GB"/>
        </w:rPr>
        <w:t>‑5p</w:t>
      </w:r>
      <w:r w:rsidRPr="00C83EDC">
        <w:rPr>
          <w:lang w:val="en-GB"/>
        </w:rPr>
        <w:t xml:space="preserve"> and </w:t>
      </w:r>
      <w:r>
        <w:rPr>
          <w:lang w:val="en-GB"/>
        </w:rPr>
        <w:t>miR‑</w:t>
      </w:r>
      <w:r w:rsidRPr="00C83EDC">
        <w:rPr>
          <w:lang w:val="en-GB"/>
        </w:rPr>
        <w:t>106b</w:t>
      </w:r>
      <w:r>
        <w:rPr>
          <w:lang w:val="en-GB"/>
        </w:rPr>
        <w:t>‑5p</w:t>
      </w:r>
      <w:r w:rsidRPr="00C83EDC">
        <w:rPr>
          <w:lang w:val="en-GB"/>
        </w:rPr>
        <w:t>, respectively (</w:t>
      </w:r>
      <w:r w:rsidRPr="007426A8">
        <w:rPr>
          <w:lang w:val="en-GB"/>
        </w:rPr>
        <w:t>Figures 6A</w:t>
      </w:r>
      <w:r>
        <w:rPr>
          <w:lang w:val="en-GB"/>
        </w:rPr>
        <w:t>, 6B)</w:t>
      </w:r>
      <w:r w:rsidRPr="00C83EDC">
        <w:rPr>
          <w:lang w:val="en-GB"/>
        </w:rPr>
        <w:t>.</w:t>
      </w:r>
      <w:r>
        <w:rPr>
          <w:lang w:val="en-GB"/>
        </w:rPr>
        <w:t xml:space="preserve"> At the cut-off value of 0.2204, miR‑15b‑5p reached 70% sensitivity and 73% specificity, whilst miR‑</w:t>
      </w:r>
      <w:r w:rsidRPr="00C83EDC">
        <w:rPr>
          <w:lang w:val="en-GB"/>
        </w:rPr>
        <w:t>106b</w:t>
      </w:r>
      <w:r>
        <w:rPr>
          <w:lang w:val="en-GB"/>
        </w:rPr>
        <w:t>‑5p</w:t>
      </w:r>
      <w:r w:rsidRPr="00C83EDC">
        <w:rPr>
          <w:lang w:val="en-GB"/>
        </w:rPr>
        <w:t xml:space="preserve"> </w:t>
      </w:r>
      <w:r>
        <w:rPr>
          <w:lang w:val="en-GB"/>
        </w:rPr>
        <w:t xml:space="preserve">showed 87% specificity at 58% sensitivity at the cut-off value of 0.1947. Additional ROC analysis based on the combination of both miRNAs obtained even better analytical </w:t>
      </w:r>
      <w:r w:rsidRPr="009A072F">
        <w:rPr>
          <w:lang w:val="en-GB"/>
        </w:rPr>
        <w:t xml:space="preserve">output with AUC=0.808, and increased specificity of 83% at 68% sensitivity </w:t>
      </w:r>
      <w:r>
        <w:rPr>
          <w:lang w:val="en-GB"/>
        </w:rPr>
        <w:t xml:space="preserve">with the </w:t>
      </w:r>
      <w:r w:rsidRPr="009A072F">
        <w:rPr>
          <w:lang w:val="en-GB"/>
        </w:rPr>
        <w:t>cut off</w:t>
      </w:r>
      <w:r>
        <w:rPr>
          <w:lang w:val="en-GB"/>
        </w:rPr>
        <w:t xml:space="preserve"> value </w:t>
      </w:r>
      <w:r w:rsidRPr="009A072F">
        <w:rPr>
          <w:lang w:val="en-GB"/>
        </w:rPr>
        <w:t>0.4823</w:t>
      </w:r>
      <w:r>
        <w:rPr>
          <w:lang w:val="en-GB"/>
        </w:rPr>
        <w:t xml:space="preserve"> (</w:t>
      </w:r>
      <w:r w:rsidRPr="007426A8">
        <w:rPr>
          <w:lang w:val="en-GB"/>
        </w:rPr>
        <w:t>Figure 6C</w:t>
      </w:r>
      <w:r>
        <w:rPr>
          <w:lang w:val="en-GB"/>
        </w:rPr>
        <w:t>)</w:t>
      </w:r>
      <w:r w:rsidRPr="009A072F">
        <w:rPr>
          <w:lang w:val="en-GB"/>
        </w:rPr>
        <w:t>. The analysis of variance (Kruskal Wallis test) revealed that miR‑15b‑5p and miR‑106b‑5p could divide</w:t>
      </w:r>
      <w:r w:rsidRPr="00C83EDC">
        <w:rPr>
          <w:lang w:val="en-GB"/>
        </w:rPr>
        <w:t xml:space="preserve"> patients into three separate groups </w:t>
      </w:r>
      <w:r>
        <w:rPr>
          <w:lang w:val="en-GB"/>
        </w:rPr>
        <w:t>in agreement with</w:t>
      </w:r>
      <w:r w:rsidRPr="00C83EDC">
        <w:rPr>
          <w:lang w:val="en-GB"/>
        </w:rPr>
        <w:t xml:space="preserve"> their histo</w:t>
      </w:r>
      <w:r>
        <w:rPr>
          <w:lang w:val="en-GB"/>
        </w:rPr>
        <w:t>patholo</w:t>
      </w:r>
      <w:r w:rsidRPr="00C83EDC">
        <w:rPr>
          <w:lang w:val="en-GB"/>
        </w:rPr>
        <w:t>gical grade</w:t>
      </w:r>
      <w:r>
        <w:rPr>
          <w:lang w:val="en-GB"/>
        </w:rPr>
        <w:t xml:space="preserve"> (indolent, aggressive, Gleason score 3+4</w:t>
      </w:r>
      <w:r>
        <w:t xml:space="preserve">) </w:t>
      </w:r>
      <w:r w:rsidRPr="00C83EDC">
        <w:rPr>
          <w:lang w:val="en-GB"/>
        </w:rPr>
        <w:t xml:space="preserve">with </w:t>
      </w:r>
      <w:r>
        <w:rPr>
          <w:lang w:val="en-GB"/>
        </w:rPr>
        <w:t xml:space="preserve">P </w:t>
      </w:r>
      <w:r>
        <w:rPr>
          <w:rFonts w:ascii="Calibri" w:hAnsi="Calibri" w:cs="Calibri"/>
          <w:lang w:val="en-GB"/>
        </w:rPr>
        <w:t>&lt;</w:t>
      </w:r>
      <w:r>
        <w:rPr>
          <w:lang w:val="en-GB"/>
        </w:rPr>
        <w:t xml:space="preserve"> 0.00</w:t>
      </w:r>
      <w:r>
        <w:t>0</w:t>
      </w:r>
      <w:r>
        <w:rPr>
          <w:lang w:val="en-GB"/>
        </w:rPr>
        <w:t xml:space="preserve">1 and P </w:t>
      </w:r>
      <w:r>
        <w:rPr>
          <w:rFonts w:ascii="Calibri" w:hAnsi="Calibri" w:cs="Calibri"/>
          <w:lang w:val="en-GB"/>
        </w:rPr>
        <w:t>=</w:t>
      </w:r>
      <w:r>
        <w:rPr>
          <w:lang w:val="en-GB"/>
        </w:rPr>
        <w:t xml:space="preserve"> 0.00</w:t>
      </w:r>
      <w:r>
        <w:t>02</w:t>
      </w:r>
      <w:r w:rsidRPr="00FF6E89">
        <w:rPr>
          <w:lang w:val="en-GB"/>
        </w:rPr>
        <w:t>, respectively</w:t>
      </w:r>
      <w:r>
        <w:rPr>
          <w:lang w:val="en-GB"/>
        </w:rPr>
        <w:t xml:space="preserve"> (Figures 5A, 5B)</w:t>
      </w:r>
      <w:r w:rsidRPr="00C83EDC">
        <w:rPr>
          <w:lang w:val="en-GB"/>
        </w:rPr>
        <w:t xml:space="preserve">. </w:t>
      </w:r>
    </w:p>
    <w:p w14:paraId="1D7220CA" w14:textId="77777777" w:rsidR="00EE7EB3" w:rsidRPr="00C83EDC" w:rsidRDefault="00EE7EB3" w:rsidP="00EE7EB3">
      <w:pPr>
        <w:pStyle w:val="Obrzek"/>
        <w:rPr>
          <w:lang w:val="en-GB"/>
        </w:rPr>
      </w:pPr>
      <w:r w:rsidRPr="00C83EDC">
        <w:rPr>
          <w:noProof/>
          <w:lang w:val="en-GB"/>
        </w:rPr>
        <w:drawing>
          <wp:inline distT="0" distB="0" distL="0" distR="0" wp14:anchorId="3BF689B4" wp14:editId="7C0D8BCA">
            <wp:extent cx="5764125" cy="2626242"/>
            <wp:effectExtent l="0" t="0" r="8255" b="3175"/>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8"/>
                    <pic:cNvPicPr>
                      <a:picLocks noChangeAspect="1" noChangeArrowheads="1"/>
                    </pic:cNvPicPr>
                  </pic:nvPicPr>
                  <pic:blipFill rotWithShape="1">
                    <a:blip r:embed="rId33"/>
                    <a:srcRect l="2772" r="5564"/>
                    <a:stretch/>
                  </pic:blipFill>
                  <pic:spPr bwMode="auto">
                    <a:xfrm>
                      <a:off x="0" y="0"/>
                      <a:ext cx="5764125" cy="2626242"/>
                    </a:xfrm>
                    <a:prstGeom prst="rect">
                      <a:avLst/>
                    </a:prstGeom>
                    <a:noFill/>
                    <a:ln>
                      <a:noFill/>
                    </a:ln>
                    <a:extLst>
                      <a:ext uri="{53640926-AAD7-44D8-BBD7-CCE9431645EC}">
                        <a14:shadowObscured xmlns:a14="http://schemas.microsoft.com/office/drawing/2010/main"/>
                      </a:ext>
                    </a:extLst>
                  </pic:spPr>
                </pic:pic>
              </a:graphicData>
            </a:graphic>
          </wp:inline>
        </w:drawing>
      </w:r>
    </w:p>
    <w:p w14:paraId="3E60A200" w14:textId="3FE9430F" w:rsidR="00EE7EB3" w:rsidRPr="00415D5B" w:rsidRDefault="00EE7EB3" w:rsidP="00EE7EB3">
      <w:pPr>
        <w:pStyle w:val="Titulek"/>
        <w:jc w:val="both"/>
        <w:rPr>
          <w:b w:val="0"/>
          <w:bCs w:val="0"/>
          <w:lang w:val="en-GB"/>
        </w:rPr>
      </w:pPr>
      <w:bookmarkStart w:id="86" w:name="_Toc47541128"/>
      <w:r w:rsidRPr="00C83EDC">
        <w:rPr>
          <w:lang w:val="en-GB"/>
        </w:rPr>
        <w:t>Fig</w:t>
      </w:r>
      <w:r>
        <w:rPr>
          <w:lang w:val="en-GB"/>
        </w:rPr>
        <w:t>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5</w:t>
      </w:r>
      <w:r w:rsidRPr="00C83EDC">
        <w:rPr>
          <w:noProof/>
          <w:lang w:val="en-GB"/>
        </w:rPr>
        <w:fldChar w:fldCharType="end"/>
      </w:r>
      <w:bookmarkEnd w:id="86"/>
      <w:r>
        <w:rPr>
          <w:lang w:val="en-GB"/>
        </w:rPr>
        <w:t xml:space="preserve">. </w:t>
      </w:r>
      <w:r w:rsidRPr="00415D5B">
        <w:rPr>
          <w:lang w:val="en-GB"/>
        </w:rPr>
        <w:t xml:space="preserve">Upregulation of miR‑15ba‑5p and miR‑106b‑5p in aggressive </w:t>
      </w:r>
      <w:proofErr w:type="spellStart"/>
      <w:r w:rsidRPr="00415D5B">
        <w:rPr>
          <w:lang w:val="en-GB"/>
        </w:rPr>
        <w:t>PCa</w:t>
      </w:r>
      <w:proofErr w:type="spellEnd"/>
      <w:r w:rsidRPr="00415D5B">
        <w:rPr>
          <w:b w:val="0"/>
          <w:bCs w:val="0"/>
          <w:lang w:val="en-GB"/>
        </w:rPr>
        <w:t>.</w:t>
      </w:r>
      <w:r>
        <w:rPr>
          <w:lang w:val="en-GB"/>
        </w:rPr>
        <w:t xml:space="preserve"> </w:t>
      </w:r>
      <w:r w:rsidRPr="002710FA">
        <w:rPr>
          <w:b w:val="0"/>
          <w:bCs w:val="0"/>
          <w:lang w:val="en-GB"/>
        </w:rPr>
        <w:t xml:space="preserve">A comparison between relative expression of </w:t>
      </w:r>
      <w:r>
        <w:rPr>
          <w:b w:val="0"/>
          <w:bCs w:val="0"/>
          <w:lang w:val="en-GB"/>
        </w:rPr>
        <w:t>miR‑</w:t>
      </w:r>
      <w:r w:rsidRPr="00540122">
        <w:rPr>
          <w:b w:val="0"/>
          <w:bCs w:val="0"/>
          <w:lang w:val="en-GB"/>
        </w:rPr>
        <w:t>15ba</w:t>
      </w:r>
      <w:r>
        <w:rPr>
          <w:b w:val="0"/>
          <w:bCs w:val="0"/>
          <w:lang w:val="en-GB"/>
        </w:rPr>
        <w:t>‑5p (</w:t>
      </w:r>
      <w:r w:rsidRPr="00540122">
        <w:rPr>
          <w:lang w:val="en-GB"/>
        </w:rPr>
        <w:t>A</w:t>
      </w:r>
      <w:r>
        <w:rPr>
          <w:b w:val="0"/>
          <w:bCs w:val="0"/>
          <w:lang w:val="en-GB"/>
        </w:rPr>
        <w:t>)</w:t>
      </w:r>
      <w:r w:rsidRPr="00540122">
        <w:rPr>
          <w:b w:val="0"/>
          <w:bCs w:val="0"/>
          <w:lang w:val="en-GB"/>
        </w:rPr>
        <w:t xml:space="preserve"> and </w:t>
      </w:r>
      <w:r>
        <w:rPr>
          <w:b w:val="0"/>
          <w:bCs w:val="0"/>
          <w:lang w:val="en-GB"/>
        </w:rPr>
        <w:t>miR‑</w:t>
      </w:r>
      <w:r w:rsidRPr="00540122">
        <w:rPr>
          <w:b w:val="0"/>
          <w:bCs w:val="0"/>
          <w:lang w:val="en-GB"/>
        </w:rPr>
        <w:t>106b</w:t>
      </w:r>
      <w:r>
        <w:rPr>
          <w:b w:val="0"/>
          <w:bCs w:val="0"/>
          <w:lang w:val="en-GB"/>
        </w:rPr>
        <w:t>‑5p</w:t>
      </w:r>
      <w:r w:rsidRPr="002710FA">
        <w:rPr>
          <w:b w:val="0"/>
          <w:bCs w:val="0"/>
          <w:lang w:val="en-GB"/>
        </w:rPr>
        <w:t xml:space="preserve"> </w:t>
      </w:r>
      <w:r>
        <w:rPr>
          <w:b w:val="0"/>
          <w:bCs w:val="0"/>
          <w:lang w:val="en-GB"/>
        </w:rPr>
        <w:t>(</w:t>
      </w:r>
      <w:r w:rsidRPr="00540122">
        <w:rPr>
          <w:lang w:val="en-GB"/>
        </w:rPr>
        <w:t>B</w:t>
      </w:r>
      <w:r>
        <w:rPr>
          <w:b w:val="0"/>
          <w:bCs w:val="0"/>
          <w:lang w:val="en-GB"/>
        </w:rPr>
        <w:t xml:space="preserve">) </w:t>
      </w:r>
      <w:r w:rsidRPr="002710FA">
        <w:rPr>
          <w:b w:val="0"/>
          <w:bCs w:val="0"/>
          <w:lang w:val="en-GB"/>
        </w:rPr>
        <w:t>in indolent</w:t>
      </w:r>
      <w:r>
        <w:rPr>
          <w:b w:val="0"/>
          <w:bCs w:val="0"/>
          <w:lang w:val="en-GB"/>
        </w:rPr>
        <w:t xml:space="preserve"> </w:t>
      </w:r>
      <w:proofErr w:type="spellStart"/>
      <w:r>
        <w:rPr>
          <w:b w:val="0"/>
          <w:bCs w:val="0"/>
          <w:lang w:val="en-GB"/>
        </w:rPr>
        <w:t>Pca</w:t>
      </w:r>
      <w:proofErr w:type="spellEnd"/>
      <w:r>
        <w:rPr>
          <w:b w:val="0"/>
          <w:bCs w:val="0"/>
          <w:lang w:val="en-GB"/>
        </w:rPr>
        <w:t xml:space="preserve"> tissue compared</w:t>
      </w:r>
      <w:r w:rsidRPr="002710FA">
        <w:rPr>
          <w:b w:val="0"/>
          <w:bCs w:val="0"/>
          <w:lang w:val="en-GB"/>
        </w:rPr>
        <w:t xml:space="preserve"> </w:t>
      </w:r>
      <w:r>
        <w:rPr>
          <w:b w:val="0"/>
          <w:bCs w:val="0"/>
          <w:lang w:val="en-GB"/>
        </w:rPr>
        <w:t xml:space="preserve">to </w:t>
      </w:r>
      <w:r w:rsidRPr="002710FA">
        <w:rPr>
          <w:b w:val="0"/>
          <w:bCs w:val="0"/>
          <w:lang w:val="en-GB"/>
        </w:rPr>
        <w:t xml:space="preserve">aggressive </w:t>
      </w:r>
      <w:proofErr w:type="spellStart"/>
      <w:r w:rsidRPr="002710FA">
        <w:rPr>
          <w:b w:val="0"/>
          <w:bCs w:val="0"/>
          <w:lang w:val="en-GB"/>
        </w:rPr>
        <w:t>PCa</w:t>
      </w:r>
      <w:proofErr w:type="spellEnd"/>
      <w:r w:rsidRPr="002710FA">
        <w:rPr>
          <w:b w:val="0"/>
          <w:bCs w:val="0"/>
          <w:lang w:val="en-GB"/>
        </w:rPr>
        <w:t xml:space="preserve"> </w:t>
      </w:r>
      <w:r>
        <w:rPr>
          <w:b w:val="0"/>
          <w:bCs w:val="0"/>
          <w:lang w:val="en-GB"/>
        </w:rPr>
        <w:t xml:space="preserve">vs. GS 3 + 4 </w:t>
      </w:r>
      <w:r w:rsidRPr="002710FA">
        <w:rPr>
          <w:b w:val="0"/>
          <w:bCs w:val="0"/>
          <w:lang w:val="en-GB"/>
        </w:rPr>
        <w:t>samples</w:t>
      </w:r>
      <w:r>
        <w:rPr>
          <w:b w:val="0"/>
          <w:bCs w:val="0"/>
          <w:lang w:val="en-GB"/>
        </w:rPr>
        <w:t>.</w:t>
      </w:r>
      <w:r>
        <w:rPr>
          <w:lang w:val="en-GB"/>
        </w:rPr>
        <w:t xml:space="preserve"> </w:t>
      </w:r>
      <w:r w:rsidRPr="00540122">
        <w:rPr>
          <w:b w:val="0"/>
          <w:bCs w:val="0"/>
          <w:lang w:val="en-GB"/>
        </w:rPr>
        <w:t>GS; Gleason score</w:t>
      </w:r>
      <w:r>
        <w:rPr>
          <w:b w:val="0"/>
          <w:bCs w:val="0"/>
          <w:lang w:val="en-GB"/>
        </w:rPr>
        <w:t>.</w:t>
      </w:r>
    </w:p>
    <w:p w14:paraId="1C33B1D2" w14:textId="77777777" w:rsidR="00EE7EB3" w:rsidRDefault="00EE7EB3" w:rsidP="00EE7EB3">
      <w:pPr>
        <w:pStyle w:val="Obrzek"/>
      </w:pPr>
      <w:r>
        <w:rPr>
          <w:noProof/>
        </w:rPr>
        <w:lastRenderedPageBreak/>
        <w:drawing>
          <wp:inline distT="0" distB="0" distL="0" distR="0" wp14:anchorId="2EB8B693" wp14:editId="7F40F858">
            <wp:extent cx="5758298" cy="2404855"/>
            <wp:effectExtent l="0" t="0" r="0" b="0"/>
            <wp:docPr id="2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8"/>
                    <pic:cNvPicPr>
                      <a:picLocks noChangeAspect="1" noChangeArrowheads="1"/>
                    </pic:cNvPicPr>
                  </pic:nvPicPr>
                  <pic:blipFill>
                    <a:blip r:embed="rId34"/>
                    <a:stretch>
                      <a:fillRect/>
                    </a:stretch>
                  </pic:blipFill>
                  <pic:spPr bwMode="auto">
                    <a:xfrm>
                      <a:off x="0" y="0"/>
                      <a:ext cx="5809606" cy="2426283"/>
                    </a:xfrm>
                    <a:prstGeom prst="rect">
                      <a:avLst/>
                    </a:prstGeom>
                    <a:noFill/>
                    <a:ln>
                      <a:noFill/>
                    </a:ln>
                  </pic:spPr>
                </pic:pic>
              </a:graphicData>
            </a:graphic>
          </wp:inline>
        </w:drawing>
      </w:r>
    </w:p>
    <w:p w14:paraId="06397446" w14:textId="1E7BC054" w:rsidR="00EE7EB3" w:rsidRPr="005726A4" w:rsidRDefault="00EE7EB3" w:rsidP="00EE7EB3">
      <w:pPr>
        <w:pStyle w:val="Titulek"/>
        <w:jc w:val="both"/>
        <w:rPr>
          <w:lang w:val="en-GB"/>
        </w:rPr>
      </w:pPr>
      <w:r>
        <w:rPr>
          <w:lang w:val="en-GB"/>
        </w:rPr>
        <w:t>Figure</w:t>
      </w:r>
      <w:r w:rsidRPr="005726A4">
        <w:rPr>
          <w:lang w:val="en-GB"/>
        </w:rPr>
        <w:t xml:space="preserve"> </w:t>
      </w:r>
      <w:r w:rsidRPr="005726A4">
        <w:rPr>
          <w:noProof/>
          <w:lang w:val="en-GB"/>
        </w:rPr>
        <w:fldChar w:fldCharType="begin"/>
      </w:r>
      <w:r w:rsidRPr="005726A4">
        <w:rPr>
          <w:noProof/>
          <w:lang w:val="en-GB"/>
        </w:rPr>
        <w:instrText xml:space="preserve"> SEQ Obr. \* ARABIC </w:instrText>
      </w:r>
      <w:r w:rsidRPr="005726A4">
        <w:rPr>
          <w:noProof/>
          <w:lang w:val="en-GB"/>
        </w:rPr>
        <w:fldChar w:fldCharType="separate"/>
      </w:r>
      <w:r w:rsidR="0048503A">
        <w:rPr>
          <w:noProof/>
          <w:lang w:val="en-GB"/>
        </w:rPr>
        <w:t>6</w:t>
      </w:r>
      <w:r w:rsidRPr="005726A4">
        <w:rPr>
          <w:noProof/>
          <w:lang w:val="en-GB"/>
        </w:rPr>
        <w:fldChar w:fldCharType="end"/>
      </w:r>
      <w:r>
        <w:rPr>
          <w:lang w:val="en-GB"/>
        </w:rPr>
        <w:t>.</w:t>
      </w:r>
      <w:r w:rsidRPr="005726A4">
        <w:rPr>
          <w:lang w:val="en-GB"/>
        </w:rPr>
        <w:t xml:space="preserve"> Diagnostic potential of validated miRNAs</w:t>
      </w:r>
      <w:r>
        <w:rPr>
          <w:lang w:val="en-GB"/>
        </w:rPr>
        <w:t xml:space="preserve">. </w:t>
      </w:r>
      <w:r w:rsidRPr="00647CEC">
        <w:rPr>
          <w:b w:val="0"/>
          <w:bCs w:val="0"/>
          <w:lang w:val="en-GB"/>
        </w:rPr>
        <w:t xml:space="preserve">Receiver operating characteristics (ROC) analysis of the </w:t>
      </w:r>
      <w:r>
        <w:rPr>
          <w:b w:val="0"/>
          <w:bCs w:val="0"/>
          <w:lang w:val="en-GB"/>
        </w:rPr>
        <w:t>miR‑</w:t>
      </w:r>
      <w:r w:rsidRPr="00647CEC">
        <w:rPr>
          <w:b w:val="0"/>
          <w:bCs w:val="0"/>
          <w:lang w:val="en-GB"/>
        </w:rPr>
        <w:t>15b</w:t>
      </w:r>
      <w:r>
        <w:rPr>
          <w:b w:val="0"/>
          <w:bCs w:val="0"/>
          <w:lang w:val="en-GB"/>
        </w:rPr>
        <w:t>‑5p</w:t>
      </w:r>
      <w:r w:rsidRPr="00647CEC">
        <w:rPr>
          <w:b w:val="0"/>
          <w:bCs w:val="0"/>
          <w:lang w:val="en-GB"/>
        </w:rPr>
        <w:t xml:space="preserve"> (</w:t>
      </w:r>
      <w:r w:rsidRPr="00AD591B">
        <w:rPr>
          <w:lang w:val="en-GB"/>
        </w:rPr>
        <w:t>A</w:t>
      </w:r>
      <w:r w:rsidRPr="00647CEC">
        <w:rPr>
          <w:b w:val="0"/>
          <w:bCs w:val="0"/>
          <w:lang w:val="en-GB"/>
        </w:rPr>
        <w:t xml:space="preserve">), </w:t>
      </w:r>
      <w:r>
        <w:rPr>
          <w:b w:val="0"/>
          <w:bCs w:val="0"/>
          <w:lang w:val="en-GB"/>
        </w:rPr>
        <w:t>miR‑</w:t>
      </w:r>
      <w:r w:rsidRPr="00647CEC">
        <w:rPr>
          <w:b w:val="0"/>
          <w:bCs w:val="0"/>
          <w:lang w:val="en-GB"/>
        </w:rPr>
        <w:t>106b</w:t>
      </w:r>
      <w:r>
        <w:rPr>
          <w:b w:val="0"/>
          <w:bCs w:val="0"/>
          <w:lang w:val="en-GB"/>
        </w:rPr>
        <w:t>‑5p</w:t>
      </w:r>
      <w:r w:rsidRPr="00647CEC">
        <w:rPr>
          <w:b w:val="0"/>
          <w:bCs w:val="0"/>
          <w:lang w:val="en-GB"/>
        </w:rPr>
        <w:t xml:space="preserve"> (</w:t>
      </w:r>
      <w:r w:rsidRPr="00AD591B">
        <w:rPr>
          <w:lang w:val="en-GB"/>
        </w:rPr>
        <w:t>B</w:t>
      </w:r>
      <w:r w:rsidRPr="00647CEC">
        <w:rPr>
          <w:b w:val="0"/>
          <w:bCs w:val="0"/>
          <w:lang w:val="en-GB"/>
        </w:rPr>
        <w:t>), and their combination (</w:t>
      </w:r>
      <w:r w:rsidRPr="00AD591B">
        <w:rPr>
          <w:lang w:val="en-GB"/>
        </w:rPr>
        <w:t>C</w:t>
      </w:r>
      <w:r w:rsidRPr="00647CEC">
        <w:rPr>
          <w:b w:val="0"/>
          <w:bCs w:val="0"/>
          <w:lang w:val="en-GB"/>
        </w:rPr>
        <w:t xml:space="preserve">) </w:t>
      </w:r>
      <w:r>
        <w:rPr>
          <w:b w:val="0"/>
          <w:bCs w:val="0"/>
          <w:lang w:val="en-GB"/>
        </w:rPr>
        <w:t xml:space="preserve">for distinguishing indolent </w:t>
      </w:r>
      <w:proofErr w:type="spellStart"/>
      <w:r>
        <w:rPr>
          <w:b w:val="0"/>
          <w:bCs w:val="0"/>
          <w:lang w:val="en-GB"/>
        </w:rPr>
        <w:t>PCa</w:t>
      </w:r>
      <w:proofErr w:type="spellEnd"/>
      <w:r>
        <w:rPr>
          <w:b w:val="0"/>
          <w:bCs w:val="0"/>
          <w:lang w:val="en-GB"/>
        </w:rPr>
        <w:t xml:space="preserve"> tumour from an aggressive type </w:t>
      </w:r>
      <w:r w:rsidRPr="00647CEC">
        <w:rPr>
          <w:b w:val="0"/>
          <w:bCs w:val="0"/>
          <w:lang w:val="en-GB"/>
        </w:rPr>
        <w:t>in the validation cohort.</w:t>
      </w:r>
    </w:p>
    <w:p w14:paraId="652E50A2" w14:textId="77777777" w:rsidR="00EE7EB3" w:rsidRDefault="00EE7EB3" w:rsidP="00EE7EB3">
      <w:pPr>
        <w:pStyle w:val="Titulek"/>
      </w:pPr>
      <w:r>
        <w:t xml:space="preserve"> </w:t>
      </w:r>
    </w:p>
    <w:p w14:paraId="3CD84153" w14:textId="77777777" w:rsidR="00EE7EB3" w:rsidRPr="00C83EDC" w:rsidRDefault="00EE7EB3" w:rsidP="00EE7EB3">
      <w:pPr>
        <w:pStyle w:val="Odstavec1"/>
        <w:rPr>
          <w:lang w:val="en-GB"/>
        </w:rPr>
      </w:pPr>
      <w:r w:rsidRPr="00402CEB">
        <w:rPr>
          <w:lang w:val="en-GB"/>
        </w:rPr>
        <w:t xml:space="preserve">To establish a potential association between serum PSA concentration and expression levels of a given miRNA, </w:t>
      </w:r>
      <w:proofErr w:type="spellStart"/>
      <w:r w:rsidRPr="00402CEB">
        <w:rPr>
          <w:lang w:val="en-GB"/>
        </w:rPr>
        <w:t>PCa</w:t>
      </w:r>
      <w:proofErr w:type="spellEnd"/>
      <w:r w:rsidRPr="00402CEB">
        <w:rPr>
          <w:lang w:val="en-GB"/>
        </w:rPr>
        <w:t xml:space="preserve"> patients were divided into two groups based on </w:t>
      </w:r>
      <w:r>
        <w:rPr>
          <w:lang w:val="en-GB"/>
        </w:rPr>
        <w:t xml:space="preserve">the </w:t>
      </w:r>
      <w:r w:rsidRPr="00402CEB">
        <w:rPr>
          <w:lang w:val="en-GB"/>
        </w:rPr>
        <w:t>PSA concentration regardless of the tumour grade group</w:t>
      </w:r>
      <w:r>
        <w:rPr>
          <w:lang w:val="en-GB"/>
        </w:rPr>
        <w:t xml:space="preserve">. The cut-off of </w:t>
      </w:r>
      <w:r w:rsidRPr="00C83EDC">
        <w:rPr>
          <w:lang w:val="en-GB"/>
        </w:rPr>
        <w:t xml:space="preserve">10 </w:t>
      </w:r>
      <w:r>
        <w:rPr>
          <w:lang w:val="en-GB"/>
        </w:rPr>
        <w:t xml:space="preserve">and 20 </w:t>
      </w:r>
      <w:r w:rsidRPr="00C83EDC">
        <w:rPr>
          <w:lang w:val="en-GB"/>
        </w:rPr>
        <w:t>ng·ml</w:t>
      </w:r>
      <w:r w:rsidRPr="00C83EDC">
        <w:rPr>
          <w:vertAlign w:val="superscript"/>
          <w:lang w:val="en-GB"/>
        </w:rPr>
        <w:t>−1</w:t>
      </w:r>
      <w:r w:rsidRPr="00C83EDC">
        <w:rPr>
          <w:lang w:val="en-GB"/>
        </w:rPr>
        <w:t xml:space="preserve"> </w:t>
      </w:r>
      <w:r>
        <w:rPr>
          <w:lang w:val="en-GB"/>
        </w:rPr>
        <w:t xml:space="preserve">are clinically important because patients are stratified into prognostic groups based on the detected PSA levels. </w:t>
      </w:r>
      <w:proofErr w:type="spellStart"/>
      <w:r>
        <w:rPr>
          <w:lang w:val="en-GB"/>
        </w:rPr>
        <w:t>TheMann</w:t>
      </w:r>
      <w:proofErr w:type="spellEnd"/>
      <w:r>
        <w:rPr>
          <w:lang w:val="en-GB"/>
        </w:rPr>
        <w:t>-Whitney</w:t>
      </w:r>
      <w:r w:rsidRPr="00C83EDC">
        <w:rPr>
          <w:lang w:val="en-GB"/>
        </w:rPr>
        <w:t xml:space="preserve"> test </w:t>
      </w:r>
      <w:r>
        <w:rPr>
          <w:lang w:val="en-GB"/>
        </w:rPr>
        <w:t>revealed</w:t>
      </w:r>
      <w:r w:rsidRPr="00C83EDC">
        <w:rPr>
          <w:lang w:val="en-GB"/>
        </w:rPr>
        <w:t xml:space="preserve"> that </w:t>
      </w:r>
      <w:r>
        <w:rPr>
          <w:lang w:val="en-GB"/>
        </w:rPr>
        <w:t>miR‑</w:t>
      </w:r>
      <w:r w:rsidRPr="00C83EDC">
        <w:rPr>
          <w:lang w:val="en-GB"/>
        </w:rPr>
        <w:t>103a</w:t>
      </w:r>
      <w:r>
        <w:rPr>
          <w:lang w:val="en-GB"/>
        </w:rPr>
        <w:t>‑3p</w:t>
      </w:r>
      <w:r w:rsidRPr="00C83EDC">
        <w:rPr>
          <w:lang w:val="en-GB"/>
        </w:rPr>
        <w:t xml:space="preserve"> and </w:t>
      </w:r>
      <w:r>
        <w:rPr>
          <w:lang w:val="en-GB"/>
        </w:rPr>
        <w:t>miR‑</w:t>
      </w:r>
      <w:r w:rsidRPr="00C83EDC">
        <w:rPr>
          <w:lang w:val="en-GB"/>
        </w:rPr>
        <w:t>106b</w:t>
      </w:r>
      <w:r>
        <w:rPr>
          <w:lang w:val="en-GB"/>
        </w:rPr>
        <w:t>‑5p had</w:t>
      </w:r>
      <w:r w:rsidRPr="00C83EDC">
        <w:rPr>
          <w:lang w:val="en-GB"/>
        </w:rPr>
        <w:t xml:space="preserve"> </w:t>
      </w:r>
      <w:r>
        <w:rPr>
          <w:lang w:val="en-GB"/>
        </w:rPr>
        <w:t xml:space="preserve">a </w:t>
      </w:r>
      <w:r w:rsidRPr="00C83EDC">
        <w:rPr>
          <w:lang w:val="en-GB"/>
        </w:rPr>
        <w:t xml:space="preserve">significant capacity to differentiate between patients with PSA </w:t>
      </w:r>
      <w:r w:rsidRPr="00C83EDC">
        <w:rPr>
          <w:rFonts w:ascii="Calibri" w:hAnsi="Calibri" w:cs="Calibri"/>
          <w:lang w:val="en-GB"/>
        </w:rPr>
        <w:t>&lt;</w:t>
      </w:r>
      <w:r w:rsidRPr="00C83EDC">
        <w:rPr>
          <w:lang w:val="en-GB"/>
        </w:rPr>
        <w:t xml:space="preserve"> 10 ng·ml</w:t>
      </w:r>
      <w:r w:rsidRPr="00C83EDC">
        <w:rPr>
          <w:vertAlign w:val="superscript"/>
          <w:lang w:val="en-GB"/>
        </w:rPr>
        <w:t>−1</w:t>
      </w:r>
      <w:r w:rsidRPr="00C83EDC">
        <w:rPr>
          <w:lang w:val="en-GB"/>
        </w:rPr>
        <w:t xml:space="preserve"> and patients with PSA </w:t>
      </w:r>
      <w:r w:rsidRPr="00C83EDC">
        <w:rPr>
          <w:rFonts w:ascii="Calibri" w:hAnsi="Calibri" w:cs="Calibri"/>
          <w:lang w:val="en-GB"/>
        </w:rPr>
        <w:t>&gt;</w:t>
      </w:r>
      <w:r w:rsidRPr="00C83EDC">
        <w:rPr>
          <w:lang w:val="en-GB"/>
        </w:rPr>
        <w:t xml:space="preserve"> 20 ng·ml</w:t>
      </w:r>
      <w:r w:rsidRPr="00C83EDC">
        <w:rPr>
          <w:vertAlign w:val="superscript"/>
          <w:lang w:val="en-GB"/>
        </w:rPr>
        <w:t>−1</w:t>
      </w:r>
      <w:r w:rsidRPr="00C83EDC">
        <w:rPr>
          <w:lang w:val="en-GB"/>
        </w:rPr>
        <w:t xml:space="preserve">. </w:t>
      </w:r>
      <w:r>
        <w:rPr>
          <w:lang w:val="en-GB"/>
        </w:rPr>
        <w:t xml:space="preserve">In case of miR‑106b‑5p this association was also confirmed with a Spearman correlation test (P = 0.0366, R = 0.2159). </w:t>
      </w:r>
      <w:r w:rsidRPr="00C83EDC">
        <w:rPr>
          <w:lang w:val="en-GB"/>
        </w:rPr>
        <w:t xml:space="preserve">The corresponding graphs are pictured in </w:t>
      </w:r>
      <w:r w:rsidRPr="00713A8E">
        <w:rPr>
          <w:lang w:val="en-GB"/>
        </w:rPr>
        <w:t>Figure</w:t>
      </w:r>
      <w:r w:rsidRPr="00C83EDC">
        <w:rPr>
          <w:lang w:val="en-GB"/>
        </w:rPr>
        <w:t xml:space="preserve"> </w:t>
      </w:r>
      <w:r>
        <w:rPr>
          <w:lang w:val="en-GB"/>
        </w:rPr>
        <w:t>7A and 7B</w:t>
      </w:r>
      <w:r w:rsidRPr="00C83EDC">
        <w:rPr>
          <w:lang w:val="en-GB"/>
        </w:rPr>
        <w:t xml:space="preserve">. Furthermore, </w:t>
      </w:r>
      <w:r>
        <w:rPr>
          <w:lang w:val="en-GB"/>
        </w:rPr>
        <w:t>miR‑</w:t>
      </w:r>
      <w:r w:rsidRPr="00C83EDC">
        <w:rPr>
          <w:lang w:val="en-GB"/>
        </w:rPr>
        <w:t>106b</w:t>
      </w:r>
      <w:r>
        <w:rPr>
          <w:lang w:val="en-GB"/>
        </w:rPr>
        <w:t>‑5p</w:t>
      </w:r>
      <w:r w:rsidRPr="00C83EDC">
        <w:rPr>
          <w:lang w:val="en-GB"/>
        </w:rPr>
        <w:t xml:space="preserve"> showed the ability to </w:t>
      </w:r>
      <w:r>
        <w:rPr>
          <w:lang w:val="en-GB"/>
        </w:rPr>
        <w:t xml:space="preserve">also </w:t>
      </w:r>
      <w:r w:rsidRPr="00C83EDC">
        <w:rPr>
          <w:lang w:val="en-GB"/>
        </w:rPr>
        <w:t>discriminate</w:t>
      </w:r>
      <w:r>
        <w:rPr>
          <w:lang w:val="en-GB"/>
        </w:rPr>
        <w:t xml:space="preserve"> </w:t>
      </w:r>
      <w:r w:rsidRPr="00C83EDC">
        <w:rPr>
          <w:lang w:val="en-GB"/>
        </w:rPr>
        <w:t xml:space="preserve">patients with PSA </w:t>
      </w:r>
      <w:r w:rsidRPr="00C83EDC">
        <w:rPr>
          <w:rFonts w:ascii="Calibri" w:hAnsi="Calibri" w:cs="Calibri"/>
          <w:lang w:val="en-GB"/>
        </w:rPr>
        <w:t>&lt;</w:t>
      </w:r>
      <w:r w:rsidRPr="00C83EDC">
        <w:rPr>
          <w:lang w:val="en-GB"/>
        </w:rPr>
        <w:t xml:space="preserve"> 10 ng·ml</w:t>
      </w:r>
      <w:r w:rsidRPr="00C83EDC">
        <w:rPr>
          <w:vertAlign w:val="superscript"/>
          <w:lang w:val="en-GB"/>
        </w:rPr>
        <w:t>−1</w:t>
      </w:r>
      <w:r w:rsidRPr="00C83EDC">
        <w:rPr>
          <w:lang w:val="en-GB"/>
        </w:rPr>
        <w:t xml:space="preserve"> from patients with PSA </w:t>
      </w:r>
      <w:r>
        <w:rPr>
          <w:lang w:val="en-GB"/>
        </w:rPr>
        <w:t>≥</w:t>
      </w:r>
      <w:r w:rsidRPr="00C83EDC">
        <w:rPr>
          <w:lang w:val="en-GB"/>
        </w:rPr>
        <w:t xml:space="preserve"> 10 ng·ml</w:t>
      </w:r>
      <w:r w:rsidRPr="00C83EDC">
        <w:rPr>
          <w:vertAlign w:val="superscript"/>
          <w:lang w:val="en-GB"/>
        </w:rPr>
        <w:t>−1</w:t>
      </w:r>
      <w:r w:rsidRPr="00C83EDC">
        <w:rPr>
          <w:lang w:val="en-GB"/>
        </w:rPr>
        <w:t xml:space="preserve"> at the significance level p = 0.026 (</w:t>
      </w:r>
      <w:r w:rsidRPr="00713A8E">
        <w:rPr>
          <w:lang w:val="en-GB"/>
        </w:rPr>
        <w:t>Figure 7C</w:t>
      </w:r>
      <w:r w:rsidRPr="00C83EDC">
        <w:rPr>
          <w:lang w:val="en-GB"/>
        </w:rPr>
        <w:t xml:space="preserve">). The association of trained miRNAs with </w:t>
      </w:r>
      <w:r>
        <w:rPr>
          <w:lang w:val="en-GB"/>
        </w:rPr>
        <w:t xml:space="preserve">other clinicopathological characteristic such as tumour </w:t>
      </w:r>
      <w:r w:rsidRPr="00C83EDC">
        <w:rPr>
          <w:lang w:val="en-GB"/>
        </w:rPr>
        <w:t xml:space="preserve">stage or grade was </w:t>
      </w:r>
      <w:r>
        <w:rPr>
          <w:lang w:val="en-GB"/>
        </w:rPr>
        <w:t xml:space="preserve">not </w:t>
      </w:r>
      <w:r w:rsidRPr="00C83EDC">
        <w:rPr>
          <w:lang w:val="en-GB"/>
        </w:rPr>
        <w:t xml:space="preserve">confirmed. </w:t>
      </w:r>
    </w:p>
    <w:bookmarkEnd w:id="85"/>
    <w:p w14:paraId="4F4EEB43" w14:textId="77777777" w:rsidR="00EE7EB3" w:rsidRDefault="00EE7EB3" w:rsidP="00EE7EB3">
      <w:pPr>
        <w:pStyle w:val="Obrzek"/>
      </w:pPr>
      <w:r>
        <w:rPr>
          <w:noProof/>
        </w:rPr>
        <w:lastRenderedPageBreak/>
        <w:drawing>
          <wp:inline distT="0" distB="0" distL="0" distR="0" wp14:anchorId="7A844B17" wp14:editId="4041ACC3">
            <wp:extent cx="5855585" cy="2191109"/>
            <wp:effectExtent l="0" t="0" r="0" b="0"/>
            <wp:docPr id="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8"/>
                    <pic:cNvPicPr>
                      <a:picLocks noChangeAspect="1" noChangeArrowheads="1"/>
                    </pic:cNvPicPr>
                  </pic:nvPicPr>
                  <pic:blipFill rotWithShape="1">
                    <a:blip r:embed="rId35"/>
                    <a:srcRect l="1300" r="3727"/>
                    <a:stretch/>
                  </pic:blipFill>
                  <pic:spPr bwMode="auto">
                    <a:xfrm>
                      <a:off x="0" y="0"/>
                      <a:ext cx="5871954" cy="2197234"/>
                    </a:xfrm>
                    <a:prstGeom prst="rect">
                      <a:avLst/>
                    </a:prstGeom>
                    <a:noFill/>
                    <a:ln>
                      <a:noFill/>
                    </a:ln>
                    <a:extLst>
                      <a:ext uri="{53640926-AAD7-44D8-BBD7-CCE9431645EC}">
                        <a14:shadowObscured xmlns:a14="http://schemas.microsoft.com/office/drawing/2010/main"/>
                      </a:ext>
                    </a:extLst>
                  </pic:spPr>
                </pic:pic>
              </a:graphicData>
            </a:graphic>
          </wp:inline>
        </w:drawing>
      </w:r>
    </w:p>
    <w:p w14:paraId="21A44893" w14:textId="18B81FCF" w:rsidR="00EE7EB3" w:rsidRPr="00CC5B83" w:rsidRDefault="00EE7EB3" w:rsidP="00EE7EB3">
      <w:pPr>
        <w:pStyle w:val="Titulek"/>
        <w:jc w:val="both"/>
        <w:rPr>
          <w:b w:val="0"/>
          <w:bCs w:val="0"/>
          <w:lang w:val="en-GB"/>
        </w:rPr>
      </w:pPr>
      <w:r>
        <w:rPr>
          <w:lang w:val="en-GB"/>
        </w:rPr>
        <w:t>Figure</w:t>
      </w:r>
      <w:r w:rsidRPr="009B0F3F">
        <w:rPr>
          <w:lang w:val="en-GB"/>
        </w:rPr>
        <w:t xml:space="preserve"> </w:t>
      </w:r>
      <w:r w:rsidRPr="009B0F3F">
        <w:rPr>
          <w:noProof/>
          <w:lang w:val="en-GB"/>
        </w:rPr>
        <w:fldChar w:fldCharType="begin"/>
      </w:r>
      <w:r w:rsidRPr="009B0F3F">
        <w:rPr>
          <w:noProof/>
          <w:lang w:val="en-GB"/>
        </w:rPr>
        <w:instrText xml:space="preserve"> SEQ Obr. \* ARABIC </w:instrText>
      </w:r>
      <w:r w:rsidRPr="009B0F3F">
        <w:rPr>
          <w:noProof/>
          <w:lang w:val="en-GB"/>
        </w:rPr>
        <w:fldChar w:fldCharType="separate"/>
      </w:r>
      <w:r w:rsidR="0048503A">
        <w:rPr>
          <w:noProof/>
          <w:lang w:val="en-GB"/>
        </w:rPr>
        <w:t>7</w:t>
      </w:r>
      <w:r w:rsidRPr="009B0F3F">
        <w:rPr>
          <w:noProof/>
          <w:lang w:val="en-GB"/>
        </w:rPr>
        <w:fldChar w:fldCharType="end"/>
      </w:r>
      <w:r>
        <w:rPr>
          <w:noProof/>
          <w:lang w:val="en-GB"/>
        </w:rPr>
        <w:t>.</w:t>
      </w:r>
      <w:r w:rsidRPr="009B0F3F">
        <w:rPr>
          <w:lang w:val="en-GB"/>
        </w:rPr>
        <w:t xml:space="preserve"> Significant association of relative expression of miRNAs with PSA value.</w:t>
      </w:r>
      <w:r>
        <w:rPr>
          <w:lang w:val="en-GB"/>
        </w:rPr>
        <w:t xml:space="preserve"> </w:t>
      </w:r>
      <w:r w:rsidRPr="009B0F3F">
        <w:rPr>
          <w:b w:val="0"/>
          <w:bCs w:val="0"/>
          <w:lang w:val="en-GB"/>
        </w:rPr>
        <w:t>(</w:t>
      </w:r>
      <w:r w:rsidRPr="009B0F3F">
        <w:rPr>
          <w:lang w:val="en-GB"/>
        </w:rPr>
        <w:t>A, B</w:t>
      </w:r>
      <w:r w:rsidRPr="009B0F3F">
        <w:rPr>
          <w:b w:val="0"/>
          <w:bCs w:val="0"/>
          <w:lang w:val="en-GB"/>
        </w:rPr>
        <w:t xml:space="preserve">) show ability of </w:t>
      </w:r>
      <w:r>
        <w:rPr>
          <w:b w:val="0"/>
          <w:bCs w:val="0"/>
          <w:lang w:val="en-GB"/>
        </w:rPr>
        <w:t>miR‑</w:t>
      </w:r>
      <w:r w:rsidRPr="009B0F3F">
        <w:rPr>
          <w:b w:val="0"/>
          <w:bCs w:val="0"/>
          <w:lang w:val="en-GB"/>
        </w:rPr>
        <w:t>103a</w:t>
      </w:r>
      <w:r>
        <w:rPr>
          <w:b w:val="0"/>
          <w:bCs w:val="0"/>
          <w:lang w:val="en-GB"/>
        </w:rPr>
        <w:t>‑3p</w:t>
      </w:r>
      <w:r w:rsidRPr="009B0F3F">
        <w:rPr>
          <w:b w:val="0"/>
          <w:bCs w:val="0"/>
          <w:lang w:val="en-GB"/>
        </w:rPr>
        <w:t xml:space="preserve"> and </w:t>
      </w:r>
      <w:r>
        <w:rPr>
          <w:b w:val="0"/>
          <w:bCs w:val="0"/>
          <w:lang w:val="en-GB"/>
        </w:rPr>
        <w:t>miR‑</w:t>
      </w:r>
      <w:r w:rsidRPr="009B0F3F">
        <w:rPr>
          <w:b w:val="0"/>
          <w:bCs w:val="0"/>
          <w:lang w:val="en-GB"/>
        </w:rPr>
        <w:t>106b</w:t>
      </w:r>
      <w:r>
        <w:rPr>
          <w:b w:val="0"/>
          <w:bCs w:val="0"/>
          <w:lang w:val="en-GB"/>
        </w:rPr>
        <w:t>‑5p</w:t>
      </w:r>
      <w:r w:rsidRPr="009B0F3F">
        <w:rPr>
          <w:b w:val="0"/>
          <w:bCs w:val="0"/>
          <w:lang w:val="en-GB"/>
        </w:rPr>
        <w:t xml:space="preserve"> to differentiate between patients with PSA &lt; 10 ng·ml−1 and patients with PSA &gt; 20 ng·ml−1, respectively.</w:t>
      </w:r>
      <w:r>
        <w:rPr>
          <w:b w:val="0"/>
          <w:bCs w:val="0"/>
          <w:lang w:val="en-GB"/>
        </w:rPr>
        <w:t xml:space="preserve"> (</w:t>
      </w:r>
      <w:r w:rsidRPr="009B0F3F">
        <w:rPr>
          <w:lang w:val="en-GB"/>
        </w:rPr>
        <w:t>C</w:t>
      </w:r>
      <w:r>
        <w:rPr>
          <w:b w:val="0"/>
          <w:bCs w:val="0"/>
          <w:lang w:val="en-GB"/>
        </w:rPr>
        <w:t>) miR‑106b‑5p</w:t>
      </w:r>
      <w:r w:rsidRPr="00CC5B83">
        <w:rPr>
          <w:rFonts w:asciiTheme="minorHAnsi" w:hAnsiTheme="minorHAnsi"/>
          <w:b w:val="0"/>
          <w:bCs w:val="0"/>
          <w:lang w:val="en-GB"/>
        </w:rPr>
        <w:t xml:space="preserve"> </w:t>
      </w:r>
      <w:proofErr w:type="gramStart"/>
      <w:r>
        <w:rPr>
          <w:rFonts w:asciiTheme="minorHAnsi" w:hAnsiTheme="minorHAnsi"/>
          <w:b w:val="0"/>
          <w:bCs w:val="0"/>
          <w:lang w:val="en-GB"/>
        </w:rPr>
        <w:t>is able to</w:t>
      </w:r>
      <w:proofErr w:type="gramEnd"/>
      <w:r>
        <w:rPr>
          <w:rFonts w:asciiTheme="minorHAnsi" w:hAnsiTheme="minorHAnsi"/>
          <w:b w:val="0"/>
          <w:bCs w:val="0"/>
          <w:lang w:val="en-GB"/>
        </w:rPr>
        <w:t xml:space="preserve"> </w:t>
      </w:r>
      <w:r w:rsidRPr="00CC5B83">
        <w:rPr>
          <w:rFonts w:asciiTheme="minorHAnsi" w:hAnsiTheme="minorHAnsi"/>
          <w:b w:val="0"/>
          <w:bCs w:val="0"/>
          <w:lang w:val="en-GB"/>
        </w:rPr>
        <w:t>discriminate patients with PSA</w:t>
      </w:r>
      <w:r>
        <w:rPr>
          <w:rFonts w:asciiTheme="minorHAnsi" w:hAnsiTheme="minorHAnsi"/>
          <w:b w:val="0"/>
          <w:bCs w:val="0"/>
          <w:lang w:val="en-GB"/>
        </w:rPr>
        <w:t> </w:t>
      </w:r>
      <w:r w:rsidRPr="00CC5B83">
        <w:rPr>
          <w:rFonts w:asciiTheme="minorHAnsi" w:hAnsiTheme="minorHAnsi" w:cs="Calibri"/>
          <w:b w:val="0"/>
          <w:bCs w:val="0"/>
          <w:lang w:val="en-GB"/>
        </w:rPr>
        <w:t>&lt;</w:t>
      </w:r>
      <w:r>
        <w:rPr>
          <w:rFonts w:asciiTheme="minorHAnsi" w:hAnsiTheme="minorHAnsi" w:cs="Calibri"/>
          <w:b w:val="0"/>
          <w:bCs w:val="0"/>
          <w:lang w:val="en-GB"/>
        </w:rPr>
        <w:t> </w:t>
      </w:r>
      <w:r w:rsidRPr="00CC5B83">
        <w:rPr>
          <w:rFonts w:asciiTheme="minorHAnsi" w:hAnsiTheme="minorHAnsi"/>
          <w:b w:val="0"/>
          <w:bCs w:val="0"/>
          <w:lang w:val="en-GB"/>
        </w:rPr>
        <w:t>10</w:t>
      </w:r>
      <w:r>
        <w:rPr>
          <w:rFonts w:asciiTheme="minorHAnsi" w:hAnsiTheme="minorHAnsi"/>
          <w:b w:val="0"/>
          <w:bCs w:val="0"/>
          <w:lang w:val="en-GB"/>
        </w:rPr>
        <w:t> </w:t>
      </w:r>
      <w:r w:rsidRPr="00CC5B83">
        <w:rPr>
          <w:rFonts w:asciiTheme="minorHAnsi" w:hAnsiTheme="minorHAnsi"/>
          <w:b w:val="0"/>
          <w:bCs w:val="0"/>
          <w:lang w:val="en-GB"/>
        </w:rPr>
        <w:t>ng·ml</w:t>
      </w:r>
      <w:r w:rsidRPr="00CC5B83">
        <w:rPr>
          <w:rFonts w:asciiTheme="minorHAnsi" w:hAnsiTheme="minorHAnsi"/>
          <w:b w:val="0"/>
          <w:bCs w:val="0"/>
          <w:vertAlign w:val="superscript"/>
          <w:lang w:val="en-GB"/>
        </w:rPr>
        <w:t>−1</w:t>
      </w:r>
      <w:r w:rsidRPr="00CC5B83">
        <w:rPr>
          <w:rFonts w:asciiTheme="minorHAnsi" w:hAnsiTheme="minorHAnsi"/>
          <w:b w:val="0"/>
          <w:bCs w:val="0"/>
          <w:lang w:val="en-GB"/>
        </w:rPr>
        <w:t xml:space="preserve"> from patients with PSA </w:t>
      </w:r>
      <w:r>
        <w:rPr>
          <w:rFonts w:asciiTheme="minorHAnsi" w:hAnsiTheme="minorHAnsi"/>
          <w:b w:val="0"/>
          <w:bCs w:val="0"/>
          <w:lang w:val="en-GB"/>
        </w:rPr>
        <w:t xml:space="preserve">≥ </w:t>
      </w:r>
      <w:r w:rsidRPr="00CC5B83">
        <w:rPr>
          <w:rFonts w:asciiTheme="minorHAnsi" w:hAnsiTheme="minorHAnsi"/>
          <w:b w:val="0"/>
          <w:bCs w:val="0"/>
          <w:lang w:val="en-GB"/>
        </w:rPr>
        <w:t>10 ng·ml</w:t>
      </w:r>
      <w:r w:rsidRPr="00CC5B83">
        <w:rPr>
          <w:rFonts w:asciiTheme="minorHAnsi" w:hAnsiTheme="minorHAnsi"/>
          <w:b w:val="0"/>
          <w:bCs w:val="0"/>
          <w:vertAlign w:val="superscript"/>
          <w:lang w:val="en-GB"/>
        </w:rPr>
        <w:t>−1</w:t>
      </w:r>
      <w:r>
        <w:rPr>
          <w:rFonts w:asciiTheme="minorHAnsi" w:hAnsiTheme="minorHAnsi"/>
          <w:b w:val="0"/>
          <w:bCs w:val="0"/>
          <w:lang w:val="en-GB"/>
        </w:rPr>
        <w:t>.</w:t>
      </w:r>
    </w:p>
    <w:p w14:paraId="36810412" w14:textId="77777777" w:rsidR="00EE7EB3" w:rsidRPr="00C83EDC" w:rsidRDefault="00EE7EB3" w:rsidP="00EE7EB3">
      <w:pPr>
        <w:pStyle w:val="Nadpis2"/>
        <w:rPr>
          <w:lang w:val="en-GB"/>
        </w:rPr>
      </w:pPr>
      <w:r>
        <w:rPr>
          <w:lang w:val="en-GB"/>
        </w:rPr>
        <w:br w:type="page"/>
      </w:r>
      <w:r w:rsidRPr="00C83EDC">
        <w:rPr>
          <w:lang w:val="en-GB"/>
        </w:rPr>
        <w:lastRenderedPageBreak/>
        <w:t xml:space="preserve"> </w:t>
      </w:r>
      <w:bookmarkStart w:id="87" w:name="_Toc47889331"/>
      <w:bookmarkStart w:id="88" w:name="_Toc48161002"/>
      <w:r w:rsidRPr="00C83EDC">
        <w:rPr>
          <w:lang w:val="en-GB"/>
        </w:rPr>
        <w:t>miRNA profiling</w:t>
      </w:r>
      <w:r>
        <w:rPr>
          <w:lang w:val="en-GB"/>
        </w:rPr>
        <w:t xml:space="preserve"> in u</w:t>
      </w:r>
      <w:r w:rsidRPr="00C83EDC">
        <w:rPr>
          <w:lang w:val="en-GB"/>
        </w:rPr>
        <w:t>rine</w:t>
      </w:r>
      <w:bookmarkEnd w:id="87"/>
      <w:bookmarkEnd w:id="88"/>
    </w:p>
    <w:p w14:paraId="0E860A1F" w14:textId="77777777" w:rsidR="00EE7EB3" w:rsidRPr="00C83EDC" w:rsidRDefault="00EE7EB3" w:rsidP="00EE7EB3">
      <w:pPr>
        <w:pStyle w:val="Nadpis3"/>
        <w:rPr>
          <w:lang w:val="en-GB"/>
        </w:rPr>
      </w:pPr>
      <w:r w:rsidRPr="00C83EDC">
        <w:rPr>
          <w:lang w:val="en-GB"/>
        </w:rPr>
        <w:t xml:space="preserve"> RNA isolation</w:t>
      </w:r>
    </w:p>
    <w:p w14:paraId="473F0A19" w14:textId="77777777" w:rsidR="00EE7EB3" w:rsidRPr="00C83EDC" w:rsidRDefault="00EE7EB3" w:rsidP="00EE7EB3">
      <w:pPr>
        <w:pStyle w:val="Dalodstavce"/>
        <w:ind w:firstLine="0"/>
        <w:rPr>
          <w:lang w:val="en-GB"/>
        </w:rPr>
      </w:pPr>
      <w:r w:rsidRPr="00C83EDC">
        <w:rPr>
          <w:lang w:val="en-GB"/>
        </w:rPr>
        <w:t xml:space="preserve">For the discovery phase of the project, 72 urine samples were collected from prostate cancer patients, BPH, and heathy individuals. Patient and clinical characteristics are summarized in </w:t>
      </w:r>
      <w:r w:rsidRPr="00713A8E">
        <w:rPr>
          <w:lang w:val="en-GB"/>
        </w:rPr>
        <w:t xml:space="preserve">Table </w:t>
      </w:r>
      <w:r>
        <w:rPr>
          <w:lang w:val="en-GB"/>
        </w:rPr>
        <w:t>XI</w:t>
      </w:r>
      <w:r w:rsidRPr="00C83EDC">
        <w:rPr>
          <w:lang w:val="en-GB"/>
        </w:rPr>
        <w:t>. To obtain</w:t>
      </w:r>
      <w:r>
        <w:rPr>
          <w:lang w:val="en-GB"/>
        </w:rPr>
        <w:t xml:space="preserve"> a</w:t>
      </w:r>
      <w:r w:rsidRPr="00C83EDC">
        <w:rPr>
          <w:lang w:val="en-GB"/>
        </w:rPr>
        <w:t xml:space="preserve"> higher concentration of RNA, the volume of urine supernatant for RNA isolation was increased to 2 ml. An aliquot of undiluted RNA sample was used for the library preparation.</w:t>
      </w:r>
    </w:p>
    <w:p w14:paraId="58733BD2" w14:textId="77777777" w:rsidR="00EE7EB3" w:rsidRPr="00C83EDC" w:rsidRDefault="00EE7EB3" w:rsidP="00EE7EB3">
      <w:pPr>
        <w:pStyle w:val="Nadpis3"/>
        <w:rPr>
          <w:lang w:val="en-GB"/>
        </w:rPr>
      </w:pPr>
      <w:r w:rsidRPr="00C83EDC">
        <w:rPr>
          <w:lang w:val="en-GB"/>
        </w:rPr>
        <w:t xml:space="preserve"> Next-generation sequencing library preparation</w:t>
      </w:r>
    </w:p>
    <w:p w14:paraId="57CABFDA" w14:textId="77777777" w:rsidR="00EE7EB3" w:rsidRPr="00C83EDC" w:rsidRDefault="00EE7EB3" w:rsidP="00EE7EB3">
      <w:pPr>
        <w:pStyle w:val="Odstavec1"/>
        <w:rPr>
          <w:lang w:val="en-GB"/>
        </w:rPr>
      </w:pPr>
      <w:r w:rsidRPr="00C83EDC">
        <w:rPr>
          <w:lang w:val="en-GB"/>
        </w:rPr>
        <w:t xml:space="preserve">We generated 72 cDNA libraries and checked their quality by capillary electrophoresis </w:t>
      </w:r>
      <w:r>
        <w:rPr>
          <w:lang w:val="en-GB"/>
        </w:rPr>
        <w:br/>
      </w:r>
      <w:r w:rsidRPr="00713A8E">
        <w:rPr>
          <w:lang w:val="en-GB"/>
        </w:rPr>
        <w:t>(Figure 8).</w:t>
      </w:r>
      <w:r w:rsidRPr="00C83EDC">
        <w:rPr>
          <w:lang w:val="en-GB"/>
        </w:rPr>
        <w:t xml:space="preserve"> The average size of the library peak was 165 bp in the first 24 cDNA samples, 170</w:t>
      </w:r>
      <w:r>
        <w:rPr>
          <w:lang w:val="en-GB"/>
        </w:rPr>
        <w:t> </w:t>
      </w:r>
      <w:r w:rsidRPr="00C83EDC">
        <w:rPr>
          <w:lang w:val="en-GB"/>
        </w:rPr>
        <w:t xml:space="preserve">bp for the next 24 samples, and 180 bp for the </w:t>
      </w:r>
      <w:r>
        <w:rPr>
          <w:lang w:val="en-GB"/>
        </w:rPr>
        <w:t>last 24</w:t>
      </w:r>
      <w:r w:rsidRPr="00C83EDC">
        <w:rPr>
          <w:lang w:val="en-GB"/>
        </w:rPr>
        <w:t xml:space="preserve"> </w:t>
      </w:r>
      <w:r>
        <w:rPr>
          <w:lang w:val="en-GB"/>
        </w:rPr>
        <w:t>s</w:t>
      </w:r>
      <w:r w:rsidRPr="00C83EDC">
        <w:rPr>
          <w:lang w:val="en-GB"/>
        </w:rPr>
        <w:t>amples. The library concentration was measured using Qubit® 2.0 Fluorometer and it ranged from 0.056 to 8.500 ng·µl</w:t>
      </w:r>
      <w:r w:rsidRPr="00C83EDC">
        <w:rPr>
          <w:vertAlign w:val="superscript"/>
          <w:lang w:val="en-GB"/>
        </w:rPr>
        <w:t>−1</w:t>
      </w:r>
      <w:r w:rsidRPr="00C83EDC">
        <w:rPr>
          <w:lang w:val="en-GB"/>
        </w:rPr>
        <w:t xml:space="preserve"> (molar concentration</w:t>
      </w:r>
      <w:r>
        <w:rPr>
          <w:lang w:val="en-GB"/>
        </w:rPr>
        <w:t xml:space="preserve"> range</w:t>
      </w:r>
      <w:r w:rsidRPr="00C83EDC">
        <w:rPr>
          <w:lang w:val="en-GB"/>
        </w:rPr>
        <w:t xml:space="preserve"> </w:t>
      </w:r>
      <w:r w:rsidRPr="00C83EDC">
        <w:rPr>
          <w:sz w:val="26"/>
          <w:szCs w:val="26"/>
          <w:lang w:val="en-GB"/>
        </w:rPr>
        <w:t xml:space="preserve">2.308–447.457 </w:t>
      </w:r>
      <w:proofErr w:type="spellStart"/>
      <w:r w:rsidRPr="00C83EDC">
        <w:rPr>
          <w:sz w:val="26"/>
          <w:szCs w:val="26"/>
          <w:lang w:val="en-GB"/>
        </w:rPr>
        <w:t>nM</w:t>
      </w:r>
      <w:proofErr w:type="spellEnd"/>
      <w:r w:rsidRPr="00C83EDC">
        <w:rPr>
          <w:sz w:val="26"/>
          <w:szCs w:val="26"/>
          <w:lang w:val="en-GB"/>
        </w:rPr>
        <w:t>).</w:t>
      </w:r>
      <w:r w:rsidRPr="00C83EDC">
        <w:rPr>
          <w:lang w:val="en-GB"/>
        </w:rPr>
        <w:t xml:space="preserve"> Four libraries had undetectable concentration. For the first sequencing run, 24 cDNA libraries were diluted to molar concentration 2.0 </w:t>
      </w:r>
      <w:proofErr w:type="spellStart"/>
      <w:r w:rsidRPr="00C83EDC">
        <w:rPr>
          <w:lang w:val="en-GB"/>
        </w:rPr>
        <w:t>nM</w:t>
      </w:r>
      <w:proofErr w:type="spellEnd"/>
      <w:r>
        <w:rPr>
          <w:lang w:val="en-GB"/>
        </w:rPr>
        <w:t xml:space="preserve"> and</w:t>
      </w:r>
      <w:r w:rsidRPr="00C83EDC">
        <w:rPr>
          <w:lang w:val="en-GB"/>
        </w:rPr>
        <w:t xml:space="preserve"> </w:t>
      </w:r>
      <w:r>
        <w:rPr>
          <w:lang w:val="en-GB"/>
        </w:rPr>
        <w:t>f</w:t>
      </w:r>
      <w:r w:rsidRPr="00C83EDC">
        <w:rPr>
          <w:lang w:val="en-GB"/>
        </w:rPr>
        <w:t xml:space="preserve">rom each library we took a 2 µl aliquot to create a sequencing pool. For the other two runs we diluted libraries to 4.0 </w:t>
      </w:r>
      <w:proofErr w:type="spellStart"/>
      <w:r w:rsidRPr="00C83EDC">
        <w:rPr>
          <w:lang w:val="en-GB"/>
        </w:rPr>
        <w:t>nM</w:t>
      </w:r>
      <w:proofErr w:type="spellEnd"/>
      <w:r w:rsidRPr="00C83EDC">
        <w:rPr>
          <w:lang w:val="en-GB"/>
        </w:rPr>
        <w:t xml:space="preserve"> and prepared sequencing pools as well.</w:t>
      </w:r>
      <w:r>
        <w:rPr>
          <w:lang w:val="en-GB"/>
        </w:rPr>
        <w:t xml:space="preserve"> </w:t>
      </w:r>
    </w:p>
    <w:p w14:paraId="182F02DD" w14:textId="77777777" w:rsidR="00EE7EB3" w:rsidRPr="00C83EDC" w:rsidRDefault="00EE7EB3" w:rsidP="00EE7EB3">
      <w:pPr>
        <w:pStyle w:val="Odstavec1"/>
        <w:rPr>
          <w:lang w:val="en-GB"/>
        </w:rPr>
      </w:pPr>
    </w:p>
    <w:p w14:paraId="5E8D84A4" w14:textId="77777777" w:rsidR="00EE7EB3" w:rsidRPr="00C83EDC" w:rsidRDefault="00EE7EB3" w:rsidP="00EE7EB3">
      <w:pPr>
        <w:pStyle w:val="Obrzek"/>
        <w:rPr>
          <w:lang w:val="en-GB"/>
        </w:rPr>
      </w:pPr>
      <w:r w:rsidRPr="00C83EDC">
        <w:rPr>
          <w:noProof/>
          <w:lang w:val="en-GB"/>
        </w:rPr>
        <w:drawing>
          <wp:inline distT="0" distB="0" distL="0" distR="0" wp14:anchorId="328D94F9" wp14:editId="7C98F004">
            <wp:extent cx="5280660" cy="2092164"/>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tretch>
                      <a:fillRect/>
                    </a:stretch>
                  </pic:blipFill>
                  <pic:spPr bwMode="auto">
                    <a:xfrm>
                      <a:off x="0" y="0"/>
                      <a:ext cx="5327107" cy="2110566"/>
                    </a:xfrm>
                    <a:prstGeom prst="rect">
                      <a:avLst/>
                    </a:prstGeom>
                    <a:noFill/>
                    <a:ln>
                      <a:noFill/>
                    </a:ln>
                  </pic:spPr>
                </pic:pic>
              </a:graphicData>
            </a:graphic>
          </wp:inline>
        </w:drawing>
      </w:r>
    </w:p>
    <w:p w14:paraId="762675CB" w14:textId="06D5AE8F" w:rsidR="00EE7EB3" w:rsidRDefault="00EE7EB3" w:rsidP="00EE7EB3">
      <w:pPr>
        <w:pStyle w:val="Titulek"/>
        <w:jc w:val="both"/>
        <w:rPr>
          <w:lang w:val="en-GB"/>
        </w:rPr>
      </w:pPr>
      <w:bookmarkStart w:id="89" w:name="_Toc47541129"/>
      <w:r w:rsidRPr="00C83EDC">
        <w:rPr>
          <w:lang w:val="en-GB"/>
        </w:rPr>
        <w:t>Fig</w:t>
      </w:r>
      <w:r>
        <w:rPr>
          <w:lang w:val="en-GB"/>
        </w:rPr>
        <w:t>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8</w:t>
      </w:r>
      <w:r w:rsidRPr="00C83EDC">
        <w:rPr>
          <w:noProof/>
          <w:lang w:val="en-GB"/>
        </w:rPr>
        <w:fldChar w:fldCharType="end"/>
      </w:r>
      <w:r>
        <w:rPr>
          <w:noProof/>
          <w:lang w:val="en-GB"/>
        </w:rPr>
        <w:t>.</w:t>
      </w:r>
      <w:r w:rsidRPr="00C83EDC">
        <w:rPr>
          <w:lang w:val="en-GB"/>
        </w:rPr>
        <w:t xml:space="preserve"> Electropherogram</w:t>
      </w:r>
      <w:r>
        <w:rPr>
          <w:lang w:val="en-GB"/>
        </w:rPr>
        <w:t xml:space="preserve"> of a sequencing library.</w:t>
      </w:r>
      <w:r w:rsidRPr="00C83EDC">
        <w:rPr>
          <w:lang w:val="en-GB"/>
        </w:rPr>
        <w:t xml:space="preserve"> </w:t>
      </w:r>
      <w:r w:rsidRPr="006F332C">
        <w:rPr>
          <w:b w:val="0"/>
          <w:bCs w:val="0"/>
          <w:lang w:val="en-GB"/>
        </w:rPr>
        <w:t>An example of a sequencing cDNA library showing a peak of 167 bp length</w:t>
      </w:r>
      <w:bookmarkEnd w:id="89"/>
      <w:r>
        <w:rPr>
          <w:lang w:val="en-GB"/>
        </w:rPr>
        <w:t xml:space="preserve"> </w:t>
      </w:r>
    </w:p>
    <w:p w14:paraId="3C81F45E" w14:textId="77777777" w:rsidR="00EE7EB3" w:rsidRDefault="00EE7EB3" w:rsidP="00EE7EB3">
      <w:pPr>
        <w:pStyle w:val="Odstavec1"/>
        <w:rPr>
          <w:lang w:val="en-GB" w:eastAsia="sk-SK"/>
        </w:rPr>
      </w:pPr>
    </w:p>
    <w:p w14:paraId="60888B4B" w14:textId="77777777" w:rsidR="00EE7EB3" w:rsidRPr="00F8726D" w:rsidRDefault="00EE7EB3" w:rsidP="00EE7EB3">
      <w:pPr>
        <w:pStyle w:val="Dalodstavce"/>
        <w:rPr>
          <w:lang w:val="en-GB" w:eastAsia="sk-SK"/>
        </w:rPr>
      </w:pPr>
    </w:p>
    <w:p w14:paraId="7154B195" w14:textId="77777777" w:rsidR="00EE7EB3" w:rsidRPr="00C83EDC" w:rsidRDefault="00EE7EB3" w:rsidP="00EE7EB3">
      <w:pPr>
        <w:pStyle w:val="Nadpis3"/>
        <w:rPr>
          <w:lang w:val="en-GB"/>
        </w:rPr>
      </w:pPr>
      <w:r w:rsidRPr="00C83EDC">
        <w:rPr>
          <w:lang w:val="en-GB"/>
        </w:rPr>
        <w:lastRenderedPageBreak/>
        <w:t xml:space="preserve"> Mapping and gene quantification</w:t>
      </w:r>
    </w:p>
    <w:p w14:paraId="592D8C33" w14:textId="77777777" w:rsidR="00EE7EB3" w:rsidRPr="00C83EDC" w:rsidRDefault="00EE7EB3" w:rsidP="00EE7EB3">
      <w:pPr>
        <w:pStyle w:val="Odstavec1"/>
        <w:rPr>
          <w:lang w:val="en-GB" w:eastAsia="sk-SK"/>
        </w:rPr>
      </w:pPr>
      <w:r w:rsidRPr="00C83EDC">
        <w:rPr>
          <w:lang w:val="en-GB"/>
        </w:rPr>
        <w:t xml:space="preserve">Next generation sequencing system was </w:t>
      </w:r>
      <w:r>
        <w:rPr>
          <w:lang w:val="en-GB"/>
        </w:rPr>
        <w:t>employed</w:t>
      </w:r>
      <w:r w:rsidRPr="00C83EDC">
        <w:rPr>
          <w:lang w:val="en-GB"/>
        </w:rPr>
        <w:t xml:space="preserve"> to generate</w:t>
      </w:r>
      <w:r>
        <w:rPr>
          <w:lang w:val="en-GB"/>
        </w:rPr>
        <w:t xml:space="preserve"> a profile of</w:t>
      </w:r>
      <w:r w:rsidRPr="00C83EDC">
        <w:rPr>
          <w:lang w:val="en-GB"/>
        </w:rPr>
        <w:t xml:space="preserve"> miRNA </w:t>
      </w:r>
      <w:r>
        <w:rPr>
          <w:lang w:val="en-GB"/>
        </w:rPr>
        <w:t>levels</w:t>
      </w:r>
      <w:r w:rsidRPr="00C83EDC">
        <w:rPr>
          <w:lang w:val="en-GB"/>
        </w:rPr>
        <w:t xml:space="preserve"> </w:t>
      </w:r>
      <w:r>
        <w:rPr>
          <w:lang w:val="en-GB"/>
        </w:rPr>
        <w:t xml:space="preserve">in the urine of patients with aggressive or indolent </w:t>
      </w:r>
      <w:proofErr w:type="spellStart"/>
      <w:r>
        <w:rPr>
          <w:lang w:val="en-GB"/>
        </w:rPr>
        <w:t>PCa</w:t>
      </w:r>
      <w:proofErr w:type="spellEnd"/>
      <w:r>
        <w:rPr>
          <w:lang w:val="en-GB"/>
        </w:rPr>
        <w:t>, benign prostatic hyperplasia,</w:t>
      </w:r>
      <w:r w:rsidRPr="00C83EDC">
        <w:rPr>
          <w:lang w:val="en-GB"/>
        </w:rPr>
        <w:t xml:space="preserve"> </w:t>
      </w:r>
      <w:r>
        <w:rPr>
          <w:lang w:val="en-GB"/>
        </w:rPr>
        <w:t xml:space="preserve">and in </w:t>
      </w:r>
      <w:r w:rsidRPr="00C83EDC">
        <w:rPr>
          <w:lang w:val="en-GB"/>
        </w:rPr>
        <w:t xml:space="preserve">healthy </w:t>
      </w:r>
      <w:r>
        <w:rPr>
          <w:lang w:val="en-GB"/>
        </w:rPr>
        <w:t>donors. T</w:t>
      </w:r>
      <w:r w:rsidRPr="00C83EDC">
        <w:rPr>
          <w:lang w:val="en-GB"/>
        </w:rPr>
        <w:t xml:space="preserve">he statistical and data analysis was performed by bioinformatician Mgr. </w:t>
      </w:r>
      <w:proofErr w:type="spellStart"/>
      <w:r w:rsidRPr="00C83EDC">
        <w:rPr>
          <w:lang w:val="en-GB"/>
        </w:rPr>
        <w:t>Karolína</w:t>
      </w:r>
      <w:proofErr w:type="spellEnd"/>
      <w:r w:rsidRPr="00C83EDC">
        <w:rPr>
          <w:lang w:val="en-GB"/>
        </w:rPr>
        <w:t xml:space="preserve"> </w:t>
      </w:r>
      <w:proofErr w:type="spellStart"/>
      <w:r w:rsidRPr="00C83EDC">
        <w:rPr>
          <w:lang w:val="en-GB"/>
        </w:rPr>
        <w:t>Trachtová</w:t>
      </w:r>
      <w:proofErr w:type="spellEnd"/>
      <w:r w:rsidRPr="00C83EDC">
        <w:rPr>
          <w:lang w:val="en-GB"/>
        </w:rPr>
        <w:t>. Overall, the quality of reads was good regarding the content of N bases and per base sequence quality. Most samples exhibited over 90% of duplicates (</w:t>
      </w:r>
      <w:r w:rsidRPr="00A81FDC">
        <w:rPr>
          <w:lang w:val="en-GB"/>
        </w:rPr>
        <w:t>Fig</w:t>
      </w:r>
      <w:r>
        <w:rPr>
          <w:lang w:val="en-GB"/>
        </w:rPr>
        <w:t>ure 9</w:t>
      </w:r>
      <w:r w:rsidRPr="00A81FDC">
        <w:rPr>
          <w:lang w:val="en-GB"/>
        </w:rPr>
        <w:t>), which might</w:t>
      </w:r>
      <w:r>
        <w:rPr>
          <w:lang w:val="en-GB"/>
        </w:rPr>
        <w:t xml:space="preserve"> be an</w:t>
      </w:r>
      <w:r w:rsidRPr="00A81FDC">
        <w:rPr>
          <w:lang w:val="en-GB"/>
        </w:rPr>
        <w:t xml:space="preserve"> indicat</w:t>
      </w:r>
      <w:r>
        <w:rPr>
          <w:lang w:val="en-GB"/>
        </w:rPr>
        <w:t>ion of</w:t>
      </w:r>
      <w:r w:rsidRPr="00A81FDC">
        <w:rPr>
          <w:lang w:val="en-GB"/>
        </w:rPr>
        <w:t xml:space="preserve"> low</w:t>
      </w:r>
      <w:r>
        <w:rPr>
          <w:lang w:val="en-GB"/>
        </w:rPr>
        <w:t xml:space="preserve"> miRNA</w:t>
      </w:r>
      <w:r w:rsidRPr="00A81FDC">
        <w:rPr>
          <w:lang w:val="en-GB"/>
        </w:rPr>
        <w:t xml:space="preserve"> concentration in the urine </w:t>
      </w:r>
      <w:r>
        <w:rPr>
          <w:lang w:val="en-GB"/>
        </w:rPr>
        <w:t xml:space="preserve">supernatant </w:t>
      </w:r>
      <w:r w:rsidRPr="00A81FDC">
        <w:rPr>
          <w:lang w:val="en-GB"/>
        </w:rPr>
        <w:t>samples</w:t>
      </w:r>
      <w:r w:rsidRPr="00C83EDC">
        <w:rPr>
          <w:lang w:val="en-GB"/>
        </w:rPr>
        <w:t xml:space="preserve">. </w:t>
      </w:r>
      <w:r w:rsidRPr="00C83EDC">
        <w:rPr>
          <w:lang w:val="en-GB" w:eastAsia="sk-SK"/>
        </w:rPr>
        <w:t>In approximately 95% of all reads, adapters were present from the 30</w:t>
      </w:r>
      <w:r w:rsidRPr="00C83EDC">
        <w:rPr>
          <w:vertAlign w:val="superscript"/>
          <w:lang w:val="en-GB" w:eastAsia="sk-SK"/>
        </w:rPr>
        <w:t xml:space="preserve">th </w:t>
      </w:r>
      <w:r w:rsidRPr="00C83EDC">
        <w:rPr>
          <w:lang w:val="en-GB" w:eastAsia="sk-SK"/>
        </w:rPr>
        <w:t>nucleotide</w:t>
      </w:r>
      <w:r>
        <w:rPr>
          <w:lang w:val="en-GB" w:eastAsia="sk-SK"/>
        </w:rPr>
        <w:t xml:space="preserve">, so in </w:t>
      </w:r>
      <w:r w:rsidRPr="00C83EDC">
        <w:rPr>
          <w:lang w:val="en-GB" w:eastAsia="sk-SK"/>
        </w:rPr>
        <w:t xml:space="preserve">many samples only adapters (QIAseq specific adapter + UMI + Illumina adapter) were sequenced without any real miRNA insert. </w:t>
      </w:r>
    </w:p>
    <w:p w14:paraId="43687018" w14:textId="77777777" w:rsidR="00EE7EB3" w:rsidRPr="00C83EDC" w:rsidRDefault="00EE7EB3" w:rsidP="00EE7EB3">
      <w:pPr>
        <w:pStyle w:val="Obrzek"/>
        <w:rPr>
          <w:lang w:val="en-GB"/>
        </w:rPr>
      </w:pPr>
      <w:r w:rsidRPr="00C83EDC">
        <w:rPr>
          <w:noProof/>
          <w:lang w:val="en-GB"/>
        </w:rPr>
        <w:drawing>
          <wp:inline distT="0" distB="0" distL="0" distR="0" wp14:anchorId="123CC84F" wp14:editId="40DD461B">
            <wp:extent cx="5076139" cy="3087404"/>
            <wp:effectExtent l="0" t="0" r="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tretch>
                      <a:fillRect/>
                    </a:stretch>
                  </pic:blipFill>
                  <pic:spPr bwMode="auto">
                    <a:xfrm>
                      <a:off x="0" y="0"/>
                      <a:ext cx="5090769" cy="3096302"/>
                    </a:xfrm>
                    <a:prstGeom prst="rect">
                      <a:avLst/>
                    </a:prstGeom>
                    <a:noFill/>
                    <a:ln>
                      <a:noFill/>
                    </a:ln>
                  </pic:spPr>
                </pic:pic>
              </a:graphicData>
            </a:graphic>
          </wp:inline>
        </w:drawing>
      </w:r>
    </w:p>
    <w:p w14:paraId="18A13452" w14:textId="2BBB088D" w:rsidR="00EE7EB3" w:rsidRPr="00C83EDC" w:rsidRDefault="00EE7EB3" w:rsidP="00EE7EB3">
      <w:pPr>
        <w:pStyle w:val="Titulek"/>
        <w:jc w:val="both"/>
        <w:rPr>
          <w:lang w:val="en-GB"/>
        </w:rPr>
      </w:pPr>
      <w:bookmarkStart w:id="90" w:name="_Toc47541130"/>
      <w:r w:rsidRPr="00C83EDC">
        <w:rPr>
          <w:lang w:val="en-GB"/>
        </w:rPr>
        <w:t>Fig</w:t>
      </w:r>
      <w:r>
        <w:rPr>
          <w:lang w:val="en-GB"/>
        </w:rPr>
        <w:t>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9</w:t>
      </w:r>
      <w:r w:rsidRPr="00C83EDC">
        <w:rPr>
          <w:noProof/>
          <w:lang w:val="en-GB"/>
        </w:rPr>
        <w:fldChar w:fldCharType="end"/>
      </w:r>
      <w:r>
        <w:rPr>
          <w:noProof/>
          <w:lang w:val="en-GB"/>
        </w:rPr>
        <w:t>.</w:t>
      </w:r>
      <w:r w:rsidRPr="00C83EDC">
        <w:rPr>
          <w:lang w:val="en-GB"/>
        </w:rPr>
        <w:t xml:space="preserve"> Adapter content plot for all samples.</w:t>
      </w:r>
      <w:bookmarkEnd w:id="90"/>
    </w:p>
    <w:p w14:paraId="7B60DAF8" w14:textId="77777777" w:rsidR="00EE7EB3" w:rsidRDefault="00EE7EB3" w:rsidP="00EE7EB3">
      <w:pPr>
        <w:pStyle w:val="Dalodstavce"/>
        <w:rPr>
          <w:lang w:val="en-GB"/>
        </w:rPr>
      </w:pPr>
    </w:p>
    <w:p w14:paraId="4DBD4A3D" w14:textId="77777777" w:rsidR="00EE7EB3" w:rsidRPr="00C83EDC" w:rsidRDefault="00EE7EB3" w:rsidP="00EE7EB3">
      <w:pPr>
        <w:pStyle w:val="Dalodstavce"/>
        <w:rPr>
          <w:lang w:val="en-GB"/>
        </w:rPr>
      </w:pPr>
      <w:r w:rsidRPr="00C83EDC">
        <w:rPr>
          <w:lang w:val="en-GB"/>
        </w:rPr>
        <w:t>Three samples showed very few reads and were removed from the subsequent statistical analysis. The mean library size had 12 million reads (a range of 974 thousand to 23 million</w:t>
      </w:r>
      <w:r>
        <w:rPr>
          <w:lang w:val="en-GB"/>
        </w:rPr>
        <w:t xml:space="preserve"> reads</w:t>
      </w:r>
      <w:r w:rsidRPr="00C83EDC">
        <w:rPr>
          <w:lang w:val="en-GB"/>
        </w:rPr>
        <w:t>) and after collapsing, libraries kept 2 million of initial reads on average. About 254 thousand of all pre-processed reads were potential miRNA reads of which 44 thousand were successfully mapped to miRNAs; only samples with more than 8,000 reads were included in further statistical analysis. Overall, 37 samples were eligible for expression analysis</w:t>
      </w:r>
      <w:r>
        <w:rPr>
          <w:lang w:val="en-GB"/>
        </w:rPr>
        <w:t>.</w:t>
      </w:r>
      <w:r w:rsidRPr="00C83EDC">
        <w:rPr>
          <w:lang w:val="en-GB"/>
        </w:rPr>
        <w:t xml:space="preserve"> Before analysis, libraries were normalized for their size and the batch effect was removed. </w:t>
      </w:r>
      <w:r w:rsidRPr="00713A8E">
        <w:rPr>
          <w:lang w:val="en-GB"/>
        </w:rPr>
        <w:t>Figure 10 shows</w:t>
      </w:r>
      <w:r w:rsidRPr="00C83EDC">
        <w:rPr>
          <w:lang w:val="en-GB"/>
        </w:rPr>
        <w:t xml:space="preserve"> </w:t>
      </w:r>
      <w:r>
        <w:rPr>
          <w:lang w:val="en-GB"/>
        </w:rPr>
        <w:t xml:space="preserve">the </w:t>
      </w:r>
      <w:r w:rsidRPr="00C83EDC">
        <w:rPr>
          <w:lang w:val="en-GB"/>
        </w:rPr>
        <w:lastRenderedPageBreak/>
        <w:t>top ten most expressed miRNAs with</w:t>
      </w:r>
      <w:r>
        <w:rPr>
          <w:lang w:val="en-GB"/>
        </w:rPr>
        <w:t xml:space="preserve"> the</w:t>
      </w:r>
      <w:r w:rsidRPr="00C83EDC">
        <w:rPr>
          <w:lang w:val="en-GB"/>
        </w:rPr>
        <w:t xml:space="preserve"> hsa‑let‑7 family being the most frequently detected miRNAs across all the samples.</w:t>
      </w:r>
      <w:r>
        <w:rPr>
          <w:lang w:val="en-GB"/>
        </w:rPr>
        <w:t xml:space="preserve"> </w:t>
      </w:r>
    </w:p>
    <w:p w14:paraId="71D5E099" w14:textId="77777777" w:rsidR="00EE7EB3" w:rsidRPr="00C83EDC" w:rsidRDefault="00EE7EB3" w:rsidP="00EE7EB3">
      <w:pPr>
        <w:pStyle w:val="Obrzek"/>
        <w:rPr>
          <w:lang w:val="en-GB"/>
        </w:rPr>
      </w:pPr>
      <w:r w:rsidRPr="00C83EDC">
        <w:rPr>
          <w:noProof/>
          <w:lang w:val="en-GB"/>
        </w:rPr>
        <w:drawing>
          <wp:inline distT="0" distB="0" distL="0" distR="0" wp14:anchorId="03D7579F" wp14:editId="7749321F">
            <wp:extent cx="5726232" cy="3467100"/>
            <wp:effectExtent l="0" t="0" r="8255" b="0"/>
            <wp:docPr id="1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tretch>
                      <a:fillRect/>
                    </a:stretch>
                  </pic:blipFill>
                  <pic:spPr bwMode="auto">
                    <a:xfrm>
                      <a:off x="0" y="0"/>
                      <a:ext cx="5740592" cy="3475795"/>
                    </a:xfrm>
                    <a:prstGeom prst="rect">
                      <a:avLst/>
                    </a:prstGeom>
                    <a:noFill/>
                    <a:ln>
                      <a:noFill/>
                    </a:ln>
                  </pic:spPr>
                </pic:pic>
              </a:graphicData>
            </a:graphic>
          </wp:inline>
        </w:drawing>
      </w:r>
    </w:p>
    <w:p w14:paraId="351630A3" w14:textId="73CE6A81" w:rsidR="00EE7EB3" w:rsidRPr="00C83EDC" w:rsidRDefault="00EE7EB3" w:rsidP="00EE7EB3">
      <w:pPr>
        <w:pStyle w:val="Titulek"/>
        <w:jc w:val="both"/>
        <w:rPr>
          <w:lang w:val="en-GB"/>
        </w:rPr>
      </w:pPr>
      <w:bookmarkStart w:id="91" w:name="_Toc47541131"/>
      <w:r>
        <w:rPr>
          <w:lang w:val="en-GB"/>
        </w:rPr>
        <w:t>Figure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10</w:t>
      </w:r>
      <w:r w:rsidRPr="00C83EDC">
        <w:rPr>
          <w:noProof/>
          <w:lang w:val="en-GB"/>
        </w:rPr>
        <w:fldChar w:fldCharType="end"/>
      </w:r>
      <w:r w:rsidRPr="00C83EDC">
        <w:rPr>
          <w:lang w:val="en-GB"/>
        </w:rPr>
        <w:t>: Top ten most expressed miRNAs detected in small RNA sequencing of 37 urine samples.</w:t>
      </w:r>
      <w:bookmarkEnd w:id="91"/>
    </w:p>
    <w:p w14:paraId="2F54BC26" w14:textId="77777777" w:rsidR="00EE7EB3" w:rsidRPr="00C83EDC" w:rsidRDefault="00EE7EB3" w:rsidP="00EE7EB3">
      <w:pPr>
        <w:pStyle w:val="Odstavec1"/>
        <w:ind w:firstLine="709"/>
        <w:rPr>
          <w:lang w:val="en-GB"/>
        </w:rPr>
      </w:pPr>
    </w:p>
    <w:p w14:paraId="60C2DCF6" w14:textId="77777777" w:rsidR="00EE7EB3" w:rsidRPr="00C83EDC" w:rsidRDefault="00EE7EB3" w:rsidP="00EE7EB3">
      <w:pPr>
        <w:pStyle w:val="Nadpis3"/>
        <w:rPr>
          <w:lang w:val="en-GB"/>
        </w:rPr>
      </w:pPr>
      <w:r w:rsidRPr="00C83EDC">
        <w:rPr>
          <w:lang w:val="en-GB"/>
        </w:rPr>
        <w:t xml:space="preserve">Statistical analysis and miRNA profiling </w:t>
      </w:r>
    </w:p>
    <w:p w14:paraId="2EA3BD6F" w14:textId="77777777" w:rsidR="00EE7EB3" w:rsidRDefault="00EE7EB3" w:rsidP="00EE7EB3">
      <w:pPr>
        <w:pStyle w:val="Odstavec1"/>
        <w:rPr>
          <w:lang w:val="en-GB"/>
        </w:rPr>
      </w:pPr>
      <w:r w:rsidRPr="00C83EDC">
        <w:rPr>
          <w:lang w:val="en-GB"/>
        </w:rPr>
        <w:t>The threshold for significantly different</w:t>
      </w:r>
      <w:r>
        <w:rPr>
          <w:lang w:val="en-GB"/>
        </w:rPr>
        <w:t xml:space="preserve"> levels of </w:t>
      </w:r>
      <w:r w:rsidRPr="00C83EDC">
        <w:rPr>
          <w:lang w:val="en-GB"/>
        </w:rPr>
        <w:t>miRNAs was set to a fold change greater than 1.5 and p-value less than 0.05. The evaluation involved comparison between indolent</w:t>
      </w:r>
      <w:r>
        <w:rPr>
          <w:lang w:val="en-GB"/>
        </w:rPr>
        <w:t xml:space="preserve"> and aggressive</w:t>
      </w:r>
      <w:r w:rsidRPr="00C83EDC">
        <w:rPr>
          <w:lang w:val="en-GB"/>
        </w:rPr>
        <w:t xml:space="preserve"> </w:t>
      </w:r>
      <w:proofErr w:type="spellStart"/>
      <w:r w:rsidRPr="00C83EDC">
        <w:rPr>
          <w:lang w:val="en-GB"/>
        </w:rPr>
        <w:t>PCa</w:t>
      </w:r>
      <w:proofErr w:type="spellEnd"/>
      <w:r w:rsidRPr="00C83EDC">
        <w:rPr>
          <w:lang w:val="en-GB"/>
        </w:rPr>
        <w:t xml:space="preserve"> and comparison</w:t>
      </w:r>
      <w:r>
        <w:rPr>
          <w:lang w:val="en-GB"/>
        </w:rPr>
        <w:t xml:space="preserve"> of</w:t>
      </w:r>
      <w:r w:rsidRPr="00C83EDC">
        <w:rPr>
          <w:lang w:val="en-GB"/>
        </w:rPr>
        <w:t xml:space="preserve"> </w:t>
      </w:r>
      <w:proofErr w:type="spellStart"/>
      <w:r>
        <w:rPr>
          <w:lang w:val="en-GB"/>
        </w:rPr>
        <w:t>PCa</w:t>
      </w:r>
      <w:proofErr w:type="spellEnd"/>
      <w:r>
        <w:rPr>
          <w:lang w:val="en-GB"/>
        </w:rPr>
        <w:t xml:space="preserve"> versus </w:t>
      </w:r>
      <w:r w:rsidRPr="00C83EDC">
        <w:rPr>
          <w:lang w:val="en-GB"/>
        </w:rPr>
        <w:t xml:space="preserve">BPH </w:t>
      </w:r>
      <w:r>
        <w:rPr>
          <w:lang w:val="en-GB"/>
        </w:rPr>
        <w:t>plus</w:t>
      </w:r>
      <w:r w:rsidRPr="00C83EDC">
        <w:rPr>
          <w:lang w:val="en-GB"/>
        </w:rPr>
        <w:t xml:space="preserve"> control</w:t>
      </w:r>
      <w:r>
        <w:rPr>
          <w:lang w:val="en-GB"/>
        </w:rPr>
        <w:t xml:space="preserve"> group</w:t>
      </w:r>
      <w:r w:rsidRPr="00C83EDC">
        <w:rPr>
          <w:lang w:val="en-GB"/>
        </w:rPr>
        <w:t>. Based on the selected criteria, the data analysis identified 11 and 12 dysregulated miRNAs for each comparison, respectively</w:t>
      </w:r>
      <w:r w:rsidRPr="00713A8E">
        <w:rPr>
          <w:lang w:val="en-GB"/>
        </w:rPr>
        <w:t>. Tables</w:t>
      </w:r>
      <w:r w:rsidRPr="00C83EDC">
        <w:rPr>
          <w:lang w:val="en-GB"/>
        </w:rPr>
        <w:t xml:space="preserve"> </w:t>
      </w:r>
      <w:r>
        <w:rPr>
          <w:lang w:val="en-GB"/>
        </w:rPr>
        <w:t>XIX</w:t>
      </w:r>
      <w:r w:rsidRPr="00C83EDC">
        <w:rPr>
          <w:lang w:val="en-GB"/>
        </w:rPr>
        <w:t xml:space="preserve"> and </w:t>
      </w:r>
      <w:r>
        <w:rPr>
          <w:lang w:val="en-GB"/>
        </w:rPr>
        <w:t>XX</w:t>
      </w:r>
      <w:r w:rsidRPr="00C83EDC">
        <w:rPr>
          <w:lang w:val="en-GB"/>
        </w:rPr>
        <w:t xml:space="preserve"> show miRNAs that </w:t>
      </w:r>
      <w:r>
        <w:rPr>
          <w:lang w:val="en-GB"/>
        </w:rPr>
        <w:t>had</w:t>
      </w:r>
      <w:r w:rsidRPr="00C83EDC">
        <w:rPr>
          <w:lang w:val="en-GB"/>
        </w:rPr>
        <w:t xml:space="preserve"> significantly different </w:t>
      </w:r>
      <w:r>
        <w:rPr>
          <w:lang w:val="en-GB"/>
        </w:rPr>
        <w:t>levels</w:t>
      </w:r>
      <w:r w:rsidRPr="00C83EDC">
        <w:rPr>
          <w:lang w:val="en-GB"/>
        </w:rPr>
        <w:t xml:space="preserve"> between given conditions.</w:t>
      </w:r>
      <w:r>
        <w:rPr>
          <w:lang w:val="en-GB"/>
        </w:rPr>
        <w:t xml:space="preserve"> </w:t>
      </w:r>
    </w:p>
    <w:p w14:paraId="5AA70CA9" w14:textId="77777777" w:rsidR="00EE7EB3" w:rsidRDefault="00EE7EB3" w:rsidP="00EE7EB3">
      <w:pPr>
        <w:pStyle w:val="Dalodstavce"/>
        <w:rPr>
          <w:lang w:val="en-GB"/>
        </w:rPr>
      </w:pPr>
    </w:p>
    <w:p w14:paraId="559D9838" w14:textId="77777777" w:rsidR="00EE7EB3" w:rsidRDefault="00EE7EB3" w:rsidP="00EE7EB3">
      <w:pPr>
        <w:pStyle w:val="Dalodstavce"/>
        <w:rPr>
          <w:lang w:val="en-GB"/>
        </w:rPr>
      </w:pPr>
    </w:p>
    <w:p w14:paraId="19E57A9B" w14:textId="77777777" w:rsidR="00EE7EB3" w:rsidRDefault="00EE7EB3" w:rsidP="00EE7EB3">
      <w:pPr>
        <w:pStyle w:val="Dalodstavce"/>
        <w:rPr>
          <w:lang w:val="en-GB"/>
        </w:rPr>
      </w:pPr>
    </w:p>
    <w:p w14:paraId="139D531E" w14:textId="1F578A9B" w:rsidR="00EE7EB3" w:rsidRDefault="00EE7EB3" w:rsidP="00EE7EB3">
      <w:pPr>
        <w:pStyle w:val="Dalodstavce"/>
        <w:rPr>
          <w:lang w:val="en-GB"/>
        </w:rPr>
      </w:pPr>
    </w:p>
    <w:p w14:paraId="7C6D1626" w14:textId="77777777" w:rsidR="00F233D4" w:rsidRPr="004649A8" w:rsidRDefault="00F233D4" w:rsidP="00EE7EB3">
      <w:pPr>
        <w:pStyle w:val="Dalodstavce"/>
        <w:rPr>
          <w:lang w:val="en-GB"/>
        </w:rPr>
      </w:pPr>
    </w:p>
    <w:p w14:paraId="158A7254" w14:textId="4555E105" w:rsidR="00EE7EB3" w:rsidRPr="00C83EDC" w:rsidRDefault="00EE7EB3" w:rsidP="00EE7EB3">
      <w:pPr>
        <w:pStyle w:val="Titulektabulky"/>
        <w:jc w:val="left"/>
        <w:rPr>
          <w:lang w:val="en-GB"/>
        </w:rPr>
      </w:pPr>
      <w:bookmarkStart w:id="92" w:name="_Toc47541152"/>
      <w:r w:rsidRPr="00C83EDC">
        <w:rPr>
          <w:lang w:val="en-GB"/>
        </w:rPr>
        <w:lastRenderedPageBreak/>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XIX</w:t>
      </w:r>
      <w:r>
        <w:rPr>
          <w:noProof/>
          <w:lang w:val="en-GB"/>
        </w:rPr>
        <w:fldChar w:fldCharType="end"/>
      </w:r>
      <w:r w:rsidRPr="00C83EDC">
        <w:rPr>
          <w:lang w:val="en-GB"/>
        </w:rPr>
        <w:t xml:space="preserve">: </w:t>
      </w:r>
      <w:r w:rsidRPr="00C83EDC">
        <w:rPr>
          <w:b w:val="0"/>
          <w:bCs w:val="0"/>
          <w:lang w:val="en-GB"/>
        </w:rPr>
        <w:t xml:space="preserve">List of significantly dysregulated miRNAs in aggressive vs indolent </w:t>
      </w:r>
      <w:proofErr w:type="spellStart"/>
      <w:r w:rsidRPr="00C83EDC">
        <w:rPr>
          <w:b w:val="0"/>
          <w:bCs w:val="0"/>
          <w:lang w:val="en-GB"/>
        </w:rPr>
        <w:t>PCa</w:t>
      </w:r>
      <w:proofErr w:type="spellEnd"/>
      <w:r w:rsidRPr="00C83EDC">
        <w:rPr>
          <w:b w:val="0"/>
          <w:bCs w:val="0"/>
          <w:lang w:val="en-GB"/>
        </w:rPr>
        <w:t>.</w:t>
      </w:r>
      <w:bookmarkEnd w:id="92"/>
    </w:p>
    <w:tbl>
      <w:tblPr>
        <w:tblStyle w:val="Tabulkasmkou4zvraznn3"/>
        <w:tblW w:w="8844" w:type="dxa"/>
        <w:tblLook w:val="0720" w:firstRow="1" w:lastRow="0" w:firstColumn="0" w:lastColumn="1" w:noHBand="1" w:noVBand="1"/>
      </w:tblPr>
      <w:tblGrid>
        <w:gridCol w:w="2211"/>
        <w:gridCol w:w="2211"/>
        <w:gridCol w:w="2211"/>
        <w:gridCol w:w="2211"/>
      </w:tblGrid>
      <w:tr w:rsidR="00EE7EB3" w:rsidRPr="00DA753A" w14:paraId="10E50E82"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2211" w:type="dxa"/>
            <w:shd w:val="clear" w:color="auto" w:fill="E7E6E6" w:themeFill="background2"/>
            <w:vAlign w:val="center"/>
          </w:tcPr>
          <w:p w14:paraId="7B50BE7A" w14:textId="77777777" w:rsidR="00EE7EB3" w:rsidRPr="00DA753A" w:rsidRDefault="00EE7EB3" w:rsidP="00F233D4">
            <w:pPr>
              <w:jc w:val="center"/>
              <w:rPr>
                <w:rFonts w:ascii="Cambria" w:hAnsi="Cambria" w:cstheme="minorHAnsi"/>
                <w:color w:val="3B3838" w:themeColor="background2" w:themeShade="40"/>
                <w:sz w:val="20"/>
                <w:szCs w:val="20"/>
              </w:rPr>
            </w:pPr>
            <w:bookmarkStart w:id="93" w:name="_Hlk46344238"/>
            <w:r w:rsidRPr="00DA753A">
              <w:rPr>
                <w:rFonts w:ascii="Cambria" w:hAnsi="Cambria" w:cstheme="minorHAnsi"/>
                <w:color w:val="3B3838" w:themeColor="background2" w:themeShade="40"/>
                <w:sz w:val="20"/>
                <w:szCs w:val="20"/>
              </w:rPr>
              <w:t>miRNA</w:t>
            </w:r>
          </w:p>
        </w:tc>
        <w:tc>
          <w:tcPr>
            <w:tcW w:w="2211" w:type="dxa"/>
            <w:shd w:val="clear" w:color="auto" w:fill="E7E6E6" w:themeFill="background2"/>
            <w:vAlign w:val="center"/>
          </w:tcPr>
          <w:p w14:paraId="63A856D6" w14:textId="77777777" w:rsidR="00EE7EB3" w:rsidRPr="00DA753A" w:rsidRDefault="00EE7EB3" w:rsidP="00F233D4">
            <w:pPr>
              <w:jc w:val="center"/>
              <w:rPr>
                <w:rFonts w:ascii="Cambria" w:hAnsi="Cambria" w:cstheme="minorHAnsi"/>
                <w:color w:val="3B3838" w:themeColor="background2" w:themeShade="40"/>
                <w:sz w:val="20"/>
                <w:szCs w:val="20"/>
              </w:rPr>
            </w:pPr>
            <w:r w:rsidRPr="00DA753A">
              <w:rPr>
                <w:rFonts w:ascii="Cambria" w:hAnsi="Cambria" w:cstheme="minorHAnsi"/>
                <w:color w:val="3B3838" w:themeColor="background2" w:themeShade="40"/>
                <w:sz w:val="20"/>
                <w:szCs w:val="20"/>
              </w:rPr>
              <w:t>Base Mean</w:t>
            </w:r>
          </w:p>
        </w:tc>
        <w:tc>
          <w:tcPr>
            <w:tcW w:w="2211" w:type="dxa"/>
            <w:shd w:val="clear" w:color="auto" w:fill="E7E6E6" w:themeFill="background2"/>
            <w:vAlign w:val="center"/>
          </w:tcPr>
          <w:p w14:paraId="4C184E25" w14:textId="77777777" w:rsidR="00EE7EB3" w:rsidRPr="00DA753A" w:rsidRDefault="00EE7EB3" w:rsidP="00F233D4">
            <w:pPr>
              <w:jc w:val="center"/>
              <w:rPr>
                <w:rFonts w:ascii="Cambria" w:hAnsi="Cambria" w:cstheme="minorHAnsi"/>
                <w:color w:val="3B3838" w:themeColor="background2" w:themeShade="40"/>
                <w:sz w:val="20"/>
                <w:szCs w:val="20"/>
              </w:rPr>
            </w:pPr>
            <w:r w:rsidRPr="00DA753A">
              <w:rPr>
                <w:rFonts w:ascii="Cambria" w:hAnsi="Cambria" w:cstheme="minorHAnsi"/>
                <w:color w:val="3B3838" w:themeColor="background2" w:themeShade="40"/>
                <w:sz w:val="20"/>
                <w:szCs w:val="20"/>
              </w:rPr>
              <w:t>Log</w:t>
            </w:r>
            <w:r w:rsidRPr="00DA753A">
              <w:rPr>
                <w:rFonts w:ascii="Cambria" w:hAnsi="Cambria" w:cstheme="minorHAnsi"/>
                <w:color w:val="3B3838" w:themeColor="background2" w:themeShade="40"/>
                <w:sz w:val="20"/>
                <w:szCs w:val="20"/>
                <w:vertAlign w:val="subscript"/>
              </w:rPr>
              <w:t>2</w:t>
            </w:r>
            <w:r w:rsidRPr="00DA753A">
              <w:rPr>
                <w:rFonts w:ascii="Cambria" w:hAnsi="Cambria" w:cstheme="minorHAnsi"/>
                <w:color w:val="3B3838" w:themeColor="background2" w:themeShade="40"/>
                <w:sz w:val="20"/>
                <w:szCs w:val="20"/>
              </w:rPr>
              <w:t xml:space="preserve"> FC</w:t>
            </w:r>
          </w:p>
        </w:tc>
        <w:tc>
          <w:tcPr>
            <w:cnfStyle w:val="000100000000" w:firstRow="0" w:lastRow="0" w:firstColumn="0" w:lastColumn="1" w:oddVBand="0" w:evenVBand="0" w:oddHBand="0" w:evenHBand="0" w:firstRowFirstColumn="0" w:firstRowLastColumn="0" w:lastRowFirstColumn="0" w:lastRowLastColumn="0"/>
            <w:tcW w:w="2211" w:type="dxa"/>
            <w:shd w:val="clear" w:color="auto" w:fill="E7E6E6" w:themeFill="background2"/>
            <w:vAlign w:val="center"/>
          </w:tcPr>
          <w:p w14:paraId="5B7ACBB0" w14:textId="77777777" w:rsidR="00EE7EB3" w:rsidRPr="00DA753A" w:rsidRDefault="00EE7EB3" w:rsidP="00F233D4">
            <w:pPr>
              <w:jc w:val="center"/>
              <w:rPr>
                <w:rFonts w:ascii="Cambria" w:hAnsi="Cambria" w:cstheme="minorHAnsi"/>
                <w:color w:val="3B3838" w:themeColor="background2" w:themeShade="40"/>
                <w:sz w:val="20"/>
                <w:szCs w:val="20"/>
              </w:rPr>
            </w:pPr>
            <w:r w:rsidRPr="00DA753A">
              <w:rPr>
                <w:rFonts w:ascii="Cambria" w:hAnsi="Cambria" w:cstheme="minorHAnsi"/>
                <w:color w:val="3B3838" w:themeColor="background2" w:themeShade="40"/>
                <w:sz w:val="20"/>
                <w:szCs w:val="20"/>
              </w:rPr>
              <w:t>p-value</w:t>
            </w:r>
          </w:p>
        </w:tc>
      </w:tr>
      <w:tr w:rsidR="00EE7EB3" w:rsidRPr="00DA753A" w14:paraId="4A22341A" w14:textId="77777777" w:rsidTr="00F233D4">
        <w:trPr>
          <w:trHeight w:val="340"/>
        </w:trPr>
        <w:tc>
          <w:tcPr>
            <w:tcW w:w="2211" w:type="dxa"/>
            <w:vAlign w:val="center"/>
          </w:tcPr>
          <w:p w14:paraId="3E6A5676" w14:textId="77777777" w:rsidR="00EE7EB3" w:rsidRPr="00DA753A" w:rsidRDefault="00EE7EB3" w:rsidP="00F233D4">
            <w:pPr>
              <w:jc w:val="center"/>
              <w:rPr>
                <w:rFonts w:ascii="Cambria" w:hAnsi="Cambria" w:cs="Calibri"/>
                <w:color w:val="3B3838" w:themeColor="background2" w:themeShade="40"/>
                <w:sz w:val="20"/>
                <w:szCs w:val="20"/>
                <w:lang w:eastAsia="en-GB"/>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451a</w:t>
            </w:r>
          </w:p>
        </w:tc>
        <w:tc>
          <w:tcPr>
            <w:tcW w:w="2211" w:type="dxa"/>
            <w:vAlign w:val="center"/>
          </w:tcPr>
          <w:p w14:paraId="1083C06A"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139.34</w:t>
            </w:r>
          </w:p>
        </w:tc>
        <w:tc>
          <w:tcPr>
            <w:tcW w:w="2211" w:type="dxa"/>
            <w:vAlign w:val="center"/>
          </w:tcPr>
          <w:p w14:paraId="29796A4A"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-5.16</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31EF732C"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0.00008</w:t>
            </w:r>
          </w:p>
        </w:tc>
      </w:tr>
      <w:tr w:rsidR="00EE7EB3" w:rsidRPr="00DA753A" w14:paraId="02050D3E" w14:textId="77777777" w:rsidTr="00F233D4">
        <w:trPr>
          <w:trHeight w:val="340"/>
        </w:trPr>
        <w:tc>
          <w:tcPr>
            <w:tcW w:w="2211" w:type="dxa"/>
            <w:vAlign w:val="center"/>
          </w:tcPr>
          <w:p w14:paraId="1D35B079"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4454</w:t>
            </w:r>
          </w:p>
        </w:tc>
        <w:tc>
          <w:tcPr>
            <w:tcW w:w="2211" w:type="dxa"/>
            <w:vAlign w:val="center"/>
          </w:tcPr>
          <w:p w14:paraId="2FBFE26E"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16.32</w:t>
            </w:r>
          </w:p>
        </w:tc>
        <w:tc>
          <w:tcPr>
            <w:tcW w:w="2211" w:type="dxa"/>
            <w:vAlign w:val="center"/>
          </w:tcPr>
          <w:p w14:paraId="6F5E72F2"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-2.9</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156C97B7"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0.00179</w:t>
            </w:r>
          </w:p>
        </w:tc>
      </w:tr>
      <w:tr w:rsidR="00EE7EB3" w:rsidRPr="00DA753A" w14:paraId="6BB2F76D" w14:textId="77777777" w:rsidTr="00F233D4">
        <w:trPr>
          <w:trHeight w:val="340"/>
        </w:trPr>
        <w:tc>
          <w:tcPr>
            <w:tcW w:w="2211" w:type="dxa"/>
            <w:vAlign w:val="center"/>
          </w:tcPr>
          <w:p w14:paraId="16D9BB20"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6765</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center"/>
          </w:tcPr>
          <w:p w14:paraId="39EC6590"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3.94</w:t>
            </w:r>
          </w:p>
        </w:tc>
        <w:tc>
          <w:tcPr>
            <w:tcW w:w="2211" w:type="dxa"/>
            <w:vAlign w:val="center"/>
          </w:tcPr>
          <w:p w14:paraId="3D0112DD"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-3.67</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6D3D820C"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0.00559</w:t>
            </w:r>
          </w:p>
        </w:tc>
      </w:tr>
      <w:tr w:rsidR="00EE7EB3" w:rsidRPr="00DA753A" w14:paraId="7A0724C9" w14:textId="77777777" w:rsidTr="00F233D4">
        <w:trPr>
          <w:trHeight w:val="340"/>
        </w:trPr>
        <w:tc>
          <w:tcPr>
            <w:tcW w:w="2211" w:type="dxa"/>
            <w:vAlign w:val="center"/>
          </w:tcPr>
          <w:p w14:paraId="4BCAEE2F"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486</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5p</w:t>
            </w:r>
          </w:p>
        </w:tc>
        <w:tc>
          <w:tcPr>
            <w:tcW w:w="2211" w:type="dxa"/>
            <w:vAlign w:val="center"/>
          </w:tcPr>
          <w:p w14:paraId="432055F8"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1787.78</w:t>
            </w:r>
          </w:p>
        </w:tc>
        <w:tc>
          <w:tcPr>
            <w:tcW w:w="2211" w:type="dxa"/>
            <w:vAlign w:val="center"/>
          </w:tcPr>
          <w:p w14:paraId="4A8EDD37"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-2.61</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65C963D1"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0.00677</w:t>
            </w:r>
          </w:p>
        </w:tc>
      </w:tr>
      <w:tr w:rsidR="00EE7EB3" w:rsidRPr="00DA753A" w14:paraId="0D12DD07" w14:textId="77777777" w:rsidTr="00F233D4">
        <w:trPr>
          <w:trHeight w:val="340"/>
        </w:trPr>
        <w:tc>
          <w:tcPr>
            <w:tcW w:w="2211" w:type="dxa"/>
            <w:vAlign w:val="center"/>
          </w:tcPr>
          <w:p w14:paraId="7F1B2761"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320b</w:t>
            </w:r>
          </w:p>
        </w:tc>
        <w:tc>
          <w:tcPr>
            <w:tcW w:w="2211" w:type="dxa"/>
            <w:vAlign w:val="center"/>
          </w:tcPr>
          <w:p w14:paraId="4FC2B7E3"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9.55</w:t>
            </w:r>
          </w:p>
        </w:tc>
        <w:tc>
          <w:tcPr>
            <w:tcW w:w="2211" w:type="dxa"/>
            <w:vAlign w:val="center"/>
          </w:tcPr>
          <w:p w14:paraId="7C155ED8"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2.38</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5AE48D70"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0.01359</w:t>
            </w:r>
          </w:p>
        </w:tc>
      </w:tr>
      <w:tr w:rsidR="00EE7EB3" w:rsidRPr="00DA753A" w14:paraId="75C78F1C" w14:textId="77777777" w:rsidTr="00F233D4">
        <w:trPr>
          <w:trHeight w:val="340"/>
        </w:trPr>
        <w:tc>
          <w:tcPr>
            <w:tcW w:w="2211" w:type="dxa"/>
            <w:vAlign w:val="center"/>
          </w:tcPr>
          <w:p w14:paraId="27B61921"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934</w:t>
            </w:r>
          </w:p>
        </w:tc>
        <w:tc>
          <w:tcPr>
            <w:tcW w:w="2211" w:type="dxa"/>
            <w:vAlign w:val="center"/>
          </w:tcPr>
          <w:p w14:paraId="0FEEDAB0"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2.88</w:t>
            </w:r>
          </w:p>
        </w:tc>
        <w:tc>
          <w:tcPr>
            <w:tcW w:w="2211" w:type="dxa"/>
            <w:vAlign w:val="center"/>
          </w:tcPr>
          <w:p w14:paraId="5948414A"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-4.82</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43FDAC4B"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0.01502</w:t>
            </w:r>
          </w:p>
        </w:tc>
      </w:tr>
      <w:tr w:rsidR="00EE7EB3" w:rsidRPr="00DA753A" w14:paraId="0C37BE89" w14:textId="77777777" w:rsidTr="00F233D4">
        <w:trPr>
          <w:trHeight w:val="340"/>
        </w:trPr>
        <w:tc>
          <w:tcPr>
            <w:tcW w:w="2211" w:type="dxa"/>
            <w:vAlign w:val="center"/>
          </w:tcPr>
          <w:p w14:paraId="03CA2B86"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27b</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center"/>
          </w:tcPr>
          <w:p w14:paraId="7DF45B03"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107.42</w:t>
            </w:r>
          </w:p>
        </w:tc>
        <w:tc>
          <w:tcPr>
            <w:tcW w:w="2211" w:type="dxa"/>
            <w:vAlign w:val="center"/>
          </w:tcPr>
          <w:p w14:paraId="22549028"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-1.14</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212B10FF"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0.02689</w:t>
            </w:r>
          </w:p>
        </w:tc>
      </w:tr>
      <w:tr w:rsidR="00EE7EB3" w:rsidRPr="00DA753A" w14:paraId="25E7F956" w14:textId="77777777" w:rsidTr="00F233D4">
        <w:trPr>
          <w:trHeight w:val="340"/>
        </w:trPr>
        <w:tc>
          <w:tcPr>
            <w:tcW w:w="2211" w:type="dxa"/>
            <w:vAlign w:val="center"/>
          </w:tcPr>
          <w:p w14:paraId="51955493"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130a</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center"/>
          </w:tcPr>
          <w:p w14:paraId="68DA7E31"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4.31</w:t>
            </w:r>
          </w:p>
        </w:tc>
        <w:tc>
          <w:tcPr>
            <w:tcW w:w="2211" w:type="dxa"/>
            <w:vAlign w:val="center"/>
          </w:tcPr>
          <w:p w14:paraId="21280222"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-2.89</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16E68E26"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0.03871</w:t>
            </w:r>
          </w:p>
        </w:tc>
      </w:tr>
      <w:tr w:rsidR="00EE7EB3" w:rsidRPr="00DA753A" w14:paraId="0A35AB2C" w14:textId="77777777" w:rsidTr="00F233D4">
        <w:trPr>
          <w:trHeight w:val="340"/>
        </w:trPr>
        <w:tc>
          <w:tcPr>
            <w:tcW w:w="2211" w:type="dxa"/>
            <w:vAlign w:val="center"/>
          </w:tcPr>
          <w:p w14:paraId="4F550E31"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222</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center"/>
          </w:tcPr>
          <w:p w14:paraId="0D0E3F40"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6</w:t>
            </w:r>
          </w:p>
        </w:tc>
        <w:tc>
          <w:tcPr>
            <w:tcW w:w="2211" w:type="dxa"/>
            <w:vAlign w:val="center"/>
          </w:tcPr>
          <w:p w14:paraId="769D3EBB"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3.34</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097C8CE4"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0.04388</w:t>
            </w:r>
          </w:p>
        </w:tc>
      </w:tr>
      <w:tr w:rsidR="00EE7EB3" w:rsidRPr="00DA753A" w14:paraId="143DEC1E" w14:textId="77777777" w:rsidTr="00F233D4">
        <w:trPr>
          <w:trHeight w:val="340"/>
        </w:trPr>
        <w:tc>
          <w:tcPr>
            <w:tcW w:w="2211" w:type="dxa"/>
            <w:vAlign w:val="center"/>
          </w:tcPr>
          <w:p w14:paraId="47F46E22"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3065</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center"/>
          </w:tcPr>
          <w:p w14:paraId="0731DC35"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6.49</w:t>
            </w:r>
          </w:p>
        </w:tc>
        <w:tc>
          <w:tcPr>
            <w:tcW w:w="2211" w:type="dxa"/>
            <w:vAlign w:val="center"/>
          </w:tcPr>
          <w:p w14:paraId="1ED9862B"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-2.23</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19FCD9D8"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0.04471</w:t>
            </w:r>
          </w:p>
        </w:tc>
      </w:tr>
      <w:tr w:rsidR="00EE7EB3" w:rsidRPr="00DA753A" w14:paraId="7E508396" w14:textId="77777777" w:rsidTr="00F233D4">
        <w:trPr>
          <w:trHeight w:val="340"/>
        </w:trPr>
        <w:tc>
          <w:tcPr>
            <w:tcW w:w="2211" w:type="dxa"/>
            <w:vAlign w:val="center"/>
          </w:tcPr>
          <w:p w14:paraId="2697FAAA"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625</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center"/>
          </w:tcPr>
          <w:p w14:paraId="2F781557"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14.5</w:t>
            </w:r>
          </w:p>
        </w:tc>
        <w:tc>
          <w:tcPr>
            <w:tcW w:w="2211" w:type="dxa"/>
            <w:vAlign w:val="center"/>
          </w:tcPr>
          <w:p w14:paraId="2CD76C52"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-3.37</w:t>
            </w:r>
          </w:p>
        </w:tc>
        <w:tc>
          <w:tcPr>
            <w:cnfStyle w:val="000100000000" w:firstRow="0" w:lastRow="0" w:firstColumn="0" w:lastColumn="1" w:oddVBand="0" w:evenVBand="0" w:oddHBand="0" w:evenHBand="0" w:firstRowFirstColumn="0" w:firstRowLastColumn="0" w:lastRowFirstColumn="0" w:lastRowLastColumn="0"/>
            <w:tcW w:w="2211" w:type="dxa"/>
            <w:vAlign w:val="center"/>
          </w:tcPr>
          <w:p w14:paraId="5F6344BA"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0.04689</w:t>
            </w:r>
          </w:p>
        </w:tc>
      </w:tr>
      <w:tr w:rsidR="00EE7EB3" w:rsidRPr="00DA753A" w14:paraId="5C2B994B" w14:textId="77777777" w:rsidTr="00F233D4">
        <w:trPr>
          <w:trHeight w:val="340"/>
        </w:trPr>
        <w:tc>
          <w:tcPr>
            <w:cnfStyle w:val="000100000000" w:firstRow="0" w:lastRow="0" w:firstColumn="0" w:lastColumn="1" w:oddVBand="0" w:evenVBand="0" w:oddHBand="0" w:evenHBand="0" w:firstRowFirstColumn="0" w:firstRowLastColumn="0" w:lastRowFirstColumn="0" w:lastRowLastColumn="0"/>
            <w:tcW w:w="8844" w:type="dxa"/>
            <w:gridSpan w:val="4"/>
            <w:vAlign w:val="center"/>
          </w:tcPr>
          <w:p w14:paraId="71D50089" w14:textId="77777777" w:rsidR="00EE7EB3" w:rsidRPr="00DA753A" w:rsidRDefault="00EE7EB3" w:rsidP="00F233D4">
            <w:pPr>
              <w:rPr>
                <w:rFonts w:ascii="Cambria" w:hAnsi="Cambria" w:cs="Calibri"/>
                <w:color w:val="3B3838" w:themeColor="background2" w:themeShade="40"/>
                <w:sz w:val="12"/>
                <w:szCs w:val="12"/>
              </w:rPr>
            </w:pPr>
          </w:p>
          <w:p w14:paraId="1382691B" w14:textId="77777777" w:rsidR="00EE7EB3" w:rsidRPr="00DA753A" w:rsidRDefault="00EE7EB3" w:rsidP="00F233D4">
            <w:pP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Note:</w:t>
            </w:r>
            <w:r w:rsidRPr="00DA753A">
              <w:rPr>
                <w:rFonts w:ascii="Cambria" w:hAnsi="Cambria" w:cs="Calibri"/>
                <w:b w:val="0"/>
                <w:bCs w:val="0"/>
                <w:color w:val="3B3838" w:themeColor="background2" w:themeShade="40"/>
                <w:sz w:val="20"/>
                <w:szCs w:val="20"/>
              </w:rPr>
              <w:t xml:space="preserve"> Log</w:t>
            </w:r>
            <w:r w:rsidRPr="00DA753A">
              <w:rPr>
                <w:rFonts w:ascii="Cambria" w:hAnsi="Cambria" w:cs="Calibri"/>
                <w:b w:val="0"/>
                <w:bCs w:val="0"/>
                <w:color w:val="3B3838" w:themeColor="background2" w:themeShade="40"/>
                <w:sz w:val="20"/>
                <w:szCs w:val="20"/>
                <w:vertAlign w:val="subscript"/>
              </w:rPr>
              <w:t>2</w:t>
            </w:r>
            <w:r w:rsidRPr="00DA753A">
              <w:rPr>
                <w:rFonts w:ascii="Cambria" w:hAnsi="Cambria" w:cs="Calibri"/>
                <w:b w:val="0"/>
                <w:bCs w:val="0"/>
                <w:color w:val="3B3838" w:themeColor="background2" w:themeShade="40"/>
                <w:sz w:val="20"/>
                <w:szCs w:val="20"/>
              </w:rPr>
              <w:t xml:space="preserve"> FC; binary logarithm of fold change is negative if given miRNA has lower levels in aggressive </w:t>
            </w:r>
            <w:proofErr w:type="spellStart"/>
            <w:r w:rsidRPr="00DA753A">
              <w:rPr>
                <w:rFonts w:ascii="Cambria" w:hAnsi="Cambria" w:cs="Calibri"/>
                <w:b w:val="0"/>
                <w:bCs w:val="0"/>
                <w:color w:val="3B3838" w:themeColor="background2" w:themeShade="40"/>
                <w:sz w:val="20"/>
                <w:szCs w:val="20"/>
              </w:rPr>
              <w:t>PCa</w:t>
            </w:r>
            <w:proofErr w:type="spellEnd"/>
            <w:r w:rsidRPr="00DA753A">
              <w:rPr>
                <w:rFonts w:ascii="Cambria" w:hAnsi="Cambria" w:cs="Calibri"/>
                <w:b w:val="0"/>
                <w:bCs w:val="0"/>
                <w:color w:val="3B3838" w:themeColor="background2" w:themeShade="40"/>
                <w:sz w:val="20"/>
                <w:szCs w:val="20"/>
              </w:rPr>
              <w:t xml:space="preserve"> compared to indolent </w:t>
            </w:r>
            <w:proofErr w:type="spellStart"/>
            <w:r w:rsidRPr="00DA753A">
              <w:rPr>
                <w:rFonts w:ascii="Cambria" w:hAnsi="Cambria" w:cs="Calibri"/>
                <w:b w:val="0"/>
                <w:bCs w:val="0"/>
                <w:color w:val="3B3838" w:themeColor="background2" w:themeShade="40"/>
                <w:sz w:val="20"/>
                <w:szCs w:val="20"/>
              </w:rPr>
              <w:t>PCa</w:t>
            </w:r>
            <w:proofErr w:type="spellEnd"/>
          </w:p>
          <w:p w14:paraId="0D06E27D" w14:textId="77777777" w:rsidR="00EE7EB3" w:rsidRPr="00DA753A" w:rsidRDefault="00EE7EB3" w:rsidP="00F233D4">
            <w:pPr>
              <w:rPr>
                <w:rFonts w:ascii="Cambria" w:hAnsi="Cambria" w:cs="Calibri"/>
                <w:b w:val="0"/>
                <w:bCs w:val="0"/>
                <w:color w:val="3B3838" w:themeColor="background2" w:themeShade="40"/>
                <w:sz w:val="20"/>
                <w:szCs w:val="20"/>
              </w:rPr>
            </w:pPr>
          </w:p>
        </w:tc>
      </w:tr>
    </w:tbl>
    <w:bookmarkEnd w:id="93"/>
    <w:p w14:paraId="0FA4C1D1" w14:textId="77777777" w:rsidR="00EE7EB3" w:rsidRPr="00C83EDC" w:rsidRDefault="00EE7EB3" w:rsidP="00EE7EB3">
      <w:pPr>
        <w:pStyle w:val="Dalodstavce"/>
        <w:rPr>
          <w:lang w:val="en-GB"/>
        </w:rPr>
      </w:pPr>
      <w:r w:rsidRPr="00C83EDC">
        <w:rPr>
          <w:lang w:val="en-GB"/>
        </w:rPr>
        <w:t>.</w:t>
      </w:r>
    </w:p>
    <w:p w14:paraId="3EAC3429" w14:textId="33FA1521" w:rsidR="00EE7EB3" w:rsidRPr="00C83EDC" w:rsidRDefault="00EE7EB3" w:rsidP="00EE7EB3">
      <w:pPr>
        <w:pStyle w:val="Titulektabulky"/>
        <w:jc w:val="both"/>
        <w:rPr>
          <w:b w:val="0"/>
          <w:bCs w:val="0"/>
          <w:lang w:val="en-GB"/>
        </w:rPr>
      </w:pPr>
      <w:bookmarkStart w:id="94" w:name="_Toc47541153"/>
      <w:r w:rsidRPr="00C83EDC">
        <w:rPr>
          <w:lang w:val="en-GB"/>
        </w:rPr>
        <w:t xml:space="preserve">Table </w:t>
      </w:r>
      <w:r>
        <w:rPr>
          <w:noProof/>
          <w:lang w:val="en-GB"/>
        </w:rPr>
        <w:fldChar w:fldCharType="begin"/>
      </w:r>
      <w:r>
        <w:rPr>
          <w:noProof/>
          <w:lang w:val="en-GB"/>
        </w:rPr>
        <w:instrText xml:space="preserve"> SEQ Tab. \* ARABIC \* ROMAN </w:instrText>
      </w:r>
      <w:r>
        <w:rPr>
          <w:noProof/>
          <w:lang w:val="en-GB"/>
        </w:rPr>
        <w:fldChar w:fldCharType="separate"/>
      </w:r>
      <w:r w:rsidR="0048503A">
        <w:rPr>
          <w:noProof/>
          <w:lang w:val="en-GB"/>
        </w:rPr>
        <w:t>XX</w:t>
      </w:r>
      <w:r>
        <w:rPr>
          <w:noProof/>
          <w:lang w:val="en-GB"/>
        </w:rPr>
        <w:fldChar w:fldCharType="end"/>
      </w:r>
      <w:r w:rsidRPr="00C83EDC">
        <w:rPr>
          <w:lang w:val="en-GB"/>
        </w:rPr>
        <w:t xml:space="preserve">: </w:t>
      </w:r>
      <w:r w:rsidRPr="00C83EDC">
        <w:rPr>
          <w:b w:val="0"/>
          <w:bCs w:val="0"/>
          <w:lang w:val="en-GB"/>
        </w:rPr>
        <w:t xml:space="preserve">List of significantly dysregulated miRNAs in prostate cancer </w:t>
      </w:r>
      <w:proofErr w:type="gramStart"/>
      <w:r w:rsidRPr="00C83EDC">
        <w:rPr>
          <w:b w:val="0"/>
          <w:bCs w:val="0"/>
          <w:lang w:val="en-GB"/>
        </w:rPr>
        <w:t>patients</w:t>
      </w:r>
      <w:proofErr w:type="gramEnd"/>
      <w:r w:rsidRPr="00C83EDC">
        <w:rPr>
          <w:b w:val="0"/>
          <w:bCs w:val="0"/>
          <w:lang w:val="en-GB"/>
        </w:rPr>
        <w:t xml:space="preserve"> vs BPH + control group.</w:t>
      </w:r>
      <w:bookmarkEnd w:id="94"/>
      <w:r w:rsidRPr="00C83EDC">
        <w:rPr>
          <w:b w:val="0"/>
          <w:bCs w:val="0"/>
          <w:lang w:val="en-GB"/>
        </w:rPr>
        <w:t xml:space="preserve"> </w:t>
      </w:r>
    </w:p>
    <w:tbl>
      <w:tblPr>
        <w:tblStyle w:val="Tabulkasmkou4zvraznn3"/>
        <w:tblW w:w="8844" w:type="dxa"/>
        <w:tblLook w:val="0720" w:firstRow="1" w:lastRow="0" w:firstColumn="0" w:lastColumn="1" w:noHBand="1" w:noVBand="1"/>
      </w:tblPr>
      <w:tblGrid>
        <w:gridCol w:w="2211"/>
        <w:gridCol w:w="2211"/>
        <w:gridCol w:w="2211"/>
        <w:gridCol w:w="2211"/>
      </w:tblGrid>
      <w:tr w:rsidR="00EE7EB3" w:rsidRPr="00DA753A" w14:paraId="383636F8" w14:textId="77777777" w:rsidTr="00F233D4">
        <w:trPr>
          <w:cnfStyle w:val="100000000000" w:firstRow="1" w:lastRow="0" w:firstColumn="0" w:lastColumn="0" w:oddVBand="0" w:evenVBand="0" w:oddHBand="0" w:evenHBand="0" w:firstRowFirstColumn="0" w:firstRowLastColumn="0" w:lastRowFirstColumn="0" w:lastRowLastColumn="0"/>
          <w:trHeight w:val="340"/>
        </w:trPr>
        <w:tc>
          <w:tcPr>
            <w:tcW w:w="2211" w:type="dxa"/>
            <w:shd w:val="clear" w:color="auto" w:fill="E7E6E6" w:themeFill="background2"/>
            <w:vAlign w:val="center"/>
          </w:tcPr>
          <w:p w14:paraId="6F59DC70" w14:textId="77777777" w:rsidR="00EE7EB3" w:rsidRPr="00DA753A" w:rsidRDefault="00EE7EB3" w:rsidP="00F233D4">
            <w:pPr>
              <w:jc w:val="center"/>
              <w:rPr>
                <w:rFonts w:ascii="Cambria" w:hAnsi="Cambria" w:cstheme="minorHAnsi"/>
                <w:color w:val="3B3838" w:themeColor="background2" w:themeShade="40"/>
                <w:sz w:val="20"/>
                <w:szCs w:val="20"/>
              </w:rPr>
            </w:pPr>
            <w:r w:rsidRPr="00DA753A">
              <w:rPr>
                <w:rFonts w:ascii="Cambria" w:hAnsi="Cambria" w:cstheme="minorHAnsi"/>
                <w:color w:val="3B3838" w:themeColor="background2" w:themeShade="40"/>
                <w:sz w:val="20"/>
                <w:szCs w:val="20"/>
              </w:rPr>
              <w:t>miRNA</w:t>
            </w:r>
          </w:p>
        </w:tc>
        <w:tc>
          <w:tcPr>
            <w:tcW w:w="2211" w:type="dxa"/>
            <w:shd w:val="clear" w:color="auto" w:fill="E7E6E6" w:themeFill="background2"/>
            <w:vAlign w:val="center"/>
          </w:tcPr>
          <w:p w14:paraId="656AA2D5" w14:textId="77777777" w:rsidR="00EE7EB3" w:rsidRPr="00DA753A" w:rsidRDefault="00EE7EB3" w:rsidP="00F233D4">
            <w:pPr>
              <w:jc w:val="center"/>
              <w:rPr>
                <w:rFonts w:ascii="Cambria" w:hAnsi="Cambria" w:cstheme="minorHAnsi"/>
                <w:color w:val="3B3838" w:themeColor="background2" w:themeShade="40"/>
                <w:sz w:val="20"/>
                <w:szCs w:val="20"/>
              </w:rPr>
            </w:pPr>
            <w:r w:rsidRPr="00DA753A">
              <w:rPr>
                <w:rFonts w:ascii="Cambria" w:hAnsi="Cambria" w:cstheme="minorHAnsi"/>
                <w:color w:val="3B3838" w:themeColor="background2" w:themeShade="40"/>
                <w:sz w:val="20"/>
                <w:szCs w:val="20"/>
              </w:rPr>
              <w:t>Base Mean</w:t>
            </w:r>
          </w:p>
        </w:tc>
        <w:tc>
          <w:tcPr>
            <w:tcW w:w="2211" w:type="dxa"/>
            <w:shd w:val="clear" w:color="auto" w:fill="E7E6E6" w:themeFill="background2"/>
            <w:vAlign w:val="center"/>
          </w:tcPr>
          <w:p w14:paraId="46F59FD1" w14:textId="77777777" w:rsidR="00EE7EB3" w:rsidRPr="00DA753A" w:rsidRDefault="00EE7EB3" w:rsidP="00F233D4">
            <w:pPr>
              <w:jc w:val="center"/>
              <w:rPr>
                <w:rFonts w:ascii="Cambria" w:hAnsi="Cambria" w:cstheme="minorHAnsi"/>
                <w:color w:val="3B3838" w:themeColor="background2" w:themeShade="40"/>
                <w:sz w:val="20"/>
                <w:szCs w:val="20"/>
              </w:rPr>
            </w:pPr>
            <w:r w:rsidRPr="00DA753A">
              <w:rPr>
                <w:rFonts w:ascii="Cambria" w:hAnsi="Cambria" w:cstheme="minorHAnsi"/>
                <w:color w:val="3B3838" w:themeColor="background2" w:themeShade="40"/>
                <w:sz w:val="20"/>
                <w:szCs w:val="20"/>
              </w:rPr>
              <w:t>Log</w:t>
            </w:r>
            <w:r w:rsidRPr="00DA753A">
              <w:rPr>
                <w:rFonts w:ascii="Cambria" w:hAnsi="Cambria" w:cstheme="minorHAnsi"/>
                <w:color w:val="3B3838" w:themeColor="background2" w:themeShade="40"/>
                <w:sz w:val="20"/>
                <w:szCs w:val="20"/>
                <w:vertAlign w:val="subscript"/>
              </w:rPr>
              <w:t>2</w:t>
            </w:r>
            <w:r w:rsidRPr="00DA753A">
              <w:rPr>
                <w:rFonts w:ascii="Cambria" w:hAnsi="Cambria" w:cstheme="minorHAnsi"/>
                <w:color w:val="3B3838" w:themeColor="background2" w:themeShade="40"/>
                <w:sz w:val="20"/>
                <w:szCs w:val="20"/>
              </w:rPr>
              <w:t xml:space="preserve"> FC</w:t>
            </w:r>
          </w:p>
        </w:tc>
        <w:tc>
          <w:tcPr>
            <w:cnfStyle w:val="000100000000" w:firstRow="0" w:lastRow="0" w:firstColumn="0" w:lastColumn="1" w:oddVBand="0" w:evenVBand="0" w:oddHBand="0" w:evenHBand="0" w:firstRowFirstColumn="0" w:firstRowLastColumn="0" w:lastRowFirstColumn="0" w:lastRowLastColumn="0"/>
            <w:tcW w:w="2211" w:type="dxa"/>
            <w:shd w:val="clear" w:color="auto" w:fill="E7E6E6" w:themeFill="background2"/>
            <w:vAlign w:val="center"/>
          </w:tcPr>
          <w:p w14:paraId="5800F7FB" w14:textId="77777777" w:rsidR="00EE7EB3" w:rsidRPr="00DA753A" w:rsidRDefault="00EE7EB3" w:rsidP="00F233D4">
            <w:pPr>
              <w:jc w:val="center"/>
              <w:rPr>
                <w:rFonts w:ascii="Cambria" w:hAnsi="Cambria" w:cstheme="minorHAnsi"/>
                <w:color w:val="3B3838" w:themeColor="background2" w:themeShade="40"/>
                <w:sz w:val="20"/>
                <w:szCs w:val="20"/>
              </w:rPr>
            </w:pPr>
            <w:r w:rsidRPr="00DA753A">
              <w:rPr>
                <w:rFonts w:ascii="Cambria" w:hAnsi="Cambria" w:cstheme="minorHAnsi"/>
                <w:color w:val="3B3838" w:themeColor="background2" w:themeShade="40"/>
                <w:sz w:val="20"/>
                <w:szCs w:val="20"/>
              </w:rPr>
              <w:t>p-value</w:t>
            </w:r>
          </w:p>
        </w:tc>
      </w:tr>
      <w:tr w:rsidR="00EE7EB3" w:rsidRPr="00DA753A" w14:paraId="64B5EC62" w14:textId="77777777" w:rsidTr="00F233D4">
        <w:trPr>
          <w:trHeight w:val="340"/>
        </w:trPr>
        <w:tc>
          <w:tcPr>
            <w:tcW w:w="2211" w:type="dxa"/>
            <w:vAlign w:val="bottom"/>
          </w:tcPr>
          <w:p w14:paraId="12E79952"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501</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bottom"/>
          </w:tcPr>
          <w:p w14:paraId="59F18E5E"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6.68</w:t>
            </w:r>
          </w:p>
        </w:tc>
        <w:tc>
          <w:tcPr>
            <w:tcW w:w="2211" w:type="dxa"/>
            <w:vAlign w:val="bottom"/>
          </w:tcPr>
          <w:p w14:paraId="22EF931A"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2.74</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5BEB15F3"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0.00151</w:t>
            </w:r>
          </w:p>
        </w:tc>
      </w:tr>
      <w:tr w:rsidR="00EE7EB3" w:rsidRPr="00DA753A" w14:paraId="75268AB4" w14:textId="77777777" w:rsidTr="00F233D4">
        <w:trPr>
          <w:trHeight w:val="340"/>
        </w:trPr>
        <w:tc>
          <w:tcPr>
            <w:tcW w:w="2211" w:type="dxa"/>
            <w:vAlign w:val="bottom"/>
          </w:tcPr>
          <w:p w14:paraId="323A5507"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191</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5p</w:t>
            </w:r>
          </w:p>
        </w:tc>
        <w:tc>
          <w:tcPr>
            <w:tcW w:w="2211" w:type="dxa"/>
            <w:vAlign w:val="bottom"/>
          </w:tcPr>
          <w:p w14:paraId="02DCB6D4"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446.07</w:t>
            </w:r>
          </w:p>
        </w:tc>
        <w:tc>
          <w:tcPr>
            <w:tcW w:w="2211" w:type="dxa"/>
            <w:vAlign w:val="bottom"/>
          </w:tcPr>
          <w:p w14:paraId="685E88DA"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0.97</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0DB508FD"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0.00176</w:t>
            </w:r>
          </w:p>
        </w:tc>
      </w:tr>
      <w:tr w:rsidR="00EE7EB3" w:rsidRPr="00DA753A" w14:paraId="7FED0437" w14:textId="77777777" w:rsidTr="00F233D4">
        <w:trPr>
          <w:trHeight w:val="340"/>
        </w:trPr>
        <w:tc>
          <w:tcPr>
            <w:tcW w:w="2211" w:type="dxa"/>
            <w:vAlign w:val="bottom"/>
          </w:tcPr>
          <w:p w14:paraId="62A40F74"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335</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5p</w:t>
            </w:r>
          </w:p>
        </w:tc>
        <w:tc>
          <w:tcPr>
            <w:tcW w:w="2211" w:type="dxa"/>
            <w:vAlign w:val="bottom"/>
          </w:tcPr>
          <w:p w14:paraId="4AF1BCEA"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16.17</w:t>
            </w:r>
          </w:p>
        </w:tc>
        <w:tc>
          <w:tcPr>
            <w:tcW w:w="2211" w:type="dxa"/>
            <w:vAlign w:val="bottom"/>
          </w:tcPr>
          <w:p w14:paraId="36E94CCD"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2.07</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2F342E9D"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0.00662</w:t>
            </w:r>
          </w:p>
        </w:tc>
      </w:tr>
      <w:tr w:rsidR="00EE7EB3" w:rsidRPr="00DA753A" w14:paraId="6CBBDEE0" w14:textId="77777777" w:rsidTr="00F233D4">
        <w:trPr>
          <w:trHeight w:val="340"/>
        </w:trPr>
        <w:tc>
          <w:tcPr>
            <w:tcW w:w="2211" w:type="dxa"/>
            <w:vAlign w:val="bottom"/>
          </w:tcPr>
          <w:p w14:paraId="42C7A140"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342</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bottom"/>
          </w:tcPr>
          <w:p w14:paraId="7F81E40C"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125.41</w:t>
            </w:r>
          </w:p>
        </w:tc>
        <w:tc>
          <w:tcPr>
            <w:tcW w:w="2211" w:type="dxa"/>
            <w:vAlign w:val="bottom"/>
          </w:tcPr>
          <w:p w14:paraId="35168B5C"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0.89</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3CED0A96"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0.01583</w:t>
            </w:r>
          </w:p>
        </w:tc>
      </w:tr>
      <w:tr w:rsidR="00EE7EB3" w:rsidRPr="00DA753A" w14:paraId="7F965A12" w14:textId="77777777" w:rsidTr="00F233D4">
        <w:trPr>
          <w:trHeight w:val="340"/>
        </w:trPr>
        <w:tc>
          <w:tcPr>
            <w:tcW w:w="2211" w:type="dxa"/>
            <w:vAlign w:val="bottom"/>
          </w:tcPr>
          <w:p w14:paraId="7E623507"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92b</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bottom"/>
          </w:tcPr>
          <w:p w14:paraId="18993EEA"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3.29</w:t>
            </w:r>
          </w:p>
        </w:tc>
        <w:tc>
          <w:tcPr>
            <w:tcW w:w="2211" w:type="dxa"/>
            <w:vAlign w:val="bottom"/>
          </w:tcPr>
          <w:p w14:paraId="4A0F43BD"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3.51</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46A6945C"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0.01783</w:t>
            </w:r>
          </w:p>
        </w:tc>
      </w:tr>
      <w:tr w:rsidR="00EE7EB3" w:rsidRPr="00DA753A" w14:paraId="624362E7" w14:textId="77777777" w:rsidTr="00F233D4">
        <w:trPr>
          <w:trHeight w:val="340"/>
        </w:trPr>
        <w:tc>
          <w:tcPr>
            <w:tcW w:w="2211" w:type="dxa"/>
            <w:vAlign w:val="bottom"/>
          </w:tcPr>
          <w:p w14:paraId="460A5DC6"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146a</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5p</w:t>
            </w:r>
          </w:p>
        </w:tc>
        <w:tc>
          <w:tcPr>
            <w:tcW w:w="2211" w:type="dxa"/>
            <w:vAlign w:val="bottom"/>
          </w:tcPr>
          <w:p w14:paraId="16BC4AE0"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197.95</w:t>
            </w:r>
          </w:p>
        </w:tc>
        <w:tc>
          <w:tcPr>
            <w:tcW w:w="2211" w:type="dxa"/>
            <w:vAlign w:val="bottom"/>
          </w:tcPr>
          <w:p w14:paraId="509133F6"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1.38</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6D83543C"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0.01786</w:t>
            </w:r>
          </w:p>
        </w:tc>
      </w:tr>
      <w:tr w:rsidR="00EE7EB3" w:rsidRPr="00DA753A" w14:paraId="678CD8D4" w14:textId="77777777" w:rsidTr="00F233D4">
        <w:trPr>
          <w:trHeight w:val="340"/>
        </w:trPr>
        <w:tc>
          <w:tcPr>
            <w:tcW w:w="2211" w:type="dxa"/>
            <w:vAlign w:val="bottom"/>
          </w:tcPr>
          <w:p w14:paraId="4E362157"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10b</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bottom"/>
          </w:tcPr>
          <w:p w14:paraId="0DA9F641"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4.03</w:t>
            </w:r>
          </w:p>
        </w:tc>
        <w:tc>
          <w:tcPr>
            <w:tcW w:w="2211" w:type="dxa"/>
            <w:vAlign w:val="bottom"/>
          </w:tcPr>
          <w:p w14:paraId="4C58C174"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2.12</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04024E92"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0.01881</w:t>
            </w:r>
          </w:p>
        </w:tc>
      </w:tr>
      <w:tr w:rsidR="00EE7EB3" w:rsidRPr="00DA753A" w14:paraId="627C5349" w14:textId="77777777" w:rsidTr="00F233D4">
        <w:trPr>
          <w:trHeight w:val="340"/>
        </w:trPr>
        <w:tc>
          <w:tcPr>
            <w:tcW w:w="2211" w:type="dxa"/>
            <w:vAlign w:val="bottom"/>
          </w:tcPr>
          <w:p w14:paraId="21673A26"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4286</w:t>
            </w:r>
          </w:p>
        </w:tc>
        <w:tc>
          <w:tcPr>
            <w:tcW w:w="2211" w:type="dxa"/>
            <w:vAlign w:val="bottom"/>
          </w:tcPr>
          <w:p w14:paraId="102E8452"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2.92</w:t>
            </w:r>
          </w:p>
        </w:tc>
        <w:tc>
          <w:tcPr>
            <w:tcW w:w="2211" w:type="dxa"/>
            <w:vAlign w:val="bottom"/>
          </w:tcPr>
          <w:p w14:paraId="63970053"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-2.7</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32F45562"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0.01993</w:t>
            </w:r>
          </w:p>
        </w:tc>
      </w:tr>
      <w:tr w:rsidR="00EE7EB3" w:rsidRPr="00DA753A" w14:paraId="0F14B989" w14:textId="77777777" w:rsidTr="00F233D4">
        <w:trPr>
          <w:trHeight w:val="340"/>
        </w:trPr>
        <w:tc>
          <w:tcPr>
            <w:tcW w:w="2211" w:type="dxa"/>
            <w:vAlign w:val="bottom"/>
          </w:tcPr>
          <w:p w14:paraId="56940AAF"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151b</w:t>
            </w:r>
          </w:p>
        </w:tc>
        <w:tc>
          <w:tcPr>
            <w:tcW w:w="2211" w:type="dxa"/>
            <w:vAlign w:val="bottom"/>
          </w:tcPr>
          <w:p w14:paraId="086ABC63"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4.85</w:t>
            </w:r>
          </w:p>
        </w:tc>
        <w:tc>
          <w:tcPr>
            <w:tcW w:w="2211" w:type="dxa"/>
            <w:vAlign w:val="bottom"/>
          </w:tcPr>
          <w:p w14:paraId="01C9C928"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2.03</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3536B6EF"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0.02313</w:t>
            </w:r>
          </w:p>
        </w:tc>
      </w:tr>
      <w:tr w:rsidR="00EE7EB3" w:rsidRPr="00DA753A" w14:paraId="76B40D91" w14:textId="77777777" w:rsidTr="00F233D4">
        <w:trPr>
          <w:trHeight w:val="340"/>
        </w:trPr>
        <w:tc>
          <w:tcPr>
            <w:tcW w:w="2211" w:type="dxa"/>
            <w:vAlign w:val="bottom"/>
          </w:tcPr>
          <w:p w14:paraId="291E648F"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196b</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5p</w:t>
            </w:r>
          </w:p>
        </w:tc>
        <w:tc>
          <w:tcPr>
            <w:tcW w:w="2211" w:type="dxa"/>
            <w:vAlign w:val="bottom"/>
          </w:tcPr>
          <w:p w14:paraId="0E0486BD"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100.94</w:t>
            </w:r>
          </w:p>
        </w:tc>
        <w:tc>
          <w:tcPr>
            <w:tcW w:w="2211" w:type="dxa"/>
            <w:vAlign w:val="bottom"/>
          </w:tcPr>
          <w:p w14:paraId="5EB1AA65"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-1.13</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60E2C533"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0.0234</w:t>
            </w:r>
          </w:p>
        </w:tc>
      </w:tr>
      <w:tr w:rsidR="00EE7EB3" w:rsidRPr="00DA753A" w14:paraId="7886DB70" w14:textId="77777777" w:rsidTr="00F233D4">
        <w:trPr>
          <w:trHeight w:val="340"/>
        </w:trPr>
        <w:tc>
          <w:tcPr>
            <w:tcW w:w="2211" w:type="dxa"/>
            <w:vAlign w:val="bottom"/>
          </w:tcPr>
          <w:p w14:paraId="74795DEC"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130a</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3p</w:t>
            </w:r>
          </w:p>
        </w:tc>
        <w:tc>
          <w:tcPr>
            <w:tcW w:w="2211" w:type="dxa"/>
            <w:vAlign w:val="bottom"/>
          </w:tcPr>
          <w:p w14:paraId="6F151673"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2.07</w:t>
            </w:r>
          </w:p>
        </w:tc>
        <w:tc>
          <w:tcPr>
            <w:tcW w:w="2211" w:type="dxa"/>
            <w:vAlign w:val="bottom"/>
          </w:tcPr>
          <w:p w14:paraId="170B3364"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3.25</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23BF2F50"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0.02363</w:t>
            </w:r>
          </w:p>
        </w:tc>
      </w:tr>
      <w:tr w:rsidR="00EE7EB3" w:rsidRPr="00DA753A" w14:paraId="163E031F" w14:textId="77777777" w:rsidTr="00F233D4">
        <w:trPr>
          <w:trHeight w:val="340"/>
        </w:trPr>
        <w:tc>
          <w:tcPr>
            <w:tcW w:w="2211" w:type="dxa"/>
            <w:vAlign w:val="bottom"/>
          </w:tcPr>
          <w:p w14:paraId="689D4D8C"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hsa-miR</w:t>
            </w:r>
            <w:r w:rsidRPr="00DA753A">
              <w:rPr>
                <w:rFonts w:ascii="Cambria" w:hAnsi="Cambria" w:cs="Cambria Math"/>
                <w:color w:val="3B3838" w:themeColor="background2" w:themeShade="40"/>
                <w:sz w:val="20"/>
                <w:szCs w:val="20"/>
              </w:rPr>
              <w:t>‑</w:t>
            </w:r>
            <w:r w:rsidRPr="00DA753A">
              <w:rPr>
                <w:rFonts w:ascii="Cambria" w:hAnsi="Cambria" w:cs="Calibri"/>
                <w:color w:val="3B3838" w:themeColor="background2" w:themeShade="40"/>
                <w:sz w:val="20"/>
                <w:szCs w:val="20"/>
              </w:rPr>
              <w:t>3168</w:t>
            </w:r>
          </w:p>
        </w:tc>
        <w:tc>
          <w:tcPr>
            <w:tcW w:w="2211" w:type="dxa"/>
            <w:vAlign w:val="bottom"/>
          </w:tcPr>
          <w:p w14:paraId="75B4E96B"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97.92</w:t>
            </w:r>
          </w:p>
        </w:tc>
        <w:tc>
          <w:tcPr>
            <w:tcW w:w="2211" w:type="dxa"/>
            <w:vAlign w:val="bottom"/>
          </w:tcPr>
          <w:p w14:paraId="386BADD9" w14:textId="77777777" w:rsidR="00EE7EB3" w:rsidRPr="00DA753A" w:rsidRDefault="00EE7EB3" w:rsidP="00F233D4">
            <w:pPr>
              <w:jc w:val="cente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2.5</w:t>
            </w:r>
          </w:p>
        </w:tc>
        <w:tc>
          <w:tcPr>
            <w:cnfStyle w:val="000100000000" w:firstRow="0" w:lastRow="0" w:firstColumn="0" w:lastColumn="1" w:oddVBand="0" w:evenVBand="0" w:oddHBand="0" w:evenHBand="0" w:firstRowFirstColumn="0" w:firstRowLastColumn="0" w:lastRowFirstColumn="0" w:lastRowLastColumn="0"/>
            <w:tcW w:w="2211" w:type="dxa"/>
            <w:vAlign w:val="bottom"/>
          </w:tcPr>
          <w:p w14:paraId="15F940F7" w14:textId="77777777" w:rsidR="00EE7EB3" w:rsidRPr="00DA753A" w:rsidRDefault="00EE7EB3" w:rsidP="00F233D4">
            <w:pPr>
              <w:jc w:val="center"/>
              <w:rPr>
                <w:rFonts w:ascii="Cambria" w:hAnsi="Cambria" w:cs="Calibri"/>
                <w:b w:val="0"/>
                <w:bCs w:val="0"/>
                <w:color w:val="3B3838" w:themeColor="background2" w:themeShade="40"/>
                <w:sz w:val="20"/>
                <w:szCs w:val="20"/>
              </w:rPr>
            </w:pPr>
            <w:r w:rsidRPr="00DA753A">
              <w:rPr>
                <w:rFonts w:ascii="Cambria" w:hAnsi="Cambria" w:cs="Calibri"/>
                <w:b w:val="0"/>
                <w:bCs w:val="0"/>
                <w:color w:val="3B3838" w:themeColor="background2" w:themeShade="40"/>
                <w:sz w:val="20"/>
                <w:szCs w:val="20"/>
              </w:rPr>
              <w:t>0.02567</w:t>
            </w:r>
          </w:p>
        </w:tc>
      </w:tr>
      <w:tr w:rsidR="00EE7EB3" w:rsidRPr="00DA753A" w14:paraId="4E6737A4" w14:textId="77777777" w:rsidTr="00F233D4">
        <w:trPr>
          <w:trHeight w:val="227"/>
        </w:trPr>
        <w:tc>
          <w:tcPr>
            <w:cnfStyle w:val="000100000000" w:firstRow="0" w:lastRow="0" w:firstColumn="0" w:lastColumn="1" w:oddVBand="0" w:evenVBand="0" w:oddHBand="0" w:evenHBand="0" w:firstRowFirstColumn="0" w:firstRowLastColumn="0" w:lastRowFirstColumn="0" w:lastRowLastColumn="0"/>
            <w:tcW w:w="8844" w:type="dxa"/>
            <w:gridSpan w:val="4"/>
            <w:vAlign w:val="center"/>
          </w:tcPr>
          <w:p w14:paraId="640A895C" w14:textId="77777777" w:rsidR="00EE7EB3" w:rsidRPr="00DA753A" w:rsidRDefault="00EE7EB3" w:rsidP="00F233D4">
            <w:pPr>
              <w:rPr>
                <w:rFonts w:ascii="Cambria" w:hAnsi="Cambria" w:cs="Calibri"/>
                <w:b w:val="0"/>
                <w:bCs w:val="0"/>
                <w:color w:val="3B3838" w:themeColor="background2" w:themeShade="40"/>
                <w:sz w:val="12"/>
                <w:szCs w:val="12"/>
              </w:rPr>
            </w:pPr>
          </w:p>
          <w:p w14:paraId="03448B1B" w14:textId="77777777" w:rsidR="00EE7EB3" w:rsidRPr="00DA753A" w:rsidRDefault="00EE7EB3" w:rsidP="00F233D4">
            <w:pPr>
              <w:rPr>
                <w:rFonts w:ascii="Cambria" w:hAnsi="Cambria" w:cs="Calibri"/>
                <w:color w:val="3B3838" w:themeColor="background2" w:themeShade="40"/>
                <w:sz w:val="20"/>
                <w:szCs w:val="20"/>
              </w:rPr>
            </w:pPr>
            <w:r w:rsidRPr="00DA753A">
              <w:rPr>
                <w:rFonts w:ascii="Cambria" w:hAnsi="Cambria" w:cs="Calibri"/>
                <w:color w:val="3B3838" w:themeColor="background2" w:themeShade="40"/>
                <w:sz w:val="20"/>
                <w:szCs w:val="20"/>
              </w:rPr>
              <w:t>Note:</w:t>
            </w:r>
            <w:r w:rsidRPr="00DA753A">
              <w:rPr>
                <w:rFonts w:ascii="Cambria" w:hAnsi="Cambria" w:cs="Calibri"/>
                <w:b w:val="0"/>
                <w:bCs w:val="0"/>
                <w:color w:val="3B3838" w:themeColor="background2" w:themeShade="40"/>
                <w:sz w:val="20"/>
                <w:szCs w:val="20"/>
              </w:rPr>
              <w:t xml:space="preserve"> Log</w:t>
            </w:r>
            <w:r w:rsidRPr="00DA753A">
              <w:rPr>
                <w:rFonts w:ascii="Cambria" w:hAnsi="Cambria" w:cs="Calibri"/>
                <w:b w:val="0"/>
                <w:bCs w:val="0"/>
                <w:color w:val="3B3838" w:themeColor="background2" w:themeShade="40"/>
                <w:sz w:val="20"/>
                <w:szCs w:val="20"/>
                <w:vertAlign w:val="subscript"/>
              </w:rPr>
              <w:t>2</w:t>
            </w:r>
            <w:r w:rsidRPr="00DA753A">
              <w:rPr>
                <w:rFonts w:ascii="Cambria" w:hAnsi="Cambria" w:cs="Calibri"/>
                <w:b w:val="0"/>
                <w:bCs w:val="0"/>
                <w:color w:val="3B3838" w:themeColor="background2" w:themeShade="40"/>
                <w:sz w:val="20"/>
                <w:szCs w:val="20"/>
              </w:rPr>
              <w:t xml:space="preserve"> FC; binary logarithm of fold change is negative if given miRNA has lower levels in indolent + aggressive group patients compared to BPH + control group</w:t>
            </w:r>
          </w:p>
          <w:p w14:paraId="779947DF" w14:textId="77777777" w:rsidR="00EE7EB3" w:rsidRPr="00DA753A" w:rsidRDefault="00EE7EB3" w:rsidP="00F233D4">
            <w:pPr>
              <w:rPr>
                <w:rFonts w:ascii="Cambria" w:hAnsi="Cambria" w:cs="Calibri"/>
                <w:b w:val="0"/>
                <w:bCs w:val="0"/>
                <w:color w:val="3B3838" w:themeColor="background2" w:themeShade="40"/>
                <w:sz w:val="20"/>
                <w:szCs w:val="20"/>
              </w:rPr>
            </w:pPr>
          </w:p>
        </w:tc>
      </w:tr>
    </w:tbl>
    <w:p w14:paraId="68CE6245" w14:textId="77777777" w:rsidR="00EE7EB3" w:rsidRPr="00C83EDC" w:rsidRDefault="00EE7EB3" w:rsidP="00EE7EB3">
      <w:pPr>
        <w:pStyle w:val="Dalodstavce"/>
        <w:rPr>
          <w:lang w:val="en-GB"/>
        </w:rPr>
      </w:pPr>
    </w:p>
    <w:p w14:paraId="509CED26" w14:textId="77777777" w:rsidR="00EE7EB3" w:rsidRDefault="00EE7EB3" w:rsidP="00EE7EB3">
      <w:pPr>
        <w:pStyle w:val="Dalodstavce"/>
        <w:rPr>
          <w:lang w:val="en-GB"/>
        </w:rPr>
      </w:pPr>
    </w:p>
    <w:p w14:paraId="2F429CDA" w14:textId="77777777" w:rsidR="00EE7EB3" w:rsidRDefault="00EE7EB3" w:rsidP="00EE7EB3">
      <w:pPr>
        <w:pStyle w:val="Dalodstavce"/>
        <w:rPr>
          <w:lang w:val="en-GB"/>
        </w:rPr>
      </w:pPr>
    </w:p>
    <w:p w14:paraId="29882D11" w14:textId="77777777" w:rsidR="00EE7EB3" w:rsidRPr="00C83EDC" w:rsidRDefault="00EE7EB3" w:rsidP="00EE7EB3">
      <w:pPr>
        <w:pStyle w:val="Dalodstavce"/>
        <w:rPr>
          <w:lang w:val="en-GB"/>
        </w:rPr>
      </w:pPr>
      <w:r w:rsidRPr="00C83EDC">
        <w:rPr>
          <w:lang w:val="en-GB"/>
        </w:rPr>
        <w:lastRenderedPageBreak/>
        <w:t xml:space="preserve">Employed statistical methods for </w:t>
      </w:r>
      <w:r>
        <w:rPr>
          <w:lang w:val="en-GB"/>
        </w:rPr>
        <w:t xml:space="preserve">sequencing </w:t>
      </w:r>
      <w:r w:rsidRPr="00C83EDC">
        <w:rPr>
          <w:lang w:val="en-GB"/>
        </w:rPr>
        <w:t xml:space="preserve">data analysis also included </w:t>
      </w:r>
      <w:r>
        <w:rPr>
          <w:lang w:val="en-GB"/>
        </w:rPr>
        <w:t xml:space="preserve">the </w:t>
      </w:r>
      <w:r w:rsidRPr="00C83EDC">
        <w:rPr>
          <w:lang w:val="en-GB"/>
        </w:rPr>
        <w:t>hierarchical clustering algorithm</w:t>
      </w:r>
      <w:r>
        <w:rPr>
          <w:lang w:val="en-GB"/>
        </w:rPr>
        <w:t>.</w:t>
      </w:r>
      <w:r w:rsidRPr="00C83EDC">
        <w:rPr>
          <w:lang w:val="en-GB"/>
        </w:rPr>
        <w:t xml:space="preserve"> In </w:t>
      </w:r>
      <w:r w:rsidRPr="00713A8E">
        <w:rPr>
          <w:lang w:val="en-GB"/>
        </w:rPr>
        <w:t>Figures 11 and 12, the</w:t>
      </w:r>
      <w:r w:rsidRPr="00C83EDC">
        <w:rPr>
          <w:lang w:val="en-GB"/>
        </w:rPr>
        <w:t xml:space="preserve"> dendrogram is combined with a heat map, which visually differentiates</w:t>
      </w:r>
      <w:r>
        <w:rPr>
          <w:lang w:val="en-GB"/>
        </w:rPr>
        <w:t xml:space="preserve"> levels of</w:t>
      </w:r>
      <w:r w:rsidRPr="00C83EDC">
        <w:rPr>
          <w:lang w:val="en-GB"/>
        </w:rPr>
        <w:t xml:space="preserve"> selected miRNA</w:t>
      </w:r>
      <w:r>
        <w:rPr>
          <w:lang w:val="en-GB"/>
        </w:rPr>
        <w:t>s</w:t>
      </w:r>
      <w:r w:rsidRPr="00C83EDC">
        <w:rPr>
          <w:lang w:val="en-GB"/>
        </w:rPr>
        <w:t xml:space="preserve"> </w:t>
      </w:r>
      <w:r>
        <w:rPr>
          <w:lang w:val="en-GB"/>
        </w:rPr>
        <w:t>detected in</w:t>
      </w:r>
      <w:r w:rsidRPr="00C83EDC">
        <w:rPr>
          <w:lang w:val="en-GB"/>
        </w:rPr>
        <w:t xml:space="preserve"> aggressive vs indolent prostate cancer and </w:t>
      </w:r>
      <w:r>
        <w:rPr>
          <w:lang w:val="en-GB"/>
        </w:rPr>
        <w:t>in</w:t>
      </w:r>
      <w:r w:rsidRPr="00C83EDC">
        <w:rPr>
          <w:lang w:val="en-GB"/>
        </w:rPr>
        <w:t xml:space="preserve"> </w:t>
      </w:r>
      <w:proofErr w:type="spellStart"/>
      <w:r>
        <w:rPr>
          <w:lang w:val="en-GB"/>
        </w:rPr>
        <w:t>PCa</w:t>
      </w:r>
      <w:proofErr w:type="spellEnd"/>
      <w:r w:rsidRPr="00C83EDC">
        <w:rPr>
          <w:lang w:val="en-GB"/>
        </w:rPr>
        <w:t xml:space="preserve"> </w:t>
      </w:r>
      <w:proofErr w:type="gramStart"/>
      <w:r w:rsidRPr="00C83EDC">
        <w:rPr>
          <w:lang w:val="en-GB"/>
        </w:rPr>
        <w:t>patients</w:t>
      </w:r>
      <w:proofErr w:type="gramEnd"/>
      <w:r w:rsidRPr="00C83EDC">
        <w:rPr>
          <w:lang w:val="en-GB"/>
        </w:rPr>
        <w:t xml:space="preserve"> vs BPH</w:t>
      </w:r>
      <w:r>
        <w:rPr>
          <w:lang w:val="en-GB"/>
        </w:rPr>
        <w:t xml:space="preserve"> patients</w:t>
      </w:r>
      <w:r w:rsidRPr="00C83EDC">
        <w:rPr>
          <w:lang w:val="en-GB"/>
        </w:rPr>
        <w:t xml:space="preserve"> </w:t>
      </w:r>
      <w:r>
        <w:rPr>
          <w:lang w:val="en-GB"/>
        </w:rPr>
        <w:t>and</w:t>
      </w:r>
      <w:r w:rsidRPr="00C83EDC">
        <w:rPr>
          <w:lang w:val="en-GB"/>
        </w:rPr>
        <w:t xml:space="preserve"> </w:t>
      </w:r>
      <w:r>
        <w:rPr>
          <w:lang w:val="en-GB"/>
        </w:rPr>
        <w:t xml:space="preserve">the </w:t>
      </w:r>
      <w:r w:rsidRPr="00C83EDC">
        <w:rPr>
          <w:lang w:val="en-GB"/>
        </w:rPr>
        <w:t xml:space="preserve">healthy control group, respectively. </w:t>
      </w:r>
    </w:p>
    <w:p w14:paraId="68359ECB" w14:textId="77777777" w:rsidR="00EE7EB3" w:rsidRPr="00C83EDC" w:rsidRDefault="00EE7EB3" w:rsidP="00EE7EB3">
      <w:pPr>
        <w:pStyle w:val="Obrzek"/>
        <w:rPr>
          <w:lang w:val="en-GB"/>
        </w:rPr>
      </w:pPr>
      <w:r w:rsidRPr="00C83EDC">
        <w:rPr>
          <w:noProof/>
          <w:lang w:val="en-GB"/>
        </w:rPr>
        <w:drawing>
          <wp:inline distT="0" distB="0" distL="0" distR="0" wp14:anchorId="4E14B46A" wp14:editId="0B5A28BE">
            <wp:extent cx="3726612" cy="3607432"/>
            <wp:effectExtent l="0" t="0" r="7620" b="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srcRect t="2873"/>
                    <a:stretch/>
                  </pic:blipFill>
                  <pic:spPr bwMode="auto">
                    <a:xfrm>
                      <a:off x="0" y="0"/>
                      <a:ext cx="3740078" cy="3620467"/>
                    </a:xfrm>
                    <a:prstGeom prst="rect">
                      <a:avLst/>
                    </a:prstGeom>
                    <a:noFill/>
                    <a:ln>
                      <a:noFill/>
                    </a:ln>
                    <a:extLst>
                      <a:ext uri="{53640926-AAD7-44D8-BBD7-CCE9431645EC}">
                        <a14:shadowObscured xmlns:a14="http://schemas.microsoft.com/office/drawing/2010/main"/>
                      </a:ext>
                    </a:extLst>
                  </pic:spPr>
                </pic:pic>
              </a:graphicData>
            </a:graphic>
          </wp:inline>
        </w:drawing>
      </w:r>
    </w:p>
    <w:p w14:paraId="6C19C5BC" w14:textId="77777777" w:rsidR="00EE7EB3" w:rsidRPr="00C83EDC" w:rsidRDefault="00EE7EB3" w:rsidP="00EE7EB3">
      <w:pPr>
        <w:pStyle w:val="Titulek"/>
        <w:rPr>
          <w:lang w:val="en-GB"/>
        </w:rPr>
      </w:pPr>
    </w:p>
    <w:p w14:paraId="33C39E08" w14:textId="51E6B7A4" w:rsidR="00EE7EB3" w:rsidRPr="00C83EDC" w:rsidRDefault="00EE7EB3" w:rsidP="00EE7EB3">
      <w:pPr>
        <w:pStyle w:val="Titulek"/>
        <w:jc w:val="both"/>
        <w:rPr>
          <w:b w:val="0"/>
          <w:bCs w:val="0"/>
          <w:lang w:val="en-GB"/>
        </w:rPr>
      </w:pPr>
      <w:bookmarkStart w:id="95" w:name="_Toc47541132"/>
      <w:r w:rsidRPr="00C83EDC">
        <w:rPr>
          <w:lang w:val="en-GB"/>
        </w:rPr>
        <w:t>Fig</w:t>
      </w:r>
      <w:r>
        <w:rPr>
          <w:lang w:val="en-GB"/>
        </w:rPr>
        <w:t>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11</w:t>
      </w:r>
      <w:r w:rsidRPr="00C83EDC">
        <w:rPr>
          <w:noProof/>
          <w:lang w:val="en-GB"/>
        </w:rPr>
        <w:fldChar w:fldCharType="end"/>
      </w:r>
      <w:r w:rsidRPr="00C83EDC">
        <w:rPr>
          <w:lang w:val="en-GB"/>
        </w:rPr>
        <w:t xml:space="preserve">: Heatmap visualization of sample clustering based on </w:t>
      </w:r>
      <w:r>
        <w:rPr>
          <w:lang w:val="en-GB"/>
        </w:rPr>
        <w:t xml:space="preserve">the detected </w:t>
      </w:r>
      <w:r w:rsidRPr="00C83EDC">
        <w:rPr>
          <w:lang w:val="en-GB"/>
        </w:rPr>
        <w:t xml:space="preserve">miRNA </w:t>
      </w:r>
      <w:r>
        <w:rPr>
          <w:lang w:val="en-GB"/>
        </w:rPr>
        <w:t>levels</w:t>
      </w:r>
      <w:r w:rsidRPr="00C83EDC">
        <w:rPr>
          <w:lang w:val="en-GB"/>
        </w:rPr>
        <w:t xml:space="preserve">. </w:t>
      </w:r>
      <w:r w:rsidRPr="00C83EDC">
        <w:rPr>
          <w:b w:val="0"/>
          <w:bCs w:val="0"/>
          <w:lang w:val="en-GB"/>
        </w:rPr>
        <w:t>Selected</w:t>
      </w:r>
      <w:r w:rsidRPr="00C83EDC">
        <w:rPr>
          <w:lang w:val="en-GB"/>
        </w:rPr>
        <w:t xml:space="preserve"> </w:t>
      </w:r>
      <w:r w:rsidRPr="00C83EDC">
        <w:rPr>
          <w:b w:val="0"/>
          <w:bCs w:val="0"/>
          <w:lang w:val="en-GB"/>
        </w:rPr>
        <w:t xml:space="preserve">miRNAs </w:t>
      </w:r>
      <w:r>
        <w:rPr>
          <w:b w:val="0"/>
          <w:bCs w:val="0"/>
          <w:lang w:val="en-GB"/>
        </w:rPr>
        <w:t xml:space="preserve">with significantly </w:t>
      </w:r>
      <w:r w:rsidRPr="00C83EDC">
        <w:rPr>
          <w:b w:val="0"/>
          <w:bCs w:val="0"/>
          <w:lang w:val="en-GB"/>
        </w:rPr>
        <w:t xml:space="preserve">different </w:t>
      </w:r>
      <w:r>
        <w:rPr>
          <w:b w:val="0"/>
          <w:bCs w:val="0"/>
          <w:lang w:val="en-GB"/>
        </w:rPr>
        <w:t>levels</w:t>
      </w:r>
      <w:r w:rsidRPr="00C83EDC">
        <w:rPr>
          <w:b w:val="0"/>
          <w:bCs w:val="0"/>
          <w:lang w:val="en-GB"/>
        </w:rPr>
        <w:t xml:space="preserve"> </w:t>
      </w:r>
      <w:r>
        <w:rPr>
          <w:b w:val="0"/>
          <w:bCs w:val="0"/>
          <w:lang w:val="en-GB"/>
        </w:rPr>
        <w:t>(</w:t>
      </w:r>
      <w:r w:rsidRPr="00C83EDC">
        <w:rPr>
          <w:b w:val="0"/>
          <w:bCs w:val="0"/>
          <w:lang w:val="en-GB"/>
        </w:rPr>
        <w:t xml:space="preserve">p-value </w:t>
      </w:r>
      <w:r w:rsidRPr="00C83EDC">
        <w:rPr>
          <w:rFonts w:ascii="Calibri" w:hAnsi="Calibri" w:cs="Calibri"/>
          <w:b w:val="0"/>
          <w:bCs w:val="0"/>
          <w:lang w:val="en-GB"/>
        </w:rPr>
        <w:t>&lt;</w:t>
      </w:r>
      <w:r w:rsidRPr="00C83EDC">
        <w:rPr>
          <w:b w:val="0"/>
          <w:bCs w:val="0"/>
          <w:lang w:val="en-GB"/>
        </w:rPr>
        <w:t xml:space="preserve"> 0.01</w:t>
      </w:r>
      <w:r>
        <w:rPr>
          <w:b w:val="0"/>
          <w:bCs w:val="0"/>
          <w:lang w:val="en-GB"/>
        </w:rPr>
        <w:t xml:space="preserve">, </w:t>
      </w:r>
      <w:r w:rsidRPr="00C83EDC">
        <w:rPr>
          <w:b w:val="0"/>
          <w:bCs w:val="0"/>
          <w:lang w:val="en-GB"/>
        </w:rPr>
        <w:t>log</w:t>
      </w:r>
      <w:r w:rsidRPr="00C83EDC">
        <w:rPr>
          <w:b w:val="0"/>
          <w:bCs w:val="0"/>
          <w:vertAlign w:val="subscript"/>
          <w:lang w:val="en-GB"/>
        </w:rPr>
        <w:t>2</w:t>
      </w:r>
      <w:r w:rsidRPr="00C83EDC">
        <w:rPr>
          <w:b w:val="0"/>
          <w:bCs w:val="0"/>
          <w:lang w:val="en-GB"/>
        </w:rPr>
        <w:t xml:space="preserve"> normalized) discriminate between indolent and aggressive </w:t>
      </w:r>
      <w:proofErr w:type="spellStart"/>
      <w:r w:rsidRPr="00C83EDC">
        <w:rPr>
          <w:b w:val="0"/>
          <w:bCs w:val="0"/>
          <w:lang w:val="en-GB"/>
        </w:rPr>
        <w:t>PCa</w:t>
      </w:r>
      <w:proofErr w:type="spellEnd"/>
      <w:r w:rsidRPr="00C83EDC">
        <w:rPr>
          <w:b w:val="0"/>
          <w:bCs w:val="0"/>
          <w:lang w:val="en-GB"/>
        </w:rPr>
        <w:t xml:space="preserve"> urine specimens. Samples are clustered according to the similarity of their miRNA profiles. The heat scale illustrates the </w:t>
      </w:r>
      <w:r>
        <w:rPr>
          <w:b w:val="0"/>
          <w:bCs w:val="0"/>
          <w:lang w:val="en-GB"/>
        </w:rPr>
        <w:t>levels</w:t>
      </w:r>
      <w:r w:rsidRPr="00C83EDC">
        <w:rPr>
          <w:b w:val="0"/>
          <w:bCs w:val="0"/>
          <w:lang w:val="en-GB"/>
        </w:rPr>
        <w:t xml:space="preserve"> of</w:t>
      </w:r>
      <w:r>
        <w:rPr>
          <w:b w:val="0"/>
          <w:bCs w:val="0"/>
          <w:lang w:val="en-GB"/>
        </w:rPr>
        <w:t xml:space="preserve"> the detected</w:t>
      </w:r>
      <w:r w:rsidRPr="00C83EDC">
        <w:rPr>
          <w:b w:val="0"/>
          <w:bCs w:val="0"/>
          <w:lang w:val="en-GB"/>
        </w:rPr>
        <w:t xml:space="preserve"> miRNA</w:t>
      </w:r>
      <w:r>
        <w:rPr>
          <w:b w:val="0"/>
          <w:bCs w:val="0"/>
          <w:lang w:val="en-GB"/>
        </w:rPr>
        <w:t>.</w:t>
      </w:r>
      <w:r w:rsidRPr="00C83EDC">
        <w:rPr>
          <w:b w:val="0"/>
          <w:bCs w:val="0"/>
          <w:lang w:val="en-GB"/>
        </w:rPr>
        <w:t xml:space="preserve"> </w:t>
      </w:r>
      <w:r>
        <w:rPr>
          <w:b w:val="0"/>
          <w:bCs w:val="0"/>
          <w:lang w:val="en-GB"/>
        </w:rPr>
        <w:t>B</w:t>
      </w:r>
      <w:r w:rsidRPr="00C83EDC">
        <w:rPr>
          <w:b w:val="0"/>
          <w:bCs w:val="0"/>
          <w:lang w:val="en-GB"/>
        </w:rPr>
        <w:t xml:space="preserve">lue (red) colour means low (high) </w:t>
      </w:r>
      <w:r>
        <w:rPr>
          <w:b w:val="0"/>
          <w:bCs w:val="0"/>
          <w:lang w:val="en-GB"/>
        </w:rPr>
        <w:t>levels</w:t>
      </w:r>
      <w:r w:rsidRPr="00C83EDC">
        <w:rPr>
          <w:b w:val="0"/>
          <w:bCs w:val="0"/>
          <w:lang w:val="en-GB"/>
        </w:rPr>
        <w:t xml:space="preserve"> of a given miRNA in a </w:t>
      </w:r>
      <w:proofErr w:type="gramStart"/>
      <w:r w:rsidRPr="00C83EDC">
        <w:rPr>
          <w:b w:val="0"/>
          <w:bCs w:val="0"/>
          <w:lang w:val="en-GB"/>
        </w:rPr>
        <w:t>particular sample</w:t>
      </w:r>
      <w:proofErr w:type="gramEnd"/>
      <w:r w:rsidRPr="00C83EDC">
        <w:rPr>
          <w:b w:val="0"/>
          <w:bCs w:val="0"/>
          <w:lang w:val="en-GB"/>
        </w:rPr>
        <w:t>. In the heat map, columns represent analysed samples and rows depict miRNAs.</w:t>
      </w:r>
      <w:bookmarkEnd w:id="95"/>
    </w:p>
    <w:p w14:paraId="72925F90" w14:textId="77777777" w:rsidR="00EE7EB3" w:rsidRPr="00C83EDC" w:rsidRDefault="00EE7EB3" w:rsidP="00EE7EB3">
      <w:pPr>
        <w:pStyle w:val="Odstavec1"/>
        <w:rPr>
          <w:lang w:val="en-GB" w:eastAsia="sk-SK"/>
        </w:rPr>
      </w:pPr>
    </w:p>
    <w:p w14:paraId="7468FC2A" w14:textId="77777777" w:rsidR="00EE7EB3" w:rsidRPr="00C83EDC" w:rsidRDefault="00EE7EB3" w:rsidP="00EE7EB3">
      <w:pPr>
        <w:pStyle w:val="Obrzek"/>
        <w:rPr>
          <w:lang w:val="en-GB"/>
        </w:rPr>
      </w:pPr>
      <w:r w:rsidRPr="00C83EDC">
        <w:rPr>
          <w:noProof/>
          <w:lang w:val="en-GB"/>
        </w:rPr>
        <w:lastRenderedPageBreak/>
        <w:drawing>
          <wp:inline distT="0" distB="0" distL="0" distR="0" wp14:anchorId="1CD9B986" wp14:editId="67AEFB81">
            <wp:extent cx="4109085" cy="4065058"/>
            <wp:effectExtent l="0" t="0" r="5715" b="0"/>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srcRect t="2885"/>
                    <a:stretch/>
                  </pic:blipFill>
                  <pic:spPr bwMode="auto">
                    <a:xfrm>
                      <a:off x="0" y="0"/>
                      <a:ext cx="4134557" cy="4090257"/>
                    </a:xfrm>
                    <a:prstGeom prst="rect">
                      <a:avLst/>
                    </a:prstGeom>
                    <a:noFill/>
                    <a:ln>
                      <a:noFill/>
                    </a:ln>
                    <a:extLst>
                      <a:ext uri="{53640926-AAD7-44D8-BBD7-CCE9431645EC}">
                        <a14:shadowObscured xmlns:a14="http://schemas.microsoft.com/office/drawing/2010/main"/>
                      </a:ext>
                    </a:extLst>
                  </pic:spPr>
                </pic:pic>
              </a:graphicData>
            </a:graphic>
          </wp:inline>
        </w:drawing>
      </w:r>
    </w:p>
    <w:p w14:paraId="7A9EC3FA" w14:textId="77777777" w:rsidR="00EE7EB3" w:rsidRPr="00C83EDC" w:rsidRDefault="00EE7EB3" w:rsidP="00EE7EB3">
      <w:pPr>
        <w:pStyle w:val="Titulek"/>
        <w:jc w:val="both"/>
        <w:rPr>
          <w:lang w:val="en-GB"/>
        </w:rPr>
      </w:pPr>
    </w:p>
    <w:p w14:paraId="37D13D3D" w14:textId="42D3EF8D" w:rsidR="00EE7EB3" w:rsidRPr="00C83EDC" w:rsidRDefault="00EE7EB3" w:rsidP="00EE7EB3">
      <w:pPr>
        <w:pStyle w:val="Titulek"/>
        <w:jc w:val="both"/>
        <w:rPr>
          <w:lang w:val="en-GB"/>
        </w:rPr>
      </w:pPr>
      <w:bookmarkStart w:id="96" w:name="_Toc47541133"/>
      <w:r w:rsidRPr="00C83EDC">
        <w:rPr>
          <w:lang w:val="en-GB"/>
        </w:rPr>
        <w:t>Fig</w:t>
      </w:r>
      <w:r>
        <w:rPr>
          <w:lang w:val="en-GB"/>
        </w:rPr>
        <w:t>ure</w:t>
      </w:r>
      <w:r w:rsidRPr="00C83EDC">
        <w:rPr>
          <w:lang w:val="en-GB"/>
        </w:rPr>
        <w:t xml:space="preserve"> </w:t>
      </w:r>
      <w:r w:rsidRPr="00C83EDC">
        <w:rPr>
          <w:noProof/>
          <w:lang w:val="en-GB"/>
        </w:rPr>
        <w:fldChar w:fldCharType="begin"/>
      </w:r>
      <w:r w:rsidRPr="00C83EDC">
        <w:rPr>
          <w:noProof/>
          <w:lang w:val="en-GB"/>
        </w:rPr>
        <w:instrText xml:space="preserve"> SEQ Obr. \* ARABIC </w:instrText>
      </w:r>
      <w:r w:rsidRPr="00C83EDC">
        <w:rPr>
          <w:noProof/>
          <w:lang w:val="en-GB"/>
        </w:rPr>
        <w:fldChar w:fldCharType="separate"/>
      </w:r>
      <w:r w:rsidR="0048503A">
        <w:rPr>
          <w:noProof/>
          <w:lang w:val="en-GB"/>
        </w:rPr>
        <w:t>12</w:t>
      </w:r>
      <w:r w:rsidRPr="00C83EDC">
        <w:rPr>
          <w:noProof/>
          <w:lang w:val="en-GB"/>
        </w:rPr>
        <w:fldChar w:fldCharType="end"/>
      </w:r>
      <w:r w:rsidRPr="00C83EDC">
        <w:rPr>
          <w:lang w:val="en-GB"/>
        </w:rPr>
        <w:t xml:space="preserve">: Heatmap visualization of sample clustering based on </w:t>
      </w:r>
      <w:r>
        <w:rPr>
          <w:lang w:val="en-GB"/>
        </w:rPr>
        <w:t xml:space="preserve">the detected </w:t>
      </w:r>
      <w:r w:rsidRPr="00C83EDC">
        <w:rPr>
          <w:lang w:val="en-GB"/>
        </w:rPr>
        <w:t xml:space="preserve">miRNA </w:t>
      </w:r>
      <w:r>
        <w:rPr>
          <w:lang w:val="en-GB"/>
        </w:rPr>
        <w:t>levels</w:t>
      </w:r>
      <w:r w:rsidRPr="00C83EDC">
        <w:rPr>
          <w:lang w:val="en-GB"/>
        </w:rPr>
        <w:t xml:space="preserve">. </w:t>
      </w:r>
      <w:r w:rsidRPr="00C83EDC">
        <w:rPr>
          <w:b w:val="0"/>
          <w:bCs w:val="0"/>
          <w:lang w:val="en-GB"/>
        </w:rPr>
        <w:t>Selected</w:t>
      </w:r>
      <w:r w:rsidRPr="00C83EDC">
        <w:rPr>
          <w:lang w:val="en-GB"/>
        </w:rPr>
        <w:t xml:space="preserve"> </w:t>
      </w:r>
      <w:r w:rsidRPr="00C83EDC">
        <w:rPr>
          <w:b w:val="0"/>
          <w:bCs w:val="0"/>
          <w:lang w:val="en-GB"/>
        </w:rPr>
        <w:t xml:space="preserve">miRNAs </w:t>
      </w:r>
      <w:r>
        <w:rPr>
          <w:b w:val="0"/>
          <w:bCs w:val="0"/>
          <w:lang w:val="en-GB"/>
        </w:rPr>
        <w:t xml:space="preserve">with significantly </w:t>
      </w:r>
      <w:r w:rsidRPr="00C83EDC">
        <w:rPr>
          <w:b w:val="0"/>
          <w:bCs w:val="0"/>
          <w:lang w:val="en-GB"/>
        </w:rPr>
        <w:t xml:space="preserve">different </w:t>
      </w:r>
      <w:r>
        <w:rPr>
          <w:b w:val="0"/>
          <w:bCs w:val="0"/>
          <w:lang w:val="en-GB"/>
        </w:rPr>
        <w:t>levels</w:t>
      </w:r>
      <w:r w:rsidRPr="00C83EDC">
        <w:rPr>
          <w:b w:val="0"/>
          <w:bCs w:val="0"/>
          <w:lang w:val="en-GB"/>
        </w:rPr>
        <w:t xml:space="preserve"> </w:t>
      </w:r>
      <w:r>
        <w:rPr>
          <w:b w:val="0"/>
          <w:bCs w:val="0"/>
          <w:lang w:val="en-GB"/>
        </w:rPr>
        <w:t>(</w:t>
      </w:r>
      <w:r w:rsidRPr="00C83EDC">
        <w:rPr>
          <w:b w:val="0"/>
          <w:bCs w:val="0"/>
          <w:lang w:val="en-GB"/>
        </w:rPr>
        <w:t xml:space="preserve">p-value </w:t>
      </w:r>
      <w:r w:rsidRPr="00C83EDC">
        <w:rPr>
          <w:rFonts w:ascii="Calibri" w:hAnsi="Calibri" w:cs="Calibri"/>
          <w:b w:val="0"/>
          <w:bCs w:val="0"/>
          <w:lang w:val="en-GB"/>
        </w:rPr>
        <w:t>&lt;</w:t>
      </w:r>
      <w:r w:rsidRPr="00C83EDC">
        <w:rPr>
          <w:b w:val="0"/>
          <w:bCs w:val="0"/>
          <w:lang w:val="en-GB"/>
        </w:rPr>
        <w:t xml:space="preserve"> 0.01</w:t>
      </w:r>
      <w:r>
        <w:rPr>
          <w:b w:val="0"/>
          <w:bCs w:val="0"/>
          <w:lang w:val="en-GB"/>
        </w:rPr>
        <w:t xml:space="preserve">, </w:t>
      </w:r>
      <w:r w:rsidRPr="00C83EDC">
        <w:rPr>
          <w:b w:val="0"/>
          <w:bCs w:val="0"/>
          <w:lang w:val="en-GB"/>
        </w:rPr>
        <w:t>log</w:t>
      </w:r>
      <w:r w:rsidRPr="00C83EDC">
        <w:rPr>
          <w:b w:val="0"/>
          <w:bCs w:val="0"/>
          <w:vertAlign w:val="subscript"/>
          <w:lang w:val="en-GB"/>
        </w:rPr>
        <w:t>2</w:t>
      </w:r>
      <w:r w:rsidRPr="00C83EDC">
        <w:rPr>
          <w:b w:val="0"/>
          <w:bCs w:val="0"/>
          <w:lang w:val="en-GB"/>
        </w:rPr>
        <w:t xml:space="preserve"> normalized) discriminate between a group </w:t>
      </w:r>
      <w:proofErr w:type="spellStart"/>
      <w:r w:rsidRPr="00C83EDC">
        <w:rPr>
          <w:b w:val="0"/>
          <w:bCs w:val="0"/>
          <w:lang w:val="en-GB"/>
        </w:rPr>
        <w:t>PCa</w:t>
      </w:r>
      <w:proofErr w:type="spellEnd"/>
      <w:r w:rsidRPr="00C83EDC">
        <w:rPr>
          <w:b w:val="0"/>
          <w:bCs w:val="0"/>
          <w:lang w:val="en-GB"/>
        </w:rPr>
        <w:t xml:space="preserve"> patients vs a group of BPH and healthy individuals. Samples are clustered according to the similarity of their miRNA profiles. The heat scale illustrates the </w:t>
      </w:r>
      <w:r>
        <w:rPr>
          <w:b w:val="0"/>
          <w:bCs w:val="0"/>
          <w:lang w:val="en-GB"/>
        </w:rPr>
        <w:t>levels</w:t>
      </w:r>
      <w:r w:rsidRPr="00C83EDC">
        <w:rPr>
          <w:b w:val="0"/>
          <w:bCs w:val="0"/>
          <w:lang w:val="en-GB"/>
        </w:rPr>
        <w:t xml:space="preserve"> of</w:t>
      </w:r>
      <w:r>
        <w:rPr>
          <w:b w:val="0"/>
          <w:bCs w:val="0"/>
          <w:lang w:val="en-GB"/>
        </w:rPr>
        <w:t xml:space="preserve"> the detected</w:t>
      </w:r>
      <w:r w:rsidRPr="00C83EDC">
        <w:rPr>
          <w:b w:val="0"/>
          <w:bCs w:val="0"/>
          <w:lang w:val="en-GB"/>
        </w:rPr>
        <w:t xml:space="preserve"> miRNA</w:t>
      </w:r>
      <w:r>
        <w:rPr>
          <w:b w:val="0"/>
          <w:bCs w:val="0"/>
          <w:lang w:val="en-GB"/>
        </w:rPr>
        <w:t>.</w:t>
      </w:r>
      <w:r w:rsidRPr="00C83EDC">
        <w:rPr>
          <w:b w:val="0"/>
          <w:bCs w:val="0"/>
          <w:lang w:val="en-GB"/>
        </w:rPr>
        <w:t xml:space="preserve"> </w:t>
      </w:r>
      <w:r>
        <w:rPr>
          <w:b w:val="0"/>
          <w:bCs w:val="0"/>
          <w:lang w:val="en-GB"/>
        </w:rPr>
        <w:t>B</w:t>
      </w:r>
      <w:r w:rsidRPr="00C83EDC">
        <w:rPr>
          <w:b w:val="0"/>
          <w:bCs w:val="0"/>
          <w:lang w:val="en-GB"/>
        </w:rPr>
        <w:t xml:space="preserve">lue (red) colour means low (high) </w:t>
      </w:r>
      <w:r>
        <w:rPr>
          <w:b w:val="0"/>
          <w:bCs w:val="0"/>
          <w:lang w:val="en-GB"/>
        </w:rPr>
        <w:t>levels</w:t>
      </w:r>
      <w:r w:rsidRPr="00C83EDC">
        <w:rPr>
          <w:b w:val="0"/>
          <w:bCs w:val="0"/>
          <w:lang w:val="en-GB"/>
        </w:rPr>
        <w:t xml:space="preserve"> of a given miRNA in a </w:t>
      </w:r>
      <w:proofErr w:type="gramStart"/>
      <w:r w:rsidRPr="00C83EDC">
        <w:rPr>
          <w:b w:val="0"/>
          <w:bCs w:val="0"/>
          <w:lang w:val="en-GB"/>
        </w:rPr>
        <w:t>particular sample</w:t>
      </w:r>
      <w:proofErr w:type="gramEnd"/>
      <w:r w:rsidRPr="00C83EDC">
        <w:rPr>
          <w:b w:val="0"/>
          <w:bCs w:val="0"/>
          <w:lang w:val="en-GB"/>
        </w:rPr>
        <w:t>. In the heat map, columns represent analysed samples and rows depict miRNAs.</w:t>
      </w:r>
      <w:bookmarkEnd w:id="96"/>
    </w:p>
    <w:p w14:paraId="71272AE5" w14:textId="77777777" w:rsidR="00EE7EB3" w:rsidRPr="00C83EDC" w:rsidRDefault="00EE7EB3" w:rsidP="00EE7EB3">
      <w:pPr>
        <w:rPr>
          <w:rFonts w:ascii="Times New Roman" w:hAnsi="Times New Roman"/>
          <w:lang w:val="en-GB"/>
        </w:rPr>
      </w:pPr>
      <w:r w:rsidRPr="00C83EDC">
        <w:rPr>
          <w:lang w:val="en-GB"/>
        </w:rPr>
        <w:br w:type="page"/>
      </w:r>
    </w:p>
    <w:p w14:paraId="06A575F3" w14:textId="77777777" w:rsidR="00EE7EB3" w:rsidRPr="00C83EDC" w:rsidRDefault="00EE7EB3" w:rsidP="00EE7EB3">
      <w:pPr>
        <w:pStyle w:val="Nadpis1"/>
        <w:numPr>
          <w:ilvl w:val="0"/>
          <w:numId w:val="22"/>
        </w:numPr>
        <w:rPr>
          <w:lang w:val="en-GB"/>
        </w:rPr>
      </w:pPr>
      <w:bookmarkStart w:id="97" w:name="_Toc47889332"/>
      <w:bookmarkStart w:id="98" w:name="_Toc48161003"/>
      <w:r w:rsidRPr="00C83EDC">
        <w:rPr>
          <w:lang w:val="en-GB"/>
        </w:rPr>
        <w:lastRenderedPageBreak/>
        <w:t>Discussion</w:t>
      </w:r>
      <w:bookmarkEnd w:id="97"/>
      <w:bookmarkEnd w:id="98"/>
    </w:p>
    <w:p w14:paraId="14AAAE57" w14:textId="77777777" w:rsidR="00EE7EB3" w:rsidRPr="00C83EDC" w:rsidRDefault="00EE7EB3" w:rsidP="00EE7EB3">
      <w:pPr>
        <w:pStyle w:val="Nadpis2"/>
        <w:rPr>
          <w:lang w:val="en-GB"/>
        </w:rPr>
      </w:pPr>
      <w:bookmarkStart w:id="99" w:name="_Toc47889333"/>
      <w:bookmarkStart w:id="100" w:name="_Toc48161004"/>
      <w:bookmarkStart w:id="101" w:name="_Hlk47435048"/>
      <w:r w:rsidRPr="00C83EDC">
        <w:rPr>
          <w:lang w:val="en-GB"/>
        </w:rPr>
        <w:t>miRNA profiling</w:t>
      </w:r>
      <w:r w:rsidRPr="00EF55C0">
        <w:rPr>
          <w:lang w:val="en-GB"/>
        </w:rPr>
        <w:t xml:space="preserve"> </w:t>
      </w:r>
      <w:r>
        <w:rPr>
          <w:lang w:val="en-GB"/>
        </w:rPr>
        <w:t>in tumour t</w:t>
      </w:r>
      <w:r w:rsidRPr="00C83EDC">
        <w:rPr>
          <w:lang w:val="en-GB"/>
        </w:rPr>
        <w:t>issue</w:t>
      </w:r>
      <w:bookmarkEnd w:id="99"/>
      <w:bookmarkEnd w:id="100"/>
      <w:r w:rsidRPr="00C83EDC">
        <w:rPr>
          <w:lang w:val="en-GB"/>
        </w:rPr>
        <w:t xml:space="preserve"> </w:t>
      </w:r>
    </w:p>
    <w:p w14:paraId="72EF08E2" w14:textId="77777777" w:rsidR="00EE7EB3" w:rsidRDefault="00EE7EB3" w:rsidP="00EE7EB3">
      <w:pPr>
        <w:pStyle w:val="Dalodstavce"/>
        <w:ind w:firstLine="0"/>
        <w:rPr>
          <w:lang w:val="en-GB"/>
        </w:rPr>
      </w:pPr>
      <w:r>
        <w:rPr>
          <w:lang w:val="en-GB"/>
        </w:rPr>
        <w:t>Prostate</w:t>
      </w:r>
      <w:r w:rsidRPr="00347E8A">
        <w:rPr>
          <w:lang w:val="en-GB"/>
        </w:rPr>
        <w:t xml:space="preserve"> cancer is the </w:t>
      </w:r>
      <w:r>
        <w:rPr>
          <w:lang w:val="en-GB"/>
        </w:rPr>
        <w:t xml:space="preserve">second </w:t>
      </w:r>
      <w:r w:rsidRPr="00347E8A">
        <w:rPr>
          <w:lang w:val="en-GB"/>
        </w:rPr>
        <w:t>most common malignant</w:t>
      </w:r>
      <w:r>
        <w:rPr>
          <w:lang w:val="en-GB"/>
        </w:rPr>
        <w:t xml:space="preserve"> disease</w:t>
      </w:r>
      <w:r w:rsidRPr="00347E8A">
        <w:rPr>
          <w:lang w:val="en-GB"/>
        </w:rPr>
        <w:t xml:space="preserve"> </w:t>
      </w:r>
      <w:r>
        <w:rPr>
          <w:lang w:val="en-GB"/>
        </w:rPr>
        <w:t>among men</w:t>
      </w:r>
      <w:r w:rsidRPr="00347E8A">
        <w:rPr>
          <w:lang w:val="en-GB"/>
        </w:rPr>
        <w:t xml:space="preserve">. The detection of </w:t>
      </w:r>
      <w:r>
        <w:rPr>
          <w:lang w:val="en-GB"/>
        </w:rPr>
        <w:t>disease</w:t>
      </w:r>
      <w:r w:rsidRPr="00347E8A">
        <w:rPr>
          <w:lang w:val="en-GB"/>
        </w:rPr>
        <w:t xml:space="preserve"> in its early stages is </w:t>
      </w:r>
      <w:r>
        <w:rPr>
          <w:lang w:val="en-GB"/>
        </w:rPr>
        <w:t>vital</w:t>
      </w:r>
      <w:r w:rsidRPr="00347E8A">
        <w:rPr>
          <w:lang w:val="en-GB"/>
        </w:rPr>
        <w:t xml:space="preserve"> for </w:t>
      </w:r>
      <w:r>
        <w:rPr>
          <w:lang w:val="en-GB"/>
        </w:rPr>
        <w:t>favourable</w:t>
      </w:r>
      <w:r w:rsidRPr="00347E8A">
        <w:rPr>
          <w:lang w:val="en-GB"/>
        </w:rPr>
        <w:t xml:space="preserve"> prognosis, but routinely used diagnostic methods such</w:t>
      </w:r>
      <w:r>
        <w:rPr>
          <w:lang w:val="en-GB"/>
        </w:rPr>
        <w:t xml:space="preserve"> as</w:t>
      </w:r>
      <w:r w:rsidRPr="00347E8A">
        <w:rPr>
          <w:lang w:val="en-GB"/>
        </w:rPr>
        <w:t xml:space="preserve"> </w:t>
      </w:r>
      <w:r>
        <w:rPr>
          <w:lang w:val="en-GB"/>
        </w:rPr>
        <w:t>DRE or PSA</w:t>
      </w:r>
      <w:r w:rsidRPr="00347E8A">
        <w:rPr>
          <w:lang w:val="en-GB"/>
        </w:rPr>
        <w:t xml:space="preserve"> te</w:t>
      </w:r>
      <w:r>
        <w:rPr>
          <w:lang w:val="en-GB"/>
        </w:rPr>
        <w:t>sting</w:t>
      </w:r>
      <w:r w:rsidRPr="00347E8A">
        <w:rPr>
          <w:lang w:val="en-GB"/>
        </w:rPr>
        <w:t xml:space="preserve"> </w:t>
      </w:r>
      <w:r>
        <w:rPr>
          <w:lang w:val="en-GB"/>
        </w:rPr>
        <w:t>often lead to overtreatment or unnecessary biopsies</w:t>
      </w:r>
      <w:r w:rsidRPr="00347E8A">
        <w:rPr>
          <w:lang w:val="en-GB"/>
        </w:rPr>
        <w:t xml:space="preserve">. </w:t>
      </w:r>
      <w:r>
        <w:rPr>
          <w:lang w:val="en-GB"/>
        </w:rPr>
        <w:t>T</w:t>
      </w:r>
      <w:r w:rsidRPr="00347E8A">
        <w:rPr>
          <w:lang w:val="en-GB"/>
        </w:rPr>
        <w:t xml:space="preserve">here is an effort to identify new approaches that would allow early detection of the disease and </w:t>
      </w:r>
      <w:proofErr w:type="gramStart"/>
      <w:r w:rsidRPr="00347E8A">
        <w:rPr>
          <w:lang w:val="en-GB"/>
        </w:rPr>
        <w:t xml:space="preserve">at the same time </w:t>
      </w:r>
      <w:r>
        <w:rPr>
          <w:lang w:val="en-GB"/>
        </w:rPr>
        <w:t>that</w:t>
      </w:r>
      <w:proofErr w:type="gramEnd"/>
      <w:r>
        <w:rPr>
          <w:lang w:val="en-GB"/>
        </w:rPr>
        <w:t xml:space="preserve"> </w:t>
      </w:r>
      <w:r w:rsidRPr="00347E8A">
        <w:rPr>
          <w:lang w:val="en-GB"/>
        </w:rPr>
        <w:t xml:space="preserve">their analytical parameters would </w:t>
      </w:r>
      <w:r>
        <w:rPr>
          <w:lang w:val="en-GB"/>
        </w:rPr>
        <w:t>outperform</w:t>
      </w:r>
      <w:r w:rsidRPr="00347E8A">
        <w:rPr>
          <w:lang w:val="en-GB"/>
        </w:rPr>
        <w:t xml:space="preserve"> the standard methods. </w:t>
      </w:r>
      <w:r>
        <w:rPr>
          <w:lang w:val="en-GB"/>
        </w:rPr>
        <w:t>In this respect, t</w:t>
      </w:r>
      <w:r w:rsidRPr="00347E8A">
        <w:rPr>
          <w:lang w:val="en-GB"/>
        </w:rPr>
        <w:t xml:space="preserve">he </w:t>
      </w:r>
      <w:r>
        <w:rPr>
          <w:lang w:val="en-GB"/>
        </w:rPr>
        <w:t>quantification of</w:t>
      </w:r>
      <w:r w:rsidRPr="00347E8A">
        <w:rPr>
          <w:lang w:val="en-GB"/>
        </w:rPr>
        <w:t xml:space="preserve"> </w:t>
      </w:r>
      <w:r>
        <w:rPr>
          <w:lang w:val="en-GB"/>
        </w:rPr>
        <w:t>mi</w:t>
      </w:r>
      <w:r w:rsidRPr="00347E8A">
        <w:rPr>
          <w:lang w:val="en-GB"/>
        </w:rPr>
        <w:t>RNAs has</w:t>
      </w:r>
      <w:r>
        <w:rPr>
          <w:lang w:val="en-GB"/>
        </w:rPr>
        <w:t xml:space="preserve"> a</w:t>
      </w:r>
      <w:r w:rsidRPr="00347E8A">
        <w:rPr>
          <w:lang w:val="en-GB"/>
        </w:rPr>
        <w:t xml:space="preserve"> great</w:t>
      </w:r>
      <w:r>
        <w:rPr>
          <w:lang w:val="en-GB"/>
        </w:rPr>
        <w:t xml:space="preserve"> potential</w:t>
      </w:r>
      <w:r w:rsidRPr="00347E8A">
        <w:rPr>
          <w:lang w:val="en-GB"/>
        </w:rPr>
        <w:t xml:space="preserve"> </w:t>
      </w:r>
      <w:r>
        <w:rPr>
          <w:lang w:val="en-GB"/>
        </w:rPr>
        <w:t xml:space="preserve">because their expression profiles are characteristic for the </w:t>
      </w:r>
      <w:proofErr w:type="gramStart"/>
      <w:r>
        <w:rPr>
          <w:lang w:val="en-GB"/>
        </w:rPr>
        <w:t>particular disease</w:t>
      </w:r>
      <w:proofErr w:type="gramEnd"/>
      <w:r>
        <w:rPr>
          <w:lang w:val="en-GB"/>
        </w:rPr>
        <w:t xml:space="preserve">, its progression, or they </w:t>
      </w:r>
      <w:r w:rsidRPr="00347E8A">
        <w:rPr>
          <w:lang w:val="en-GB"/>
        </w:rPr>
        <w:t>may further correlate with the clinicopathological characteristics of the tumour</w:t>
      </w:r>
      <w:r>
        <w:rPr>
          <w:lang w:val="en-GB"/>
        </w:rPr>
        <w:t>.</w:t>
      </w:r>
      <w:r w:rsidRPr="00347E8A">
        <w:rPr>
          <w:lang w:val="en-GB"/>
        </w:rPr>
        <w:t xml:space="preserve"> </w:t>
      </w:r>
    </w:p>
    <w:p w14:paraId="5734B8AA" w14:textId="1AE913EF" w:rsidR="00EE7EB3" w:rsidRDefault="00EE7EB3" w:rsidP="00646C4C">
      <w:pPr>
        <w:pStyle w:val="Dalodstavce"/>
        <w:rPr>
          <w:lang w:val="en-GB"/>
        </w:rPr>
      </w:pPr>
      <w:r w:rsidRPr="00C83EDC">
        <w:rPr>
          <w:lang w:val="en-GB"/>
        </w:rPr>
        <w:t xml:space="preserve">In the discovery part of the project, </w:t>
      </w:r>
      <w:r>
        <w:rPr>
          <w:lang w:val="en-GB"/>
        </w:rPr>
        <w:t>miRNA profiling</w:t>
      </w:r>
      <w:r w:rsidRPr="00C83EDC">
        <w:rPr>
          <w:lang w:val="en-GB"/>
        </w:rPr>
        <w:t xml:space="preserve"> data demonstrated significant differences in miRNA expression levels between indolent prostate tumour tissue and aggressive type of </w:t>
      </w:r>
      <w:proofErr w:type="spellStart"/>
      <w:r>
        <w:rPr>
          <w:lang w:val="en-GB"/>
        </w:rPr>
        <w:t>PCa</w:t>
      </w:r>
      <w:proofErr w:type="spellEnd"/>
      <w:r w:rsidRPr="00C83EDC">
        <w:rPr>
          <w:lang w:val="en-GB"/>
        </w:rPr>
        <w:t xml:space="preserve">. </w:t>
      </w:r>
      <w:r>
        <w:rPr>
          <w:lang w:val="en-GB"/>
        </w:rPr>
        <w:t>Using PCR arrays, we have identified 149 dysregulated miRNAs in prostate cancer, with most miRNAs showing significant upregulation in aggressive tumour. By applying more stringent selection criteria we have narrowed down the number of candidate biomarkers to 11 miRNAs. Some of the selected miRNAs also correspond to other studies’ results in which t</w:t>
      </w:r>
      <w:r w:rsidRPr="00661DFA">
        <w:rPr>
          <w:lang w:val="en-GB"/>
        </w:rPr>
        <w:t>hey have been associated</w:t>
      </w:r>
      <w:r>
        <w:rPr>
          <w:lang w:val="en-GB"/>
        </w:rPr>
        <w:t xml:space="preserve"> with prostate malignancy or their role in the disease initiation and development has been described. A demonstrative example would be miR‑21‑5p that is found overexpressed in several cancer types including prostate cancer</w:t>
      </w:r>
      <w:r>
        <w:rPr>
          <w:lang w:val="en-GB"/>
        </w:rPr>
        <w:fldChar w:fldCharType="begin" w:fldLock="1"/>
      </w:r>
      <w:r w:rsidR="000C069C">
        <w:rPr>
          <w:lang w:val="en-GB"/>
        </w:rPr>
        <w:instrText>ADDIN CSL_CITATION {"citationItems":[{"id":"ITEM-1","itemData":{"DOI":"10.1073/pnas.0510565103","ISSN":"00278424","abstract":"Small noncoding microRNAs (miRNAs) can contribute to cancer development and progression and are differentially expressed in normal tissues and cancers. From a large-scale miRnome analysis on 540 samples including lung, breast, stomach, prostate, colon, and pancreatic tumors, we identified a solid cancer miRNA signature composed by a large portion of overexpressed miRNAs. Among these miRNAs are some with well characterized cancer association, such as miR-17-5p, miR-20a, miR-21, miR-92, miR-106a, and miR-155. The predicted targets for the differentially expressed miRNAs are significantly enriched for protein-coding tumor suppressors and oncogenes (P &lt; 0.0001). A number of the predicted targets, including the tumor suppressors RB1 (Retinoblastoma 1) and TGFBR2 (transforming growth factor, beta receptor II) genes were confirmed experimentally. Our results indicate that miRNAs are extensively involved in cancer pathogenesis of solid tumors and support their function as either dominant or recessive cancer genes. © 2006 by The National Academy of Sciences of the USA.","author":[{"dropping-particle":"","family":"Volinia","given":"Stefano","non-dropping-particle":"","parse-names":false,"suffix":""},{"dropping-particle":"","family":"Calin","given":"George A.","non-dropping-particle":"","parse-names":false,"suffix":""},{"dropping-particle":"","family":"Liu","given":"Chang Gong","non-dropping-particle":"","parse-names":false,"suffix":""},{"dropping-particle":"","family":"Ambs","given":"Stefan","non-dropping-particle":"","parse-names":false,"suffix":""},{"dropping-particle":"","family":"Cimmino","given":"Amelia","non-dropping-particle":"","parse-names":false,"suffix":""},{"dropping-particle":"","family":"Petrocca","given":"Fabio","non-dropping-particle":"","parse-names":false,"suffix":""},{"dropping-particle":"","family":"Visone","given":"Rosa","non-dropping-particle":"","parse-names":false,"suffix":""},{"dropping-particle":"","family":"Iorio","given":"Marilena","non-dropping-particle":"","parse-names":false,"suffix":""},{"dropping-particle":"","family":"Roldo","given":"Claudia","non-dropping-particle":"","parse-names":false,"suffix":""},{"dropping-particle":"","family":"Ferracin","given":"Manuela","non-dropping-particle":"","parse-names":false,"suffix":""},{"dropping-particle":"","family":"Prueitt","given":"Robyn L.","non-dropping-particle":"","parse-names":false,"suffix":""},{"dropping-particle":"","family":"Yanaihara","given":"Nozumu","non-dropping-particle":"","parse-names":false,"suffix":""},{"dropping-particle":"","family":"Lanza","given":"Giovanni","non-dropping-particle":"","parse-names":false,"suffix":""},{"dropping-particle":"","family":"Scarpa","given":"Aldo","non-dropping-particle":"","parse-names":false,"suffix":""},{"dropping-particle":"","family":"Vecchione","given":"Andrea","non-dropping-particle":"","parse-names":false,"suffix":""},{"dropping-particle":"","family":"Negrini","given":"Massimo","non-dropping-particle":"","parse-names":false,"suffix":""},{"dropping-particle":"","family":"Harris","given":"Curtis C.","non-dropping-particle":"","parse-names":false,"suffix":""},{"dropping-particle":"","family":"Croce","given":"Carlo M.","non-dropping-particle":"","parse-names":false,"suffix":""}],"container-title":"Proceedings of the National Academy of Sciences of the United States of America","id":"ITEM-1","issue":"7","issued":{"date-parts":[["2006"]]},"page":"2257-2261","title":"A microRNA expression signature of human solid tumors defines cancer gene targets","type":"article-journal","volume":"103"},"uris":["http://www.mendeley.com/documents/?uuid=27b272df-4765-4705-a9d3-e61e1b1d0c95"]},{"id":"ITEM-2","itemData":{"DOI":"10.3109/07357907.2011.554477","ISSN":"07357907","abstract":"Prostate-specific antigen (PSA) test is limited in prostate cancer diagnosis due to its inaccuracy. A new approach which integrates the PSA test with miRNA profiling was investigated to improve prostate cancer diagnosis. Six prostate cancer-related miRNAs (miR-16, -21, -34c, -101, -125b, -141) were tested in five cultured prostate cell lines and 20 human prostate specimens. We found that the miRNA expression profiles were significantly different between nontumorigenic and tumorigenic cell lines and specimens. Positive predictive value analysis of prostate cancer was increased from 40% to 87.5% by integrating patient PSA blood levels with miR-21 and miR-141 profiles. Copyright © 2011 Informa Healthcare USA, Inc.","author":[{"dropping-particle":"","family":"Hao","given":"Yubin","non-dropping-particle":"","parse-names":false,"suffix":""},{"dropping-particle":"","family":"Zhao","given":"Yuan","non-dropping-particle":"","parse-names":false,"suffix":""},{"dropping-particle":"","family":"Zhao","given":"Xiaoyun","non-dropping-particle":"","parse-names":false,"suffix":""},{"dropping-particle":"","family":"He","given":"Chunnian","non-dropping-particle":"","parse-names":false,"suffix":""},{"dropping-particle":"","family":"Pang","given":"Xiaowu","non-dropping-particle":"","parse-names":false,"suffix":""},{"dropping-particle":"","family":"Wu","given":"T. C.","non-dropping-particle":"","parse-names":false,"suffix":""},{"dropping-particle":"","family":"Califano","given":"Joseph A.","non-dropping-particle":"","parse-names":false,"suffix":""},{"dropping-particle":"","family":"Gu","given":"Xinbin","non-dropping-particle":"","parse-names":false,"suffix":""}],"container-title":"Cancer Investigation","id":"ITEM-2","issue":"4","issued":{"date-parts":[["2011"]]},"page":"318-324","title":"Improvement of prostate cancer detection by integrating the PSA test with miRNA expression profiling","type":"article-journal","volume":"29"},"uris":["http://www.mendeley.com/documents/?uuid=eee88d9d-cc92-4426-b1e1-7b15035d12a7"]}],"mendeley":{"formattedCitation":"&lt;sup&gt;98,126&lt;/sup&gt;","plainTextFormattedCitation":"98,126","previouslyFormattedCitation":"[98], [126]"},"properties":{"noteIndex":0},"schema":"https://github.com/citation-style-language/schema/raw/master/csl-citation.json"}</w:instrText>
      </w:r>
      <w:r>
        <w:rPr>
          <w:lang w:val="en-GB"/>
        </w:rPr>
        <w:fldChar w:fldCharType="separate"/>
      </w:r>
      <w:r w:rsidR="000C069C" w:rsidRPr="000C069C">
        <w:rPr>
          <w:noProof/>
          <w:vertAlign w:val="superscript"/>
          <w:lang w:val="en-GB"/>
        </w:rPr>
        <w:t>98,126</w:t>
      </w:r>
      <w:r>
        <w:rPr>
          <w:lang w:val="en-GB"/>
        </w:rPr>
        <w:fldChar w:fldCharType="end"/>
      </w:r>
      <w:r>
        <w:rPr>
          <w:lang w:val="en-GB"/>
        </w:rPr>
        <w:t xml:space="preserve">. In prostate malignant tissue, miR‑21‑5p has also been correlated with </w:t>
      </w:r>
      <w:r w:rsidRPr="0098776E">
        <w:rPr>
          <w:lang w:val="en-GB"/>
        </w:rPr>
        <w:t xml:space="preserve">pathological stage, Gleason score, </w:t>
      </w:r>
      <w:r>
        <w:rPr>
          <w:lang w:val="en-GB"/>
        </w:rPr>
        <w:t>and BCR</w:t>
      </w:r>
      <w:r>
        <w:rPr>
          <w:lang w:val="en-GB"/>
        </w:rPr>
        <w:fldChar w:fldCharType="begin" w:fldLock="1"/>
      </w:r>
      <w:r w:rsidR="000C069C">
        <w:rPr>
          <w:lang w:val="en-GB"/>
        </w:rPr>
        <w:instrText>ADDIN CSL_CITATION {"citationItems":[{"id":"ITEM-1","itemData":{"DOI":"10.1016/j.juro.2011.11.082","ISSN":"00225347","PMID":"22341810","abstract":"Purpose: Abnormal miRNA expression is associated with prostate cancer progression. However, the relationship between miRNA and biochemical recurrence after radical prostatectomy is not well established. Thus, we evaluated the miRNA miR-21 as a biomarker to predict the risk of biochemical failure, and as a potential drug target for prostate cancer therapy. Materials and Methods: miR-21 levels were assayed using locked nucleic acid in situ hybridization coupled with tissue microarray techniques in 169 radical prostatectomy tissue samples. The Cox proportional hazard model was used to analyze miR-21 expression as an independent predictor of biochemical recurrence. The association of miR-21 with recurrence was estimated using the Kaplan-Meier method. miR-21 was also evaluated as a potential drug target for prostate cancer therapy. Results: miR-21 expression in prostate cancer tissue samples was significantly associated with pathological stage, lymph node metastasis, capsular invasion, organ confined disease, Gleason score, biochemical recurrence and patient followup. Multivariate analysis also indicated that miR-21 expression could be an independent predictor of biochemical recurrence. The 5-year recurrence-free probability for patients positive vs negative for miR-21 expression was 33.9% vs 44.5%. In vivo treatment with antagomir-21 also repressed the tumor growth of DU145 cells in nude mice. Conclusions: Positive miR-21 expression was associated with poor biochemical recurrence-free survival and predicted the risk of biochemical recurrence in patients with prostate cancer after radical prostatectomy. Accordingly gene therapy using miR-21 inhibition strategies may prove useful for prostate cancer therapy. © 2012 American Urological Association Education and Research, Inc.","author":[{"dropping-particle":"","family":"Li","given":"Tao","non-dropping-particle":"","parse-names":false,"suffix":""},{"dropping-particle":"","family":"Li","given":"Run Sheng","non-dropping-particle":"","parse-names":false,"suffix":""},{"dropping-particle":"","family":"Li","given":"Yu Hua","non-dropping-particle":"","parse-names":false,"suffix":""},{"dropping-particle":"","family":"Zhong","given":"Shang","non-dropping-particle":"","parse-names":false,"suffix":""},{"dropping-particle":"","family":"Chen","given":"Yu Ying","non-dropping-particle":"","parse-names":false,"suffix":""},{"dropping-particle":"","family":"Zhang","given":"Cun Ming","non-dropping-particle":"","parse-names":false,"suffix":""},{"dropping-particle":"","family":"Hu","given":"Ming Ming","non-dropping-particle":"","parse-names":false,"suffix":""},{"dropping-particle":"","family":"Shen","given":"Zhou Jun","non-dropping-particle":"","parse-names":false,"suffix":""}],"container-title":"Journal of Urology","id":"ITEM-1","issue":"4","issued":{"date-parts":[["2012"]]},"page":"1466-1472","title":"MiR-21 as an independent biochemical recurrence predictor and potential therapeutic target for prostate cancer","type":"article-journal","volume":"187"},"uris":["http://www.mendeley.com/documents/?uuid=060d0422-2d4c-40bb-ad8a-a253bb2c5632"]},{"id":"ITEM-2","itemData":{"DOI":"10.1158/1541-7786.MCR-13-0230","ISSN":"15417786","abstract":"MicroRNAs (miRNA) posttranscriptionally regulate gene expression and are important in tumorigenesis. Previous deep sequencing identified the miRNA profile of prostate carcinoma versus nonmalignant prostate tissue. Here, we generated miRNA expression profiles of prostate carcinoma by deep sequencing, with increasing tumor stage relative to corresponding nonmalignant and healthy prostate tissue, and detected clearly changed miRNA expression patterns. The miRNA profiles of the healthy and nonmalignant tissues were consistent with our previous findings, indicating a high fidelity of the method employed. In the tumors, quantitative real-time PCR (qRT-PCR) analysis of 40 paired samples of prostate carcinoma versus normal tissue revealed significant upregulation of miR-20a, miR-148a, miR-200b, and miR-375 and downregulation of miR-143 and miR-145. Hereby, miR-375 increased from normal to organ-confined tumors (pT2 pN0), slightly decreased in tumors with extracapsular growth (pT3 pN0), but was then expressed again at higher levels in lymph node metastasizing (pN1) tumors. The sequencing data for miR-375 were confirmed by Northern blotting and qRT-PCR. The regulation for other selected miRNAs could, however, not be confirmed by qRT-PCR in individual tumor stages. MiR-200b, in addition to miR-200c and miR-375 reduced the expression of SEC23A. Interestingly, miR-375, found by sequencing in pT2 upregulated by us and others in tumor versus normal tissue, and miR-15a, found by sequencing in pT2 and pT3 and in the metastasizing tumors, target the phosphatases PHLPP1 and PHLPP2, respectively. PHLPP1 and PHLPP2 dephosphorylate members of the AKT family of signal transducers, thereby inhibiting cell growth. Coexpression of miR-15a and miR-375 resulted in downregulation of PHLPP1/2 and strongly increased prostate carcinoma cell growth. Implications: These genomic data reveal relevant miRNAs in prostate cancer that may have biomarker and therapeutic potential. Mol Cancer Res; 12(2); 250-63. © 2013 AACR.","author":[{"dropping-particle":"","family":"Hart","given":"Martin","non-dropping-particle":"","parse-names":false,"suffix":""},{"dropping-particle":"","family":"Nolte","given":"Elke","non-dropping-particle":"","parse-names":false,"suffix":""},{"dropping-particle":"","family":"Wach","given":"Sven","non-dropping-particle":"","parse-names":false,"suffix":""},{"dropping-particle":"","family":"Szczyrba","given":"Jaroslaw","non-dropping-particle":"","parse-names":false,"suffix":""},{"dropping-particle":"","family":"Taubert","given":"Helge","non-dropping-particle":"","parse-names":false,"suffix":""},{"dropping-particle":"","family":"Rau","given":"Tilman T.","non-dropping-particle":"","parse-names":false,"suffix":""},{"dropping-particle":"","family":"Hartmann","given":"Arndt","non-dropping-particle":"","parse-names":false,"suffix":""},{"dropping-particle":"","family":"Greasser","given":"Friedrich A.","non-dropping-particle":"","parse-names":false,"suffix":""},{"dropping-particle":"","family":"Wullich","given":"Bernd","non-dropping-particle":"","parse-names":false,"suffix":""}],"container-title":"Molecular Cancer Research","id":"ITEM-2","issue":"2","issued":{"date-parts":[["2014"]]},"page":"250-263","title":"Comparative microrna profiling of prostate carcinomas with increasing tumor stage by deep sequencing","type":"article-journal","volume":"12"},"uris":["http://www.mendeley.com/documents/?uuid=e53e8567-a146-457a-bfb2-8d77154aa603"]}],"mendeley":{"formattedCitation":"&lt;sup&gt;127,128&lt;/sup&gt;","plainTextFormattedCitation":"127,128","previouslyFormattedCitation":"[127], [128]"},"properties":{"noteIndex":0},"schema":"https://github.com/citation-style-language/schema/raw/master/csl-citation.json"}</w:instrText>
      </w:r>
      <w:r>
        <w:rPr>
          <w:lang w:val="en-GB"/>
        </w:rPr>
        <w:fldChar w:fldCharType="separate"/>
      </w:r>
      <w:r w:rsidR="000C069C" w:rsidRPr="000C069C">
        <w:rPr>
          <w:noProof/>
          <w:vertAlign w:val="superscript"/>
          <w:lang w:val="en-GB"/>
        </w:rPr>
        <w:t>127,128</w:t>
      </w:r>
      <w:r>
        <w:rPr>
          <w:lang w:val="en-GB"/>
        </w:rPr>
        <w:fldChar w:fldCharType="end"/>
      </w:r>
      <w:r w:rsidRPr="0098776E">
        <w:rPr>
          <w:lang w:val="en-GB"/>
        </w:rPr>
        <w:t>.</w:t>
      </w:r>
      <w:r>
        <w:rPr>
          <w:lang w:val="en-GB"/>
        </w:rPr>
        <w:t xml:space="preserve"> </w:t>
      </w:r>
    </w:p>
    <w:p w14:paraId="1C9D479F" w14:textId="7C505A9C" w:rsidR="00EE7EB3" w:rsidRDefault="00EE7EB3" w:rsidP="00EE7EB3">
      <w:pPr>
        <w:pStyle w:val="Dalodstavce"/>
        <w:rPr>
          <w:lang w:val="en-GB"/>
        </w:rPr>
      </w:pPr>
      <w:r>
        <w:rPr>
          <w:lang w:val="en-GB"/>
        </w:rPr>
        <w:t>For any potential biomarker to be transferred to clinical use, its diagnostic or prognostic performance has to be validated in a larger independent cohort</w:t>
      </w:r>
      <w:r>
        <w:rPr>
          <w:lang w:val="en-GB"/>
        </w:rPr>
        <w:fldChar w:fldCharType="begin" w:fldLock="1"/>
      </w:r>
      <w:r w:rsidR="000C069C">
        <w:rPr>
          <w:lang w:val="en-GB"/>
        </w:rPr>
        <w:instrText>ADDIN CSL_CITATION {"citationItems":[{"id":"ITEM-1","itemData":{"DOI":"10.1371/journal.pone.0091729","ISSN":"19326203","PMID":"24705338","abstract":"Purpose: The purpose of this study was to determine if microRNA profiling of urine and plasma at radical prostatectomy can distinguish potentially lethal from indolent prostate cancer. Materials and Methods: A panel of microRNAs was profiled in the plasma of 70 patients and the urine of 33 patients collected prior to radical prostatectomy. Expression of microRNAs was correlated to the clinical endpoints at a follow-up time of 3.9 years to identify microRNAs that may predict clinical response after radical prostatectomy. A machine learning approach was applied to test the predictive ability of all microRNAs profiled in urine, plasma, and a combination of both, and global performance assessed using the area under the receiver operator characteristic curve (AUC). Validation of urinary expression of miRNAs was performed on a further independent cohort of 36 patients. Results: The best predictor in plasma using eight miRs yielded only moderate predictive performance (AUC = 0.62). The best predictor of high-risk disease was achieved using miR-16, miR-21 and miR-222 measured in urine (AUC = 0.75). This combination of three microRNAs in urine was a better predictor of high-risk disease than any individual microRNA. Using a different methodology we found that this set of miRNAs was unable to predict high-volume, high-grade disease. Conclusions: Our initial findings suggested that plasma and urinary profiling of microRNAs at radical prostatectomy may allow prognostication of prostate cancer behaviour. However we found that the microRNA expression signature failed to validate in an independent cohort of patients using a different platform for PCR. This highlights the need for independent validation patient cohorts and suggests that urinary microRNA signatures at radical prostatectomy may not be a robust way to predict the course of clinical disease after definitive treatment for prostate cancer. © 2014 Sapre et al.","author":[{"dropping-particle":"","family":"Sapre","given":"Nikhil","non-dropping-particle":"","parse-names":false,"suffix":""},{"dropping-particle":"","family":"Hong","given":"Matthew K.H.","non-dropping-particle":"","parse-names":false,"suffix":""},{"dropping-particle":"","family":"Macintyre","given":"Geoff","non-dropping-particle":"","parse-names":false,"suffix":""},{"dropping-particle":"","family":"Lewis","given":"Heather","non-dropping-particle":"","parse-names":false,"suffix":""},{"dropping-particle":"","family":"Kowalczyk","given":"Adam","non-dropping-particle":"","parse-names":false,"suffix":""},{"dropping-particle":"","family":"Costello","given":"Anthony J.","non-dropping-particle":"","parse-names":false,"suffix":""},{"dropping-particle":"","family":"Corcoran","given":"Niall M.","non-dropping-particle":"","parse-names":false,"suffix":""},{"dropping-particle":"","family":"Hovens","given":"Christopher M.","non-dropping-particle":"","parse-names":false,"suffix":""}],"container-title":"PLoS ONE","id":"ITEM-1","issue":"4","issued":{"date-parts":[["2014"]]},"title":"Curated microRNAs in urine and blood fail to validate as predictive biomarkers for high-risk prostate cancer","type":"article-journal","volume":"9"},"uris":["http://www.mendeley.com/documents/?uuid=69d8db59-c3d4-48c4-8ac5-7cc144be6aab"]}],"mendeley":{"formattedCitation":"&lt;sup&gt;120&lt;/sup&gt;","plainTextFormattedCitation":"120","previouslyFormattedCitation":"[120]"},"properties":{"noteIndex":0},"schema":"https://github.com/citation-style-language/schema/raw/master/csl-citation.json"}</w:instrText>
      </w:r>
      <w:r>
        <w:rPr>
          <w:lang w:val="en-GB"/>
        </w:rPr>
        <w:fldChar w:fldCharType="separate"/>
      </w:r>
      <w:r w:rsidR="000C069C" w:rsidRPr="000C069C">
        <w:rPr>
          <w:noProof/>
          <w:vertAlign w:val="superscript"/>
          <w:lang w:val="en-GB"/>
        </w:rPr>
        <w:t>120</w:t>
      </w:r>
      <w:r>
        <w:rPr>
          <w:lang w:val="en-GB"/>
        </w:rPr>
        <w:fldChar w:fldCharType="end"/>
      </w:r>
      <w:r>
        <w:rPr>
          <w:lang w:val="en-GB"/>
        </w:rPr>
        <w:t>. Additionally</w:t>
      </w:r>
      <w:r w:rsidRPr="00A426CD">
        <w:rPr>
          <w:lang w:val="en-GB"/>
        </w:rPr>
        <w:t>, depending on</w:t>
      </w:r>
      <w:r>
        <w:rPr>
          <w:lang w:val="en-GB"/>
        </w:rPr>
        <w:t xml:space="preserve"> </w:t>
      </w:r>
      <w:r w:rsidRPr="00A426CD">
        <w:rPr>
          <w:lang w:val="en-GB"/>
        </w:rPr>
        <w:t xml:space="preserve">the </w:t>
      </w:r>
      <w:r>
        <w:rPr>
          <w:lang w:val="en-GB"/>
        </w:rPr>
        <w:t>profiling technology</w:t>
      </w:r>
      <w:r w:rsidRPr="00A426CD">
        <w:rPr>
          <w:lang w:val="en-GB"/>
        </w:rPr>
        <w:t>, a</w:t>
      </w:r>
      <w:r>
        <w:rPr>
          <w:lang w:val="en-GB"/>
        </w:rPr>
        <w:t>n</w:t>
      </w:r>
      <w:r w:rsidRPr="00A426CD">
        <w:rPr>
          <w:lang w:val="en-GB"/>
        </w:rPr>
        <w:t xml:space="preserve"> </w:t>
      </w:r>
      <w:r>
        <w:rPr>
          <w:lang w:val="en-GB"/>
        </w:rPr>
        <w:t xml:space="preserve">appropriate </w:t>
      </w:r>
      <w:r w:rsidRPr="00A426CD">
        <w:rPr>
          <w:lang w:val="en-GB"/>
        </w:rPr>
        <w:t xml:space="preserve">method of data normalization is </w:t>
      </w:r>
      <w:r>
        <w:rPr>
          <w:lang w:val="en-GB"/>
        </w:rPr>
        <w:t>crucial</w:t>
      </w:r>
      <w:r w:rsidRPr="00A426CD">
        <w:rPr>
          <w:lang w:val="en-GB"/>
        </w:rPr>
        <w:t xml:space="preserve"> </w:t>
      </w:r>
      <w:r>
        <w:rPr>
          <w:lang w:val="en-GB"/>
        </w:rPr>
        <w:t xml:space="preserve">for the </w:t>
      </w:r>
      <w:r w:rsidRPr="00A426CD">
        <w:rPr>
          <w:lang w:val="en-GB"/>
        </w:rPr>
        <w:t xml:space="preserve">correct interpretation of the data. </w:t>
      </w:r>
      <w:r>
        <w:rPr>
          <w:lang w:val="en-GB"/>
        </w:rPr>
        <w:t>In our case, miRNA profiling</w:t>
      </w:r>
      <w:r w:rsidRPr="00A426CD">
        <w:rPr>
          <w:lang w:val="en-GB"/>
        </w:rPr>
        <w:t xml:space="preserve"> </w:t>
      </w:r>
      <w:r>
        <w:rPr>
          <w:lang w:val="en-GB"/>
        </w:rPr>
        <w:t xml:space="preserve">was performed by the </w:t>
      </w:r>
      <w:r w:rsidRPr="00A426CD">
        <w:rPr>
          <w:lang w:val="en-GB"/>
        </w:rPr>
        <w:t>qPCR method</w:t>
      </w:r>
      <w:r>
        <w:rPr>
          <w:lang w:val="en-GB"/>
        </w:rPr>
        <w:t xml:space="preserve"> and f</w:t>
      </w:r>
      <w:r w:rsidRPr="00A426CD">
        <w:rPr>
          <w:lang w:val="en-GB"/>
        </w:rPr>
        <w:t xml:space="preserve">or finding suitable reference genes </w:t>
      </w:r>
      <w:r>
        <w:rPr>
          <w:lang w:val="en-GB"/>
        </w:rPr>
        <w:t>we utilised</w:t>
      </w:r>
      <w:r w:rsidRPr="00A426CD">
        <w:rPr>
          <w:lang w:val="en-GB"/>
        </w:rPr>
        <w:t xml:space="preserve"> </w:t>
      </w:r>
      <w:proofErr w:type="spellStart"/>
      <w:r w:rsidRPr="00A426CD">
        <w:rPr>
          <w:lang w:val="en-GB"/>
        </w:rPr>
        <w:t>Normfinder</w:t>
      </w:r>
      <w:proofErr w:type="spellEnd"/>
      <w:r w:rsidRPr="00A426CD">
        <w:rPr>
          <w:lang w:val="en-GB"/>
        </w:rPr>
        <w:t xml:space="preserve"> and </w:t>
      </w:r>
      <w:proofErr w:type="spellStart"/>
      <w:r w:rsidRPr="00A426CD">
        <w:rPr>
          <w:lang w:val="en-GB"/>
        </w:rPr>
        <w:t>Genorm</w:t>
      </w:r>
      <w:proofErr w:type="spellEnd"/>
      <w:r w:rsidRPr="00A426CD">
        <w:rPr>
          <w:lang w:val="en-GB"/>
        </w:rPr>
        <w:t xml:space="preserve"> algorithms </w:t>
      </w:r>
      <w:r>
        <w:rPr>
          <w:lang w:val="en-GB"/>
        </w:rPr>
        <w:t>which were</w:t>
      </w:r>
      <w:r w:rsidRPr="00A426CD">
        <w:rPr>
          <w:lang w:val="en-GB"/>
        </w:rPr>
        <w:t xml:space="preserve"> successfully implemented in other studies as wel</w:t>
      </w:r>
      <w:r>
        <w:rPr>
          <w:lang w:val="en-GB"/>
        </w:rPr>
        <w:t>l</w:t>
      </w:r>
      <w:r w:rsidRPr="00C83EDC">
        <w:rPr>
          <w:lang w:val="en-GB"/>
        </w:rPr>
        <w:fldChar w:fldCharType="begin" w:fldLock="1"/>
      </w:r>
      <w:r w:rsidR="000C069C">
        <w:rPr>
          <w:lang w:val="en-GB"/>
        </w:rPr>
        <w:instrText>ADDIN CSL_CITATION {"citationItems":[{"id":"ITEM-1","itemData":{"DOI":"10.1016/j.euf.2017.02.018","ISSN":"24054569","abstract":"Background: Widespread use of prostate-specific antigen (PSA) testing for prostate cancer (PC) detection has led to extensive overdiagnosis and overtreatment. Urine-based microRNA (miRNA) biomarkers could be useful in PC diagnosis and prognosis. Objective: To train and validate urine-based microRNA (miRNA) biomarkers that may assist in PC diagnosis and prognosis. Design, setting, and participants: We profiled the expression levels of 92 miRNAs via reverse transcriptase–poymerase chain reaction in cell-free urine samples from 29 patients with benign prostatic hyperplasia (BPH) and 215 patients with clinically localized PC (cohort 1). Our findings were validated in an independent cohort of 29 BPH patients and 220 patients with clinically localized PC (cohort 2). Results and limitations: We identified and validated several deregulated miRNAs in urine samples from PC patients. In addition, we trained a novel diagnostic three-miRNA model (miR-222-3p*miR-24-3p/miR-30c-5p) that distinguished BPH and PC patients with an area under the curve (AUC) of 0.95 in cohort 1, and was successfully validated in cohort 2 (AUC 0.89). Furthermore, we trained a novel prognostic three-miRNA model (miR-125b-5p*let-7a-5p/miR-151-5p) that predicted time to biochemical recurrence after radical prostatectomy independently of routine clinicopathological parameters in cohort 1, and was successfully validated in cohort 2. Conclusions: Future clinical implementation of our novel diagnostic and prognostic three-miRNA signatures could help in primary diagnosis of PC and guide treatment decisions. Further validation studies are warranted. Patient summary: Using two large patient cohorts, we searched for novel prostate cancer biomarkers in urine. We found two new sets of microRNA biomarkers in urine that could accurately predict the presence of prostate cancer and the likelihood of recurrence after prostatectomy. Further studies are needed before an actual clinical test can be developed.","author":[{"dropping-particle":"","family":"Fredsøe","given":"Jacob","non-dropping-particle":"","parse-names":false,"suffix":""},{"dropping-particle":"","family":"Rasmussen","given":"Anne K.I.","non-dropping-particle":"","parse-names":false,"suffix":""},{"dropping-particle":"","family":"Thomsen","given":"Anni R.","non-dropping-particle":"","parse-names":false,"suffix":""},{"dropping-particle":"","family":"Mouritzen","given":"Peter","non-dropping-particle":"","parse-names":false,"suffix":""},{"dropping-particle":"","family":"Høyer","given":"Søren","non-dropping-particle":"","parse-names":false,"suffix":""},{"dropping-particle":"","family":"Borre","given":"Michael","non-dropping-particle":"","parse-names":false,"suffix":""},{"dropping-particle":"","family":"Ørntoft","given":"Torben F.","non-dropping-particle":"","parse-names":false,"suffix":""},{"dropping-particle":"","family":"Sørensen","given":"Karina D.","non-dropping-particle":"","parse-names":false,"suffix":""}],"container-title":"European Urology Focus","id":"ITEM-1","issue":"6","issued":{"date-parts":[["2018"]]},"page":"825-833","publisher":"European Association of Urology","title":"Diagnostic and Prognostic MicroRNA Biomarkers for Prostate Cancer in Cell-free Urine","type":"article-journal","volume":"4"},"uris":["http://www.mendeley.com/documents/?uuid=afd88176-225e-49c7-a016-a17fb6df68c7"]},{"id":"ITEM-2","itemData":{"DOI":"10.1038/bjc.2016.233","ISSN":"15321827","abstract":"Background: In this paper, the utility of urine-circulating microRNAs (miRNAs) as the potential biomarker of prostate cancer (PCa), the second most prevalent male cancer worldwide, was evaluated. Methods: Cancerous (N=56) and non-cancerous (N=16) prostate tissues were analysed on TaqMan Low Density Array, with the initial screening of 754 miRNAs in a subset of the samples. The abundance of selected miRNAs was analysed in urine specimens from two independent cohorts of patients with PCa (N=215 overall), benign prostatic hyperplasia (BPH; N=23), and asymptomatic controls (ASC; N=62) by means of quantitative reverse transcription PCR. Results: Over 100 miRNAs were found deregulated in PCa as compared with non-cancerous prostate tissue. After thorough validation, four miRNAs were selected for the analysis in urine specimens. The abundance of miR-148a and miR-375 in urine was identified as specific biomarkers of PCa in both cohorts. Combined analysis of urine-circulating miR-148a and miR-375 was highly sensitive and specific for PCa in both cohorts (AUC=0.79 and 0.84) and strongly improved the diagnostic power of the PSA test (AUC=0.85, cohort PCa1), including the grey diagnostic zone (AUC=0.90). Conclusions: Quantitative measurement of urine-circulating miR-148a and miR-375 can serve as the non-invasive tool for sensitive and specific detection of PCa.","author":[{"dropping-particle":"","family":"Stuopelyte","given":"Kristina","non-dropping-particle":"","parse-names":false,"suffix":""},{"dropping-particle":"","family":"Daniunaite","given":"Kristina","non-dropping-particle":"","parse-names":false,"suffix":""},{"dropping-particle":"","family":"Bakavicius","given":"Arnas","non-dropping-particle":"","parse-names":false,"suffix":""},{"dropping-particle":"","family":"Lazutka","given":"Juozas R.","non-dropping-particle":"","parse-names":false,"suffix":""},{"dropping-particle":"","family":"Jankevicius","given":"Feliksas","non-dropping-particle":"","parse-names":false,"suffix":""},{"dropping-particle":"","family":"Jarmalaite","given":"Sonata","non-dropping-particle":"","parse-names":false,"suffix":""}],"container-title":"British Journal of Cancer","id":"ITEM-2","issue":"6","issued":{"date-parts":[["2016"]]},"page":"707-715","publisher":"Nature Publishing Group","title":"The utility of urine-circulating miRNAs for detection of prostate cancer","type":"article-journal","volume":"115"},"uris":["http://www.mendeley.com/documents/?uuid=96d1d783-d62c-4fcd-af1d-0fea366fb646"]},{"id":"ITEM-3","itemData":{"DOI":"10.1002/ijc.27973","ISBN":"4640337043","ISSN":"00207136","abstract":"Today, the majority of prostate tumors are detected at early stages with uncertain prognosis. Therefore, we set out to identify early predictive markers of prostate cancer with aggressive progression characteristics. We measured the expression of microRNAs (miRNA) using qRT-PCR in formalin fixed and paraffin embedded prostatic tissue samples from a Swedish cohort of 49 patients with prostate cancer and 25 without cancer and found seven of 13 preselected miRNAs to discriminate between the two groups. Subsequently, four discriminatory miRNAs were combined to a quota, denoted the miRNA index quote (miQ); ((miR-96-5p × miR-183-5p)/(miR-145-5p × miR221-5p)). The advantage of using a quote is increased discrimination, no need for house-keepings, and most important it may be an advantage considering the heterogeneity of the disease. miQ was found to successfully predict diagnosis (p &lt; 0.0001) with high accuracy (area under the curve, AUC = 0.931) that was verified in an independent Dutch cohort and three external cohorts, and significantly outperforming prostate-specific antigen. Importantly, miQ also has prognostic power to predict aggressiveness of tumors (AUC = 0.895), metastatic statues (AUC = 0.827) and overall survival (p = 0.0013, Wilcoxon test HR = 6.5, median survival 2 vs. 5 years), verified in the Dutch cohort. In this preliminary study, we propose that miQ has potential to be used as a clinical tool for prostate cancer diagnosis and as a prognostic marker of disease progression. Copyright © 2012 UICC.","author":[{"dropping-particle":"","family":"Larne","given":"Olivia","non-dropping-particle":"","parse-names":false,"suffix":""},{"dropping-particle":"","family":"Martens-Uzunova","given":"Elena","non-dropping-particle":"","parse-names":false,"suffix":""},{"dropping-particle":"","family":"Hagman","given":"Zandra","non-dropping-particle":"","parse-names":false,"suffix":""},{"dropping-particle":"","family":"Edsjö","given":"Anders","non-dropping-particle":"","parse-names":false,"suffix":""},{"dropping-particle":"","family":"Lippolis","given":"Giuseppe","non-dropping-particle":"","parse-names":false,"suffix":""},{"dropping-particle":"Van","family":"Berg","given":"Mirella S.Vredenbregt","non-dropping-particle":"Den","parse-names":false,"suffix":""},{"dropping-particle":"","family":"Bjartell","given":"Anders","non-dropping-particle":"","parse-names":false,"suffix":""},{"dropping-particle":"","family":"Jenster","given":"Guido","non-dropping-particle":"","parse-names":false,"suffix":""},{"dropping-particle":"","family":"Ceder","given":"Yvonne","non-dropping-particle":"","parse-names":false,"suffix":""}],"container-title":"International Journal of Cancer","id":"ITEM-3","issue":"12","issued":{"date-parts":[["2013"]]},"page":"2867-2875","title":"MiQ - A novel microRNA based diagnostic and prognostic tool for prostate cancer","type":"article-journal","volume":"132"},"uris":["http://www.mendeley.com/documents/?uuid=13c0c38e-ddae-438e-a20b-b62f300a4124"]}],"mendeley":{"formattedCitation":"&lt;sup&gt;108,129,130&lt;/sup&gt;","plainTextFormattedCitation":"108,129,130","previouslyFormattedCitation":"[108], [129], [130]"},"properties":{"noteIndex":0},"schema":"https://github.com/citation-style-language/schema/raw/master/csl-citation.json"}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108,129,130</w:t>
      </w:r>
      <w:r w:rsidRPr="00C83EDC">
        <w:rPr>
          <w:lang w:val="en-GB"/>
        </w:rPr>
        <w:fldChar w:fldCharType="end"/>
      </w:r>
      <w:r>
        <w:rPr>
          <w:lang w:val="en-GB"/>
        </w:rPr>
        <w:t>. The control genes identified in the discovery cohort were used for data normalization in the training phase. In particular, analysed miR‑</w:t>
      </w:r>
      <w:r w:rsidRPr="00C83EDC">
        <w:rPr>
          <w:lang w:val="en-GB"/>
        </w:rPr>
        <w:t>30e</w:t>
      </w:r>
      <w:r>
        <w:rPr>
          <w:lang w:val="en-GB"/>
        </w:rPr>
        <w:t>‑5p was</w:t>
      </w:r>
      <w:r w:rsidRPr="00C83EDC">
        <w:rPr>
          <w:lang w:val="en-GB"/>
        </w:rPr>
        <w:t xml:space="preserve"> also identified by Huang </w:t>
      </w:r>
      <w:r w:rsidRPr="00C83EDC">
        <w:rPr>
          <w:i/>
          <w:iCs/>
          <w:lang w:val="en-GB"/>
        </w:rPr>
        <w:t>et al</w:t>
      </w:r>
      <w:r w:rsidRPr="00C83EDC">
        <w:rPr>
          <w:lang w:val="en-GB"/>
        </w:rPr>
        <w:t>. as a relatively stable endogenous control despite intragroup variation such as age, gender and health condition</w:t>
      </w:r>
      <w:r w:rsidRPr="00C83EDC">
        <w:rPr>
          <w:lang w:val="en-GB"/>
        </w:rPr>
        <w:fldChar w:fldCharType="begin" w:fldLock="1"/>
      </w:r>
      <w:r w:rsidR="000C069C">
        <w:rPr>
          <w:lang w:val="en-GB"/>
        </w:rPr>
        <w:instrText>ADDIN CSL_CITATION {"citationItems":[{"id":"ITEM-1","itemData":{"DOI":"10.1016/j.eururo.2014.07.035","ISSN":"18737560","abstract":"Background Extracellular microRNAs (miRNAs) embedded in circulating exosomes may serves as prognostic biomarkers in cancer. Objective To identify and evaluate plasma exosomal miRNAs for prognosis in castration-resistant prostate cancer (CRPC). Design, setting, and participants RNA sequencing was performed to identify candidate exosomal miRNAs associated with overall survival in a screening cohort of 23 CRPC patients. Candidate miRNAs were further evaluated for prognosis using quantitative real-time polymerase chain reaction in a follow-up cohort of 100 CRPC patients. Outcome measurements and statistical analysis Cox regression and Kaplan-Meier survival analyses were used to evaluate survival association using candidate miRNAs along with clinical prognostic factors. Results and limitations RNA sequencing in screening cohort generated approximately 6.80 million mappable reads per patient. Of those with normalized read counts ≥5, 43% were mapped to miRNAs for a total of 375 known and 57 novel miRNAs. Cox regression analysis identified an association of miR-1290, -1246, and -375 with overall survival (false discover rate &lt; 0.05). Of those, higher levels of miR-1290 and -375 were significantly associated with poor overall survival (p &lt; 0.004) in the follow-up cohort. Incorporation of miR-1290/-375 into putative clinical prognostic factors-based models in CRPC stage significantly improved predictive performance with a time-dependent area under the curve increase from 0.66 to 0.73 (p = 6.57 × 10-6). Conclusions Plasma exosomal miR-1290 and miR-375 are promising prognostic biomarkers for CRPC patients. Prospective validation is needed for further evaluation of these candidate miRNAs. Patient summary In this study, we evaluated whether small RNAs circulating in blood could be used to predict clinical outcomes in late-stage prostate cancer patients. We identified two blood-based small RNAs whose levels showed significant association with survival. Our results warrant further investigation because the noninvasive blood-based test has great potential in the management of late-stage prostate cancer.","author":[{"dropping-particle":"","family":"Huang","given":"Xiaoyi","non-dropping-particle":"","parse-names":false,"suffix":""},{"dropping-particle":"","family":"Yuan","given":"Tiezheng","non-dropping-particle":"","parse-names":false,"suffix":""},{"dropping-particle":"","family":"Liang","given":"Meihua","non-dropping-particle":"","parse-names":false,"suffix":""},{"dropping-particle":"","family":"Du","given":"Meijun","non-dropping-particle":"","parse-names":false,"suffix":""},{"dropping-particle":"","family":"Xia","given":"Shu","non-dropping-particle":"","parse-names":false,"suffix":""},{"dropping-particle":"","family":"Dittmar","given":"Rachel","non-dropping-particle":"","parse-names":false,"suffix":""},{"dropping-particle":"","family":"Wang","given":"Dian","non-dropping-particle":"","parse-names":false,"suffix":""},{"dropping-particle":"","family":"See","given":"William","non-dropping-particle":"","parse-names":false,"suffix":""},{"dropping-particle":"","family":"Costello","given":"Brian A.","non-dropping-particle":"","parse-names":false,"suffix":""},{"dropping-particle":"","family":"Quevedo","given":"Fernando","non-dropping-particle":"","parse-names":false,"suffix":""},{"dropping-particle":"","family":"Tan","given":"Winston","non-dropping-particle":"","parse-names":false,"suffix":""},{"dropping-particle":"","family":"Nandy","given":"Debashis","non-dropping-particle":"","parse-names":false,"suffix":""},{"dropping-particle":"","family":"Bevan","given":"Graham H.","non-dropping-particle":"","parse-names":false,"suffix":""},{"dropping-particle":"","family":"Longenbach","given":"Sherri","non-dropping-particle":"","parse-names":false,"suffix":""},{"dropping-particle":"","family":"Sun","given":"Zhifu","non-dropping-particle":"","parse-names":false,"suffix":""},{"dropping-particle":"","family":"Lu","given":"Yan","non-dropping-particle":"","parse-names":false,"suffix":""},{"dropping-particle":"","family":"Wang","given":"Tao","non-dropping-particle":"","parse-names":false,"suffix":""},{"dropping-particle":"","family":"Thibodeau","given":"Stephen N.","non-dropping-particle":"","parse-names":false,"suffix":""},{"dropping-particle":"","family":"Boardman","given":"Lisa","non-dropping-particle":"","parse-names":false,"suffix":""},{"dropping-particle":"","family":"Kohli","given":"Manish","non-dropping-particle":"","parse-names":false,"suffix":""},{"dropping-particle":"","family":"Wang","given":"Liang","non-dropping-particle":"","parse-names":false,"suffix":""}],"container-title":"European Urology","id":"ITEM-1","issue":"1","issued":{"date-parts":[["2015"]]},"page":"33-41","publisher":"European Association of Urology","title":"Exosomal miR-1290 and miR-375 as prognostic markers in castration-resistant prostate cancer","type":"article-journal","volume":"67"},"uris":["http://www.mendeley.com/documents/?uuid=c3772923-f0f1-459d-bcff-408e2c94d9c9"]}],"mendeley":{"formattedCitation":"&lt;sup&gt;131&lt;/sup&gt;","plainTextFormattedCitation":"131","previouslyFormattedCitation":"[131]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131</w:t>
      </w:r>
      <w:r w:rsidRPr="00C83EDC">
        <w:rPr>
          <w:lang w:val="en-GB"/>
        </w:rPr>
        <w:fldChar w:fldCharType="end"/>
      </w:r>
      <w:r>
        <w:rPr>
          <w:lang w:val="en-GB"/>
        </w:rPr>
        <w:t xml:space="preserve">. </w:t>
      </w:r>
    </w:p>
    <w:p w14:paraId="58D16DE3" w14:textId="77777777" w:rsidR="00EE7EB3" w:rsidRDefault="00EE7EB3" w:rsidP="00EE7EB3">
      <w:pPr>
        <w:pStyle w:val="Dalodstavce"/>
        <w:rPr>
          <w:lang w:val="en-GB"/>
        </w:rPr>
      </w:pPr>
      <w:r>
        <w:rPr>
          <w:lang w:val="en-GB"/>
        </w:rPr>
        <w:t>Expression of the discussed miRNA in the validation cohort was measured by real-time PCR quantification and</w:t>
      </w:r>
      <w:r w:rsidRPr="00C83EDC">
        <w:rPr>
          <w:lang w:val="en-GB"/>
        </w:rPr>
        <w:t xml:space="preserve"> </w:t>
      </w:r>
      <w:r>
        <w:rPr>
          <w:lang w:val="en-GB"/>
        </w:rPr>
        <w:t>s</w:t>
      </w:r>
      <w:r w:rsidRPr="0099713C">
        <w:rPr>
          <w:lang w:val="en-GB"/>
        </w:rPr>
        <w:t>t</w:t>
      </w:r>
      <w:r>
        <w:rPr>
          <w:lang w:val="en-GB"/>
        </w:rPr>
        <w:t>at</w:t>
      </w:r>
      <w:r w:rsidRPr="0099713C">
        <w:rPr>
          <w:lang w:val="en-GB"/>
        </w:rPr>
        <w:t xml:space="preserve">istical </w:t>
      </w:r>
      <w:r w:rsidRPr="005843AF">
        <w:rPr>
          <w:lang w:val="en-GB"/>
        </w:rPr>
        <w:t>analyses evaluated the</w:t>
      </w:r>
      <w:r w:rsidRPr="0099713C">
        <w:rPr>
          <w:lang w:val="en-GB"/>
        </w:rPr>
        <w:t xml:space="preserve"> relationship between miRNA</w:t>
      </w:r>
      <w:r>
        <w:rPr>
          <w:lang w:val="en-GB"/>
        </w:rPr>
        <w:t xml:space="preserve">s </w:t>
      </w:r>
      <w:r>
        <w:rPr>
          <w:lang w:val="en-GB"/>
        </w:rPr>
        <w:lastRenderedPageBreak/>
        <w:t>expression among three prostate cancer risk-groups. From the selected panel of miRNAs, we have successfully validated miR‑</w:t>
      </w:r>
      <w:r w:rsidRPr="00C83EDC">
        <w:rPr>
          <w:lang w:val="en-GB"/>
        </w:rPr>
        <w:t>15b</w:t>
      </w:r>
      <w:r>
        <w:rPr>
          <w:lang w:val="en-GB"/>
        </w:rPr>
        <w:t>‑5p</w:t>
      </w:r>
      <w:r w:rsidRPr="00C83EDC">
        <w:rPr>
          <w:lang w:val="en-GB"/>
        </w:rPr>
        <w:t xml:space="preserve"> and </w:t>
      </w:r>
      <w:r>
        <w:rPr>
          <w:lang w:val="en-GB"/>
        </w:rPr>
        <w:t>miR‑</w:t>
      </w:r>
      <w:r w:rsidRPr="00C83EDC">
        <w:rPr>
          <w:lang w:val="en-GB"/>
        </w:rPr>
        <w:t>106b</w:t>
      </w:r>
      <w:r>
        <w:rPr>
          <w:lang w:val="en-GB"/>
        </w:rPr>
        <w:t>‑5p</w:t>
      </w:r>
      <w:r w:rsidRPr="00C83EDC">
        <w:rPr>
          <w:lang w:val="en-GB"/>
        </w:rPr>
        <w:t xml:space="preserve"> </w:t>
      </w:r>
      <w:r>
        <w:rPr>
          <w:lang w:val="en-GB"/>
        </w:rPr>
        <w:t xml:space="preserve">as single predictors of aggressive or indolent types of prostate tumour (AUCs of </w:t>
      </w:r>
      <w:r w:rsidRPr="00C83EDC">
        <w:rPr>
          <w:lang w:val="en-GB"/>
        </w:rPr>
        <w:t>0.771 and 0.755</w:t>
      </w:r>
      <w:r>
        <w:rPr>
          <w:lang w:val="en-GB"/>
        </w:rPr>
        <w:t>, respectively). The reasoning for choosing the higher specificity (87%) of miR‑</w:t>
      </w:r>
      <w:r w:rsidRPr="00C83EDC">
        <w:rPr>
          <w:lang w:val="en-GB"/>
        </w:rPr>
        <w:t>106b</w:t>
      </w:r>
      <w:r>
        <w:rPr>
          <w:lang w:val="en-GB"/>
        </w:rPr>
        <w:t>‑5p</w:t>
      </w:r>
      <w:r w:rsidRPr="00C83EDC">
        <w:rPr>
          <w:lang w:val="en-GB"/>
        </w:rPr>
        <w:t xml:space="preserve"> </w:t>
      </w:r>
      <w:r>
        <w:rPr>
          <w:lang w:val="en-GB"/>
        </w:rPr>
        <w:t xml:space="preserve">at the expense of lower sensitivity (58%) is that we would combine the biomarker with the PSA value to increase its low specificity. The combination of two miRNAs further improved their diagnostic potential with the increase of the </w:t>
      </w:r>
      <w:r w:rsidRPr="00E04C4F">
        <w:rPr>
          <w:lang w:val="en-GB"/>
        </w:rPr>
        <w:t>AUC</w:t>
      </w:r>
      <w:r>
        <w:rPr>
          <w:lang w:val="en-GB"/>
        </w:rPr>
        <w:t xml:space="preserve"> to </w:t>
      </w:r>
      <w:r w:rsidRPr="00E04C4F">
        <w:rPr>
          <w:lang w:val="en-GB"/>
        </w:rPr>
        <w:t>0.808</w:t>
      </w:r>
      <w:r>
        <w:rPr>
          <w:lang w:val="en-GB"/>
        </w:rPr>
        <w:t>. Both miRNAs exhibited upregulated expression in aggressive tumour compared to indolent tumour tissue. Apart from their significant discriminatory power for the two groups, they also showed ability to identify tumours characterised by 3+4 Gleason score and differentiate among all three groups of patients. Supporting our results, meaningfully changed levels of both miRNAs in prostate cancer were reported in several other studies.</w:t>
      </w:r>
    </w:p>
    <w:p w14:paraId="7571701C" w14:textId="7B4E486A" w:rsidR="00EE7EB3" w:rsidRDefault="00EE7EB3" w:rsidP="00EE7EB3">
      <w:pPr>
        <w:pStyle w:val="Dalodstavce"/>
        <w:rPr>
          <w:lang w:val="en-GB"/>
        </w:rPr>
      </w:pPr>
      <w:r>
        <w:rPr>
          <w:lang w:val="en-GB"/>
        </w:rPr>
        <w:t>Significantly dysregulated levels of miR‑15b in prostate tumours were observed in the research by Chen and colleagues. The authors found upregulated levels of miR‑15b‑5p in prostate malignant tissue when compared to nontumor samples. Additionally, they demonstrated that some clinicopathological characteristics such as age and Gleason score were positively correlated with detected miR‑15b levels but other characteristics including lymphatic metastasis, pre</w:t>
      </w:r>
      <w:r>
        <w:rPr>
          <w:lang w:val="en-GB"/>
        </w:rPr>
        <w:noBreakHyphen/>
        <w:t>operative PSA, and T</w:t>
      </w:r>
      <w:r>
        <w:rPr>
          <w:lang w:val="en-GB"/>
        </w:rPr>
        <w:noBreakHyphen/>
        <w:t>stage were not. Patients with increased expression of miR‑15b had higher risk or disease recurrence in comparison to subjects with lower expression levels</w:t>
      </w:r>
      <w:r>
        <w:rPr>
          <w:lang w:val="en-GB"/>
        </w:rPr>
        <w:fldChar w:fldCharType="begin" w:fldLock="1"/>
      </w:r>
      <w:r w:rsidR="000C069C">
        <w:rPr>
          <w:lang w:val="en-GB"/>
        </w:rPr>
        <w:instrText>ADDIN CSL_CITATION {"citationItems":[{"id":"ITEM-1","itemData":{"DOI":"10.1111/jcmm.13469","ISSN":"15821838","abstract":"MicroRNAs (miRNAs) have been reported to participate in many biological behaviours of multiple malignancies. Recent studies have shown that miR-15b-5p (miR-15b) exhibits dual roles by accelerating or blocking tumour progression. However, the molecular mechanisms by which miR-15b contributes to prostate cancer (PCa) are still elusive. Here, miR-15b expression was found significantly up-regulated in PCa in comparison with the normal samples and was positively correlated with age and Gleason score in patients with PCa. Notably, PCa patients with miR-15b high expression displayed a higher recurrence rate than those with miR-15b low expression (P = 0.0058). Knockdown of miR-15b suppressed cell growth and invasiveness in 22RV1 and PC3 cells, while overexpression of miR-15b reversed these effects. Then, we validated that RECK acted as a direct target of miR-15b by dual-luciferase assay and revealed the negative correlation of RECK with miR-15b expression in PCa tissues. Ectopic expression of RECK reduced cell proliferation and invasive potential and partially abrogated the tumour-promoting effects caused by miR-15b overexpression. Additionally, miR-15b knockdown inhibited tumour growth activity in a mouse PCa xenograft model. Taken together, our findings indicate that miR-15b promotes the progression of PCa cells by targeting RECK and represents a potential marker for patients with PCa.","author":[{"dropping-particle":"","family":"Chen","given":"Ran","non-dropping-particle":"","parse-names":false,"suffix":""},{"dropping-particle":"","family":"Sheng","given":"Lu","non-dropping-particle":"","parse-names":false,"suffix":""},{"dropping-particle":"","family":"Zhang","given":"Hao Jie","non-dropping-particle":"","parse-names":false,"suffix":""},{"dropping-particle":"","family":"Ji","given":"Ming","non-dropping-particle":"","parse-names":false,"suffix":""},{"dropping-particle":"","family":"Qian","given":"Wei Qing","non-dropping-particle":"","parse-names":false,"suffix":""}],"container-title":"Journal of Cellular and Molecular Medicine","id":"ITEM-1","issue":"3","issued":{"date-parts":[["2018"]]},"page":"1855-1863","title":"miR-15b-5p facilitates the tumorigenicity by targeting RECK and predicts tumour recurrence in prostate cancer","type":"article-journal","volume":"22"},"uris":["http://www.mendeley.com/documents/?uuid=a35a4a46-36f0-452b-997f-153ed1eb6864"]}],"mendeley":{"formattedCitation":"&lt;sup&gt;132&lt;/sup&gt;","plainTextFormattedCitation":"132","previouslyFormattedCitation":"[132]"},"properties":{"noteIndex":0},"schema":"https://github.com/citation-style-language/schema/raw/master/csl-citation.json"}</w:instrText>
      </w:r>
      <w:r>
        <w:rPr>
          <w:lang w:val="en-GB"/>
        </w:rPr>
        <w:fldChar w:fldCharType="separate"/>
      </w:r>
      <w:r w:rsidR="000C069C" w:rsidRPr="000C069C">
        <w:rPr>
          <w:noProof/>
          <w:vertAlign w:val="superscript"/>
          <w:lang w:val="en-GB"/>
        </w:rPr>
        <w:t>132</w:t>
      </w:r>
      <w:r>
        <w:rPr>
          <w:lang w:val="en-GB"/>
        </w:rPr>
        <w:fldChar w:fldCharType="end"/>
      </w:r>
      <w:r>
        <w:rPr>
          <w:lang w:val="en-GB"/>
        </w:rPr>
        <w:t>. Our data did not associate marked upregulation of miR‑15b with clinical stage or individual grade groups but they confirmed its diagnostic and prognostic potential to differentiate between low, intermediate, and high-risk prostate cancer.</w:t>
      </w:r>
    </w:p>
    <w:p w14:paraId="1BE6C96D" w14:textId="36C7E36F" w:rsidR="00EE7EB3" w:rsidRDefault="00EE7EB3" w:rsidP="00EE7EB3">
      <w:pPr>
        <w:pStyle w:val="Dalodstavce"/>
        <w:rPr>
          <w:lang w:val="en-GB"/>
        </w:rPr>
      </w:pPr>
      <w:r>
        <w:rPr>
          <w:lang w:val="en-GB"/>
        </w:rPr>
        <w:t>In our study we have also discovered significant association between PSA concentration and a change in miRNA expression levels. Two miRNAs, miR‑103a‑3p and miR‑</w:t>
      </w:r>
      <w:r w:rsidRPr="00C83EDC">
        <w:rPr>
          <w:lang w:val="en-GB"/>
        </w:rPr>
        <w:t>106b</w:t>
      </w:r>
      <w:r>
        <w:rPr>
          <w:lang w:val="en-GB"/>
        </w:rPr>
        <w:t xml:space="preserve">‑5p, can differentiate between patients with PSA levels below 10 </w:t>
      </w:r>
      <w:r w:rsidRPr="00145FB2">
        <w:rPr>
          <w:lang w:val="en-GB"/>
        </w:rPr>
        <w:t>ng·</w:t>
      </w:r>
      <w:r>
        <w:rPr>
          <w:lang w:val="en-GB"/>
        </w:rPr>
        <w:t>µl</w:t>
      </w:r>
      <w:r w:rsidRPr="002C6FB1">
        <w:rPr>
          <w:vertAlign w:val="superscript"/>
          <w:lang w:val="en-GB"/>
        </w:rPr>
        <w:t>-1</w:t>
      </w:r>
      <w:r>
        <w:rPr>
          <w:lang w:val="en-GB"/>
        </w:rPr>
        <w:t xml:space="preserve"> and patients with PSA above 20 </w:t>
      </w:r>
      <w:r w:rsidRPr="00145FB2">
        <w:rPr>
          <w:lang w:val="en-GB"/>
        </w:rPr>
        <w:t>ng·</w:t>
      </w:r>
      <w:r>
        <w:rPr>
          <w:lang w:val="en-GB"/>
        </w:rPr>
        <w:t>µl</w:t>
      </w:r>
      <w:r w:rsidRPr="002C6FB1">
        <w:rPr>
          <w:vertAlign w:val="superscript"/>
          <w:lang w:val="en-GB"/>
        </w:rPr>
        <w:t>-1</w:t>
      </w:r>
      <w:r>
        <w:rPr>
          <w:lang w:val="en-GB"/>
        </w:rPr>
        <w:t>. In case of miR‑</w:t>
      </w:r>
      <w:r w:rsidRPr="00C83EDC">
        <w:rPr>
          <w:lang w:val="en-GB"/>
        </w:rPr>
        <w:t>106b</w:t>
      </w:r>
      <w:r>
        <w:rPr>
          <w:lang w:val="en-GB"/>
        </w:rPr>
        <w:t>‑5p, it can stratify patients based on the PSA cut-off limit of 10 </w:t>
      </w:r>
      <w:r w:rsidRPr="00145FB2">
        <w:rPr>
          <w:lang w:val="en-GB"/>
        </w:rPr>
        <w:t>ng·</w:t>
      </w:r>
      <w:r>
        <w:rPr>
          <w:lang w:val="en-GB"/>
        </w:rPr>
        <w:t>µl</w:t>
      </w:r>
      <w:r w:rsidRPr="002C6FB1">
        <w:rPr>
          <w:vertAlign w:val="superscript"/>
          <w:lang w:val="en-GB"/>
        </w:rPr>
        <w:t>-1</w:t>
      </w:r>
      <w:r>
        <w:rPr>
          <w:lang w:val="en-GB"/>
        </w:rPr>
        <w:t>. Human miR‑</w:t>
      </w:r>
      <w:r w:rsidRPr="00343711">
        <w:rPr>
          <w:lang w:val="en-GB"/>
        </w:rPr>
        <w:t>106b</w:t>
      </w:r>
      <w:r>
        <w:rPr>
          <w:lang w:val="en-GB"/>
        </w:rPr>
        <w:t>‑5p belongs to the miR‑</w:t>
      </w:r>
      <w:r w:rsidRPr="00CC1669">
        <w:rPr>
          <w:lang w:val="en-GB"/>
        </w:rPr>
        <w:t>106b</w:t>
      </w:r>
      <w:r w:rsidRPr="00112539">
        <w:rPr>
          <w:rFonts w:ascii="Cambria Math" w:hAnsi="Cambria Math" w:cs="Cambria Math"/>
          <w:lang w:val="en-GB"/>
        </w:rPr>
        <w:t>∼</w:t>
      </w:r>
      <w:r w:rsidRPr="00CC1669">
        <w:rPr>
          <w:lang w:val="en-GB"/>
        </w:rPr>
        <w:t>25 cluster</w:t>
      </w:r>
      <w:r>
        <w:rPr>
          <w:lang w:val="en-GB"/>
        </w:rPr>
        <w:t xml:space="preserve"> that contains two other miRNAs (miR‑25 and miR‑93‑5p, </w:t>
      </w:r>
      <w:r w:rsidRPr="00D20DAC">
        <w:rPr>
          <w:lang w:val="en-GB"/>
        </w:rPr>
        <w:t>which was among potential markers selected for</w:t>
      </w:r>
      <w:r>
        <w:rPr>
          <w:lang w:val="en-GB"/>
        </w:rPr>
        <w:t xml:space="preserve"> the</w:t>
      </w:r>
      <w:r w:rsidRPr="00D20DAC">
        <w:rPr>
          <w:lang w:val="en-GB"/>
        </w:rPr>
        <w:t xml:space="preserve"> validation part of </w:t>
      </w:r>
      <w:r>
        <w:rPr>
          <w:lang w:val="en-GB"/>
        </w:rPr>
        <w:t xml:space="preserve">the </w:t>
      </w:r>
      <w:r w:rsidRPr="00D20DAC">
        <w:rPr>
          <w:lang w:val="en-GB"/>
        </w:rPr>
        <w:t>study</w:t>
      </w:r>
      <w:r>
        <w:rPr>
          <w:lang w:val="en-GB"/>
        </w:rPr>
        <w:t>). Genes encoding the</w:t>
      </w:r>
      <w:r w:rsidRPr="00CC1669">
        <w:rPr>
          <w:lang w:val="en-GB"/>
        </w:rPr>
        <w:t xml:space="preserve"> cluster</w:t>
      </w:r>
      <w:r>
        <w:rPr>
          <w:lang w:val="en-GB"/>
        </w:rPr>
        <w:t xml:space="preserve"> are located on chromosome seven </w:t>
      </w:r>
      <w:r w:rsidRPr="00CC1669">
        <w:rPr>
          <w:lang w:val="en-GB"/>
        </w:rPr>
        <w:t>in intron 13 of</w:t>
      </w:r>
      <w:r>
        <w:rPr>
          <w:lang w:val="en-GB"/>
        </w:rPr>
        <w:t xml:space="preserve"> </w:t>
      </w:r>
      <w:proofErr w:type="spellStart"/>
      <w:r w:rsidRPr="00CC1669">
        <w:rPr>
          <w:lang w:val="en-GB"/>
        </w:rPr>
        <w:t>minichromosome</w:t>
      </w:r>
      <w:proofErr w:type="spellEnd"/>
      <w:r w:rsidRPr="00CC1669">
        <w:rPr>
          <w:lang w:val="en-GB"/>
        </w:rPr>
        <w:t xml:space="preserve"> maintenance protein 7 </w:t>
      </w:r>
      <w:r>
        <w:rPr>
          <w:lang w:val="en-GB"/>
        </w:rPr>
        <w:t>(</w:t>
      </w:r>
      <w:r w:rsidRPr="007671EB">
        <w:rPr>
          <w:i/>
          <w:iCs/>
          <w:lang w:val="en-GB"/>
        </w:rPr>
        <w:t>MCM7</w:t>
      </w:r>
      <w:r>
        <w:rPr>
          <w:lang w:val="en-GB"/>
        </w:rPr>
        <w:t xml:space="preserve">) </w:t>
      </w:r>
      <w:r w:rsidRPr="00CC1669">
        <w:rPr>
          <w:lang w:val="en-GB"/>
        </w:rPr>
        <w:t>gene</w:t>
      </w:r>
      <w:r>
        <w:rPr>
          <w:lang w:val="en-GB"/>
        </w:rPr>
        <w:t xml:space="preserve">. </w:t>
      </w:r>
      <w:r w:rsidRPr="00D20DAC">
        <w:rPr>
          <w:i/>
          <w:iCs/>
          <w:lang w:val="en-GB"/>
        </w:rPr>
        <w:t xml:space="preserve">MCM7 </w:t>
      </w:r>
      <w:r>
        <w:rPr>
          <w:lang w:val="en-GB"/>
        </w:rPr>
        <w:t xml:space="preserve">overexpression has been detected in </w:t>
      </w:r>
      <w:proofErr w:type="spellStart"/>
      <w:r>
        <w:rPr>
          <w:lang w:val="en-GB"/>
        </w:rPr>
        <w:t>PCa</w:t>
      </w:r>
      <w:proofErr w:type="spellEnd"/>
      <w:r>
        <w:rPr>
          <w:lang w:val="en-GB"/>
        </w:rPr>
        <w:t xml:space="preserve"> advancement and recurrence and it has been implicated in a range of other malignancies.</w:t>
      </w:r>
      <w:r w:rsidRPr="00271821">
        <w:rPr>
          <w:lang w:val="en-GB"/>
        </w:rPr>
        <w:t xml:space="preserve"> </w:t>
      </w:r>
      <w:r>
        <w:rPr>
          <w:lang w:val="en-GB"/>
        </w:rPr>
        <w:t xml:space="preserve">Experiments with prostate cancer cell lines observed marked upregulation of </w:t>
      </w:r>
      <w:r>
        <w:rPr>
          <w:i/>
          <w:iCs/>
          <w:lang w:val="en-GB"/>
        </w:rPr>
        <w:t>miR‑</w:t>
      </w:r>
      <w:r w:rsidRPr="005E260E">
        <w:rPr>
          <w:i/>
          <w:iCs/>
          <w:lang w:val="en-GB"/>
        </w:rPr>
        <w:t>106b</w:t>
      </w:r>
      <w:r w:rsidRPr="005E260E">
        <w:rPr>
          <w:rFonts w:ascii="Cambria Math" w:hAnsi="Cambria Math" w:cs="Cambria Math"/>
          <w:i/>
          <w:iCs/>
          <w:lang w:val="en-GB"/>
        </w:rPr>
        <w:t>∼</w:t>
      </w:r>
      <w:r w:rsidRPr="005E260E">
        <w:rPr>
          <w:i/>
          <w:iCs/>
          <w:lang w:val="en-GB"/>
        </w:rPr>
        <w:t>25</w:t>
      </w:r>
      <w:r w:rsidRPr="00CC1669">
        <w:rPr>
          <w:lang w:val="en-GB"/>
        </w:rPr>
        <w:t xml:space="preserve"> cluster</w:t>
      </w:r>
      <w:r>
        <w:rPr>
          <w:lang w:val="en-GB"/>
        </w:rPr>
        <w:t xml:space="preserve"> relative to non-tumour cell lines</w:t>
      </w:r>
      <w:r>
        <w:rPr>
          <w:lang w:val="en-GB"/>
        </w:rPr>
        <w:fldChar w:fldCharType="begin" w:fldLock="1"/>
      </w:r>
      <w:r w:rsidR="000C069C">
        <w:rPr>
          <w:lang w:val="en-GB"/>
        </w:rPr>
        <w:instrText>ADDIN CSL_CITATION {"citationItems":[{"id":"ITEM-1","itemData":{"DOI":"10.1186/1475-2867-9-21","ISSN":"14752867","abstract":"Background: Recent data show aberrant and altered expression of regulatory noncoding micro (mi) RNAs in prostate cancer (PCa). A large number of miRNAs are encoded in organized intronic clusters within many protein coding genes. While expression profiling studies of miRNAs are common place, little is known about the host gene and their resident miRNAs coordinated expression in PCa cells. Furthermore, whether expression of a subset of miRNAs is distinct in androgen-responsive and androgen-independent cells is not clear. Here we have examined the expression of mature miRNAs of miR 17-92, miR 106b-25 and miR 23b-24 clusters along with their host genes C13orf25, MCM7 and AMPO respectively in PCa cell lines. Results: The expression profiling of miRNAs and host genes was performed in androgen-sensitive MDA PCa 2b and LNCaP as well as in androgen-refractory PC-3 and DU 145 cell culture models of PCa. No significant correlation between the miRNA expression and the intrinsic hormone-responsive property of PCa cells was observed. Androgen-sensitive MDA PCa 2b cells exhibited the highest level of expression of most miRNAs studied in this report. We found significant expression variations between host genes and their resident miRNAs. The expressions of C13orf25 and miR 17-92 cluster as well as MCM7 and miR 106b-25 cluster did not reveal statistically significant correlation, thus suggesting that host genes and resident miRNAs may be expressed independent of each other. Conclusion: Our results suggest that miRNA expression profiles may not predict intrinsic hormone-sensitive environment of PCa cells. More importantly, our data indicate the possibility of additional novel mechanisms for intronic miRNA processing in PCa cells. © 2009 Sikand et al; licensee BioMed Central Ltd.","author":[{"dropping-particle":"","family":"Sikand","given":"Kavleen","non-dropping-particle":"","parse-names":false,"suffix":""},{"dropping-particle":"","family":"Slane","given":"Stephen D.","non-dropping-particle":"","parse-names":false,"suffix":""},{"dropping-particle":"","family":"Shukla","given":"Girish C.","non-dropping-particle":"","parse-names":false,"suffix":""}],"container-title":"Cancer Cell International","id":"ITEM-1","issued":{"date-parts":[["2009"]]},"page":"21","title":"Intrinsic expression of host genes and intronic miRNAs in prostate carcinoma cells","type":"article-journal","volume":"9"},"uris":["http://www.mendeley.com/documents/?uuid=39e836ad-a477-4e51-92a3-1f69ad3bd22d"]}],"mendeley":{"formattedCitation":"&lt;sup&gt;133&lt;/sup&gt;","plainTextFormattedCitation":"133","previouslyFormattedCitation":"[133]"},"properties":{"noteIndex":0},"schema":"https://github.com/citation-style-language/schema/raw/master/csl-citation.json"}</w:instrText>
      </w:r>
      <w:r>
        <w:rPr>
          <w:lang w:val="en-GB"/>
        </w:rPr>
        <w:fldChar w:fldCharType="separate"/>
      </w:r>
      <w:r w:rsidR="000C069C" w:rsidRPr="000C069C">
        <w:rPr>
          <w:noProof/>
          <w:vertAlign w:val="superscript"/>
          <w:lang w:val="en-GB"/>
        </w:rPr>
        <w:t>133</w:t>
      </w:r>
      <w:r>
        <w:rPr>
          <w:lang w:val="en-GB"/>
        </w:rPr>
        <w:fldChar w:fldCharType="end"/>
      </w:r>
      <w:r>
        <w:rPr>
          <w:lang w:val="en-GB"/>
        </w:rPr>
        <w:t xml:space="preserve">. </w:t>
      </w:r>
      <w:proofErr w:type="spellStart"/>
      <w:r>
        <w:rPr>
          <w:lang w:val="en-GB"/>
        </w:rPr>
        <w:t>Poliseno</w:t>
      </w:r>
      <w:proofErr w:type="spellEnd"/>
      <w:r>
        <w:rPr>
          <w:lang w:val="en-GB"/>
        </w:rPr>
        <w:t xml:space="preserve"> and colleagues found an inverse correlation between the levels of tumour suppressor PTEN and the expression of each </w:t>
      </w:r>
      <w:r>
        <w:rPr>
          <w:lang w:val="en-GB"/>
        </w:rPr>
        <w:lastRenderedPageBreak/>
        <w:t xml:space="preserve">miRNA in the cluster. Moreover, the authors showed that the cooperation of miR‑93 and miR‑106b with miR‑25 enhanced </w:t>
      </w:r>
      <w:r w:rsidRPr="005E260E">
        <w:rPr>
          <w:i/>
          <w:iCs/>
          <w:lang w:val="en-GB"/>
        </w:rPr>
        <w:t>PTEN</w:t>
      </w:r>
      <w:r>
        <w:rPr>
          <w:lang w:val="en-GB"/>
        </w:rPr>
        <w:t xml:space="preserve"> downregulation which indicated their tumour-promoting potential</w:t>
      </w:r>
      <w:r>
        <w:rPr>
          <w:lang w:val="en-GB"/>
        </w:rPr>
        <w:fldChar w:fldCharType="begin" w:fldLock="1"/>
      </w:r>
      <w:r w:rsidR="000C069C">
        <w:rPr>
          <w:lang w:val="en-GB"/>
        </w:rPr>
        <w:instrText>ADDIN CSL_CITATION {"citationItems":[{"id":"ITEM-1","itemData":{"DOI":"10.1126/scisignal.2000594.Identification","author":[{"dropping-particle":"","family":"Poliseno","given":"Laura","non-dropping-particle":"","parse-names":false,"suffix":""},{"dropping-particle":"","family":"Salmena","given":"Leonardo","non-dropping-particle":"","parse-names":false,"suffix":""},{"dropping-particle":"","family":"Riccardi","given":"Luisa","non-dropping-particle":"","parse-names":false,"suffix":""},{"dropping-particle":"","family":"Fornari","given":"Alessandro","non-dropping-particle":"","parse-names":false,"suffix":""},{"dropping-particle":"","family":"Sup","given":"Min","non-dropping-particle":"","parse-names":false,"suffix":""},{"dropping-particle":"","family":"Hobbs","given":"Robin M","non-dropping-particle":"","parse-names":false,"suffix":""},{"dropping-particle":"","family":"Sportoletti","given":"Paolo","non-dropping-particle":"","parse-names":false,"suffix":""},{"dropping-particle":"","family":"Varmeh","given":"Shorheh","non-dropping-particle":"","parse-names":false,"suffix":""},{"dropping-particle":"","family":"Egia","given":"Ainara","non-dropping-particle":"","parse-names":false,"suffix":""},{"dropping-particle":"","family":"Rameh","given":"Lucia","non-dropping-particle":"","parse-names":false,"suffix":""},{"dropping-particle":"","family":"Loda","given":"Massimo","non-dropping-particle":"","parse-names":false,"suffix":""},{"dropping-particle":"","family":"Pandolfi","given":"Pier Paolo","non-dropping-particle":"","parse-names":false,"suffix":""}],"container-title":"Science Signaling","id":"ITEM-1","issue":"117","issued":{"date-parts":[["2010"]]},"page":"1-27","title":"Identification of the miR-106b-25 microRNA cluster as a protooncogenic PTEN","type":"article-journal","volume":"3"},"uris":["http://www.mendeley.com/documents/?uuid=1fee18fd-15fc-4b46-b5b7-3b74d43e352e"]}],"mendeley":{"formattedCitation":"&lt;sup&gt;134&lt;/sup&gt;","plainTextFormattedCitation":"134","previouslyFormattedCitation":"[134]"},"properties":{"noteIndex":0},"schema":"https://github.com/citation-style-language/schema/raw/master/csl-citation.json"}</w:instrText>
      </w:r>
      <w:r>
        <w:rPr>
          <w:lang w:val="en-GB"/>
        </w:rPr>
        <w:fldChar w:fldCharType="separate"/>
      </w:r>
      <w:r w:rsidR="000C069C" w:rsidRPr="000C069C">
        <w:rPr>
          <w:noProof/>
          <w:vertAlign w:val="superscript"/>
          <w:lang w:val="en-GB"/>
        </w:rPr>
        <w:t>134</w:t>
      </w:r>
      <w:r>
        <w:rPr>
          <w:lang w:val="en-GB"/>
        </w:rPr>
        <w:fldChar w:fldCharType="end"/>
      </w:r>
      <w:r>
        <w:rPr>
          <w:lang w:val="en-GB"/>
        </w:rPr>
        <w:t xml:space="preserve">. Interestingly, in the discovery part our miRNA profiling, both miR‑106b and miR‑93 levels were significantly increased in aggressive prostate cancer, but the difference in expression was not confirmed for miR‑93‑5p in the independent cohort. </w:t>
      </w:r>
      <w:proofErr w:type="spellStart"/>
      <w:r>
        <w:rPr>
          <w:lang w:val="en-GB"/>
        </w:rPr>
        <w:t>Ambs</w:t>
      </w:r>
      <w:proofErr w:type="spellEnd"/>
      <w:r>
        <w:rPr>
          <w:lang w:val="en-GB"/>
        </w:rPr>
        <w:t xml:space="preserve"> </w:t>
      </w:r>
      <w:r w:rsidRPr="00343711">
        <w:rPr>
          <w:i/>
          <w:iCs/>
          <w:lang w:val="en-GB"/>
        </w:rPr>
        <w:t>et al</w:t>
      </w:r>
      <w:r>
        <w:rPr>
          <w:lang w:val="en-GB"/>
        </w:rPr>
        <w:t xml:space="preserve">. </w:t>
      </w:r>
      <w:r w:rsidRPr="00343711">
        <w:rPr>
          <w:lang w:val="en-GB"/>
        </w:rPr>
        <w:t xml:space="preserve">observed 1.4-fold change upregulation of </w:t>
      </w:r>
      <w:r>
        <w:rPr>
          <w:lang w:val="en-GB"/>
        </w:rPr>
        <w:t>miR‑</w:t>
      </w:r>
      <w:r w:rsidRPr="00343711">
        <w:rPr>
          <w:lang w:val="en-GB"/>
        </w:rPr>
        <w:t>106b</w:t>
      </w:r>
      <w:r>
        <w:rPr>
          <w:lang w:val="en-GB"/>
        </w:rPr>
        <w:t>‑5p</w:t>
      </w:r>
      <w:r w:rsidRPr="00343711">
        <w:rPr>
          <w:lang w:val="en-GB"/>
        </w:rPr>
        <w:t xml:space="preserve"> in prostate tumours compared to nontumor tissues</w:t>
      </w:r>
      <w:r w:rsidR="00350E77">
        <w:rPr>
          <w:lang w:val="en-GB"/>
        </w:rPr>
        <w:fldChar w:fldCharType="begin" w:fldLock="1"/>
      </w:r>
      <w:r w:rsidR="000C069C">
        <w:rPr>
          <w:lang w:val="en-GB"/>
        </w:rPr>
        <w:instrText>ADDIN CSL_CITATION {"citationItems":[{"id":"ITEM-1","itemData":{"DOI":"10.1158/0008-5472.CAN-08-0144","ISBN":"3014960497","ISSN":"00085472","abstract":"MicroRNAs are small noncoding RNAs that regulate the expression of protein-coding genes. To evaluate the involvement of microRNAs in prostate cancer, we determined genome-wide expression of microRNAs and mRNAs in 60 primary prostate tumors and 16 nontumor prostate tissues. The mRNA analysis revealed that key components of micro-RNA processing and several microRNA host genes, e.g., MCM7 and C9orf5, were significantly up-regulated in prostate tumors. Consistent with these findings, tumors expressed the miR-106b-25 cluster, which maps to intron 13 of MCM7, and miR-32, which maps to intron 14 of C9orf5, at significantly higher levels than nontumor prostate. The expression levels of other microRNAs, including a number of miR-106b-25 cluster homologues, were also altered in prostate tumors. Additional differences in microRNA abundance were found between organ-confined tumors and those with extraprostatic disease extension. Lastly, we found evidence that some microRNAs are androgen-regulated and that tumor microRNAs influence transcript abundance of protein-coding target genes in the cancerous prostate. In cell culture, E2F1 and p21/WAF1 were identified as targets of miR-106b, Bimof miR-32, and exportin-6 and protein tyrosine kinase 9 of miR-1. In summary, microRNA expression becomes altered with the development and progression of prostate cancer. Some of these microRNAs regulate the expression of cancer-related genes in prostate cancer cells. ©2008 American Association for Cancer Research.","author":[{"dropping-particle":"","family":"Ambs","given":"Stefan","non-dropping-particle":"","parse-names":false,"suffix":""},{"dropping-particle":"","family":"Prueitt","given":"Robyn L.","non-dropping-particle":"","parse-names":false,"suffix":""},{"dropping-particle":"","family":"Yi","given":"Ming","non-dropping-particle":"","parse-names":false,"suffix":""},{"dropping-particle":"","family":"Hudson","given":"Robert S.","non-dropping-particle":"","parse-names":false,"suffix":""},{"dropping-particle":"","family":"Howe","given":"Tiffany M.","non-dropping-particle":"","parse-names":false,"suffix":""},{"dropping-particle":"","family":"Petrocca","given":"Fabio","non-dropping-particle":"","parse-names":false,"suffix":""},{"dropping-particle":"","family":"Wallace","given":"Tiffany A.","non-dropping-particle":"","parse-names":false,"suffix":""},{"dropping-particle":"","family":"Liu","given":"Chang Gong","non-dropping-particle":"","parse-names":false,"suffix":""},{"dropping-particle":"","family":"Volinia","given":"Stefano","non-dropping-particle":"","parse-names":false,"suffix":""},{"dropping-particle":"","family":"Calin","given":"George A.","non-dropping-particle":"","parse-names":false,"suffix":""},{"dropping-particle":"","family":"Yfantis","given":"Harris G.","non-dropping-particle":"","parse-names":false,"suffix":""},{"dropping-particle":"","family":"Stephens","given":"Robert M.","non-dropping-particle":"","parse-names":false,"suffix":""},{"dropping-particle":"","family":"Croce","given":"Carlo M.","non-dropping-particle":"","parse-names":false,"suffix":""}],"container-title":"Cancer Research","id":"ITEM-1","issue":"15","issued":{"date-parts":[["2008"]]},"page":"6162-6170","title":"Genomic profiling of microRNA and messenger RNA reveals deregulated microRNA expression in prostate cancer","type":"article-journal","volume":"68"},"uris":["http://www.mendeley.com/documents/?uuid=29d5f29d-832b-4d6d-9c07-a7289bdb9bd3"]}],"mendeley":{"formattedCitation":"&lt;sup&gt;135&lt;/sup&gt;","plainTextFormattedCitation":"135","previouslyFormattedCitation":"[135]"},"properties":{"noteIndex":0},"schema":"https://github.com/citation-style-language/schema/raw/master/csl-citation.json"}</w:instrText>
      </w:r>
      <w:r w:rsidR="00350E77">
        <w:rPr>
          <w:lang w:val="en-GB"/>
        </w:rPr>
        <w:fldChar w:fldCharType="separate"/>
      </w:r>
      <w:r w:rsidR="000C069C" w:rsidRPr="000C069C">
        <w:rPr>
          <w:noProof/>
          <w:vertAlign w:val="superscript"/>
          <w:lang w:val="en-GB"/>
        </w:rPr>
        <w:t>135</w:t>
      </w:r>
      <w:r w:rsidR="00350E77">
        <w:rPr>
          <w:lang w:val="en-GB"/>
        </w:rPr>
        <w:fldChar w:fldCharType="end"/>
      </w:r>
      <w:r>
        <w:rPr>
          <w:lang w:val="en-GB"/>
        </w:rPr>
        <w:t>.</w:t>
      </w:r>
      <w:r w:rsidRPr="00343711">
        <w:rPr>
          <w:lang w:val="en-GB"/>
        </w:rPr>
        <w:t xml:space="preserve"> </w:t>
      </w:r>
      <w:proofErr w:type="spellStart"/>
      <w:r>
        <w:rPr>
          <w:lang w:val="en-GB"/>
        </w:rPr>
        <w:t>Jin</w:t>
      </w:r>
      <w:proofErr w:type="spellEnd"/>
      <w:r>
        <w:rPr>
          <w:lang w:val="en-GB"/>
        </w:rPr>
        <w:t> </w:t>
      </w:r>
      <w:r w:rsidRPr="00FE171B">
        <w:rPr>
          <w:i/>
          <w:iCs/>
          <w:lang w:val="en-GB"/>
        </w:rPr>
        <w:t>et</w:t>
      </w:r>
      <w:r>
        <w:rPr>
          <w:i/>
          <w:iCs/>
          <w:lang w:val="en-GB"/>
        </w:rPr>
        <w:t> </w:t>
      </w:r>
      <w:r w:rsidRPr="00FE171B">
        <w:rPr>
          <w:i/>
          <w:iCs/>
          <w:lang w:val="en-GB"/>
        </w:rPr>
        <w:t>al</w:t>
      </w:r>
      <w:r>
        <w:rPr>
          <w:lang w:val="en-GB"/>
        </w:rPr>
        <w:t>. explored miR‑</w:t>
      </w:r>
      <w:r w:rsidRPr="00343711">
        <w:rPr>
          <w:lang w:val="en-GB"/>
        </w:rPr>
        <w:t>106b</w:t>
      </w:r>
      <w:r>
        <w:rPr>
          <w:lang w:val="en-GB"/>
        </w:rPr>
        <w:t>‑5p</w:t>
      </w:r>
      <w:r w:rsidRPr="00343711">
        <w:rPr>
          <w:lang w:val="en-GB"/>
        </w:rPr>
        <w:t xml:space="preserve"> serum levels </w:t>
      </w:r>
      <w:r>
        <w:rPr>
          <w:lang w:val="en-GB"/>
        </w:rPr>
        <w:t>in</w:t>
      </w:r>
      <w:r w:rsidRPr="00343711">
        <w:rPr>
          <w:lang w:val="en-GB"/>
        </w:rPr>
        <w:t xml:space="preserve"> BPH and </w:t>
      </w:r>
      <w:proofErr w:type="spellStart"/>
      <w:r w:rsidRPr="00343711">
        <w:rPr>
          <w:lang w:val="en-GB"/>
        </w:rPr>
        <w:t>PCa</w:t>
      </w:r>
      <w:proofErr w:type="spellEnd"/>
      <w:r w:rsidRPr="00343711">
        <w:rPr>
          <w:lang w:val="en-GB"/>
        </w:rPr>
        <w:t xml:space="preserve"> patients </w:t>
      </w:r>
      <w:r>
        <w:rPr>
          <w:lang w:val="en-GB"/>
        </w:rPr>
        <w:t xml:space="preserve">but did </w:t>
      </w:r>
      <w:r w:rsidRPr="00343711">
        <w:rPr>
          <w:lang w:val="en-GB"/>
        </w:rPr>
        <w:t>no</w:t>
      </w:r>
      <w:r>
        <w:rPr>
          <w:lang w:val="en-GB"/>
        </w:rPr>
        <w:t>t</w:t>
      </w:r>
      <w:r w:rsidRPr="00343711">
        <w:rPr>
          <w:lang w:val="en-GB"/>
        </w:rPr>
        <w:t xml:space="preserve"> </w:t>
      </w:r>
      <w:r>
        <w:rPr>
          <w:lang w:val="en-GB"/>
        </w:rPr>
        <w:t xml:space="preserve">find </w:t>
      </w:r>
      <w:r w:rsidR="00155472">
        <w:rPr>
          <w:lang w:val="en-GB"/>
        </w:rPr>
        <w:br/>
      </w:r>
      <w:r>
        <w:rPr>
          <w:lang w:val="en-GB"/>
        </w:rPr>
        <w:t xml:space="preserve">a </w:t>
      </w:r>
      <w:r w:rsidRPr="00343711">
        <w:rPr>
          <w:lang w:val="en-GB"/>
        </w:rPr>
        <w:t>significant difference in their expression</w:t>
      </w:r>
      <w:r>
        <w:rPr>
          <w:lang w:val="en-GB"/>
        </w:rPr>
        <w:t xml:space="preserve"> between the two groups</w:t>
      </w:r>
      <w:r>
        <w:rPr>
          <w:lang w:val="en-GB"/>
        </w:rPr>
        <w:fldChar w:fldCharType="begin" w:fldLock="1"/>
      </w:r>
      <w:r w:rsidR="000C069C">
        <w:rPr>
          <w:lang w:val="en-GB"/>
        </w:rPr>
        <w:instrText>ADDIN CSL_CITATION {"citationItems":[{"id":"ITEM-1","itemData":{"DOI":"10.1155/2020/5873056","ISSN":"23147156","PMID":"32455140","abstract":"Body fluids often contain freely circulating nucleic acids, many of which can be exploited as noninvasive tools for the diagnosis of cancer as well as for clinical prognostication. Identifying microRNAs (miRNAs) in subjects' blood with various malignancies means that they can serve as novel biomarkers for prostate cancer (PCa) diagnosis. This study analyzed serum-circulating miRNAs as a noninvasive biomarker in subjects with PCa and subjects with benign prostatic hyperplasia (BPH). In total, 31 PCa subjects and 31 BPH subjects were included, with the BPH group serving as the control group. RT-qPCR was used to quantify the levels of 10 miRNAs, which included miR-18a, miR-34a, miR-106b, miR-183, miR-200a, miR-301a, miR-141, miR-182, miR-200b, and miR-375 in serum. Statistical tests were used to assess the relationship between the levels of miRNAs and the clinicopathological data. A significant increase was observed in the relative expression ratios of miR-141, miR-182, miR-200b, and miR-375 (1.89-, 2.09-, 2.41-, and 2.27-folds, respectively) in the PCa group when compared to the BPH group. Based on the receiver operating characteristic (ROC) analysis, the largest area under the curve (AUC), 0.923, was associated with the miR-200b group, indicating effective diagnostic properties for this biomarker. A correlation was observed between total prostate-specific antigen (TPSA) and the relative levels of miR-141, miR-182, miR-200b, and miR-375. The Gleason score and the miR-200b expression level were also correlated. These results are consistent with previous studies regarding the possibility of differentiating between PCa subjects and healthy controls based on the detection of miRNA. The findings attest to a distinctive expression profile of miRNA that is detectable in the blood of PCa subjects, thereby confirming the role of miRNAs as diagnostic biomarkers for PCa.","author":[{"dropping-particle":"","family":"Jin","given":"Wei","non-dropping-particle":"","parse-names":false,"suffix":""},{"dropping-particle":"","family":"Fei","given":"Xiang","non-dropping-particle":"","parse-names":false,"suffix":""},{"dropping-particle":"","family":"Wang","given":"Xia","non-dropping-particle":"","parse-names":false,"suffix":""},{"dropping-particle":"","family":"Chen","given":"Fangjie","non-dropping-particle":"","parse-names":false,"suffix":""},{"dropping-particle":"","family":"Song","given":"Yan","non-dropping-particle":"","parse-names":false,"suffix":""}],"container-title":"Journal of Immunology Research","id":"ITEM-1","issued":{"date-parts":[["2020"]]},"publisher":"Hindawi","title":"Circulating miRNAs as Biomarkers for Prostate Cancer Diagnosis in Subjects with Benign Prostatic Hyperplasia","type":"article-journal","volume":"2020"},"uris":["http://www.mendeley.com/documents/?uuid=64b68f75-b19f-4c32-ab5e-87107adbb1c5"]}],"mendeley":{"formattedCitation":"&lt;sup&gt;136&lt;/sup&gt;","plainTextFormattedCitation":"136","previouslyFormattedCitation":"[136]"},"properties":{"noteIndex":0},"schema":"https://github.com/citation-style-language/schema/raw/master/csl-citation.json"}</w:instrText>
      </w:r>
      <w:r>
        <w:rPr>
          <w:lang w:val="en-GB"/>
        </w:rPr>
        <w:fldChar w:fldCharType="separate"/>
      </w:r>
      <w:r w:rsidR="000C069C" w:rsidRPr="000C069C">
        <w:rPr>
          <w:noProof/>
          <w:vertAlign w:val="superscript"/>
          <w:lang w:val="en-GB"/>
        </w:rPr>
        <w:t>136</w:t>
      </w:r>
      <w:r>
        <w:rPr>
          <w:lang w:val="en-GB"/>
        </w:rPr>
        <w:fldChar w:fldCharType="end"/>
      </w:r>
      <w:r>
        <w:rPr>
          <w:lang w:val="en-GB"/>
        </w:rPr>
        <w:t xml:space="preserve">. </w:t>
      </w:r>
    </w:p>
    <w:p w14:paraId="7FCA19C2" w14:textId="707CFFE6" w:rsidR="00EE7EB3" w:rsidRDefault="00EE7EB3" w:rsidP="00EE7EB3">
      <w:pPr>
        <w:pStyle w:val="Dalodstavce"/>
        <w:rPr>
          <w:lang w:val="en-GB"/>
        </w:rPr>
      </w:pPr>
      <w:r>
        <w:rPr>
          <w:lang w:val="en-GB"/>
        </w:rPr>
        <w:t>Apart from its association with PSA, miR‑103a‑3p was significantly upregulated in our profiling cohort. Although its ability to discriminate aggressive prostate tumours from indolent tumours was not confirmed in the independent cohort, other research suggests its potential diagnostic role. Aberrant expression of miR‑103a‑3p was investigated in a recent study by Ge </w:t>
      </w:r>
      <w:r w:rsidRPr="002C6AB8">
        <w:rPr>
          <w:i/>
          <w:iCs/>
          <w:lang w:val="en-GB"/>
        </w:rPr>
        <w:t>et</w:t>
      </w:r>
      <w:r>
        <w:rPr>
          <w:i/>
          <w:iCs/>
          <w:lang w:val="en-GB"/>
        </w:rPr>
        <w:t> </w:t>
      </w:r>
      <w:r w:rsidRPr="002C6AB8">
        <w:rPr>
          <w:i/>
          <w:iCs/>
          <w:lang w:val="en-GB"/>
        </w:rPr>
        <w:t>al</w:t>
      </w:r>
      <w:r>
        <w:rPr>
          <w:lang w:val="en-GB"/>
        </w:rPr>
        <w:t xml:space="preserve">. Their results indicated markedly decreased levels of miR‑103a‑3p in prostate tumour tissue and cells compared to normal gland and benign hyperplasia tissue. </w:t>
      </w:r>
      <w:r w:rsidRPr="00614976">
        <w:rPr>
          <w:i/>
          <w:iCs/>
          <w:lang w:val="en-GB"/>
        </w:rPr>
        <w:t>In vitro</w:t>
      </w:r>
      <w:r>
        <w:rPr>
          <w:lang w:val="en-GB"/>
        </w:rPr>
        <w:t xml:space="preserve"> experiments showed that overexpression of miR‑103a‑3p inhibited cell proliferation, migration, invasion, and induced apoptosis, which was further confirmed by </w:t>
      </w:r>
      <w:r w:rsidRPr="00BB50D3">
        <w:rPr>
          <w:i/>
          <w:iCs/>
          <w:lang w:val="en-GB"/>
        </w:rPr>
        <w:t>in vivo</w:t>
      </w:r>
      <w:r>
        <w:rPr>
          <w:lang w:val="en-GB"/>
        </w:rPr>
        <w:t xml:space="preserve"> testing. The authors suggest that miR‑103a‑3p works as a tumour suppressor miRNA by targeting mRNA of </w:t>
      </w:r>
      <w:r w:rsidRPr="00106EDD">
        <w:rPr>
          <w:i/>
          <w:iCs/>
          <w:lang w:val="en-GB"/>
        </w:rPr>
        <w:t>TPD52</w:t>
      </w:r>
      <w:r>
        <w:rPr>
          <w:lang w:val="en-GB"/>
        </w:rPr>
        <w:t xml:space="preserve"> gene, an oncogene, that promotes cell differentiation and metastatic invasiveness in prostate cancer</w:t>
      </w:r>
      <w:r>
        <w:rPr>
          <w:lang w:val="en-GB"/>
        </w:rPr>
        <w:fldChar w:fldCharType="begin" w:fldLock="1"/>
      </w:r>
      <w:r w:rsidR="000C069C">
        <w:rPr>
          <w:lang w:val="en-GB"/>
        </w:rPr>
        <w:instrText>ADDIN CSL_CITATION {"citationItems":[{"id":"ITEM-1","itemData":{"DOI":"10.1080/08941939.2020.1738602","ISSN":"15210553","abstract":"Growing evidence points at an association between microRNAs and tumor development. Although dysregulation of microRNA-103a-3p (miR-103a-3p) in multiple human cancers has been reported, its expression in prostate cancer (PCa) remains unknown and there is currently no research on the relationship between miR-103a-3p and tumor protein D52 (TPD52) in PCa. Our aim in this study was to explore the effect and potential mechanism of miR-103a-3p in PCa. qRT-PCR was performed to detected the level of miR-103a-3p in PCa tissues and cells, and in normal tissues. Colony, wound-healing, invasion, proliferation, and apoptosis assays were performed in search miR-103a-3p effect in PCa. TargetScan was used to predict potential targets of miR-103a-3p. Additionally, dual-luciferase reporter, western blot, and immunofluorescence assays were performed to detected the target gene of miR-103a-3p. Finally, we explore the differences in tumor xenograft experiments between nude mice injected with stably miR-103a-3p expressing cells and those expressing a miR-negative control. Low level of miR-103a-3p was detected in PCa tissues and cells, when compared with normal tissues. Enhancement of miR-103a-3p significantly inhibited migration and invasion of PCa cells, and negatively regulated expression of the oncogenic tumor protein D52 (TPD52) through direct binding to its 3’-UTR. Interestingly, overexpression of TPD52 significantly attenuated the effect of mir-103a-3p on PCa. Our study provides the first evidence that miR-103a-3p directly targets TPD52 and inhibits the proliferation and invasion of PCa. This finding helps clarify the role of mir-103a-3p-TPD52 axis in PCa and may provide new therapeutic targets for the disease.","author":[{"dropping-particle":"","family":"Ge","given":"Jiyue","non-dropping-particle":"","parse-names":false,"suffix":""},{"dropping-particle":"","family":"Mao","given":"Likai","non-dropping-particle":"","parse-names":false,"suffix":""},{"dropping-particle":"","family":"Xu","given":"Weiqiang","non-dropping-particle":"","parse-names":false,"suffix":""},{"dropping-particle":"","family":"Fang","given":"Wenge","non-dropping-particle":"","parse-names":false,"suffix":""},{"dropping-particle":"","family":"Wang","given":"Ningning","non-dropping-particle":"","parse-names":false,"suffix":""},{"dropping-particle":"","family":"Ye","given":"Dawen","non-dropping-particle":"","parse-names":false,"suffix":""},{"dropping-particle":"","family":"Dong","given":"Zhuang","non-dropping-particle":"","parse-names":false,"suffix":""},{"dropping-particle":"","family":"Guan","given":"Han","non-dropping-particle":"","parse-names":false,"suffix":""},{"dropping-particle":"","family":"Guan","given":"Chao","non-dropping-particle":"","parse-names":false,"suffix":""}],"container-title":"Journal of Investigative Surgery","id":"ITEM-1","issue":"0","issued":{"date-parts":[["2020"]]},"page":"1-9","publisher":"Taylor &amp; Francis","title":"miR-103a-3p Suppresses Cell Proliferation and Invasion by Targeting Tumor Protein D52 in Prostate Cancer","type":"article-journal","volume":"0"},"uris":["http://www.mendeley.com/documents/?uuid=b5384802-7cb7-4743-8e7b-2786dd7cccc0"]}],"mendeley":{"formattedCitation":"&lt;sup&gt;137&lt;/sup&gt;","plainTextFormattedCitation":"137","previouslyFormattedCitation":"[137]"},"properties":{"noteIndex":0},"schema":"https://github.com/citation-style-language/schema/raw/master/csl-citation.json"}</w:instrText>
      </w:r>
      <w:r>
        <w:rPr>
          <w:lang w:val="en-GB"/>
        </w:rPr>
        <w:fldChar w:fldCharType="separate"/>
      </w:r>
      <w:r w:rsidR="000C069C" w:rsidRPr="000C069C">
        <w:rPr>
          <w:noProof/>
          <w:vertAlign w:val="superscript"/>
          <w:lang w:val="en-GB"/>
        </w:rPr>
        <w:t>137</w:t>
      </w:r>
      <w:r>
        <w:rPr>
          <w:lang w:val="en-GB"/>
        </w:rPr>
        <w:fldChar w:fldCharType="end"/>
      </w:r>
      <w:r>
        <w:rPr>
          <w:lang w:val="en-GB"/>
        </w:rPr>
        <w:t>. Interestingly, a different group of researchers found upregulated levels of plasma miR‑103a‑3p with malignant prostate disease compared to healthy controls. Their results were validated in an independent cohort and miR‑103a‑3p was included in combination with PSA and let-7a‑5p in a classifier that obtained an AUC of 0.76</w:t>
      </w:r>
      <w:r w:rsidR="00537574">
        <w:rPr>
          <w:lang w:val="en-GB"/>
        </w:rPr>
        <w:fldChar w:fldCharType="begin" w:fldLock="1"/>
      </w:r>
      <w:r w:rsidR="000C069C">
        <w:rPr>
          <w:lang w:val="en-GB"/>
        </w:rPr>
        <w:instrText>ADDIN CSL_CITATION {"citationItems":[{"id":"ITEM-1","itemData":{"DOI":"10.1093/carcin/bgy167","ISSN":"1460-2180","PMID":"30452625","abstract":"The dosage of prostate-specific antigen (PSA), an easily evaluable and non-invasive biomarker, has made early detection of prostate cancer (PCa) possible. However, it leads to high percentages of unnecessary biopsies and may miss aggressive tumors in men with PSA levels below 4 ng/ml. Therefore, we propose to combine circulating microRNAs (miRs) with PSA, to improve the diagnostic route for PCa. Plasma miR profiling identified candidate diagnostic miRs in a discovery cohort of 60 tumors and 60 controls (men with benign prostatic hyperplasia or healthy donors). Linear models with an empirical Bayesian approach and multivariate penalized logistic regression were applied to select tumor-associated miRs and/or clinical variables. A classifier was developed and tested on a validation cohort of 68 tumors and 174 controls consecutively collected, where miRs were evaluated by quantitative real-time polymerase chain reaction. A classifier based on miR-103a-3p, let-7a-5p and PSA could detect both overall and clinically significant tumors better than PSA alone, even in 50-69 years aged men with PSA ≤ 4 ng/ml. Even in the validation cohort, the classifier performed better than PSA alone in terms of specificity and positive predictive value, allowing to correctly identify eight out of nine tumors undetected by PSA, including three high-risk and three tumors in 50-69 years old men. Of carriers of non-malignant lesions with PSA in the 4-16 ng/ml interval, who may avoid unnecessary biopsies, 34% were correctly identified. Coupling two circulating miRs with PSA could be a useful strategy to diagnose clinically significant PCa and avoid an important fraction of unnecessary biopsies.","author":[{"dropping-particle":"","family":"Mello-Grand","given":"Maurizia","non-dropping-particle":"","parse-names":false,"suffix":""},{"dropping-particle":"","family":"Gregnanin","given":"Ilaria","non-dropping-particle":"","parse-names":false,"suffix":""},{"dropping-particle":"","family":"Sacchetto","given":"Lidia","non-dropping-particle":"","parse-names":false,"suffix":""},{"dropping-particle":"","family":"Ostano","given":"Paola","non-dropping-particle":"","parse-names":false,"suffix":""},{"dropping-particle":"","family":"Zitella","given":"Andrea","non-dropping-particle":"","parse-names":false,"suffix":""},{"dropping-particle":"","family":"Bottoni","given":"Giulia","non-dropping-particle":"","parse-names":false,"suffix":""},{"dropping-particle":"","family":"Oderda","given":"Marco","non-dropping-particle":"","parse-names":false,"suffix":""},{"dropping-particle":"","family":"Marra","given":"Giancarlo","non-dropping-particle":"","parse-names":false,"suffix":""},{"dropping-particle":"","family":"Munegato","given":"Stefania","non-dropping-particle":"","parse-names":false,"suffix":""},{"dropping-particle":"","family":"Pardini","given":"Barbara","non-dropping-particle":"","parse-names":false,"suffix":""},{"dropping-particle":"","family":"Naccarati","given":"Alessio","non-dropping-particle":"","parse-names":false,"suffix":""},{"dropping-particle":"","family":"Gasparini","given":"Mauro","non-dropping-particle":"","parse-names":false,"suffix":""},{"dropping-particle":"","family":"Gontero","given":"Paolo","non-dropping-particle":"","parse-names":false,"suffix":""},{"dropping-particle":"","family":"Chiorino","given":"Giovanna","non-dropping-particle":"","parse-names":false,"suffix":""}],"container-title":"Carcinogenesis","id":"ITEM-1","issue":"2","issued":{"date-parts":[["2019","4","29"]]},"page":"246-253","title":"Circulating microRNAs combined with PSA for accurate and non-invasive prostate cancer detection.","type":"article-journal","volume":"40"},"uris":["http://www.mendeley.com/documents/?uuid=7b85c43f-a747-4e91-946e-aaea13cfdeeb"]}],"mendeley":{"formattedCitation":"&lt;sup&gt;138&lt;/sup&gt;","plainTextFormattedCitation":"138","previouslyFormattedCitation":"[138]"},"properties":{"noteIndex":0},"schema":"https://github.com/citation-style-language/schema/raw/master/csl-citation.json"}</w:instrText>
      </w:r>
      <w:r w:rsidR="00537574">
        <w:rPr>
          <w:lang w:val="en-GB"/>
        </w:rPr>
        <w:fldChar w:fldCharType="separate"/>
      </w:r>
      <w:r w:rsidR="000C069C" w:rsidRPr="000C069C">
        <w:rPr>
          <w:noProof/>
          <w:vertAlign w:val="superscript"/>
          <w:lang w:val="en-GB"/>
        </w:rPr>
        <w:t>138</w:t>
      </w:r>
      <w:r w:rsidR="00537574">
        <w:rPr>
          <w:lang w:val="en-GB"/>
        </w:rPr>
        <w:fldChar w:fldCharType="end"/>
      </w:r>
      <w:r>
        <w:rPr>
          <w:lang w:val="en-GB"/>
        </w:rPr>
        <w:t xml:space="preserve">. </w:t>
      </w:r>
    </w:p>
    <w:p w14:paraId="074B2C67" w14:textId="77777777" w:rsidR="00EE7EB3" w:rsidRPr="00C83EDC" w:rsidRDefault="00EE7EB3" w:rsidP="00EE7EB3">
      <w:pPr>
        <w:pStyle w:val="Nadpis2"/>
        <w:rPr>
          <w:lang w:val="en-GB"/>
        </w:rPr>
      </w:pPr>
      <w:bookmarkStart w:id="102" w:name="_Toc47889334"/>
      <w:bookmarkStart w:id="103" w:name="_Toc48161005"/>
      <w:r>
        <w:rPr>
          <w:lang w:val="en-GB"/>
        </w:rPr>
        <w:t>mi</w:t>
      </w:r>
      <w:r w:rsidRPr="00C83EDC">
        <w:rPr>
          <w:lang w:val="en-GB"/>
        </w:rPr>
        <w:t>RNA profiling</w:t>
      </w:r>
      <w:r>
        <w:rPr>
          <w:lang w:val="en-GB"/>
        </w:rPr>
        <w:t xml:space="preserve"> in u</w:t>
      </w:r>
      <w:r w:rsidRPr="00C83EDC">
        <w:rPr>
          <w:lang w:val="en-GB"/>
        </w:rPr>
        <w:t>rine</w:t>
      </w:r>
      <w:bookmarkEnd w:id="102"/>
      <w:bookmarkEnd w:id="103"/>
    </w:p>
    <w:p w14:paraId="69F327E2" w14:textId="0FF3C50E" w:rsidR="00EE7EB3" w:rsidRDefault="00EE7EB3" w:rsidP="00EE7EB3">
      <w:pPr>
        <w:pStyle w:val="Odstavec1"/>
        <w:rPr>
          <w:lang w:val="en-GB"/>
        </w:rPr>
      </w:pPr>
      <w:r>
        <w:rPr>
          <w:lang w:val="en-GB"/>
        </w:rPr>
        <w:t xml:space="preserve">Apart from </w:t>
      </w:r>
      <w:r w:rsidRPr="00347E8A">
        <w:rPr>
          <w:lang w:val="en-GB"/>
        </w:rPr>
        <w:t>tissue</w:t>
      </w:r>
      <w:r>
        <w:rPr>
          <w:lang w:val="en-GB"/>
        </w:rPr>
        <w:t xml:space="preserve">, miRNAs have been additionally detected </w:t>
      </w:r>
      <w:r w:rsidRPr="00347E8A">
        <w:rPr>
          <w:lang w:val="en-GB"/>
        </w:rPr>
        <w:t>in body fluid</w:t>
      </w:r>
      <w:r>
        <w:rPr>
          <w:lang w:val="en-GB"/>
        </w:rPr>
        <w:t xml:space="preserve"> as cell-free miRNAs.</w:t>
      </w:r>
      <w:r w:rsidRPr="00C83EDC">
        <w:rPr>
          <w:lang w:val="en-GB"/>
        </w:rPr>
        <w:t xml:space="preserve"> In this diploma project </w:t>
      </w:r>
      <w:r>
        <w:rPr>
          <w:lang w:val="en-GB"/>
        </w:rPr>
        <w:t xml:space="preserve">it has been </w:t>
      </w:r>
      <w:r w:rsidRPr="00C83EDC">
        <w:rPr>
          <w:lang w:val="en-GB"/>
        </w:rPr>
        <w:t>demonstrated that urine supernatant is</w:t>
      </w:r>
      <w:r>
        <w:rPr>
          <w:lang w:val="en-GB"/>
        </w:rPr>
        <w:t xml:space="preserve"> a</w:t>
      </w:r>
      <w:r w:rsidRPr="00C83EDC">
        <w:rPr>
          <w:lang w:val="en-GB"/>
        </w:rPr>
        <w:t xml:space="preserve"> source of potential markers for </w:t>
      </w:r>
      <w:proofErr w:type="spellStart"/>
      <w:r w:rsidRPr="00C83EDC">
        <w:rPr>
          <w:lang w:val="en-GB"/>
        </w:rPr>
        <w:t>PCa</w:t>
      </w:r>
      <w:proofErr w:type="spellEnd"/>
      <w:r w:rsidRPr="00C83EDC">
        <w:rPr>
          <w:lang w:val="en-GB"/>
        </w:rPr>
        <w:t xml:space="preserve"> screening and diagnostics. Urine sampling offers an easy and minimally invasive method for miRNA collection opposed to tissue biopsies </w:t>
      </w:r>
      <w:r>
        <w:rPr>
          <w:lang w:val="en-GB"/>
        </w:rPr>
        <w:t xml:space="preserve">and </w:t>
      </w:r>
      <w:r w:rsidRPr="00C83EDC">
        <w:rPr>
          <w:lang w:val="en-GB"/>
        </w:rPr>
        <w:t>without post-treatment complication. Besides, miRNAs demonstrate</w:t>
      </w:r>
      <w:r>
        <w:rPr>
          <w:lang w:val="en-GB"/>
        </w:rPr>
        <w:t xml:space="preserve"> a</w:t>
      </w:r>
      <w:r w:rsidRPr="00C83EDC">
        <w:rPr>
          <w:lang w:val="en-GB"/>
        </w:rPr>
        <w:t xml:space="preserve"> good stability in</w:t>
      </w:r>
      <w:r>
        <w:rPr>
          <w:lang w:val="en-GB"/>
        </w:rPr>
        <w:t xml:space="preserve"> the</w:t>
      </w:r>
      <w:r w:rsidRPr="00C83EDC">
        <w:rPr>
          <w:lang w:val="en-GB"/>
        </w:rPr>
        <w:t xml:space="preserve"> urine which is an important attribute of a clinically competent biomarker</w:t>
      </w:r>
      <w:r w:rsidRPr="00C83EDC">
        <w:rPr>
          <w:lang w:val="en-GB"/>
        </w:rPr>
        <w:fldChar w:fldCharType="begin" w:fldLock="1"/>
      </w:r>
      <w:r w:rsidR="000C069C">
        <w:rPr>
          <w:lang w:val="en-GB"/>
        </w:rPr>
        <w:instrText>ADDIN CSL_CITATION {"citationItems":[{"id":"ITEM-1","itemData":{"DOI":"10.2217/bmm.13.44","ISSN":"17520363","abstract":"Aim: miRNAs are showing utility as biomarkers in urologic disease, however, a rigorous evaluation of their stability in urine is lacking. Here, we evaluate the stability of miRNAs in urine under clinically relevant storage procedures. Materials &amp; methods: Eight healthy individuals provided clean catch urine samples that were stored at room temperature or at 4°C for 5 days, or subjected to ten freeze-thaw cycles at -80°C. For each condition, two miRNAs, miR-16 and miR-21, were quantitated by quantitative real-time PCR. Results: All conditions demonstrated a surprising degree of stability of miRNAs in the urine: by the end of ten freeze-thaw cycles, 23-37% of the initial amount remained; over the 5-day period of storage at room temperature, 35% of the initial amount remained; and at 4°C, 42-56% of the initial amount remained. Both miRNAs also showed degradation at approximately the same rate. Conclusion: miRNAs are relatively stable in urine under a variety of storage conditions, which supports their utility as urinary biomarkers. © 2013 Future Medicine Ltd.","author":[{"dropping-particle":"","family":"Mall","given":"Christine","non-dropping-particle":"","parse-names":false,"suffix":""},{"dropping-particle":"","family":"Rocke","given":"David M.","non-dropping-particle":"","parse-names":false,"suffix":""},{"dropping-particle":"","family":"Durbin-Johnson","given":"Blythe","non-dropping-particle":"","parse-names":false,"suffix":""},{"dropping-particle":"","family":"Weiss","given":"Robert H.","non-dropping-particle":"","parse-names":false,"suffix":""}],"container-title":"Biomarkers in Medicine","id":"ITEM-1","issue":"4","issued":{"date-parts":[["2013"]]},"page":"623-631","title":"Stability of miRNA in human urine supports its biomarker potential","type":"article-journal","volume":"7"},"uris":["http://www.mendeley.com/documents/?uuid=75bd527a-fb78-4aa6-97d2-31737bce18e2"]}],"mendeley":{"formattedCitation":"&lt;sup&gt;96&lt;/sup&gt;","plainTextFormattedCitation":"96","previouslyFormattedCitation":"[96]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96</w:t>
      </w:r>
      <w:r w:rsidRPr="00C83EDC">
        <w:rPr>
          <w:lang w:val="en-GB"/>
        </w:rPr>
        <w:fldChar w:fldCharType="end"/>
      </w:r>
      <w:r w:rsidRPr="00C83EDC">
        <w:rPr>
          <w:lang w:val="en-GB"/>
        </w:rPr>
        <w:t xml:space="preserve">. Compared to blood, expression profiles of urine miRNA in </w:t>
      </w:r>
      <w:proofErr w:type="spellStart"/>
      <w:r w:rsidRPr="00C83EDC">
        <w:rPr>
          <w:lang w:val="en-GB"/>
        </w:rPr>
        <w:t>PCa</w:t>
      </w:r>
      <w:proofErr w:type="spellEnd"/>
      <w:r w:rsidRPr="00C83EDC">
        <w:rPr>
          <w:lang w:val="en-GB"/>
        </w:rPr>
        <w:t xml:space="preserve"> have not been extensively studied and the majority of the concerned studies are focused on miRNA determination in extracellular vesicles, urine sediments, or whole urine</w:t>
      </w:r>
      <w:r w:rsidRPr="00C83EDC">
        <w:rPr>
          <w:lang w:val="en-GB"/>
        </w:rPr>
        <w:fldChar w:fldCharType="begin" w:fldLock="1"/>
      </w:r>
      <w:r w:rsidR="000C069C">
        <w:rPr>
          <w:lang w:val="en-GB"/>
        </w:rPr>
        <w:instrText>ADDIN CSL_CITATION {"citationItems":[{"id":"ITEM-1","itemData":{"DOI":"10.1038/nrurol.2016.193","ISSN":"17594820","PMID":"27804986","abstract":"MicroRNAs (miRNAs) are secreted by cells in vesicles, bound in a ribonucleoprotein complex or as free molecules. These miRNA secretion pathways are dysregulated in cancer, making miRNAs attractive candidate molecules for liquid biopsies. A number of studies have investigated the regulation of miRNA secretion into blood and urine and suggested that miRNAs are noninvasive diagnostic, prognostic and surveillance markers in urological carcinomas, and research in this area has increased over the past 5 years. However, methodological and analytical pitfalls exist and require addressing to enable future translation of the laboratory findings regarding miRNAs as biomarkers into clinical practice in bladder cancer, kidney cancer, prostate cancer and testicular cancer.","author":[{"dropping-particle":"","family":"Fendler","given":"Annika","non-dropping-particle":"","parse-names":false,"suffix":""},{"dropping-particle":"","family":"Stephan","given":"Carsten","non-dropping-particle":"","parse-names":false,"suffix":""},{"dropping-particle":"","family":"Yousef","given":"George M.","non-dropping-particle":"","parse-names":false,"suffix":""},{"dropping-particle":"","family":"Kristiansen","given":"Glen","non-dropping-particle":"","parse-names":false,"suffix":""},{"dropping-particle":"","family":"Jung","given":"Klaus","non-dropping-particle":"","parse-names":false,"suffix":""}],"container-title":"Nature Reviews Urology","id":"ITEM-1","issue":"12","issued":{"date-parts":[["2016"]]},"page":"734-752","publisher":"Nature Publishing Group","title":"The translational potential of microRNAs as biofluid markers of urological tumours","type":"article-journal","volume":"13"},"uris":["http://www.mendeley.com/documents/?uuid=2d6cb0ed-f422-4ed1-8067-8e569c0f82f0"]}],"mendeley":{"formattedCitation":"&lt;sup&gt;139&lt;/sup&gt;","plainTextFormattedCitation":"139","previouslyFormattedCitation":"[139]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139</w:t>
      </w:r>
      <w:r w:rsidRPr="00C83EDC">
        <w:rPr>
          <w:lang w:val="en-GB"/>
        </w:rPr>
        <w:fldChar w:fldCharType="end"/>
      </w:r>
      <w:r w:rsidRPr="00C83EDC">
        <w:rPr>
          <w:lang w:val="en-GB"/>
        </w:rPr>
        <w:t xml:space="preserve">. </w:t>
      </w:r>
      <w:r w:rsidRPr="00C83EDC">
        <w:rPr>
          <w:lang w:val="en-GB"/>
        </w:rPr>
        <w:lastRenderedPageBreak/>
        <w:t xml:space="preserve">Although urinary EV were found to contain </w:t>
      </w:r>
      <w:r>
        <w:rPr>
          <w:lang w:val="en-GB"/>
        </w:rPr>
        <w:t xml:space="preserve">a </w:t>
      </w:r>
      <w:r w:rsidRPr="00C83EDC">
        <w:rPr>
          <w:lang w:val="en-GB"/>
        </w:rPr>
        <w:t>significantly higher concentration of miRNAs than cell-free urine</w:t>
      </w:r>
      <w:r w:rsidRPr="00C83EDC">
        <w:rPr>
          <w:lang w:val="en-GB"/>
        </w:rPr>
        <w:fldChar w:fldCharType="begin" w:fldLock="1"/>
      </w:r>
      <w:r w:rsidR="000C069C">
        <w:rPr>
          <w:lang w:val="en-GB"/>
        </w:rPr>
        <w:instrText>ADDIN CSL_CITATION {"citationItems":[{"id":"ITEM-1","itemData":{"DOI":"10.1038/ki.2013.502","ISSN":"15231755","abstract":"Micro RNAs (miRNAs) have been shown to circulate in biological fluids and are enclosed in vesicles such as exosomes; they are present in urine and represent a noninvasive methodology to detect biomarkers for diagnostic testing. The low abundance of RNA in urine creates difficulties in its isolation, of which exosomal miRNA is a small fraction, making downstream RNA assays challenging. Here, we investigate methods to maximize exosomal isolation and RNA yield for next-generation deep sequencing. Upon characterizing exosomal proteins and total RNA content in urine, several commercially available kits were tested for their RNA extraction efficiency. We subsequently used the methods with the highest miRNA content to profile baseline miRNA expression using next-generation deep sequencing. Comparisons of miRNA profiles were also made with exosomes isolated by differential ultracentrifugation methodology and a commercially available column-based protocol. Overall, miRNAs were found to be significantly enriched and intact in urine-derived exosomes compared with cell-free urine. The presence of other noncoding RNAs such as small nuclear and small nucleolar RNA in the exosomes, in addition to coding sequences related to kidney and bladder conditions, was also detected. Our study extensively characterizes the RNA content of exosomes isolated from urine, providing the potential to identify miRNA biomarkers in human urine. © 2013 International Society of Nephrology.","author":[{"dropping-particle":"","family":"Cheng","given":"Lesley","non-dropping-particle":"","parse-names":false,"suffix":""},{"dropping-particle":"","family":"Sun","given":"Xin","non-dropping-particle":"","parse-names":false,"suffix":""},{"dropping-particle":"","family":"Scicluna","given":"Benjamin J.","non-dropping-particle":"","parse-names":false,"suffix":""},{"dropping-particle":"","family":"Coleman","given":"Bradley M.","non-dropping-particle":"","parse-names":false,"suffix":""},{"dropping-particle":"","family":"Hill","given":"Andrew F.","non-dropping-particle":"","parse-names":false,"suffix":""}],"container-title":"Kidney International","id":"ITEM-1","issue":"2","issued":{"date-parts":[["2014"]]},"page":"433-444","publisher":"Elsevier Masson SAS","title":"Characterization and deep sequencing analysis of exosomal and non-exosomal miRNA in human urine","type":"article-journal","volume":"86"},"uris":["http://www.mendeley.com/documents/?uuid=f1577230-6d8e-4c29-8066-5d57baace370"]}],"mendeley":{"formattedCitation":"&lt;sup&gt;140&lt;/sup&gt;","plainTextFormattedCitation":"140","previouslyFormattedCitation":"[140]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140</w:t>
      </w:r>
      <w:r w:rsidRPr="00C83EDC">
        <w:rPr>
          <w:lang w:val="en-GB"/>
        </w:rPr>
        <w:fldChar w:fldCharType="end"/>
      </w:r>
      <w:r w:rsidRPr="00C83EDC">
        <w:rPr>
          <w:lang w:val="en-GB"/>
        </w:rPr>
        <w:t xml:space="preserve">, their purification requires </w:t>
      </w:r>
      <w:r>
        <w:rPr>
          <w:lang w:val="en-GB"/>
        </w:rPr>
        <w:t xml:space="preserve">the </w:t>
      </w:r>
      <w:r w:rsidRPr="00C83EDC">
        <w:rPr>
          <w:lang w:val="en-GB"/>
        </w:rPr>
        <w:t>use of specialized equipment such as ultracentrifuge</w:t>
      </w:r>
      <w:r>
        <w:rPr>
          <w:lang w:val="en-GB"/>
        </w:rPr>
        <w:t>s</w:t>
      </w:r>
      <w:r w:rsidRPr="00C83EDC">
        <w:rPr>
          <w:lang w:val="en-GB"/>
        </w:rPr>
        <w:t>, which is not practical for most clinical diagnostic laboratories</w:t>
      </w:r>
      <w:r w:rsidRPr="00C83EDC">
        <w:rPr>
          <w:lang w:val="en-GB"/>
        </w:rPr>
        <w:fldChar w:fldCharType="begin" w:fldLock="1"/>
      </w:r>
      <w:r w:rsidR="000C069C">
        <w:rPr>
          <w:lang w:val="en-GB"/>
        </w:rPr>
        <w:instrText>ADDIN CSL_CITATION {"citationItems":[{"id":"ITEM-1","itemData":{"DOI":"10.3390/cancers12020513","ISSN":"20726694","abstract":"Prostate cancer (PCa) is the second most common cancer of men and is typically slow-growing and asymptomatic. The use of blood PSA as a screening method has greatly improved PCa diagnosis, but high levels of false positives has raised much interest in alternative biomarkers. We used next-generation sequencing (NGS) to elucidate the urinary transcriptome of whole urine collected from high-stage and low-stage PCa patients as well as from patients with the confounding diagnosis of benign hyperplasia (BPH). We identified and validated five differentially expressed protein-coding genes (FTH1 BRPF1, OSBP, PHC3, and UACA) in an independent validation cohort of small-volume (1 mL) centrifuged urine (n = 94) and non-centrifuged urine (n = 84) by droplet digital (dd)PCR. These biomarkers were able to discriminate between BPH and PCa patients and healthy controls using either centrifuged or non-centrifuged whole urine samples, suggesting that the urinary transcriptome is a valuable source of non-invasive biomarkers for PCa that warrants further investigation.","author":[{"dropping-particle":"","family":"Solé","given":"Carla","non-dropping-particle":"","parse-names":false,"suffix":""},{"dropping-particle":"","family":"Goicoechea","given":"Ibai","non-dropping-particle":"","parse-names":false,"suffix":""},{"dropping-particle":"","family":"Goñi","given":"Alai","non-dropping-particle":"","parse-names":false,"suffix":""},{"dropping-particle":"","family":"Schramm","given":"Maike","non-dropping-particle":"","parse-names":false,"suffix":""},{"dropping-particle":"","family":"Armesto","given":"María","non-dropping-particle":"","parse-names":false,"suffix":""},{"dropping-particle":"","family":"Arestin","given":"María","non-dropping-particle":"","parse-names":false,"suffix":""},{"dropping-particle":"","family":"Manterola","given":"Lorea","non-dropping-particle":"","parse-names":false,"suffix":""},{"dropping-particle":"","family":"Tellaetxe","given":"Maitena","non-dropping-particle":"","parse-names":false,"suffix":""},{"dropping-particle":"","family":"Alberdi","given":"Aitor","non-dropping-particle":"","parse-names":false,"suffix":""},{"dropping-particle":"","family":"Nogueira","given":"Leonor","non-dropping-particle":"","parse-names":false,"suffix":""},{"dropping-particle":"","family":"Roumiguie","given":"Mathieu","non-dropping-particle":"","parse-names":false,"suffix":""},{"dropping-particle":"","family":"López","given":"Jose Ignacio","non-dropping-particle":"","parse-names":false,"suffix":""},{"dropping-particle":"","family":"Jaka","given":"Juan Pablo Sanz","non-dropping-particle":"","parse-names":false,"suffix":""},{"dropping-particle":"","family":"Urruticoechea","given":"Ander","non-dropping-particle":"","parse-names":false,"suffix":""},{"dropping-particle":"","family":"Vergara","given":"Itziar","non-dropping-particle":"","parse-names":false,"suffix":""},{"dropping-particle":"","family":"Loizaga-Iriarte","given":"Ana","non-dropping-particle":"","parse-names":false,"suffix":""},{"dropping-particle":"","family":"Unda","given":"Miguel","non-dropping-particle":"","parse-names":false,"suffix":""},{"dropping-particle":"","family":"Carracedo","given":"Arkaitz","non-dropping-particle":"","parse-names":false,"suffix":""},{"dropping-particle":"","family":"Malavaud","given":"Bernard","non-dropping-particle":"","parse-names":false,"suffix":""},{"dropping-particle":"","family":"Lawrie","given":"Charles H.","non-dropping-particle":"","parse-names":false,"suffix":""}],"container-title":"Cancers","id":"ITEM-1","issue":"2","issued":{"date-parts":[["2020"]]},"page":"1-14","title":"The urinary transcriptome as a source of biomarkers for prostate cancer","type":"article-journal","volume":"12"},"uris":["http://www.mendeley.com/documents/?uuid=25e3d5ca-3ea1-4b05-93a6-605d7c7e4987"]}],"mendeley":{"formattedCitation":"&lt;sup&gt;3&lt;/sup&gt;","plainTextFormattedCitation":"3","previouslyFormattedCitation":"[3]"},"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3</w:t>
      </w:r>
      <w:r w:rsidRPr="00C83EDC">
        <w:rPr>
          <w:lang w:val="en-GB"/>
        </w:rPr>
        <w:fldChar w:fldCharType="end"/>
      </w:r>
      <w:r w:rsidRPr="00C83EDC">
        <w:rPr>
          <w:lang w:val="en-GB"/>
        </w:rPr>
        <w:t xml:space="preserve">. Whilst miRNAs found in urine supernatant are cell-free and emerge from </w:t>
      </w:r>
      <w:proofErr w:type="spellStart"/>
      <w:r w:rsidRPr="00C83EDC">
        <w:rPr>
          <w:lang w:val="en-GB"/>
        </w:rPr>
        <w:t>microvesicles</w:t>
      </w:r>
      <w:proofErr w:type="spellEnd"/>
      <w:r w:rsidRPr="00C83EDC">
        <w:rPr>
          <w:lang w:val="en-GB"/>
        </w:rPr>
        <w:t xml:space="preserve">, using urine sediment for miRNA profiling might skew the expression data as the pellet contains also bladder or kidney epithelium cells </w:t>
      </w:r>
      <w:r>
        <w:rPr>
          <w:lang w:val="en-GB"/>
        </w:rPr>
        <w:t xml:space="preserve">that have </w:t>
      </w:r>
      <w:r w:rsidRPr="00C83EDC">
        <w:rPr>
          <w:lang w:val="en-GB"/>
        </w:rPr>
        <w:t>var</w:t>
      </w:r>
      <w:r>
        <w:rPr>
          <w:lang w:val="en-GB"/>
        </w:rPr>
        <w:t>iable</w:t>
      </w:r>
      <w:r w:rsidRPr="00C83EDC">
        <w:rPr>
          <w:lang w:val="en-GB"/>
        </w:rPr>
        <w:t xml:space="preserve"> proportions</w:t>
      </w:r>
      <w:r>
        <w:rPr>
          <w:lang w:val="en-GB"/>
        </w:rPr>
        <w:t xml:space="preserve"> </w:t>
      </w:r>
      <w:r w:rsidRPr="00C83EDC">
        <w:rPr>
          <w:lang w:val="en-GB"/>
        </w:rPr>
        <w:t>to tumour cells among subjects</w:t>
      </w:r>
      <w:r w:rsidRPr="00C83EDC">
        <w:rPr>
          <w:lang w:val="en-GB"/>
        </w:rPr>
        <w:fldChar w:fldCharType="begin" w:fldLock="1"/>
      </w:r>
      <w:r w:rsidR="000C069C">
        <w:rPr>
          <w:lang w:val="en-GB"/>
        </w:rPr>
        <w:instrText>ADDIN CSL_CITATION {"citationItems":[{"id":"ITEM-1","itemData":{"DOI":"10.1016/j.urolonc.2013.04.011","ISSN":"18732496","abstract":"Micro-ribonucleic acids (miRNAs) are small noncoding RNAs that posttranscriptionally regulate gene expression. The ability of miRNAs to inhibit translation of oncogenes and tumor suppressors implies that they may be involved in carcinogenesis. Our review focuses on the potential of urinary miRNAs to serve as biomarkers of urologic cancers. We discuss in detail the recent knowledge about the origin of urinary miRNAs, their stability, quality control, and their utility as a potential new class of biomarkers in urologic cancer. Finally, we summarize the studies focusing on detection and characterization of urinary miRNAs as potential biomarkers in bladder, prostate, and kidney cancers. © 2014 Elsevier Inc.","author":[{"dropping-particle":"","family":"Mlcochova","given":"Hana","non-dropping-particle":"","parse-names":false,"suffix":""},{"dropping-particle":"","family":"Hezova","given":"Renata","non-dropping-particle":"","parse-names":false,"suffix":""},{"dropping-particle":"","family":"Stanik","given":"Michal","non-dropping-particle":"","parse-names":false,"suffix":""},{"dropping-particle":"","family":"Slaby","given":"Ondrej","non-dropping-particle":"","parse-names":false,"suffix":""}],"container-title":"Urologic Oncology: Seminars and Original Investigations","id":"ITEM-1","issue":"1","issued":{"date-parts":[["2014"]]},"page":"41.e1-41.e9","publisher":"Elsevier","title":"Urine microRNAs as potential noninvasive biomarkers in urologic cancers","type":"article-journal","volume":"32"},"uris":["http://www.mendeley.com/documents/?uuid=ab095daa-72c3-4e49-9a68-b717cacbcbec"]}],"mendeley":{"formattedCitation":"&lt;sup&gt;106&lt;/sup&gt;","plainTextFormattedCitation":"106","previouslyFormattedCitation":"[106]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106</w:t>
      </w:r>
      <w:r w:rsidRPr="00C83EDC">
        <w:rPr>
          <w:lang w:val="en-GB"/>
        </w:rPr>
        <w:fldChar w:fldCharType="end"/>
      </w:r>
      <w:r w:rsidRPr="00C83EDC">
        <w:rPr>
          <w:lang w:val="en-GB"/>
        </w:rPr>
        <w:t xml:space="preserve">. For miRNA profiling in the urine supernatant, we have chosen next generation sequencing technology which allows detection of molecules with low abundance and </w:t>
      </w:r>
      <w:r>
        <w:rPr>
          <w:lang w:val="en-GB"/>
        </w:rPr>
        <w:t>the</w:t>
      </w:r>
      <w:r w:rsidRPr="00C83EDC">
        <w:rPr>
          <w:lang w:val="en-GB"/>
        </w:rPr>
        <w:t xml:space="preserve"> discovery of novel biomarkers without </w:t>
      </w:r>
      <w:r w:rsidRPr="007670D5">
        <w:rPr>
          <w:i/>
          <w:iCs/>
          <w:lang w:val="en-GB"/>
        </w:rPr>
        <w:t>a priori</w:t>
      </w:r>
      <w:r w:rsidRPr="00C83EDC">
        <w:rPr>
          <w:lang w:val="en-GB"/>
        </w:rPr>
        <w:t xml:space="preserve"> knowing their sequences</w:t>
      </w:r>
      <w:r w:rsidRPr="00C83EDC">
        <w:rPr>
          <w:lang w:val="en-GB"/>
        </w:rPr>
        <w:fldChar w:fldCharType="begin" w:fldLock="1"/>
      </w:r>
      <w:r w:rsidR="000C069C">
        <w:rPr>
          <w:lang w:val="en-GB"/>
        </w:rPr>
        <w:instrText>ADDIN CSL_CITATION {"citationItems":[{"id":"ITEM-1","itemData":{"DOI":"10.1038/s41598-018-24236-y","ISSN":"20452322","abstract":"© 2018 The Author(s). There is emerging evidence that microRNAs (miRNAs) dysregulation is involved in the genesis and the progression of Prostate Cancer (PCa), thus potentially increasing their use in urological clinical practice. This is the first pilot study which utilizes Illumina Deep Sequencing to examine the entire miRNAs spectrum existent in urine exfoliated prostate cells (UEPCs) of PCa patients. A total of 11 male patients with histological diagnosis of PCa were enrolled in the present study. First-catch urine (30 mL) was collected following a prostate massage. Total RNA was extracted from urine and sequenced using an HiSeq2500 System (Illumina). QPCR assay was used to validate the highest NGS results in PCA patients and in age-matched, caucasian men. Remarkably, PCA let-7 family was down-regulated (P &lt; 0.01), compared to the controls. The results of our study support the notion of a relatively high diagnostic value of miRNA family for PCa detection, especially in the let-7 family. The present research confirmed the potential use of miRNAs as non-invasive biomarkers in the diagnosis of PCa, potentially reducing the invasiveness of actual clinical strategy.","author":[{"dropping-particle":"","family":"Guelfi","given":"Gabriella","non-dropping-particle":"","parse-names":false,"suffix":""},{"dropping-particle":"","family":"Cochetti","given":"Giovanni","non-dropping-particle":"","parse-names":false,"suffix":""},{"dropping-particle":"","family":"Stefanetti","given":"Valentina","non-dropping-particle":"","parse-names":false,"suffix":""},{"dropping-particle":"","family":"Zampini","given":"Danilo","non-dropping-particle":"","parse-names":false,"suffix":""},{"dropping-particle":"","family":"Diverio","given":"Silvana","non-dropping-particle":"","parse-names":false,"suffix":""},{"dropping-particle":"","family":"Boni","given":"Andrea","non-dropping-particle":"","parse-names":false,"suffix":""},{"dropping-particle":"","family":"Mearini","given":"Ettore","non-dropping-particle":"","parse-names":false,"suffix":""}],"container-title":"Scientific Reports","id":"ITEM-1","issue":"1","issued":{"date-parts":[["2018"]]},"note":"let-7 family was down-regulated (P ≤ 0.0001)","page":"1-8","publisher":"Springer US","title":"Next Generation Sequencing of urine exfoliated cells: An approach of prostate cancer microRNAs research","type":"article-journal","volume":"8"},"uris":["http://www.mendeley.com/documents/?uuid=2c99f67b-0431-476a-90bd-e6919974bd4f"]}],"mendeley":{"formattedCitation":"&lt;sup&gt;141&lt;/sup&gt;","plainTextFormattedCitation":"141","previouslyFormattedCitation":"[141]"},"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141</w:t>
      </w:r>
      <w:r w:rsidRPr="00C83EDC">
        <w:rPr>
          <w:lang w:val="en-GB"/>
        </w:rPr>
        <w:fldChar w:fldCharType="end"/>
      </w:r>
      <w:r w:rsidRPr="00C83EDC">
        <w:rPr>
          <w:lang w:val="en-GB"/>
        </w:rPr>
        <w:t xml:space="preserve">. </w:t>
      </w:r>
    </w:p>
    <w:p w14:paraId="304DF958" w14:textId="77777777" w:rsidR="00EE7EB3" w:rsidRPr="00C83EDC" w:rsidRDefault="00EE7EB3" w:rsidP="00EE7EB3">
      <w:pPr>
        <w:pStyle w:val="Dalodstavce"/>
        <w:rPr>
          <w:lang w:val="en-GB"/>
        </w:rPr>
      </w:pPr>
      <w:r w:rsidRPr="00331437">
        <w:rPr>
          <w:lang w:val="en-GB"/>
        </w:rPr>
        <w:t xml:space="preserve">The statistical analysis of the sequencing data identified 11 significantly </w:t>
      </w:r>
      <w:r>
        <w:rPr>
          <w:lang w:val="en-GB"/>
        </w:rPr>
        <w:t>different levels of</w:t>
      </w:r>
      <w:r w:rsidRPr="00331437">
        <w:rPr>
          <w:lang w:val="en-GB"/>
        </w:rPr>
        <w:t xml:space="preserve"> miRNAs that can </w:t>
      </w:r>
      <w:r>
        <w:rPr>
          <w:lang w:val="en-GB"/>
        </w:rPr>
        <w:t>differentiate</w:t>
      </w:r>
      <w:r w:rsidRPr="00331437">
        <w:rPr>
          <w:lang w:val="en-GB"/>
        </w:rPr>
        <w:t xml:space="preserve"> between indolent and aggressive </w:t>
      </w:r>
      <w:proofErr w:type="spellStart"/>
      <w:r>
        <w:rPr>
          <w:lang w:val="en-GB"/>
        </w:rPr>
        <w:t>PCa</w:t>
      </w:r>
      <w:proofErr w:type="spellEnd"/>
      <w:r>
        <w:rPr>
          <w:lang w:val="en-GB"/>
        </w:rPr>
        <w:t>, with dysregulated levels of miR‑130a‑3p detected in both profiling cohorts (urine and tissue). The analysis also revealed 12 miRNAs with discriminatory power for</w:t>
      </w:r>
      <w:r w:rsidRPr="00C83EDC">
        <w:rPr>
          <w:lang w:val="en-GB"/>
        </w:rPr>
        <w:t xml:space="preserve"> prostate cancer versus BHP</w:t>
      </w:r>
      <w:r>
        <w:rPr>
          <w:lang w:val="en-GB"/>
        </w:rPr>
        <w:t xml:space="preserve"> patients</w:t>
      </w:r>
      <w:r w:rsidRPr="00C83EDC">
        <w:rPr>
          <w:lang w:val="en-GB"/>
        </w:rPr>
        <w:t xml:space="preserve"> and healthy men. Furthermore, the results suggest that we have </w:t>
      </w:r>
      <w:r>
        <w:rPr>
          <w:lang w:val="en-GB"/>
        </w:rPr>
        <w:t>identified</w:t>
      </w:r>
      <w:r w:rsidRPr="00C83EDC">
        <w:rPr>
          <w:lang w:val="en-GB"/>
        </w:rPr>
        <w:t xml:space="preserve"> several miRNAs of which dysregulated levels have not been associated with prostate cancer before.</w:t>
      </w:r>
      <w:r>
        <w:rPr>
          <w:lang w:val="en-GB"/>
        </w:rPr>
        <w:t xml:space="preserve"> Some of the discovered miRNAs, which have already been described in association with prostate cancer pathogenesis, support the results we have obtained in the profiling cohort and suggest the potential role of given miRNAs in prostate cancer detection and prognosis.</w:t>
      </w:r>
    </w:p>
    <w:p w14:paraId="3A63828E" w14:textId="213CBB77" w:rsidR="00EE7EB3" w:rsidRPr="00C83EDC" w:rsidRDefault="00EE7EB3" w:rsidP="00EE7EB3">
      <w:pPr>
        <w:pStyle w:val="Dalodstavce"/>
        <w:rPr>
          <w:lang w:val="en-GB"/>
        </w:rPr>
      </w:pPr>
      <w:r>
        <w:rPr>
          <w:lang w:val="en-GB"/>
        </w:rPr>
        <w:t xml:space="preserve"> </w:t>
      </w:r>
      <w:r w:rsidRPr="00C83EDC">
        <w:rPr>
          <w:lang w:val="en-GB"/>
        </w:rPr>
        <w:t>Taj-Ahmad and colleagues assayed 894 miRNAs in whole urine using</w:t>
      </w:r>
      <w:r>
        <w:rPr>
          <w:lang w:val="en-GB"/>
        </w:rPr>
        <w:t xml:space="preserve"> a</w:t>
      </w:r>
      <w:r w:rsidRPr="00C83EDC">
        <w:rPr>
          <w:lang w:val="en-GB"/>
        </w:rPr>
        <w:t xml:space="preserve"> microarray </w:t>
      </w:r>
      <w:r>
        <w:rPr>
          <w:lang w:val="en-GB"/>
        </w:rPr>
        <w:t>platform</w:t>
      </w:r>
      <w:r w:rsidRPr="00C83EDC">
        <w:rPr>
          <w:lang w:val="en-GB"/>
        </w:rPr>
        <w:t xml:space="preserve"> and found 17 </w:t>
      </w:r>
      <w:r>
        <w:rPr>
          <w:lang w:val="en-GB"/>
        </w:rPr>
        <w:t xml:space="preserve">dysregulated </w:t>
      </w:r>
      <w:r w:rsidRPr="00C83EDC">
        <w:rPr>
          <w:lang w:val="en-GB"/>
        </w:rPr>
        <w:t xml:space="preserve">miRNAs </w:t>
      </w:r>
      <w:r>
        <w:rPr>
          <w:lang w:val="en-GB"/>
        </w:rPr>
        <w:t xml:space="preserve">of which five </w:t>
      </w:r>
      <w:r w:rsidRPr="00C83EDC">
        <w:rPr>
          <w:lang w:val="en-GB"/>
        </w:rPr>
        <w:t xml:space="preserve">were also detected in our discovery phase. In their study, miR‑451a, </w:t>
      </w:r>
      <w:bookmarkStart w:id="104" w:name="_Hlk47881002"/>
      <w:r w:rsidRPr="00C83EDC">
        <w:rPr>
          <w:lang w:val="en-GB"/>
        </w:rPr>
        <w:t>miR‑</w:t>
      </w:r>
      <w:bookmarkEnd w:id="104"/>
      <w:r w:rsidRPr="00C83EDC">
        <w:rPr>
          <w:lang w:val="en-GB"/>
        </w:rPr>
        <w:t>486</w:t>
      </w:r>
      <w:r>
        <w:rPr>
          <w:lang w:val="en-GB"/>
        </w:rPr>
        <w:t>‑5p</w:t>
      </w:r>
      <w:r w:rsidRPr="00C83EDC">
        <w:rPr>
          <w:lang w:val="en-GB"/>
        </w:rPr>
        <w:t xml:space="preserve">, </w:t>
      </w:r>
      <w:r>
        <w:rPr>
          <w:lang w:val="en-GB"/>
        </w:rPr>
        <w:t>miR‑</w:t>
      </w:r>
      <w:r w:rsidRPr="00C83EDC">
        <w:rPr>
          <w:lang w:val="en-GB"/>
        </w:rPr>
        <w:t>625</w:t>
      </w:r>
      <w:r>
        <w:rPr>
          <w:lang w:val="en-GB"/>
        </w:rPr>
        <w:t>‑3p</w:t>
      </w:r>
      <w:r w:rsidRPr="00C83EDC">
        <w:rPr>
          <w:lang w:val="en-GB"/>
        </w:rPr>
        <w:t>, miR‑92b</w:t>
      </w:r>
      <w:r>
        <w:rPr>
          <w:lang w:val="en-GB"/>
        </w:rPr>
        <w:t>‑3p</w:t>
      </w:r>
      <w:r w:rsidRPr="00C83EDC">
        <w:rPr>
          <w:lang w:val="en-GB"/>
        </w:rPr>
        <w:t xml:space="preserve"> and miR‑191</w:t>
      </w:r>
      <w:r>
        <w:rPr>
          <w:lang w:val="en-GB"/>
        </w:rPr>
        <w:t>‑5p</w:t>
      </w:r>
      <w:r w:rsidRPr="00C83EDC">
        <w:rPr>
          <w:lang w:val="en-GB"/>
        </w:rPr>
        <w:t xml:space="preserve"> were found </w:t>
      </w:r>
      <w:r>
        <w:rPr>
          <w:lang w:val="en-GB"/>
        </w:rPr>
        <w:t xml:space="preserve">with </w:t>
      </w:r>
      <w:r w:rsidRPr="00C83EDC">
        <w:rPr>
          <w:lang w:val="en-GB"/>
        </w:rPr>
        <w:t xml:space="preserve">significantly </w:t>
      </w:r>
      <w:r>
        <w:rPr>
          <w:lang w:val="en-GB"/>
        </w:rPr>
        <w:t xml:space="preserve">lower levels </w:t>
      </w:r>
      <w:r w:rsidRPr="00C83EDC">
        <w:rPr>
          <w:lang w:val="en-GB"/>
        </w:rPr>
        <w:t xml:space="preserve">in </w:t>
      </w:r>
      <w:r>
        <w:rPr>
          <w:lang w:val="en-GB"/>
        </w:rPr>
        <w:t xml:space="preserve">the </w:t>
      </w:r>
      <w:proofErr w:type="spellStart"/>
      <w:r w:rsidRPr="00C83EDC">
        <w:rPr>
          <w:lang w:val="en-GB"/>
        </w:rPr>
        <w:t>PCa</w:t>
      </w:r>
      <w:proofErr w:type="spellEnd"/>
      <w:r w:rsidRPr="00C83EDC">
        <w:rPr>
          <w:lang w:val="en-GB"/>
        </w:rPr>
        <w:t xml:space="preserve"> group compared to either </w:t>
      </w:r>
      <w:r>
        <w:rPr>
          <w:lang w:val="en-GB"/>
        </w:rPr>
        <w:t xml:space="preserve">the </w:t>
      </w:r>
      <w:r w:rsidRPr="00C83EDC">
        <w:rPr>
          <w:lang w:val="en-GB"/>
        </w:rPr>
        <w:t>BPH group or healthy men</w:t>
      </w:r>
      <w:r w:rsidRPr="00C83EDC">
        <w:rPr>
          <w:lang w:val="en-GB"/>
        </w:rPr>
        <w:fldChar w:fldCharType="begin" w:fldLock="1"/>
      </w:r>
      <w:r w:rsidR="000C069C">
        <w:rPr>
          <w:lang w:val="en-GB"/>
        </w:rPr>
        <w:instrText>ADDIN CSL_CITATION {"citationItems":[{"id":"ITEM-1","itemData":{"DOI":"10.7150/jca.6799","ISSN":"18379664","abstract":"MicroRNAs (miRNAs) are a class of short (~22nt), single stranded RNA molecules that function as post-transcriptional regulators of gene expression. MiRNAs can regulate a variety of important biological pathways, including: cellular proliferation, differentiation and apoptosis. Profiling of miRNA expression patterns was shown to be more useful than the equivalent mRNA profiles for characterizing poorly differentiated tumours. As such, miRNA expression \"signatures\" are expected to offer serious potential for diagnosing and prognosing cancers of any provenance. The aim of this study was to investigate the potential of using deregulation of urinary miRNAs in order to detect Prostate Cancer (PCa) among Benign Prostatic Hyperplasia (BPH). To identify the miRNA signatures specific for PCa, miRNA expression profiling of 8 PCa patients, 12 BPH patients and 10 healthy males was carried out using whole genome expression profiling. Differential expression of two individual miRNAs between healthy males and BPH patients was detected and found to possibly target genes related to PCa development and progression. The sensitivity and specificity of miR-1825 for detecting PCa among BPH individuals was found to be 60% and 69%, respectively. Whereas, the sensitivity and specificity of miR-484 were 80% and 19%, respectively. Additionally, the sensitivity and specificity for miR-1825/484 in tandem were 45% and 75%, respectively. The proposed PCa miRNA signatures may therefore be of great value for the accurate diagnosis of PCa and BPH. This exploratory study has identified several possible targets that merit further investigation towards the development and validation of diagnostically useful, non-invasive, urine-based tests that might not only help diagnose PCa but also possibly help differentiate it from BPH. © Ivyspring International Publisher.","author":[{"dropping-particle":"","family":"Haj-Ahmad","given":"Taha A.","non-dropping-particle":"","parse-names":false,"suffix":""},{"dropping-particle":"","family":"Abdalla","given":"Moemen A.K.","non-dropping-particle":"","parse-names":false,"suffix":""},{"dropping-particle":"","family":"Haj-Ahmad","given":"Yousef","non-dropping-particle":"","parse-names":false,"suffix":""}],"container-title":"Journal of Cancer","id":"ITEM-1","issue":"3","issued":{"date-parts":[["2014"]]},"page":"182-191","title":"Potential urinary miRNA biomarker candidates for the accurate detection of prostate cancer among benign prostatic Hyperplasia patients","type":"article-journal","volume":"5"},"uris":["http://www.mendeley.com/documents/?uuid=fafc2919-c245-4e3e-8470-be6d3397ac7a"]}],"mendeley":{"formattedCitation":"&lt;sup&gt;124&lt;/sup&gt;","plainTextFormattedCitation":"124","previouslyFormattedCitation":"[124]"},"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124</w:t>
      </w:r>
      <w:r w:rsidRPr="00C83EDC">
        <w:rPr>
          <w:lang w:val="en-GB"/>
        </w:rPr>
        <w:fldChar w:fldCharType="end"/>
      </w:r>
      <w:r w:rsidRPr="00C83EDC">
        <w:rPr>
          <w:lang w:val="en-GB"/>
        </w:rPr>
        <w:t>. For miR‑451a, miR‑486</w:t>
      </w:r>
      <w:r>
        <w:rPr>
          <w:lang w:val="en-GB"/>
        </w:rPr>
        <w:t>‑5p</w:t>
      </w:r>
      <w:r w:rsidRPr="00C83EDC">
        <w:rPr>
          <w:lang w:val="en-GB"/>
        </w:rPr>
        <w:t xml:space="preserve">, and </w:t>
      </w:r>
      <w:r>
        <w:rPr>
          <w:lang w:val="en-GB"/>
        </w:rPr>
        <w:t>miR‑</w:t>
      </w:r>
      <w:r w:rsidRPr="00C83EDC">
        <w:rPr>
          <w:lang w:val="en-GB"/>
        </w:rPr>
        <w:t>625</w:t>
      </w:r>
      <w:r>
        <w:rPr>
          <w:lang w:val="en-GB"/>
        </w:rPr>
        <w:t>‑3p</w:t>
      </w:r>
      <w:r w:rsidRPr="00C83EDC">
        <w:rPr>
          <w:lang w:val="en-GB"/>
        </w:rPr>
        <w:t xml:space="preserve">, our sequencing data show </w:t>
      </w:r>
      <w:r>
        <w:rPr>
          <w:lang w:val="en-GB"/>
        </w:rPr>
        <w:t>lowered levels</w:t>
      </w:r>
      <w:r w:rsidRPr="00C83EDC">
        <w:rPr>
          <w:lang w:val="en-GB"/>
        </w:rPr>
        <w:t xml:space="preserve"> in the group of patients with aggressive </w:t>
      </w:r>
      <w:proofErr w:type="spellStart"/>
      <w:r w:rsidRPr="00C83EDC">
        <w:rPr>
          <w:lang w:val="en-GB"/>
        </w:rPr>
        <w:t>PCa</w:t>
      </w:r>
      <w:proofErr w:type="spellEnd"/>
      <w:r w:rsidRPr="00C83EDC">
        <w:rPr>
          <w:lang w:val="en-GB"/>
        </w:rPr>
        <w:t xml:space="preserve"> vs indolent </w:t>
      </w:r>
      <w:proofErr w:type="spellStart"/>
      <w:r w:rsidRPr="00C83EDC">
        <w:rPr>
          <w:lang w:val="en-GB"/>
        </w:rPr>
        <w:t>PCa</w:t>
      </w:r>
      <w:proofErr w:type="spellEnd"/>
      <w:r w:rsidRPr="00C83EDC">
        <w:rPr>
          <w:lang w:val="en-GB"/>
        </w:rPr>
        <w:t xml:space="preserve">. Interestingly, we have observed significant </w:t>
      </w:r>
      <w:r>
        <w:rPr>
          <w:lang w:val="en-GB"/>
        </w:rPr>
        <w:t>elevation</w:t>
      </w:r>
      <w:r w:rsidRPr="00C83EDC">
        <w:rPr>
          <w:lang w:val="en-GB"/>
        </w:rPr>
        <w:t xml:space="preserve"> of miR‑92b</w:t>
      </w:r>
      <w:r>
        <w:rPr>
          <w:lang w:val="en-GB"/>
        </w:rPr>
        <w:t>‑3p</w:t>
      </w:r>
      <w:r w:rsidRPr="00C83EDC">
        <w:rPr>
          <w:lang w:val="en-GB"/>
        </w:rPr>
        <w:t xml:space="preserve"> and miR‑191</w:t>
      </w:r>
      <w:r>
        <w:rPr>
          <w:lang w:val="en-GB"/>
        </w:rPr>
        <w:t>‑5p</w:t>
      </w:r>
      <w:r w:rsidRPr="00C83EDC">
        <w:rPr>
          <w:lang w:val="en-GB"/>
        </w:rPr>
        <w:t xml:space="preserve"> in </w:t>
      </w:r>
      <w:proofErr w:type="spellStart"/>
      <w:r w:rsidRPr="00C83EDC">
        <w:rPr>
          <w:lang w:val="en-GB"/>
        </w:rPr>
        <w:t>PCa</w:t>
      </w:r>
      <w:proofErr w:type="spellEnd"/>
      <w:r w:rsidRPr="00C83EDC">
        <w:rPr>
          <w:lang w:val="en-GB"/>
        </w:rPr>
        <w:t xml:space="preserve"> patients compared to </w:t>
      </w:r>
      <w:r>
        <w:rPr>
          <w:lang w:val="en-GB"/>
        </w:rPr>
        <w:t>the</w:t>
      </w:r>
      <w:r w:rsidRPr="00C83EDC">
        <w:rPr>
          <w:lang w:val="en-GB"/>
        </w:rPr>
        <w:t xml:space="preserve"> group of BPH and heathy men </w:t>
      </w:r>
      <w:r>
        <w:rPr>
          <w:lang w:val="en-GB"/>
        </w:rPr>
        <w:t>combined</w:t>
      </w:r>
      <w:r w:rsidRPr="00C83EDC">
        <w:rPr>
          <w:lang w:val="en-GB"/>
        </w:rPr>
        <w:t xml:space="preserve">. </w:t>
      </w:r>
    </w:p>
    <w:p w14:paraId="16945668" w14:textId="55427A81" w:rsidR="00EE7EB3" w:rsidRPr="00C83EDC" w:rsidRDefault="00EE7EB3" w:rsidP="00EE7EB3">
      <w:pPr>
        <w:pStyle w:val="Dalodstavce"/>
        <w:rPr>
          <w:lang w:val="en-GB"/>
        </w:rPr>
      </w:pPr>
      <w:r w:rsidRPr="00C83EDC">
        <w:rPr>
          <w:lang w:val="en-GB"/>
        </w:rPr>
        <w:t xml:space="preserve">In a miRNA profiling study, </w:t>
      </w:r>
      <w:proofErr w:type="spellStart"/>
      <w:r w:rsidRPr="00C83EDC">
        <w:rPr>
          <w:lang w:val="en-GB"/>
        </w:rPr>
        <w:t>Zaporozhchenko</w:t>
      </w:r>
      <w:proofErr w:type="spellEnd"/>
      <w:r w:rsidRPr="00C83EDC">
        <w:rPr>
          <w:lang w:val="en-GB"/>
        </w:rPr>
        <w:t xml:space="preserve"> </w:t>
      </w:r>
      <w:r w:rsidRPr="00FE171B">
        <w:rPr>
          <w:i/>
          <w:iCs/>
          <w:lang w:val="en-GB"/>
        </w:rPr>
        <w:t>et al</w:t>
      </w:r>
      <w:r w:rsidRPr="00C83EDC">
        <w:rPr>
          <w:lang w:val="en-GB"/>
        </w:rPr>
        <w:t>. compared</w:t>
      </w:r>
      <w:r>
        <w:rPr>
          <w:lang w:val="en-GB"/>
        </w:rPr>
        <w:t xml:space="preserve"> levels of</w:t>
      </w:r>
      <w:r w:rsidRPr="00C83EDC">
        <w:rPr>
          <w:lang w:val="en-GB"/>
        </w:rPr>
        <w:t xml:space="preserve"> 84 miRNA</w:t>
      </w:r>
      <w:r>
        <w:rPr>
          <w:lang w:val="en-GB"/>
        </w:rPr>
        <w:t>s</w:t>
      </w:r>
      <w:r w:rsidRPr="00C83EDC">
        <w:rPr>
          <w:lang w:val="en-GB"/>
        </w:rPr>
        <w:t xml:space="preserve"> between urinary extracellular vesicles and</w:t>
      </w:r>
      <w:r>
        <w:rPr>
          <w:lang w:val="en-GB"/>
        </w:rPr>
        <w:t xml:space="preserve"> the</w:t>
      </w:r>
      <w:r w:rsidRPr="00C83EDC">
        <w:rPr>
          <w:lang w:val="en-GB"/>
        </w:rPr>
        <w:t xml:space="preserve"> urine supernatant in paired samples of </w:t>
      </w:r>
      <w:proofErr w:type="spellStart"/>
      <w:r w:rsidRPr="00C83EDC">
        <w:rPr>
          <w:lang w:val="en-GB"/>
        </w:rPr>
        <w:t>PCa</w:t>
      </w:r>
      <w:proofErr w:type="spellEnd"/>
      <w:r w:rsidRPr="00C83EDC">
        <w:rPr>
          <w:lang w:val="en-GB"/>
        </w:rPr>
        <w:t xml:space="preserve"> patients, </w:t>
      </w:r>
      <w:r>
        <w:rPr>
          <w:lang w:val="en-GB"/>
        </w:rPr>
        <w:t xml:space="preserve">the </w:t>
      </w:r>
      <w:r w:rsidRPr="00C83EDC">
        <w:rPr>
          <w:lang w:val="en-GB"/>
        </w:rPr>
        <w:t>BPH group and healthy control</w:t>
      </w:r>
      <w:r>
        <w:rPr>
          <w:lang w:val="en-GB"/>
        </w:rPr>
        <w:t>s</w:t>
      </w:r>
      <w:r w:rsidRPr="00C83EDC">
        <w:rPr>
          <w:lang w:val="en-GB"/>
        </w:rPr>
        <w:t xml:space="preserve">. They discovered that almost half of the studied miRNAs </w:t>
      </w:r>
      <w:r>
        <w:rPr>
          <w:lang w:val="en-GB"/>
        </w:rPr>
        <w:t xml:space="preserve">had </w:t>
      </w:r>
      <w:r w:rsidRPr="00C83EDC">
        <w:rPr>
          <w:lang w:val="en-GB"/>
        </w:rPr>
        <w:t>significantly</w:t>
      </w:r>
      <w:r>
        <w:rPr>
          <w:lang w:val="en-GB"/>
        </w:rPr>
        <w:t xml:space="preserve"> different levels</w:t>
      </w:r>
      <w:r w:rsidRPr="00C83EDC">
        <w:rPr>
          <w:lang w:val="en-GB"/>
        </w:rPr>
        <w:t xml:space="preserve"> between cell-free urine and urine </w:t>
      </w:r>
      <w:proofErr w:type="spellStart"/>
      <w:r w:rsidRPr="00C83EDC">
        <w:rPr>
          <w:lang w:val="en-GB"/>
        </w:rPr>
        <w:t>microvesicles</w:t>
      </w:r>
      <w:proofErr w:type="spellEnd"/>
      <w:r w:rsidRPr="00C83EDC">
        <w:rPr>
          <w:lang w:val="en-GB"/>
        </w:rPr>
        <w:t xml:space="preserve"> in the group of </w:t>
      </w:r>
      <w:proofErr w:type="spellStart"/>
      <w:r>
        <w:rPr>
          <w:lang w:val="en-GB"/>
        </w:rPr>
        <w:t>PCa</w:t>
      </w:r>
      <w:proofErr w:type="spellEnd"/>
      <w:r w:rsidRPr="00C83EDC">
        <w:rPr>
          <w:lang w:val="en-GB"/>
        </w:rPr>
        <w:t xml:space="preserve"> patients whilst in the group of healthy donors it was only 15 miRNAs. The results of </w:t>
      </w:r>
      <w:r>
        <w:rPr>
          <w:lang w:val="en-GB"/>
        </w:rPr>
        <w:t xml:space="preserve">the </w:t>
      </w:r>
      <w:r w:rsidRPr="00C83EDC">
        <w:rPr>
          <w:lang w:val="en-GB"/>
        </w:rPr>
        <w:t xml:space="preserve">qPCR array confirmed quantitative differences in distribution between the investigated urinary fractions but some miRNAs, such as miR‑451 and </w:t>
      </w:r>
      <w:r>
        <w:rPr>
          <w:lang w:val="en-GB"/>
        </w:rPr>
        <w:t>miR‑</w:t>
      </w:r>
      <w:r w:rsidRPr="00C83EDC">
        <w:rPr>
          <w:lang w:val="en-GB"/>
        </w:rPr>
        <w:t>143</w:t>
      </w:r>
      <w:r>
        <w:rPr>
          <w:lang w:val="en-GB"/>
        </w:rPr>
        <w:t>‑3p</w:t>
      </w:r>
      <w:r w:rsidRPr="00C83EDC">
        <w:rPr>
          <w:lang w:val="en-GB"/>
        </w:rPr>
        <w:t xml:space="preserve">, were found mostly in one </w:t>
      </w:r>
      <w:r w:rsidRPr="00C83EDC">
        <w:rPr>
          <w:lang w:val="en-GB"/>
        </w:rPr>
        <w:lastRenderedPageBreak/>
        <w:t xml:space="preserve">fraction. The finding of miR‑451 primarily in urine supernatant could be explained by its filtration from blood where it is highly expressed </w:t>
      </w:r>
      <w:r w:rsidRPr="00C83EDC">
        <w:rPr>
          <w:lang w:val="en-GB"/>
        </w:rPr>
        <w:fldChar w:fldCharType="begin" w:fldLock="1"/>
      </w:r>
      <w:r w:rsidR="000C069C">
        <w:rPr>
          <w:lang w:val="en-GB"/>
        </w:rPr>
        <w:instrText>ADDIN CSL_CITATION {"citationItems":[{"id":"ITEM-1","itemData":{"DOI":"10.1134/S1990750818020142","ISBN":"1990750818","ISSN":"19907516","abstract":"© 2018, Pleiades Publishing, Ltd. Urine of prostate cancer patients contains tumor-specific biopolymers, including protein- and microvesicles-associated miRNAs that can potentially be used as oncomarkers. Previously we have characterized urinary extracellular vesicles and demonstrated diagnostic potential of their miRNAs. In this study, we have performed a comparative analysis of 84 miRNA in paired samples of urine microvesicles and urine supernatant from healthy men, patients with benign prostate hyperplasia, and prostate cancer patients using miRCURY LNA miRNA qPCR Panels. In all groups of patients, miRNA subsets characterized by different distribution between the urinary fractions have been found. In this context, two groups of miRNAs have been identified, which are involved in several signaling pathways including those associated with prostate cancer development.","author":[{"dropping-particle":"","family":"Zaporozhchenko","given":"I. A.","non-dropping-particle":"","parse-names":false,"suffix":""},{"dropping-particle":"","family":"Bryzgunova","given":"O. E.","non-dropping-particle":"","parse-names":false,"suffix":""},{"dropping-particle":"","family":"Lekchnov","given":"E. A.","non-dropping-particle":"","parse-names":false,"suffix":""},{"dropping-particle":"","family":"Osipov","given":"I. D.","non-dropping-particle":"","parse-names":false,"suffix":""},{"dropping-particle":"","family":"Zaripov","given":"M. M.","non-dropping-particle":"","parse-names":false,"suffix":""},{"dropping-particle":"","family":"Yurchenko","given":"Yu B.","non-dropping-particle":"","parse-names":false,"suffix":""},{"dropping-particle":"V.","family":"Yarmoschuk","given":"S.","non-dropping-particle":"","parse-names":false,"suffix":""},{"dropping-particle":"","family":"Pashkovskaya","given":"O. A.","non-dropping-particle":"","parse-names":false,"suffix":""},{"dropping-particle":"","family":"Rykova","given":"E. Yu","non-dropping-particle":"","parse-names":false,"suffix":""},{"dropping-particle":"","family":"Zheravin","given":"A. A.","non-dropping-particle":"","parse-names":false,"suffix":""},{"dropping-particle":"","family":"Laktionov","given":"P. P.","non-dropping-particle":"","parse-names":false,"suffix":""}],"container-title":"Biochemistry (Moscow) Supplement Series B: Biomedical Chemistry","id":"ITEM-1","issue":"2","issued":{"date-parts":[["2018"]]},"note":"first group:miR-30c-5p, let-7i-5p, miR-22-3p, miR- 23b-3p, miR-30b-5p, miR-331-3p, miR-429, miR- 92a-3p, miR-93-5p - significant differences in the supernatant and total urine microvesicles were detected in all three groups of donors:\n\nThe second group included miRNAs, characterized by significant differences only in the groups of prostate cancer patients or healthy donors (let-7d-3p, miR-107, miR- 26b-5p, miR-27b-3p, miR-30a-5p, miR-30e-5p, miR-375, miR-582-5p, let-7a-5p), or lack of significant differences in the group of healthy individuals (miR-101-3p, miR-141-3p, miR-29a-3p, miR-29b- 3p, miR-29c-3p, miR-423-5p), but not the two other groups","page":"156-163","title":"Representation Analysis of miRNA in Urine Microvesicles and Cell-Free Urine in Prostate Diseases","type":"article-journal","volume":"12"},"uris":["http://www.mendeley.com/documents/?uuid=0cc66ee8-4118-46b9-95f4-8f42405bad33"]}],"mendeley":{"formattedCitation":"&lt;sup&gt;142&lt;/sup&gt;","plainTextFormattedCitation":"142","previouslyFormattedCitation":"[142]"},"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142</w:t>
      </w:r>
      <w:r w:rsidRPr="00C83EDC">
        <w:rPr>
          <w:lang w:val="en-GB"/>
        </w:rPr>
        <w:fldChar w:fldCharType="end"/>
      </w:r>
      <w:r w:rsidRPr="00C83EDC">
        <w:rPr>
          <w:lang w:val="en-GB"/>
        </w:rPr>
        <w:t>. Several other studies that examined the origin of circulating miRNAs demonstrated that miR‑451, miR‑16, and miR‑486‑5p were most highly expressed in red blood cells and their levels were significantly higher in samples that were affected by haemolysis</w:t>
      </w:r>
      <w:r w:rsidRPr="00C83EDC">
        <w:rPr>
          <w:lang w:val="en-GB"/>
        </w:rPr>
        <w:fldChar w:fldCharType="begin" w:fldLock="1"/>
      </w:r>
      <w:r w:rsidR="000C069C">
        <w:rPr>
          <w:lang w:val="en-GB"/>
        </w:rPr>
        <w:instrText>ADDIN CSL_CITATION {"citationItems":[{"id":"ITEM-1","itemData":{"DOI":"10.1158/1940-6207.CAPR-11-0370","ISSN":"19406207","PMID":"22158052","abstract":"Circulating, cell-free microRNAs (miRNAs) hold great promise as a new class of cancer biomarkers due to their surprisingly high stability in plasma, association with disease states, and ease of sensitive measurement. Yet little is known about the origin of circulating miRNAs in either healthy or sick people or what factors influence levels of circulating miRNA biomarkers. Of 79 solid tumor circulating miRNA biomarkers reported in the literature, we found that 58% (46 of 79) are highly expressed in one or more blood cell type. Plasma levels of miRNA biomarkers expressed by myeloid (e.g., miR-223, miR-197, miR-574-3p, and let-7a) and lymphoid (e.g., miR-150) blood cells tightly correlated with corresponding white blood cell counts. Plasma miRNA biomarkers expressed by red blood cells (e.g., miR-486-5p, miR-451, miR-92a, and miR-16) could not be correlated to red cell counts due to limited variation in hematocrit in the cohort studied but were significantly increased in hemolyzed specimens (20- to 30-fold plasma increase; P &lt; 0.0000001). Finally, in a patient undergoing autologous hematopoietic cell transplantation, plasma levels of myeloid- and lymphoid-expressed miRNAs (miR-223 and miR-150, respectively) tracked closely with changes in corresponding blood counts. We present evidence that blood cells are a major contributor to circulating miRNA and that perturbations in blood cell counts and hemolysis can alter plasma miRNA biomarker levels by up to 50-fold. Given that a majority of reported circulating miRNA cancer biomarkers are highly expressed in blood cells, we suggest caution in interpretation of such results as they may reflect a blood cell-based phenomenon rather than a cancer-specific origin. ©2011 AACR.","author":[{"dropping-particle":"","family":"Pritchard","given":"Colin C.","non-dropping-particle":"","parse-names":false,"suffix":""},{"dropping-particle":"","family":"Kroh","given":"Evan","non-dropping-particle":"","parse-names":false,"suffix":""},{"dropping-particle":"","family":"Wood","given":"Brent","non-dropping-particle":"","parse-names":false,"suffix":""},{"dropping-particle":"","family":"Arroyo","given":"Jason D.","non-dropping-particle":"","parse-names":false,"suffix":""},{"dropping-particle":"","family":"Dougherty","given":"Katy J.","non-dropping-particle":"","parse-names":false,"suffix":""},{"dropping-particle":"","family":"Miyaji","given":"Melanie M.","non-dropping-particle":"","parse-names":false,"suffix":""},{"dropping-particle":"","family":"Tait","given":"Jonathan F.","non-dropping-particle":"","parse-names":false,"suffix":""},{"dropping-particle":"","family":"Tewari","given":"Muneesh","non-dropping-particle":"","parse-names":false,"suffix":""}],"container-title":"Cancer Prevention Research","id":"ITEM-1","issue":"3","issued":{"date-parts":[["2012"]]},"page":"492-497","title":"Blood cell origin of circulating microRNAs: A cautionary note for cancer biomarker studies","type":"article-journal","volume":"5"},"uris":["http://www.mendeley.com/documents/?uuid=7469743b-b8a9-4bc3-80ca-97b892797e63"]},{"id":"ITEM-2","itemData":{"DOI":"10.1016/j.ymeth.2012.09.015","ISSN":"10959130","PMID":"23036329","abstract":"MicroRNAs (miRNAs) constitute a class of small cellular RNAs (typically 21-23. nt) that function as post-transcriptional regulators of gene expression. Current estimates indicate that more than one third of the cellular transcriptome is regulated by miRNAs, although they are relatively few in number (less than 2000 human miRNAs).The high relative stability of miRNA in common clinical tissues and biofluids (e.g. plasma, serum, urine, saliva, etc.) and the ability of miRNA expression profiles to accurately classify discrete tissue types and disease states have positioned miRNA quantification as a promising new tool for a wide range of diagnostic applications. Furthermore miRNAs have been shown to be rapidly released from tissues into the circulation with the development of pathology. To facilitate discovery and clinical development of miRNA-based biomarkers, we developed a genome-wide Locked Nucleic Acid (LNA™)-based miRNA qPCR platform with unparalleled sensitivity and robustness. The platform allows high-throughput profiling of miRNAs from important clinical sources without the need for pre-amplification. Using this system, we have profiled thousands of biofluid samples including blood derived plasma and serum. An extensive quality control (QC) system has been implemented in order to secure technical excellence and reveal any unwanted bias coming from pre-analytical or analytical variables. We present our approaches to sample and RNA QC as well as data QC and normalization. Specifically we have developed normal reference ranges for circulating miRNAs in serum and plasma as well as a hemolysis indicator based on microRNA expression. © 2012 Elsevier Inc.","author":[{"dropping-particle":"","family":"Blondal","given":"Thorarinn","non-dropping-particle":"","parse-names":false,"suffix":""},{"dropping-particle":"","family":"Jensby Nielsen","given":"Søren","non-dropping-particle":"","parse-names":false,"suffix":""},{"dropping-particle":"","family":"Baker","given":"Adam","non-dropping-particle":"","parse-names":false,"suffix":""},{"dropping-particle":"","family":"Andreasen","given":"Ditte","non-dropping-particle":"","parse-names":false,"suffix":""},{"dropping-particle":"","family":"Mouritzen","given":"Peter","non-dropping-particle":"","parse-names":false,"suffix":""},{"dropping-particle":"","family":"Wrang Teilum","given":"Maria","non-dropping-particle":"","parse-names":false,"suffix":""},{"dropping-particle":"","family":"Dahlsveen","given":"Ina K.","non-dropping-particle":"","parse-names":false,"suffix":""}],"container-title":"Methods","id":"ITEM-2","issue":"1","issued":{"date-parts":[["2013"]]},"page":"S1-S6","publisher":"Elsevier Inc.","title":"Assessing sample and miRNA profile quality in serum and plasma or other biofluids","type":"article-journal","volume":"59"},"uris":["http://www.mendeley.com/documents/?uuid=c3eb0e01-61cc-4c95-a947-69ed8772ead2"]},{"id":"ITEM-3","itemData":{"DOI":"10.1371/journal.pone.0024145","ISSN":"19326203","PMID":"21909417","abstract":"The presence of cell-free microRNAs (miRNAs) has been detected in a range of body fluids. The miRNA content of plasma/serum in particular has been proposed as a potential source of novel biomarkers for a number of diseases. Nevertheless, the quantification of miRNAs from plasma or serum is made difficult due to inefficient isolation and lack of consensus regarding the optimal reference miRNA. The effect of haemolysis on the quantification and normalisation of miRNAs in plasma has not been investigated in great detail. We found that levels of miR-16, a commonly used reference gene, showed little variation when measured in plasma samples from healthy volunteers or patients with malignant mesothelioma or coronary artery disease. Including samples with evidence of haemolysis led to variation in miR-16 levels and consequently decreased its ability to serve as a reference. The levels of miR-16 and miR-451, both present in significant levels in red blood cells, were proportional to the degree of haemolysis. Measurements of the level of these miRNAs in whole blood, plasma, red blood cells and peripheral blood mononuclear cells revealed that the miRNA content of red blood cells represents the major source of variation in miR-16 and miR-451 levels measured in plasma. Adding lysed red blood cells to non-haemolysed plasma allowed a cut-off level of free haemoglobin to be determined, below which miR-16 and miR-451 levels displayed little variation between individuals. In conclusion, increases in plasma miR-16 and miR-451 are caused by haemolysis. In the absence of haemolysis the levels of both miR-16 and miR-451 are sufficiently constant to serve as normalisers. © 2011 Kirschner et al.","author":[{"dropping-particle":"","family":"Kirschner","given":"Michaela B.","non-dropping-particle":"","parse-names":false,"suffix":""},{"dropping-particle":"","family":"Kao","given":"Steven C.","non-dropping-particle":"","parse-names":false,"suffix":""},{"dropping-particle":"","family":"Edelman","given":"J. James","non-dropping-particle":"","parse-names":false,"suffix":""},{"dropping-particle":"","family":"Armstrong","given":"Nicola J.","non-dropping-particle":"","parse-names":false,"suffix":""},{"dropping-particle":"","family":"Vallely","given":"Michael P.","non-dropping-particle":"","parse-names":false,"suffix":""},{"dropping-particle":"","family":"Zandwijk","given":"Nico","non-dropping-particle":"van","parse-names":false,"suffix":""},{"dropping-particle":"","family":"Reid","given":"Glen","non-dropping-particle":"","parse-names":false,"suffix":""}],"container-title":"PLoS ONE","id":"ITEM-3","issue":"9","issued":{"date-parts":[["2011"]]},"title":"Haemolysis during sample preparation alters microRNA content of plasma","type":"article-journal","volume":"6"},"uris":["http://www.mendeley.com/documents/?uuid=6fdb22ae-d2ad-4936-9528-b95d25cd2987"]}],"mendeley":{"formattedCitation":"&lt;sup&gt;143–145&lt;/sup&gt;","plainTextFormattedCitation":"143–145","previouslyFormattedCitation":"[143]–[145]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143–145</w:t>
      </w:r>
      <w:r w:rsidRPr="00C83EDC">
        <w:rPr>
          <w:lang w:val="en-GB"/>
        </w:rPr>
        <w:fldChar w:fldCharType="end"/>
      </w:r>
      <w:r w:rsidRPr="00C83EDC">
        <w:rPr>
          <w:lang w:val="en-GB"/>
        </w:rPr>
        <w:t xml:space="preserve">. Additionally, haematuria is a common symptom experienced by </w:t>
      </w:r>
      <w:proofErr w:type="spellStart"/>
      <w:r w:rsidRPr="00C83EDC">
        <w:rPr>
          <w:lang w:val="en-GB"/>
        </w:rPr>
        <w:t>PCa</w:t>
      </w:r>
      <w:proofErr w:type="spellEnd"/>
      <w:r w:rsidRPr="00C83EDC">
        <w:rPr>
          <w:lang w:val="en-GB"/>
        </w:rPr>
        <w:t xml:space="preserve"> patients at any clinical stage</w:t>
      </w:r>
      <w:r w:rsidRPr="00C83EDC">
        <w:rPr>
          <w:lang w:val="en-GB"/>
        </w:rPr>
        <w:fldChar w:fldCharType="begin" w:fldLock="1"/>
      </w:r>
      <w:r w:rsidR="000C069C">
        <w:rPr>
          <w:lang w:val="en-GB"/>
        </w:rPr>
        <w:instrText>ADDIN CSL_CITATION {"citationItems":[{"id":"ITEM-1","itemData":{"DOI":"10.1016/S1470-2045(19)30595-9","ISSN":"14745488","PMID":"31704137","abstract":"Background: Early diagnosis interventions such as symptom awareness campaigns increasingly form part of global cancer control strategies. However, these strategies will have little impact in improving cancer outcomes if the targeted symptoms represent advanced stage of disease. Therefore, we aimed to examine associations between common presenting symptoms of cancer and stage at diagnosis. Methods: In this cross-sectional study, we analysed population-level data from the English National Cancer Diagnosis Audit 2014 for patients aged 25 years and older with one of 12 types of solid tumours (bladder, breast, colon, endometrial, laryngeal, lung, melanoma, oral or oropharyngeal, ovarian, prostate, rectal, and renal cancer). We considered 20 common presenting symptoms and examined their associations with stage at diagnosis (TNM stage IV vs stage I–III) using logistic regression. For each symptom, we estimated these associations when reported as a single presenting symptom and when reported together with other symptoms. Findings: We analysed data for 7997 patients. The proportion of patients diagnosed with stage IV cancer varied substantially by presenting symptom, from 1% (95% CI 1–3; eight of 584 patients) for abnormal mole to 80% (71–87; 84 of 105 patients) for neck lump. Three of the examined symptoms (neck lump, chest pain, and back pain) were consistently associated with increased odds of stage IV cancer, whether reported alone or with other symptoms, whereas the opposite was true for abnormal mole, breast lump, postmenopausal bleeding, and rectal bleeding. For 13 of the 20 symptoms (abnormal mole, breast lump, post-menopausal bleeding, rectal bleeding, lower urinary tract symptoms, haematuria, change in bowel habit, hoarseness, fatigue, abdominal pain, lower abdominal pain, weight loss, and the “any other symptom” category), more than 50% of patients were diagnosed at stages other than stage IV; for 19 of the 20 studied symptoms (all except for neck lump), more than a third of patients were diagnosed at stages other than stage IV. Interpretation: Despite specific presenting symptoms being more strongly associated with advanced stage at diagnosis than others, for most symptoms, large proportions of patients are diagnosed at stages other than stage IV. These findings provide support for early diagnosis interventions targeting common cancer symptoms, countering concerns that they might be simply expediting the detection of advanced stage disease. Funding: …","author":[{"dropping-particle":"","family":"Koo","given":"Minjoung Monica","non-dropping-particle":"","parse-names":false,"suffix":""},{"dropping-particle":"","family":"Swann","given":"Ruth","non-dropping-particle":"","parse-names":false,"suffix":""},{"dropping-particle":"","family":"McPhail","given":"Sean","non-dropping-particle":"","parse-names":false,"suffix":""},{"dropping-particle":"","family":"Abel","given":"Gary A.","non-dropping-particle":"","parse-names":false,"suffix":""},{"dropping-particle":"","family":"Elliss-Brookes","given":"Lucy","non-dropping-particle":"","parse-names":false,"suffix":""},{"dropping-particle":"","family":"Rubin","given":"Greg P.","non-dropping-particle":"","parse-names":false,"suffix":""},{"dropping-particle":"","family":"Lyratzopoulos","given":"Georgios","non-dropping-particle":"","parse-names":false,"suffix":""}],"container-title":"The Lancet Oncology","id":"ITEM-1","issue":"1","issued":{"date-parts":[["2020"]]},"page":"73-79","publisher":"The Author(s). Published by Elsevier Ltd. This is an Open Access article under the CC BY 4.0 license","title":"Presenting symptoms of cancer and stage at diagnosis: evidence from a cross-sectional, population-based study","type":"article-journal","volume":"21"},"uris":["http://www.mendeley.com/documents/?uuid=3439c430-43e0-4ec9-9ed6-9e729207e7b7"]}],"mendeley":{"formattedCitation":"&lt;sup&gt;146&lt;/sup&gt;","plainTextFormattedCitation":"146","previouslyFormattedCitation":"[146]"},"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146</w:t>
      </w:r>
      <w:r w:rsidRPr="00C83EDC">
        <w:rPr>
          <w:lang w:val="en-GB"/>
        </w:rPr>
        <w:fldChar w:fldCharType="end"/>
      </w:r>
      <w:r w:rsidRPr="00C83EDC">
        <w:rPr>
          <w:lang w:val="en-GB"/>
        </w:rPr>
        <w:t>, as well as by BPH individuals</w:t>
      </w:r>
      <w:r w:rsidRPr="00C83EDC">
        <w:rPr>
          <w:lang w:val="en-GB"/>
        </w:rPr>
        <w:fldChar w:fldCharType="begin" w:fldLock="1"/>
      </w:r>
      <w:r w:rsidR="000C069C">
        <w:rPr>
          <w:lang w:val="en-GB"/>
        </w:rPr>
        <w:instrText>ADDIN CSL_CITATION {"citationItems":[{"id":"ITEM-1","itemData":{"DOI":"10.1159/000343529","ISSN":"16617649","abstract":"Introduction: Hematuria secondary to benign prostatic hyperplasia (BPH) can occur due to a vascular primary gland itself or due to the vascular re-growth of the prostate following a transurethral resection of the prostate (TURP). We aim to evaluate the clinical presentation and management in patients within both these groups. Materials and Methods: We retrospectively archived the data of 166 men diagnosed with hematuria secondary to BPH from our hematuria clinic database from March 2003 and March 2006. The 166 patients were divided into 2 groups: Group I (n = 94) hematuria with no previous TURP; Group II (n = 72) hematuria with previous TURP. The clinical management in both groups included reassurance, commencement of a 5-alpha reductase inhibitor (finasteride) or a primary TURP in Group I or re-do TURP in Group II. Results: The median age was 73 years (range 45-94 years) for both groups. Outcomes combined for both groups included: reassurance alone in 26% (n = 43), finasteride in 51% (n = 84) and TURP in 12% (n = 19). Patients managed with reassurance alone or TURP had no further episodes of hematuria. At a mean follow-up was 18 months (range 7-22 months), 2 patients treated with finasteride re-bled but did require further intervention. A further 2 men elected to stop finasteride due to erectile dysfunction and gynecomastia respectively. Conclusion: BPH can present with hematuria. Following re-evaluation in a hematuria clinic, the lack of any subsequent cancer diagnosis in these patients suggests that repeat hematuria investigations should be carefully re-considered. © 2012 S. Karger AG, Basel.","author":[{"dropping-particle":"","family":"Vasdev","given":"Nikhil","non-dropping-particle":"","parse-names":false,"suffix":""},{"dropping-particle":"","family":"Kumar","given":"Ashish","non-dropping-particle":"","parse-names":false,"suffix":""},{"dropping-particle":"","family":"Veeratterapillay","given":"Rajan","non-dropping-particle":"","parse-names":false,"suffix":""},{"dropping-particle":"","family":"Thorpe","given":"Andrew C.","non-dropping-particle":"","parse-names":false,"suffix":""}],"container-title":"Current Urology","id":"ITEM-1","issue":"3","issued":{"date-parts":[["2013"]]},"page":"146-149","title":"Hematuria secondary to benign prostatic hyperplasia: Retrospective analysis of 166 men identified in a single one stop hematuria clinic","type":"article-journal","volume":"6"},"uris":["http://www.mendeley.com/documents/?uuid=70364bfe-fe9c-437a-ac10-fd199eed50a8"]}],"mendeley":{"formattedCitation":"&lt;sup&gt;147&lt;/sup&gt;","plainTextFormattedCitation":"147","previouslyFormattedCitation":"[147]"},"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147</w:t>
      </w:r>
      <w:r w:rsidRPr="00C83EDC">
        <w:rPr>
          <w:lang w:val="en-GB"/>
        </w:rPr>
        <w:fldChar w:fldCharType="end"/>
      </w:r>
      <w:r w:rsidRPr="00C83EDC">
        <w:rPr>
          <w:lang w:val="en-GB"/>
        </w:rPr>
        <w:t xml:space="preserve"> so careful consideration should precede any interpretation of the </w:t>
      </w:r>
      <w:r>
        <w:rPr>
          <w:lang w:val="en-GB"/>
        </w:rPr>
        <w:t>detected levels</w:t>
      </w:r>
      <w:r w:rsidRPr="00C83EDC">
        <w:rPr>
          <w:lang w:val="en-GB"/>
        </w:rPr>
        <w:t xml:space="preserve"> of miRNAs that have been implicated in </w:t>
      </w:r>
      <w:proofErr w:type="spellStart"/>
      <w:r w:rsidRPr="00C83EDC">
        <w:rPr>
          <w:lang w:val="en-GB"/>
        </w:rPr>
        <w:t>hemolysis</w:t>
      </w:r>
      <w:proofErr w:type="spellEnd"/>
      <w:r w:rsidRPr="00C83EDC">
        <w:rPr>
          <w:lang w:val="en-GB"/>
        </w:rPr>
        <w:t>, or their use as reference genes</w:t>
      </w:r>
      <w:r w:rsidRPr="00C83EDC">
        <w:rPr>
          <w:lang w:val="en-GB"/>
        </w:rPr>
        <w:fldChar w:fldCharType="begin" w:fldLock="1"/>
      </w:r>
      <w:r w:rsidR="000C069C">
        <w:rPr>
          <w:lang w:val="en-GB"/>
        </w:rPr>
        <w:instrText>ADDIN CSL_CITATION {"citationItems":[{"id":"ITEM-1","itemData":{"DOI":"10.1038/nrurol.2016.193","ISSN":"17594820","PMID":"27804986","abstract":"MicroRNAs (miRNAs) are secreted by cells in vesicles, bound in a ribonucleoprotein complex or as free molecules. These miRNA secretion pathways are dysregulated in cancer, making miRNAs attractive candidate molecules for liquid biopsies. A number of studies have investigated the regulation of miRNA secretion into blood and urine and suggested that miRNAs are noninvasive diagnostic, prognostic and surveillance markers in urological carcinomas, and research in this area has increased over the past 5 years. However, methodological and analytical pitfalls exist and require addressing to enable future translation of the laboratory findings regarding miRNAs as biomarkers into clinical practice in bladder cancer, kidney cancer, prostate cancer and testicular cancer.","author":[{"dropping-particle":"","family":"Fendler","given":"Annika","non-dropping-particle":"","parse-names":false,"suffix":""},{"dropping-particle":"","family":"Stephan","given":"Carsten","non-dropping-particle":"","parse-names":false,"suffix":""},{"dropping-particle":"","family":"Yousef","given":"George M.","non-dropping-particle":"","parse-names":false,"suffix":""},{"dropping-particle":"","family":"Kristiansen","given":"Glen","non-dropping-particle":"","parse-names":false,"suffix":""},{"dropping-particle":"","family":"Jung","given":"Klaus","non-dropping-particle":"","parse-names":false,"suffix":""}],"container-title":"Nature Reviews Urology","id":"ITEM-1","issue":"12","issued":{"date-parts":[["2016"]]},"page":"734-752","publisher":"Nature Publishing Group","title":"The translational potential of microRNAs as biofluid markers of urological tumours","type":"article-journal","volume":"13"},"uris":["http://www.mendeley.com/documents/?uuid=2d6cb0ed-f422-4ed1-8067-8e569c0f82f0"]},{"id":"ITEM-2","itemData":{"DOI":"10.1371/journal.pone.0024145","ISSN":"19326203","PMID":"21909417","abstract":"The presence of cell-free microRNAs (miRNAs) has been detected in a range of body fluids. The miRNA content of plasma/serum in particular has been proposed as a potential source of novel biomarkers for a number of diseases. Nevertheless, the quantification of miRNAs from plasma or serum is made difficult due to inefficient isolation and lack of consensus regarding the optimal reference miRNA. The effect of haemolysis on the quantification and normalisation of miRNAs in plasma has not been investigated in great detail. We found that levels of miR-16, a commonly used reference gene, showed little variation when measured in plasma samples from healthy volunteers or patients with malignant mesothelioma or coronary artery disease. Including samples with evidence of haemolysis led to variation in miR-16 levels and consequently decreased its ability to serve as a reference. The levels of miR-16 and miR-451, both present in significant levels in red blood cells, were proportional to the degree of haemolysis. Measurements of the level of these miRNAs in whole blood, plasma, red blood cells and peripheral blood mononuclear cells revealed that the miRNA content of red blood cells represents the major source of variation in miR-16 and miR-451 levels measured in plasma. Adding lysed red blood cells to non-haemolysed plasma allowed a cut-off level of free haemoglobin to be determined, below which miR-16 and miR-451 levels displayed little variation between individuals. In conclusion, increases in plasma miR-16 and miR-451 are caused by haemolysis. In the absence of haemolysis the levels of both miR-16 and miR-451 are sufficiently constant to serve as normalisers. © 2011 Kirschner et al.","author":[{"dropping-particle":"","family":"Kirschner","given":"Michaela B.","non-dropping-particle":"","parse-names":false,"suffix":""},{"dropping-particle":"","family":"Kao","given":"Steven C.","non-dropping-particle":"","parse-names":false,"suffix":""},{"dropping-particle":"","family":"Edelman","given":"J. James","non-dropping-particle":"","parse-names":false,"suffix":""},{"dropping-particle":"","family":"Armstrong","given":"Nicola J.","non-dropping-particle":"","parse-names":false,"suffix":""},{"dropping-particle":"","family":"Vallely","given":"Michael P.","non-dropping-particle":"","parse-names":false,"suffix":""},{"dropping-particle":"","family":"Zandwijk","given":"Nico","non-dropping-particle":"van","parse-names":false,"suffix":""},{"dropping-particle":"","family":"Reid","given":"Glen","non-dropping-particle":"","parse-names":false,"suffix":""}],"container-title":"PLoS ONE","id":"ITEM-2","issue":"9","issued":{"date-parts":[["2011"]]},"title":"Haemolysis during sample preparation alters microRNA content of plasma","type":"article-journal","volume":"6"},"uris":["http://www.mendeley.com/documents/?uuid=6fdb22ae-d2ad-4936-9528-b95d25cd2987"]}],"mendeley":{"formattedCitation":"&lt;sup&gt;139,145&lt;/sup&gt;","plainTextFormattedCitation":"139,145","previouslyFormattedCitation":"[139], [145]"},"properties":{"noteIndex":0},"schema":"https://github.com/citation-style-language/schema/raw/master/csl-citation.json"}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139,145</w:t>
      </w:r>
      <w:r w:rsidRPr="00C83EDC">
        <w:rPr>
          <w:lang w:val="en-GB"/>
        </w:rPr>
        <w:fldChar w:fldCharType="end"/>
      </w:r>
      <w:r w:rsidRPr="00C83EDC">
        <w:rPr>
          <w:lang w:val="en-GB"/>
        </w:rPr>
        <w:t>.</w:t>
      </w:r>
    </w:p>
    <w:p w14:paraId="53C39EEF" w14:textId="04FE8966" w:rsidR="00EE7EB3" w:rsidRPr="00C83EDC" w:rsidRDefault="00EE7EB3" w:rsidP="00EE7EB3">
      <w:pPr>
        <w:pStyle w:val="Dalodstavce"/>
        <w:rPr>
          <w:lang w:val="en-GB"/>
        </w:rPr>
      </w:pPr>
      <w:r w:rsidRPr="00C83EDC">
        <w:rPr>
          <w:lang w:val="en-GB"/>
        </w:rPr>
        <w:t xml:space="preserve">A profiling study by </w:t>
      </w:r>
      <w:proofErr w:type="spellStart"/>
      <w:r w:rsidRPr="00C83EDC">
        <w:rPr>
          <w:lang w:val="en-GB"/>
        </w:rPr>
        <w:t>Yasui</w:t>
      </w:r>
      <w:proofErr w:type="spellEnd"/>
      <w:r w:rsidRPr="00C83EDC">
        <w:rPr>
          <w:lang w:val="en-GB"/>
        </w:rPr>
        <w:t xml:space="preserve"> </w:t>
      </w:r>
      <w:r w:rsidRPr="00C83EDC">
        <w:rPr>
          <w:i/>
          <w:iCs/>
          <w:lang w:val="en-GB"/>
        </w:rPr>
        <w:t>et al</w:t>
      </w:r>
      <w:r w:rsidRPr="00C83EDC">
        <w:rPr>
          <w:lang w:val="en-GB"/>
        </w:rPr>
        <w:t>. used</w:t>
      </w:r>
      <w:r>
        <w:rPr>
          <w:lang w:val="en-GB"/>
        </w:rPr>
        <w:t xml:space="preserve"> a</w:t>
      </w:r>
      <w:r w:rsidRPr="00C83EDC">
        <w:rPr>
          <w:lang w:val="en-GB"/>
        </w:rPr>
        <w:t xml:space="preserve"> nanowire-anchored microfluidic device for urine extracellular vesicles collection and in situ extractions of miRNAs. The microarray analysis evaluated 2330 miRNA profiles across a number of cancer types including prostate cancer</w:t>
      </w:r>
      <w:r w:rsidRPr="00C83EDC">
        <w:rPr>
          <w:lang w:val="en-GB"/>
        </w:rPr>
        <w:fldChar w:fldCharType="begin" w:fldLock="1"/>
      </w:r>
      <w:r w:rsidR="000C069C">
        <w:rPr>
          <w:lang w:val="en-GB"/>
        </w:rPr>
        <w:instrText>ADDIN CSL_CITATION {"citationItems":[{"id":"ITEM-1","itemData":{"DOI":"10.1126/sciadv.1701133","ISSN":"23752548","abstract":"Copyright © 2017 The Authors, some rights reserved. Analyzing microRNAs (miRNAs) within urine extracellular vesicles (EVs) is important for realizing miRNA-based, simple, and noninvasive early disease diagnoses and timely medical checkups. However, the inherent difficulty in collecting dilute concentrations of EVs ( &lt; 0.01 volume %) from urine has hindered the development of these diagnoses and medical checkups. We propose a device composed of nanowires anchored into a microfluidic substrate. This device enables EV collections at high efficiency and in situ extractions of various miRNAs of different sequences (around 1000 types) that significantly exceed the number of species being extracted by the conventional ultracentrifugation method. The mechanical stability of nanowires anchored into substrates during buffer flow and the electrostatic collection of EVs onto the nanowires are the two key mechanisms that ensure the success of the proposed device. In addition, we use our methodology to identify urinary miRNAs that could potentially serve as biomarkers for cancer not only for urologic malignancies (bladder and prostate) but also for nonurologic ones (lung, pancreas, and liver). The present device concept will provide a foundation for work toward the long-term goal of urine-based early diagnoses and medical checkups for cancer.","author":[{"dropping-particle":"","family":"Yasui","given":"Takao","non-dropping-particle":"","parse-names":false,"suffix":""},{"dropping-particle":"","family":"Yanagida","given":"Takeshi","non-dropping-particle":"","parse-names":false,"suffix":""},{"dropping-particle":"","family":"Ito","given":"Satoru","non-dropping-particle":"","parse-names":false,"suffix":""},{"dropping-particle":"","family":"Konakade","given":"Yuki","non-dropping-particle":"","parse-names":false,"suffix":""},{"dropping-particle":"","family":"Takeshita","given":"Daiki","non-dropping-particle":"","parse-names":false,"suffix":""},{"dropping-particle":"","family":"Naganawa","given":"Tsuyoshi","non-dropping-particle":"","parse-names":false,"suffix":""},{"dropping-particle":"","family":"Nagashima","given":"Kazuki","non-dropping-particle":"","parse-names":false,"suffix":""},{"dropping-particle":"","family":"Shimada","given":"Taisuke","non-dropping-particle":"","parse-names":false,"suffix":""},{"dropping-particle":"","family":"Kaji","given":"Noritada","non-dropping-particle":"","parse-names":false,"suffix":""},{"dropping-particle":"","family":"Nakamura","given":"Yuta","non-dropping-particle":"","parse-names":false,"suffix":""},{"dropping-particle":"","family":"Thiodorus","given":"Ivan Adiyasa","non-dropping-particle":"","parse-names":false,"suffix":""},{"dropping-particle":"","family":"He","given":"Yong","non-dropping-particle":"","parse-names":false,"suffix":""},{"dropping-particle":"","family":"Rahong","given":"Sakon","non-dropping-particle":"","parse-names":false,"suffix":""},{"dropping-particle":"","family":"Kanai","given":"Masaki","non-dropping-particle":"","parse-names":false,"suffix":""},{"dropping-particle":"","family":"Yukawa","given":"Hiroshi","non-dropping-particle":"","parse-names":false,"suffix":""},{"dropping-particle":"","family":"Ochiya","given":"Takahiro","non-dropping-particle":"","parse-names":false,"suffix":""},{"dropping-particle":"","family":"Kawai","given":"Tomoji","non-dropping-particle":"","parse-names":false,"suffix":""},{"dropping-particle":"","family":"Baba","given":"Yoshinobu","non-dropping-particle":"","parse-names":false,"suffix":""}],"container-title":"Science Advances","id":"ITEM-1","issue":"12","issued":{"date-parts":[["2017"]]},"note":"necessary to go through because it might be different to normal rna isolation","page":"1-20","title":"Unveiling massive numbers of cancer-related urinary-microRNA candidates via nanowires","type":"article-journal","volume":"3"},"uris":["http://www.mendeley.com/documents/?uuid=fd16684b-7b69-47b4-8187-d16982efc531"]}],"mendeley":{"formattedCitation":"&lt;sup&gt;148&lt;/sup&gt;","plainTextFormattedCitation":"148","previouslyFormattedCitation":"[148]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148</w:t>
      </w:r>
      <w:r w:rsidRPr="00C83EDC">
        <w:rPr>
          <w:lang w:val="en-GB"/>
        </w:rPr>
        <w:fldChar w:fldCharType="end"/>
      </w:r>
      <w:r w:rsidRPr="00C83EDC">
        <w:rPr>
          <w:lang w:val="en-GB"/>
        </w:rPr>
        <w:t xml:space="preserve">. In concordance with their published results, we also identified </w:t>
      </w:r>
      <w:r>
        <w:rPr>
          <w:lang w:val="en-GB"/>
        </w:rPr>
        <w:t>miR‑</w:t>
      </w:r>
      <w:r w:rsidRPr="00C83EDC">
        <w:rPr>
          <w:lang w:val="en-GB"/>
        </w:rPr>
        <w:t xml:space="preserve">151b to be significantly </w:t>
      </w:r>
      <w:r>
        <w:rPr>
          <w:lang w:val="en-GB"/>
        </w:rPr>
        <w:t>elevated</w:t>
      </w:r>
      <w:r w:rsidRPr="00C83EDC">
        <w:rPr>
          <w:lang w:val="en-GB"/>
        </w:rPr>
        <w:t xml:space="preserve"> in the urine of </w:t>
      </w:r>
      <w:proofErr w:type="spellStart"/>
      <w:r w:rsidRPr="00C83EDC">
        <w:rPr>
          <w:lang w:val="en-GB"/>
        </w:rPr>
        <w:t>PCa</w:t>
      </w:r>
      <w:proofErr w:type="spellEnd"/>
      <w:r w:rsidRPr="00C83EDC">
        <w:rPr>
          <w:lang w:val="en-GB"/>
        </w:rPr>
        <w:t xml:space="preserve"> </w:t>
      </w:r>
      <w:proofErr w:type="gramStart"/>
      <w:r w:rsidRPr="00C83EDC">
        <w:rPr>
          <w:lang w:val="en-GB"/>
        </w:rPr>
        <w:t>patients</w:t>
      </w:r>
      <w:proofErr w:type="gramEnd"/>
      <w:r w:rsidRPr="00C83EDC">
        <w:rPr>
          <w:lang w:val="en-GB"/>
        </w:rPr>
        <w:t xml:space="preserve"> vs BPH and healthy</w:t>
      </w:r>
      <w:r>
        <w:rPr>
          <w:lang w:val="en-GB"/>
        </w:rPr>
        <w:t xml:space="preserve"> </w:t>
      </w:r>
      <w:r w:rsidRPr="00C83EDC">
        <w:rPr>
          <w:lang w:val="en-GB"/>
        </w:rPr>
        <w:t>individual group</w:t>
      </w:r>
      <w:r>
        <w:rPr>
          <w:lang w:val="en-GB"/>
        </w:rPr>
        <w:t>s</w:t>
      </w:r>
      <w:r w:rsidRPr="00C83EDC">
        <w:rPr>
          <w:lang w:val="en-GB"/>
        </w:rPr>
        <w:t xml:space="preserve">. Although their sample size was very small (three </w:t>
      </w:r>
      <w:proofErr w:type="spellStart"/>
      <w:r>
        <w:rPr>
          <w:lang w:val="en-GB"/>
        </w:rPr>
        <w:t>PCa</w:t>
      </w:r>
      <w:proofErr w:type="spellEnd"/>
      <w:r w:rsidRPr="00C83EDC">
        <w:rPr>
          <w:lang w:val="en-GB"/>
        </w:rPr>
        <w:t xml:space="preserve"> patients and three healthy controls) and did not include BPH diagnosed men, the results indicate that </w:t>
      </w:r>
      <w:r>
        <w:rPr>
          <w:lang w:val="en-GB"/>
        </w:rPr>
        <w:t>miR‑</w:t>
      </w:r>
      <w:r w:rsidRPr="00C83EDC">
        <w:rPr>
          <w:lang w:val="en-GB"/>
        </w:rPr>
        <w:t xml:space="preserve">151b could be further explored as a possible diagnostic biomarker for </w:t>
      </w:r>
      <w:proofErr w:type="spellStart"/>
      <w:r w:rsidRPr="00C83EDC">
        <w:rPr>
          <w:lang w:val="en-GB"/>
        </w:rPr>
        <w:t>PCa</w:t>
      </w:r>
      <w:proofErr w:type="spellEnd"/>
      <w:r w:rsidRPr="00C83EDC">
        <w:rPr>
          <w:lang w:val="en-GB"/>
        </w:rPr>
        <w:t>.</w:t>
      </w:r>
      <w:r>
        <w:rPr>
          <w:lang w:val="en-GB"/>
        </w:rPr>
        <w:t xml:space="preserve"> </w:t>
      </w:r>
    </w:p>
    <w:p w14:paraId="12B517C9" w14:textId="316B12FE" w:rsidR="00EE7EB3" w:rsidRPr="00C83EDC" w:rsidRDefault="00EE7EB3" w:rsidP="00EE7EB3">
      <w:pPr>
        <w:pStyle w:val="Dalodstavce"/>
        <w:rPr>
          <w:lang w:val="en-GB"/>
        </w:rPr>
      </w:pPr>
      <w:r>
        <w:rPr>
          <w:lang w:val="en-GB"/>
        </w:rPr>
        <w:t>In the urine profiling cohort, miR‑</w:t>
      </w:r>
      <w:r w:rsidRPr="00C83EDC">
        <w:rPr>
          <w:lang w:val="en-GB"/>
        </w:rPr>
        <w:t>130a</w:t>
      </w:r>
      <w:r>
        <w:rPr>
          <w:lang w:val="en-GB"/>
        </w:rPr>
        <w:t>‑3p</w:t>
      </w:r>
      <w:r w:rsidRPr="00C83EDC">
        <w:rPr>
          <w:lang w:val="en-GB"/>
        </w:rPr>
        <w:t xml:space="preserve"> was one of the significantly </w:t>
      </w:r>
      <w:r>
        <w:rPr>
          <w:lang w:val="en-GB"/>
        </w:rPr>
        <w:t>lowered</w:t>
      </w:r>
      <w:r w:rsidRPr="00C83EDC">
        <w:rPr>
          <w:lang w:val="en-GB"/>
        </w:rPr>
        <w:t xml:space="preserve"> miRNA in the group of high-risk </w:t>
      </w:r>
      <w:proofErr w:type="spellStart"/>
      <w:r>
        <w:rPr>
          <w:lang w:val="en-GB"/>
        </w:rPr>
        <w:t>PCa</w:t>
      </w:r>
      <w:proofErr w:type="spellEnd"/>
      <w:r w:rsidRPr="00C83EDC">
        <w:rPr>
          <w:lang w:val="en-GB"/>
        </w:rPr>
        <w:t xml:space="preserve"> relative to</w:t>
      </w:r>
      <w:r>
        <w:rPr>
          <w:lang w:val="en-GB"/>
        </w:rPr>
        <w:t xml:space="preserve"> the</w:t>
      </w:r>
      <w:r w:rsidRPr="00C83EDC">
        <w:rPr>
          <w:lang w:val="en-GB"/>
        </w:rPr>
        <w:t xml:space="preserve"> low-risk group and at the same time it was </w:t>
      </w:r>
      <w:r>
        <w:rPr>
          <w:lang w:val="en-GB"/>
        </w:rPr>
        <w:t>elevated</w:t>
      </w:r>
      <w:r w:rsidRPr="00C83EDC">
        <w:rPr>
          <w:lang w:val="en-GB"/>
        </w:rPr>
        <w:t xml:space="preserve"> in </w:t>
      </w:r>
      <w:proofErr w:type="spellStart"/>
      <w:r w:rsidRPr="00C83EDC">
        <w:rPr>
          <w:lang w:val="en-GB"/>
        </w:rPr>
        <w:t>PCa</w:t>
      </w:r>
      <w:proofErr w:type="spellEnd"/>
      <w:r w:rsidRPr="00C83EDC">
        <w:rPr>
          <w:lang w:val="en-GB"/>
        </w:rPr>
        <w:t xml:space="preserve"> opposed to the group of healthy men with BPH diagnosed individuals.</w:t>
      </w:r>
      <w:r>
        <w:rPr>
          <w:lang w:val="en-GB"/>
        </w:rPr>
        <w:t xml:space="preserve"> Surprisingly, it was overexpressed in the tissue of aggressive tumours compared to the indolent type in our discovery cohort.</w:t>
      </w:r>
      <w:r w:rsidRPr="00C83EDC">
        <w:rPr>
          <w:lang w:val="en-GB"/>
        </w:rPr>
        <w:t xml:space="preserve"> A study that focused on</w:t>
      </w:r>
      <w:r>
        <w:rPr>
          <w:lang w:val="en-GB"/>
        </w:rPr>
        <w:t xml:space="preserve"> the</w:t>
      </w:r>
      <w:r w:rsidRPr="00C83EDC">
        <w:rPr>
          <w:lang w:val="en-GB"/>
        </w:rPr>
        <w:t xml:space="preserve"> epigenetic disruption of </w:t>
      </w:r>
      <w:r>
        <w:rPr>
          <w:lang w:val="en-GB"/>
        </w:rPr>
        <w:t>miR‑</w:t>
      </w:r>
      <w:r w:rsidRPr="00C83EDC">
        <w:rPr>
          <w:lang w:val="en-GB"/>
        </w:rPr>
        <w:t>130a</w:t>
      </w:r>
      <w:r>
        <w:rPr>
          <w:lang w:val="en-GB"/>
        </w:rPr>
        <w:t>‑3p</w:t>
      </w:r>
      <w:r w:rsidRPr="00C83EDC">
        <w:rPr>
          <w:lang w:val="en-GB"/>
        </w:rPr>
        <w:t xml:space="preserve"> revealed that hypermethylation of its gene promoter occurred in 82% </w:t>
      </w:r>
      <w:proofErr w:type="spellStart"/>
      <w:r w:rsidRPr="00C83EDC">
        <w:rPr>
          <w:lang w:val="en-GB"/>
        </w:rPr>
        <w:t>PCa</w:t>
      </w:r>
      <w:proofErr w:type="spellEnd"/>
      <w:r w:rsidRPr="00C83EDC">
        <w:rPr>
          <w:lang w:val="en-GB"/>
        </w:rPr>
        <w:t xml:space="preserve"> tissue specimens relative to morphological</w:t>
      </w:r>
      <w:r>
        <w:rPr>
          <w:lang w:val="en-GB"/>
        </w:rPr>
        <w:t>ly</w:t>
      </w:r>
      <w:r w:rsidRPr="00C83EDC">
        <w:rPr>
          <w:lang w:val="en-GB"/>
        </w:rPr>
        <w:t xml:space="preserve"> normal prostate tissue. The authors evaluated</w:t>
      </w:r>
      <w:r>
        <w:rPr>
          <w:lang w:val="en-GB"/>
        </w:rPr>
        <w:t xml:space="preserve"> the</w:t>
      </w:r>
      <w:r w:rsidRPr="00C83EDC">
        <w:rPr>
          <w:lang w:val="en-GB"/>
        </w:rPr>
        <w:t xml:space="preserve"> diagnostic potential of </w:t>
      </w:r>
      <w:r>
        <w:rPr>
          <w:lang w:val="en-GB"/>
        </w:rPr>
        <w:t>miR‑</w:t>
      </w:r>
      <w:r w:rsidRPr="00C83EDC">
        <w:rPr>
          <w:lang w:val="en-GB"/>
        </w:rPr>
        <w:t>130a</w:t>
      </w:r>
      <w:r>
        <w:rPr>
          <w:lang w:val="en-GB"/>
        </w:rPr>
        <w:t>‑3p</w:t>
      </w:r>
      <w:r w:rsidRPr="00C83EDC">
        <w:rPr>
          <w:lang w:val="en-GB"/>
        </w:rPr>
        <w:t xml:space="preserve"> for the discrimination between healthy a</w:t>
      </w:r>
      <w:r>
        <w:rPr>
          <w:lang w:val="en-GB"/>
        </w:rPr>
        <w:t>nd</w:t>
      </w:r>
      <w:r w:rsidRPr="00C83EDC">
        <w:rPr>
          <w:lang w:val="en-GB"/>
        </w:rPr>
        <w:t xml:space="preserve"> </w:t>
      </w:r>
      <w:proofErr w:type="spellStart"/>
      <w:r w:rsidRPr="00C83EDC">
        <w:rPr>
          <w:lang w:val="en-GB"/>
        </w:rPr>
        <w:t>PCa</w:t>
      </w:r>
      <w:proofErr w:type="spellEnd"/>
      <w:r w:rsidRPr="00C83EDC">
        <w:rPr>
          <w:lang w:val="en-GB"/>
        </w:rPr>
        <w:t xml:space="preserve"> tissue and tested its performance also in urine sediments yielding 83.5% sensitivity and 82.3% specificity for </w:t>
      </w:r>
      <w:proofErr w:type="spellStart"/>
      <w:r>
        <w:rPr>
          <w:lang w:val="en-GB"/>
        </w:rPr>
        <w:t>PCa</w:t>
      </w:r>
      <w:proofErr w:type="spellEnd"/>
      <w:r w:rsidRPr="00C83EDC">
        <w:rPr>
          <w:lang w:val="en-GB"/>
        </w:rPr>
        <w:t xml:space="preserve"> detection (AUC=0.89). Additionally, when </w:t>
      </w:r>
      <w:proofErr w:type="spellStart"/>
      <w:r>
        <w:rPr>
          <w:lang w:val="en-GB"/>
        </w:rPr>
        <w:t>PCa</w:t>
      </w:r>
      <w:proofErr w:type="spellEnd"/>
      <w:r w:rsidRPr="00C83EDC">
        <w:rPr>
          <w:lang w:val="en-GB"/>
        </w:rPr>
        <w:t xml:space="preserve"> cell lines were transfected with </w:t>
      </w:r>
      <w:r>
        <w:rPr>
          <w:lang w:val="en-GB"/>
        </w:rPr>
        <w:t>miR‑</w:t>
      </w:r>
      <w:r w:rsidRPr="00C83EDC">
        <w:rPr>
          <w:lang w:val="en-GB"/>
        </w:rPr>
        <w:t>130a</w:t>
      </w:r>
      <w:r>
        <w:rPr>
          <w:lang w:val="en-GB"/>
        </w:rPr>
        <w:t>‑3p</w:t>
      </w:r>
      <w:r w:rsidRPr="00C83EDC">
        <w:rPr>
          <w:lang w:val="en-GB"/>
        </w:rPr>
        <w:t>, its overexpression decreased cell viability, increased apoptosis and reduced invasive potential suggesting</w:t>
      </w:r>
      <w:r>
        <w:rPr>
          <w:lang w:val="en-GB"/>
        </w:rPr>
        <w:t xml:space="preserve"> a</w:t>
      </w:r>
      <w:r w:rsidRPr="00C83EDC">
        <w:rPr>
          <w:lang w:val="en-GB"/>
        </w:rPr>
        <w:t xml:space="preserve"> tumour-suppressor function of </w:t>
      </w:r>
      <w:r>
        <w:rPr>
          <w:lang w:val="en-GB"/>
        </w:rPr>
        <w:t>miR‑</w:t>
      </w:r>
      <w:r w:rsidRPr="00C83EDC">
        <w:rPr>
          <w:lang w:val="en-GB"/>
        </w:rPr>
        <w:t>130a</w:t>
      </w:r>
      <w:r>
        <w:rPr>
          <w:lang w:val="en-GB"/>
        </w:rPr>
        <w:t>‑3p</w:t>
      </w:r>
      <w:r w:rsidRPr="00C83EDC">
        <w:rPr>
          <w:lang w:val="en-GB"/>
        </w:rPr>
        <w:fldChar w:fldCharType="begin" w:fldLock="1"/>
      </w:r>
      <w:r w:rsidR="000C069C">
        <w:rPr>
          <w:lang w:val="en-GB"/>
        </w:rPr>
        <w:instrText>ADDIN CSL_CITATION {"citationItems":[{"id":"ITEM-1","itemData":{"DOI":"10.1016/j.canlet.2016.10.028","ISSN":"18727980","abstract":"MicroRNAs (miRNAs) are small, non-coding RNAs that mediate post-transcriptional gene silencing, fine tuning gene expression. In an initial screen, miRNAs were found to be globally down-regulated in prostate cancer (PCa) cell lines and primary tumours. Exposure of PCa cell lines to a demethylating agent, 5-Aza-CdR resulted in an increase in the expression levels of miRNAs in general. Using stringent filtering criteria miR-130a was identified as the most promising candidate and selected for validation analyses in our patient series. Down-regulation of miR-130a was associated with promoter hypermethylation. MiR-130a methylation levels discriminated PCa from non-malignant tissues (AUC = 0.956), and urine samples revealed high specificity for non-invasive detection of patients with PCa (AUC = 0.89). Additionally, repressive histone marks were also found in the promoter of miR-130a. Over-expression of miR-130a in PCa cells reduced cell viability and invasion capability, and increased apoptosis. Putative targets of miR-130a were assessed by microarray expression profiling and DEPD1C and SEC23B were selected for validation. Silencing of both genes resembled the effect of over-expressing miR-130a in PCa cells. Our data indicate that miR-130a is an epigenetically regulated miRNA involved in regulation of key molecular and phenotypic features of prostate carcinogenesis, acting as a tumour suppressor miRNA.","author":[{"dropping-particle":"","family":"Ramalho-Carvalho","given":"João","non-dropping-particle":"","parse-names":false,"suffix":""},{"dropping-particle":"","family":"Martins","given":"João Barbosa","non-dropping-particle":"","parse-names":false,"suffix":""},{"dropping-particle":"","family":"Cekaite","given":"Lina","non-dropping-particle":"","parse-names":false,"suffix":""},{"dropping-particle":"","family":"Sveen","given":"Anita","non-dropping-particle":"","parse-names":false,"suffix":""},{"dropping-particle":"","family":"Torres-Ferreira","given":"Jorge","non-dropping-particle":"","parse-names":false,"suffix":""},{"dropping-particle":"","family":"Graça","given":"Inês","non-dropping-particle":"","parse-names":false,"suffix":""},{"dropping-particle":"","family":"Costa-Pinheiro","given":"Pedro","non-dropping-particle":"","parse-names":false,"suffix":""},{"dropping-particle":"","family":"Eilertsen","given":"Ina Andrassy","non-dropping-particle":"","parse-names":false,"suffix":""},{"dropping-particle":"","family":"Antunes","given":"Luís","non-dropping-particle":"","parse-names":false,"suffix":""},{"dropping-particle":"","family":"Oliveira","given":"Jorge","non-dropping-particle":"","parse-names":false,"suffix":""},{"dropping-particle":"","family":"Lothe","given":"Ragnhild A.","non-dropping-particle":"","parse-names":false,"suffix":""},{"dropping-particle":"","family":"Henrique","given":"Rui","non-dropping-particle":"","parse-names":false,"suffix":""},{"dropping-particle":"","family":"Jerónimo","given":"Carmen","non-dropping-particle":"","parse-names":false,"suffix":""}],"container-title":"Cancer Letters","id":"ITEM-1","issued":{"date-parts":[["2017"]]},"page":"150-159","title":"Epigenetic disruption of miR-130a promotes prostate cancer by targeting SEC23B and DEPDC1","type":"article-journal","volume":"385"},"uris":["http://www.mendeley.com/documents/?uuid=967a2328-fd80-4c25-9079-1f2cb6599fca"]}],"mendeley":{"formattedCitation":"&lt;sup&gt;149&lt;/sup&gt;","plainTextFormattedCitation":"149","previouslyFormattedCitation":"[149]"},"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149</w:t>
      </w:r>
      <w:r w:rsidRPr="00C83EDC">
        <w:rPr>
          <w:lang w:val="en-GB"/>
        </w:rPr>
        <w:fldChar w:fldCharType="end"/>
      </w:r>
      <w:r w:rsidRPr="00C83EDC">
        <w:rPr>
          <w:lang w:val="en-GB"/>
        </w:rPr>
        <w:t xml:space="preserve">. </w:t>
      </w:r>
    </w:p>
    <w:p w14:paraId="485E2F25" w14:textId="688E873E" w:rsidR="00EE7EB3" w:rsidRDefault="00EE7EB3" w:rsidP="00EE7EB3">
      <w:pPr>
        <w:pStyle w:val="Dalodstavce"/>
        <w:rPr>
          <w:lang w:val="en-GB"/>
        </w:rPr>
      </w:pPr>
      <w:r w:rsidRPr="00C83EDC">
        <w:rPr>
          <w:lang w:val="en-GB"/>
        </w:rPr>
        <w:t xml:space="preserve">Our results show that </w:t>
      </w:r>
      <w:r>
        <w:rPr>
          <w:lang w:val="en-GB"/>
        </w:rPr>
        <w:t>miR‑</w:t>
      </w:r>
      <w:r w:rsidRPr="00C83EDC">
        <w:rPr>
          <w:lang w:val="en-GB"/>
        </w:rPr>
        <w:t>222</w:t>
      </w:r>
      <w:r>
        <w:rPr>
          <w:lang w:val="en-GB"/>
        </w:rPr>
        <w:t>‑3p</w:t>
      </w:r>
      <w:r w:rsidRPr="00C83EDC">
        <w:rPr>
          <w:lang w:val="en-GB"/>
        </w:rPr>
        <w:t xml:space="preserve"> was found significantly </w:t>
      </w:r>
      <w:r>
        <w:rPr>
          <w:lang w:val="en-GB"/>
        </w:rPr>
        <w:t>lowered</w:t>
      </w:r>
      <w:r w:rsidRPr="00C83EDC">
        <w:rPr>
          <w:lang w:val="en-GB"/>
        </w:rPr>
        <w:t xml:space="preserve"> in</w:t>
      </w:r>
      <w:r>
        <w:rPr>
          <w:lang w:val="en-GB"/>
        </w:rPr>
        <w:t xml:space="preserve"> the</w:t>
      </w:r>
      <w:r w:rsidRPr="00C83EDC">
        <w:rPr>
          <w:lang w:val="en-GB"/>
        </w:rPr>
        <w:t xml:space="preserve"> high-risk </w:t>
      </w:r>
      <w:proofErr w:type="spellStart"/>
      <w:r w:rsidRPr="00C83EDC">
        <w:rPr>
          <w:lang w:val="en-GB"/>
        </w:rPr>
        <w:t>PCa</w:t>
      </w:r>
      <w:proofErr w:type="spellEnd"/>
      <w:r w:rsidRPr="00C83EDC">
        <w:rPr>
          <w:lang w:val="en-GB"/>
        </w:rPr>
        <w:t xml:space="preserve"> group compared to low-risk </w:t>
      </w:r>
      <w:proofErr w:type="spellStart"/>
      <w:r w:rsidRPr="00C83EDC">
        <w:rPr>
          <w:lang w:val="en-GB"/>
        </w:rPr>
        <w:t>PCa</w:t>
      </w:r>
      <w:proofErr w:type="spellEnd"/>
      <w:r w:rsidRPr="00C83EDC">
        <w:rPr>
          <w:lang w:val="en-GB"/>
        </w:rPr>
        <w:t xml:space="preserve"> patients in the discovery cohort. </w:t>
      </w:r>
      <w:proofErr w:type="spellStart"/>
      <w:r w:rsidRPr="00C83EDC">
        <w:rPr>
          <w:lang w:val="en-GB"/>
        </w:rPr>
        <w:t>Fredsøe</w:t>
      </w:r>
      <w:proofErr w:type="spellEnd"/>
      <w:r w:rsidRPr="00C83EDC">
        <w:rPr>
          <w:lang w:val="en-GB"/>
        </w:rPr>
        <w:t xml:space="preserve"> </w:t>
      </w:r>
      <w:r w:rsidRPr="00C83EDC">
        <w:rPr>
          <w:i/>
          <w:iCs/>
          <w:lang w:val="en-GB"/>
        </w:rPr>
        <w:t>et al</w:t>
      </w:r>
      <w:r w:rsidRPr="00C83EDC">
        <w:rPr>
          <w:lang w:val="en-GB"/>
        </w:rPr>
        <w:t>. analysed</w:t>
      </w:r>
      <w:r>
        <w:rPr>
          <w:lang w:val="en-GB"/>
        </w:rPr>
        <w:t xml:space="preserve"> the levels of</w:t>
      </w:r>
      <w:r w:rsidRPr="00C83EDC">
        <w:rPr>
          <w:lang w:val="en-GB"/>
        </w:rPr>
        <w:t xml:space="preserve"> </w:t>
      </w:r>
      <w:r>
        <w:rPr>
          <w:lang w:val="en-GB"/>
        </w:rPr>
        <w:t>miR‑</w:t>
      </w:r>
      <w:r w:rsidRPr="00C83EDC">
        <w:rPr>
          <w:lang w:val="en-GB"/>
        </w:rPr>
        <w:t>222</w:t>
      </w:r>
      <w:r>
        <w:rPr>
          <w:lang w:val="en-GB"/>
        </w:rPr>
        <w:t>‑3p</w:t>
      </w:r>
      <w:r w:rsidRPr="00C83EDC">
        <w:rPr>
          <w:lang w:val="en-GB"/>
        </w:rPr>
        <w:t xml:space="preserve"> in the cell-free urine </w:t>
      </w:r>
      <w:r>
        <w:rPr>
          <w:lang w:val="en-GB"/>
        </w:rPr>
        <w:t>of</w:t>
      </w:r>
      <w:r w:rsidRPr="00C83EDC">
        <w:rPr>
          <w:lang w:val="en-GB"/>
        </w:rPr>
        <w:t xml:space="preserve"> BPH diagnosed men in comparison to </w:t>
      </w:r>
      <w:r>
        <w:rPr>
          <w:lang w:val="en-GB"/>
        </w:rPr>
        <w:t>the detected levels</w:t>
      </w:r>
      <w:r w:rsidRPr="00C83EDC">
        <w:rPr>
          <w:lang w:val="en-GB"/>
        </w:rPr>
        <w:t xml:space="preserve"> in patients with clinically localized </w:t>
      </w:r>
      <w:proofErr w:type="spellStart"/>
      <w:r w:rsidRPr="00C83EDC">
        <w:rPr>
          <w:lang w:val="en-GB"/>
        </w:rPr>
        <w:t>PCa</w:t>
      </w:r>
      <w:proofErr w:type="spellEnd"/>
      <w:r w:rsidRPr="00C83EDC">
        <w:rPr>
          <w:lang w:val="en-GB"/>
        </w:rPr>
        <w:t xml:space="preserve"> and found significant</w:t>
      </w:r>
      <w:r>
        <w:rPr>
          <w:lang w:val="en-GB"/>
        </w:rPr>
        <w:t>ly lowered concentration</w:t>
      </w:r>
      <w:r w:rsidRPr="00C83EDC">
        <w:rPr>
          <w:lang w:val="en-GB"/>
        </w:rPr>
        <w:t xml:space="preserve"> in the latter group. The diagnostic ability to discriminate between the groups reached </w:t>
      </w:r>
      <w:r w:rsidRPr="00C83EDC">
        <w:rPr>
          <w:lang w:val="en-GB"/>
        </w:rPr>
        <w:lastRenderedPageBreak/>
        <w:t xml:space="preserve">AUC=0.87 in the discovery cohort and was further validated in an independent cohort with AUC=0.79. </w:t>
      </w:r>
      <w:r>
        <w:rPr>
          <w:lang w:val="en-GB"/>
        </w:rPr>
        <w:t>miR‑</w:t>
      </w:r>
      <w:r w:rsidRPr="00C83EDC">
        <w:rPr>
          <w:lang w:val="en-GB"/>
        </w:rPr>
        <w:t>222</w:t>
      </w:r>
      <w:r>
        <w:rPr>
          <w:lang w:val="en-GB"/>
        </w:rPr>
        <w:t>‑3p</w:t>
      </w:r>
      <w:r w:rsidRPr="00C83EDC">
        <w:rPr>
          <w:lang w:val="en-GB"/>
        </w:rPr>
        <w:t xml:space="preserve"> was included in a three-miRNA classifier which showed diagnostic capacity </w:t>
      </w:r>
      <w:r>
        <w:rPr>
          <w:lang w:val="en-GB"/>
        </w:rPr>
        <w:t>with</w:t>
      </w:r>
      <w:r w:rsidRPr="00C83EDC">
        <w:rPr>
          <w:lang w:val="en-GB"/>
        </w:rPr>
        <w:t xml:space="preserve"> AUC=0.89.</w:t>
      </w:r>
      <w:r w:rsidRPr="00C83EDC">
        <w:rPr>
          <w:lang w:val="en-GB"/>
        </w:rPr>
        <w:fldChar w:fldCharType="begin" w:fldLock="1"/>
      </w:r>
      <w:r w:rsidR="000C069C">
        <w:rPr>
          <w:lang w:val="en-GB"/>
        </w:rPr>
        <w:instrText>ADDIN CSL_CITATION {"citationItems":[{"id":"ITEM-1","itemData":{"DOI":"10.1016/j.euf.2017.02.018","ISSN":"24054569","abstract":"Background: Widespread use of prostate-specific antigen (PSA) testing for prostate cancer (PC) detection has led to extensive overdiagnosis and overtreatment. Urine-based microRNA (miRNA) biomarkers could be useful in PC diagnosis and prognosis. Objective: To train and validate urine-based microRNA (miRNA) biomarkers that may assist in PC diagnosis and prognosis. Design, setting, and participants: We profiled the expression levels of 92 miRNAs via reverse transcriptase–poymerase chain reaction in cell-free urine samples from 29 patients with benign prostatic hyperplasia (BPH) and 215 patients with clinically localized PC (cohort 1). Our findings were validated in an independent cohort of 29 BPH patients and 220 patients with clinically localized PC (cohort 2). Results and limitations: We identified and validated several deregulated miRNAs in urine samples from PC patients. In addition, we trained a novel diagnostic three-miRNA model (miR-222-3p*miR-24-3p/miR-30c-5p) that distinguished BPH and PC patients with an area under the curve (AUC) of 0.95 in cohort 1, and was successfully validated in cohort 2 (AUC 0.89). Furthermore, we trained a novel prognostic three-miRNA model (miR-125b-5p*let-7a-5p/miR-151-5p) that predicted time to biochemical recurrence after radical prostatectomy independently of routine clinicopathological parameters in cohort 1, and was successfully validated in cohort 2. Conclusions: Future clinical implementation of our novel diagnostic and prognostic three-miRNA signatures could help in primary diagnosis of PC and guide treatment decisions. Further validation studies are warranted. Patient summary: Using two large patient cohorts, we searched for novel prostate cancer biomarkers in urine. We found two new sets of microRNA biomarkers in urine that could accurately predict the presence of prostate cancer and the likelihood of recurrence after prostatectomy. Further studies are needed before an actual clinical test can be developed.","author":[{"dropping-particle":"","family":"Fredsøe","given":"Jacob","non-dropping-particle":"","parse-names":false,"suffix":""},{"dropping-particle":"","family":"Rasmussen","given":"Anne K.I.","non-dropping-particle":"","parse-names":false,"suffix":""},{"dropping-particle":"","family":"Thomsen","given":"Anni R.","non-dropping-particle":"","parse-names":false,"suffix":""},{"dropping-particle":"","family":"Mouritzen","given":"Peter","non-dropping-particle":"","parse-names":false,"suffix":""},{"dropping-particle":"","family":"Høyer","given":"Søren","non-dropping-particle":"","parse-names":false,"suffix":""},{"dropping-particle":"","family":"Borre","given":"Michael","non-dropping-particle":"","parse-names":false,"suffix":""},{"dropping-particle":"","family":"Ørntoft","given":"Torben F.","non-dropping-particle":"","parse-names":false,"suffix":""},{"dropping-particle":"","family":"Sørensen","given":"Karina D.","non-dropping-particle":"","parse-names":false,"suffix":""}],"container-title":"European Urology Focus","id":"ITEM-1","issue":"6","issued":{"date-parts":[["2018"]]},"page":"825-833","publisher":"European Association of Urology","title":"Diagnostic and Prognostic MicroRNA Biomarkers for Prostate Cancer in Cell-free Urine","type":"article-journal","volume":"4"},"uris":["http://www.mendeley.com/documents/?uuid=e3cba099-cbec-4bf4-8179-53390742f573"]}],"mendeley":{"formattedCitation":"&lt;sup&gt;108&lt;/sup&gt;","plainTextFormattedCitation":"108","previouslyFormattedCitation":"[108]"},"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108</w:t>
      </w:r>
      <w:r w:rsidRPr="00C83EDC">
        <w:rPr>
          <w:lang w:val="en-GB"/>
        </w:rPr>
        <w:fldChar w:fldCharType="end"/>
      </w:r>
      <w:r w:rsidRPr="00C83EDC">
        <w:rPr>
          <w:lang w:val="en-GB"/>
        </w:rPr>
        <w:t xml:space="preserve"> </w:t>
      </w:r>
      <w:proofErr w:type="spellStart"/>
      <w:r w:rsidRPr="00C83EDC">
        <w:rPr>
          <w:lang w:val="en-GB"/>
        </w:rPr>
        <w:t>Sapre</w:t>
      </w:r>
      <w:proofErr w:type="spellEnd"/>
      <w:r w:rsidRPr="00C83EDC">
        <w:rPr>
          <w:lang w:val="en-GB"/>
        </w:rPr>
        <w:t xml:space="preserve"> </w:t>
      </w:r>
      <w:r w:rsidRPr="00C83EDC">
        <w:rPr>
          <w:i/>
          <w:iCs/>
          <w:lang w:val="en-GB"/>
        </w:rPr>
        <w:t>et al</w:t>
      </w:r>
      <w:r w:rsidRPr="00C83EDC">
        <w:rPr>
          <w:lang w:val="en-GB"/>
        </w:rPr>
        <w:t xml:space="preserve">. used microRNA profiling in urine and plasma to distinguish between indolent and aggressive prostate cancer. In agreement with our results, they showed significant </w:t>
      </w:r>
      <w:r>
        <w:rPr>
          <w:lang w:val="en-GB"/>
        </w:rPr>
        <w:t>elevation</w:t>
      </w:r>
      <w:r w:rsidRPr="00C83EDC">
        <w:rPr>
          <w:lang w:val="en-GB"/>
        </w:rPr>
        <w:t xml:space="preserve"> of </w:t>
      </w:r>
      <w:r>
        <w:rPr>
          <w:lang w:val="en-GB"/>
        </w:rPr>
        <w:t>miR‑</w:t>
      </w:r>
      <w:r w:rsidRPr="00C83EDC">
        <w:rPr>
          <w:lang w:val="en-GB"/>
        </w:rPr>
        <w:t>222</w:t>
      </w:r>
      <w:r>
        <w:rPr>
          <w:lang w:val="en-GB"/>
        </w:rPr>
        <w:t>‑3p</w:t>
      </w:r>
      <w:r w:rsidRPr="00C83EDC">
        <w:rPr>
          <w:lang w:val="en-GB"/>
        </w:rPr>
        <w:t xml:space="preserve"> in the urine of high-risk </w:t>
      </w:r>
      <w:proofErr w:type="spellStart"/>
      <w:r>
        <w:rPr>
          <w:lang w:val="en-GB"/>
        </w:rPr>
        <w:t>PCa</w:t>
      </w:r>
      <w:proofErr w:type="spellEnd"/>
      <w:r w:rsidRPr="00C83EDC">
        <w:rPr>
          <w:lang w:val="en-GB"/>
        </w:rPr>
        <w:t xml:space="preserve"> patients relative to patients with indolent disease. Furthermore, they developed a </w:t>
      </w:r>
      <w:r>
        <w:rPr>
          <w:lang w:val="en-GB"/>
        </w:rPr>
        <w:t>classifier</w:t>
      </w:r>
      <w:r w:rsidRPr="00C83EDC">
        <w:rPr>
          <w:lang w:val="en-GB"/>
        </w:rPr>
        <w:t xml:space="preserve"> </w:t>
      </w:r>
      <w:r>
        <w:rPr>
          <w:lang w:val="en-GB"/>
        </w:rPr>
        <w:t xml:space="preserve">based on the combination </w:t>
      </w:r>
      <w:r w:rsidRPr="00C83EDC">
        <w:rPr>
          <w:lang w:val="en-GB"/>
        </w:rPr>
        <w:t xml:space="preserve">of </w:t>
      </w:r>
      <w:r>
        <w:rPr>
          <w:lang w:val="en-GB"/>
        </w:rPr>
        <w:t>miR‑</w:t>
      </w:r>
      <w:r w:rsidRPr="00C83EDC">
        <w:rPr>
          <w:lang w:val="en-GB"/>
        </w:rPr>
        <w:t xml:space="preserve">16, </w:t>
      </w:r>
      <w:r>
        <w:rPr>
          <w:lang w:val="en-GB"/>
        </w:rPr>
        <w:t>miR‑</w:t>
      </w:r>
      <w:r w:rsidRPr="00C83EDC">
        <w:rPr>
          <w:lang w:val="en-GB"/>
        </w:rPr>
        <w:t xml:space="preserve">222 and </w:t>
      </w:r>
      <w:r>
        <w:rPr>
          <w:lang w:val="en-GB"/>
        </w:rPr>
        <w:t>miR‑</w:t>
      </w:r>
      <w:r w:rsidRPr="00C83EDC">
        <w:rPr>
          <w:lang w:val="en-GB"/>
        </w:rPr>
        <w:t>21 to predict high-risk prostate cancer with an AUC of 0.75 in the discovery phase, although its diagnostic performance was not confirmed in the validation cohort</w:t>
      </w:r>
      <w:r w:rsidR="00537574">
        <w:rPr>
          <w:lang w:val="en-GB"/>
        </w:rPr>
        <w:fldChar w:fldCharType="begin" w:fldLock="1"/>
      </w:r>
      <w:r w:rsidR="000C069C">
        <w:rPr>
          <w:lang w:val="en-GB"/>
        </w:rPr>
        <w:instrText>ADDIN CSL_CITATION {"citationItems":[{"id":"ITEM-1","itemData":{"DOI":"10.1371/journal.pone.0091729","ISSN":"19326203","PMID":"24705338","abstract":"Purpose: The purpose of this study was to determine if microRNA profiling of urine and plasma at radical prostatectomy can distinguish potentially lethal from indolent prostate cancer. Materials and Methods: A panel of microRNAs was profiled in the plasma of 70 patients and the urine of 33 patients collected prior to radical prostatectomy. Expression of microRNAs was correlated to the clinical endpoints at a follow-up time of 3.9 years to identify microRNAs that may predict clinical response after radical prostatectomy. A machine learning approach was applied to test the predictive ability of all microRNAs profiled in urine, plasma, and a combination of both, and global performance assessed using the area under the receiver operator characteristic curve (AUC). Validation of urinary expression of miRNAs was performed on a further independent cohort of 36 patients. Results: The best predictor in plasma using eight miRs yielded only moderate predictive performance (AUC = 0.62). The best predictor of high-risk disease was achieved using miR-16, miR-21 and miR-222 measured in urine (AUC = 0.75). This combination of three microRNAs in urine was a better predictor of high-risk disease than any individual microRNA. Using a different methodology we found that this set of miRNAs was unable to predict high-volume, high-grade disease. Conclusions: Our initial findings suggested that plasma and urinary profiling of microRNAs at radical prostatectomy may allow prognostication of prostate cancer behaviour. However we found that the microRNA expression signature failed to validate in an independent cohort of patients using a different platform for PCR. This highlights the need for independent validation patient cohorts and suggests that urinary microRNA signatures at radical prostatectomy may not be a robust way to predict the course of clinical disease after definitive treatment for prostate cancer. © 2014 Sapre et al.","author":[{"dropping-particle":"","family":"Sapre","given":"Nikhil","non-dropping-particle":"","parse-names":false,"suffix":""},{"dropping-particle":"","family":"Hong","given":"Matthew K.H.","non-dropping-particle":"","parse-names":false,"suffix":""},{"dropping-particle":"","family":"Macintyre","given":"Geoff","non-dropping-particle":"","parse-names":false,"suffix":""},{"dropping-particle":"","family":"Lewis","given":"Heather","non-dropping-particle":"","parse-names":false,"suffix":""},{"dropping-particle":"","family":"Kowalczyk","given":"Adam","non-dropping-particle":"","parse-names":false,"suffix":""},{"dropping-particle":"","family":"Costello","given":"Anthony J.","non-dropping-particle":"","parse-names":false,"suffix":""},{"dropping-particle":"","family":"Corcoran","given":"Niall M.","non-dropping-particle":"","parse-names":false,"suffix":""},{"dropping-particle":"","family":"Hovens","given":"Christopher M.","non-dropping-particle":"","parse-names":false,"suffix":""}],"container-title":"PLoS ONE","id":"ITEM-1","issue":"4","issued":{"date-parts":[["2014"]]},"title":"Curated microRNAs in urine and blood fail to validate as predictive biomarkers for high-risk prostate cancer","type":"article-journal","volume":"9"},"uris":["http://www.mendeley.com/documents/?uuid=69d8db59-c3d4-48c4-8ac5-7cc144be6aab"]}],"mendeley":{"formattedCitation":"&lt;sup&gt;120&lt;/sup&gt;","plainTextFormattedCitation":"120","previouslyFormattedCitation":"[120]"},"properties":{"noteIndex":0},"schema":"https://github.com/citation-style-language/schema/raw/master/csl-citation.json"}</w:instrText>
      </w:r>
      <w:r w:rsidR="00537574">
        <w:rPr>
          <w:lang w:val="en-GB"/>
        </w:rPr>
        <w:fldChar w:fldCharType="separate"/>
      </w:r>
      <w:r w:rsidR="000C069C" w:rsidRPr="000C069C">
        <w:rPr>
          <w:noProof/>
          <w:vertAlign w:val="superscript"/>
          <w:lang w:val="en-GB"/>
        </w:rPr>
        <w:t>120</w:t>
      </w:r>
      <w:r w:rsidR="00537574">
        <w:rPr>
          <w:lang w:val="en-GB"/>
        </w:rPr>
        <w:fldChar w:fldCharType="end"/>
      </w:r>
      <w:r w:rsidRPr="00C83EDC">
        <w:rPr>
          <w:lang w:val="en-GB"/>
        </w:rPr>
        <w:t>.</w:t>
      </w:r>
      <w:r>
        <w:rPr>
          <w:lang w:val="en-GB"/>
        </w:rPr>
        <w:t xml:space="preserve"> </w:t>
      </w:r>
    </w:p>
    <w:p w14:paraId="60436FF6" w14:textId="784F61B6" w:rsidR="00EE7EB3" w:rsidRPr="00C83EDC" w:rsidRDefault="00EE7EB3" w:rsidP="00EE7EB3">
      <w:pPr>
        <w:pStyle w:val="Dalodstavce"/>
        <w:rPr>
          <w:lang w:val="en-GB"/>
        </w:rPr>
      </w:pPr>
      <w:r>
        <w:rPr>
          <w:lang w:val="en-GB"/>
        </w:rPr>
        <w:t>T</w:t>
      </w:r>
      <w:r w:rsidRPr="00C83EDC">
        <w:rPr>
          <w:lang w:val="en-GB"/>
        </w:rPr>
        <w:t xml:space="preserve">he inconsistencies emphasise the need for validated methods for extracellular RNA processing and its measurement. Discrepancies among studies’ results may arise from differences in sample collection and its processing, from </w:t>
      </w:r>
      <w:r>
        <w:rPr>
          <w:lang w:val="en-GB"/>
        </w:rPr>
        <w:t>the</w:t>
      </w:r>
      <w:r w:rsidRPr="00C83EDC">
        <w:rPr>
          <w:lang w:val="en-GB"/>
        </w:rPr>
        <w:t xml:space="preserve"> chosen method for RNA extraction, RNA quantification, or from </w:t>
      </w:r>
      <w:r>
        <w:rPr>
          <w:lang w:val="en-GB"/>
        </w:rPr>
        <w:t xml:space="preserve">the </w:t>
      </w:r>
      <w:r w:rsidRPr="00C83EDC">
        <w:rPr>
          <w:lang w:val="en-GB"/>
        </w:rPr>
        <w:t xml:space="preserve">variability in </w:t>
      </w:r>
      <w:r>
        <w:rPr>
          <w:lang w:val="en-GB"/>
        </w:rPr>
        <w:t xml:space="preserve">the </w:t>
      </w:r>
      <w:r w:rsidRPr="00C83EDC">
        <w:rPr>
          <w:lang w:val="en-GB"/>
        </w:rPr>
        <w:t>obtained yield and RNA population complexity due to different sample input. Moreover, diverse expression profiling technologies (</w:t>
      </w:r>
      <w:proofErr w:type="spellStart"/>
      <w:r w:rsidRPr="00C83EDC">
        <w:rPr>
          <w:lang w:val="en-GB"/>
        </w:rPr>
        <w:t>qRT</w:t>
      </w:r>
      <w:proofErr w:type="spellEnd"/>
      <w:r w:rsidRPr="00C83EDC">
        <w:rPr>
          <w:lang w:val="en-GB"/>
        </w:rPr>
        <w:t>-PCR, microarrays, NGS, etc.) produce new sources of bias. Lastly, proper data normalization is crucial for addressing technical variation in sample processing, RNA isolation, and analysis</w:t>
      </w:r>
      <w:r w:rsidRPr="00C83EDC">
        <w:rPr>
          <w:lang w:val="en-GB"/>
        </w:rPr>
        <w:fldChar w:fldCharType="begin" w:fldLock="1"/>
      </w:r>
      <w:r w:rsidR="000C069C">
        <w:rPr>
          <w:lang w:val="en-GB"/>
        </w:rPr>
        <w:instrText>ADDIN CSL_CITATION {"citationItems":[{"id":"ITEM-1","itemData":{"DOI":"10.3402/jev.v4.26533","ISSN":"20013078","abstract":"Extracellular RNAs (exRNAs) have been identified in all tested biofluids and have been associated with a variety of extracellular vesicles, ribonucleoprotein complexes and lipoprotein complexes. Much of the interest in exRNAs lies in the fact that they may serve as signalling molecules between cells, their potential to serve as biomarkers for prediction and diagnosis of disease and the possibility that exRNAs or the extracellular particles that carry them might be used for therapeutic purposes. Among the most significant bottlenecks to progress in this field is the lack of robust and standardized methods for collection and processing of biofluids, separation of different types of exRNA-containing particles and isolation and analysis of exRNAs. The Sample and Assay Standards Working Group of the Extracellular RNA Communication Consortium is a group of laboratories funded by the U.S. National Institutes of Health to develop such methods. In our first joint endeavour, we held a series of conference calls and in-person meetings to survey the methods used among our members, placed them in the context of the current literature and used our findings to identify areas in which the identification of robust methodologies would promote rapid advancements in the exRNA field.","author":[{"dropping-particle":"","family":"Laurent","given":"Louise C.","non-dropping-particle":"","parse-names":false,"suffix":""},{"dropping-particle":"","family":"Abdel-Mageed","given":"Asim B.","non-dropping-particle":"","parse-names":false,"suffix":""},{"dropping-particle":"","family":"David Adelson","given":"P.","non-dropping-particle":"","parse-names":false,"suffix":""},{"dropping-particle":"","family":"Arango","given":"Jorge","non-dropping-particle":"","parse-names":false,"suffix":""},{"dropping-particle":"","family":"Balaj","given":"Leonora","non-dropping-particle":"","parse-names":false,"suffix":""},{"dropping-particle":"","family":"Breakefield","given":"Xandra","non-dropping-particle":"","parse-names":false,"suffix":""},{"dropping-particle":"","family":"Carlson","given":"Elizabeth","non-dropping-particle":"","parse-names":false,"suffix":""},{"dropping-particle":"","family":"Carter","given":"Bob S.","non-dropping-particle":"","parse-names":false,"suffix":""},{"dropping-particle":"","family":"Majem","given":"Blanca","non-dropping-particle":"","parse-names":false,"suffix":""},{"dropping-particle":"","family":"Chen","given":"Clark C.","non-dropping-particle":"","parse-names":false,"suffix":""},{"dropping-particle":"","family":"Cocucci","given":"Emanuele","non-dropping-particle":"","parse-names":false,"suffix":""},{"dropping-particle":"","family":"Danielson","given":"Kirsty","non-dropping-particle":"","parse-names":false,"suffix":""},{"dropping-particle":"","family":"Courtright","given":"Amanda","non-dropping-particle":"","parse-names":false,"suffix":""},{"dropping-particle":"","family":"Das","given":"Saumya","non-dropping-particle":"","parse-names":false,"suffix":""},{"dropping-particle":"","family":"Elmageed","given":"Zakaria Y.Abd","non-dropping-particle":"","parse-names":false,"suffix":""},{"dropping-particle":"","family":"Enderle","given":"Daniel","non-dropping-particle":"","parse-names":false,"suffix":""},{"dropping-particle":"","family":"Ezrin","given":"Alan","non-dropping-particle":"","parse-names":false,"suffix":""},{"dropping-particle":"","family":"Ferrer","given":"Marc","non-dropping-particle":"","parse-names":false,"suffix":""},{"dropping-particle":"","family":"Freedman","given":"Jane","non-dropping-particle":"","parse-names":false,"suffix":""},{"dropping-particle":"","family":"Galas","given":"David","non-dropping-particle":"","parse-names":false,"suffix":""},{"dropping-particle":"","family":"Gandhi","given":"Roopali","non-dropping-particle":"","parse-names":false,"suffix":""},{"dropping-particle":"","family":"Huentelman","given":"Matthew J.","non-dropping-particle":"","parse-names":false,"suffix":""},{"dropping-particle":"","family":"Keuren-Jensen","given":"Kendall","non-dropping-particle":"Van","parse-names":false,"suffix":""},{"dropping-particle":"","family":"Kalani","given":"Yashar","non-dropping-particle":"","parse-names":false,"suffix":""},{"dropping-particle":"","family":"Kim","given":"Yong","non-dropping-particle":"","parse-names":false,"suffix":""},{"dropping-particle":"","family":"Krichevsky","given":"Anna M.","non-dropping-particle":"","parse-names":false,"suffix":""},{"dropping-particle":"","family":"Lai","given":"Charles","non-dropping-particle":"","parse-names":false,"suffix":""},{"dropping-particle":"","family":"Lal-Nag","given":"Madhu","non-dropping-particle":"","parse-names":false,"suffix":""},{"dropping-particle":"","family":"Laurent","given":"Clara D.","non-dropping-particle":"","parse-names":false,"suffix":""},{"dropping-particle":"","family":"Leonardo","given":"Trevor","non-dropping-particle":"","parse-names":false,"suffix":""},{"dropping-particle":"","family":"Li","given":"Feng","non-dropping-particle":"","parse-names":false,"suffix":""},{"dropping-particle":"","family":"Malenica","given":"Ivana","non-dropping-particle":"","parse-names":false,"suffix":""},{"dropping-particle":"","family":"Mondal","given":"Debasis","non-dropping-particle":"","parse-names":false,"suffix":""},{"dropping-particle":"","family":"Nejad","given":"Parham","non-dropping-particle":"","parse-names":false,"suffix":""},{"dropping-particle":"","family":"Patel","given":"Tushar","non-dropping-particle":"","parse-names":false,"suffix":""},{"dropping-particle":"","family":"Raffai","given":"Robert L.","non-dropping-particle":"","parse-names":false,"suffix":""},{"dropping-particle":"","family":"Rubio","given":"Renee","non-dropping-particle":"","parse-names":false,"suffix":""},{"dropping-particle":"","family":"Skog","given":"Johan","non-dropping-particle":"","parse-names":false,"suffix":""},{"dropping-particle":"","family":"Spetzler","given":"Robert","non-dropping-particle":"","parse-names":false,"suffix":""},{"dropping-particle":"","family":"Sun","given":"Jie","non-dropping-particle":"","parse-names":false,"suffix":""},{"dropping-particle":"","family":"Tanriverdi","given":"Kahraman","non-dropping-particle":"","parse-names":false,"suffix":""},{"dropping-particle":"","family":"Vickers","given":"Kasey","non-dropping-particle":"","parse-names":false,"suffix":""},{"dropping-particle":"","family":"Wang","given":"Liang","non-dropping-particle":"","parse-names":false,"suffix":""},{"dropping-particle":"","family":"Wang","given":"Yaoyu","non-dropping-particle":"","parse-names":false,"suffix":""},{"dropping-particle":"","family":"Wei","given":"Zhiyun","non-dropping-particle":"","parse-names":false,"suffix":""},{"dropping-particle":"","family":"Weiner","given":"Howard L.","non-dropping-particle":"","parse-names":false,"suffix":""},{"dropping-particle":"","family":"Wong","given":"David","non-dropping-particle":"","parse-names":false,"suffix":""},{"dropping-particle":"","family":"Yan","given":"Irene K.","non-dropping-particle":"","parse-names":false,"suffix":""},{"dropping-particle":"","family":"Yeri","given":"Ashish","non-dropping-particle":"","parse-names":false,"suffix":""},{"dropping-particle":"","family":"Gould","given":"Stephen","non-dropping-particle":"","parse-names":false,"suffix":""}],"container-title":"Journal of Extracellular Vesicles","id":"ITEM-1","issue":"1","issued":{"date-parts":[["2015"]]},"title":"Meeting report: Discussions and preliminary findings on extracellular RNA measurement methods from laboratories in the NIH Extracellular RNA Communication Consortium","type":"article-journal","volume":"4"},"uris":["http://www.mendeley.com/documents/?uuid=dd30e147-a347-4121-b5e5-fe00c564253f"]}],"mendeley":{"formattedCitation":"&lt;sup&gt;150&lt;/sup&gt;","plainTextFormattedCitation":"150","previouslyFormattedCitation":"[150]"},"properties":{"noteIndex":0},"schema":"https://github.com/citation-style-language/schema/raw/master/csl-citation.json"}</w:instrText>
      </w:r>
      <w:r w:rsidRPr="00C83EDC">
        <w:rPr>
          <w:lang w:val="en-GB"/>
        </w:rPr>
        <w:fldChar w:fldCharType="separate"/>
      </w:r>
      <w:r w:rsidR="000C069C" w:rsidRPr="000C069C">
        <w:rPr>
          <w:noProof/>
          <w:vertAlign w:val="superscript"/>
          <w:lang w:val="en-GB"/>
        </w:rPr>
        <w:t>150</w:t>
      </w:r>
      <w:r w:rsidRPr="00C83EDC">
        <w:rPr>
          <w:lang w:val="en-GB"/>
        </w:rPr>
        <w:fldChar w:fldCharType="end"/>
      </w:r>
      <w:r w:rsidRPr="00C83EDC">
        <w:rPr>
          <w:lang w:val="en-GB"/>
        </w:rPr>
        <w:t xml:space="preserve">. </w:t>
      </w:r>
    </w:p>
    <w:p w14:paraId="162B2230" w14:textId="77777777" w:rsidR="00EE7EB3" w:rsidRPr="00C83EDC" w:rsidRDefault="00EE7EB3" w:rsidP="00EE7EB3">
      <w:pPr>
        <w:pStyle w:val="Dalodstavce"/>
        <w:rPr>
          <w:lang w:val="en-GB"/>
        </w:rPr>
      </w:pPr>
      <w:r w:rsidRPr="00C83EDC">
        <w:rPr>
          <w:lang w:val="en-GB"/>
        </w:rPr>
        <w:t>As far as we are aware, this is the first RNA-sequencing study to investigate miRNA transcriptome of prostate cancer in the non-</w:t>
      </w:r>
      <w:proofErr w:type="spellStart"/>
      <w:r w:rsidRPr="00C83EDC">
        <w:rPr>
          <w:lang w:val="en-GB"/>
        </w:rPr>
        <w:t>exosomal</w:t>
      </w:r>
      <w:proofErr w:type="spellEnd"/>
      <w:r w:rsidRPr="00C83EDC">
        <w:rPr>
          <w:lang w:val="en-GB"/>
        </w:rPr>
        <w:t xml:space="preserve"> fraction of the urine supernatant. Although follow-up validation is needed, this study indicates that urine supernatant </w:t>
      </w:r>
      <w:r>
        <w:rPr>
          <w:lang w:val="en-GB"/>
        </w:rPr>
        <w:t>could be</w:t>
      </w:r>
      <w:r w:rsidRPr="00C83EDC">
        <w:rPr>
          <w:lang w:val="en-GB"/>
        </w:rPr>
        <w:t xml:space="preserve"> a valuable source of non-invasive biomarkers that warrant further research.</w:t>
      </w:r>
    </w:p>
    <w:bookmarkEnd w:id="101"/>
    <w:p w14:paraId="0FCB3B8B" w14:textId="77777777" w:rsidR="00EE7EB3" w:rsidRPr="00C83EDC" w:rsidRDefault="00EE7EB3" w:rsidP="00EE7EB3">
      <w:pPr>
        <w:pStyle w:val="Dalodstavce"/>
        <w:ind w:firstLine="0"/>
        <w:rPr>
          <w:lang w:val="en-GB"/>
        </w:rPr>
      </w:pPr>
    </w:p>
    <w:p w14:paraId="02B80E81" w14:textId="77777777" w:rsidR="00EE7EB3" w:rsidRPr="00C83EDC" w:rsidRDefault="00EE7EB3" w:rsidP="00EE7EB3">
      <w:pPr>
        <w:pStyle w:val="Dalodstavce"/>
        <w:ind w:firstLine="0"/>
        <w:rPr>
          <w:lang w:val="en-GB"/>
        </w:rPr>
      </w:pPr>
    </w:p>
    <w:p w14:paraId="6A111785" w14:textId="77777777" w:rsidR="00EE7EB3" w:rsidRPr="00C83EDC" w:rsidRDefault="00EE7EB3" w:rsidP="00EE7EB3">
      <w:pPr>
        <w:pStyle w:val="Odstavec1"/>
        <w:rPr>
          <w:lang w:val="en-GB"/>
        </w:rPr>
      </w:pPr>
    </w:p>
    <w:p w14:paraId="2CC02D0D" w14:textId="77777777" w:rsidR="00EE7EB3" w:rsidRPr="00C83EDC" w:rsidRDefault="00EE7EB3" w:rsidP="00EE7EB3">
      <w:pPr>
        <w:pStyle w:val="Nadpis2"/>
        <w:rPr>
          <w:lang w:val="en-GB"/>
        </w:rPr>
      </w:pPr>
      <w:r w:rsidRPr="00C83EDC">
        <w:rPr>
          <w:lang w:val="en-GB"/>
        </w:rPr>
        <w:br w:type="page"/>
      </w:r>
    </w:p>
    <w:p w14:paraId="638D0D22" w14:textId="77777777" w:rsidR="00EE7EB3" w:rsidRPr="00C83EDC" w:rsidRDefault="00EE7EB3" w:rsidP="00EE7EB3">
      <w:pPr>
        <w:pStyle w:val="Nadpis1"/>
        <w:numPr>
          <w:ilvl w:val="0"/>
          <w:numId w:val="0"/>
        </w:numPr>
        <w:rPr>
          <w:lang w:val="en-GB"/>
        </w:rPr>
      </w:pPr>
      <w:bookmarkStart w:id="105" w:name="_Toc47889335"/>
      <w:bookmarkStart w:id="106" w:name="_Toc48161006"/>
      <w:r w:rsidRPr="00C83EDC">
        <w:rPr>
          <w:lang w:val="en-GB"/>
        </w:rPr>
        <w:lastRenderedPageBreak/>
        <w:t>Summary</w:t>
      </w:r>
      <w:bookmarkEnd w:id="105"/>
      <w:bookmarkEnd w:id="106"/>
    </w:p>
    <w:p w14:paraId="353DC125" w14:textId="03EB6EB6" w:rsidR="00EE7EB3" w:rsidRDefault="00EE7EB3" w:rsidP="00EE7EB3">
      <w:pPr>
        <w:pStyle w:val="Odstavec1"/>
        <w:rPr>
          <w:lang w:val="en-GB"/>
        </w:rPr>
      </w:pPr>
      <w:r w:rsidRPr="004924BC">
        <w:rPr>
          <w:lang w:val="en-GB"/>
        </w:rPr>
        <w:t>Using high-throughput methods we have obtained global expression profiles of tissue and urinary miRNA in patients with prostate cancer</w:t>
      </w:r>
      <w:r>
        <w:rPr>
          <w:lang w:val="en-GB"/>
        </w:rPr>
        <w:t>.</w:t>
      </w:r>
      <w:r w:rsidRPr="004924BC">
        <w:rPr>
          <w:lang w:val="en-GB"/>
        </w:rPr>
        <w:t xml:space="preserve"> </w:t>
      </w:r>
      <w:r>
        <w:rPr>
          <w:lang w:val="en-GB"/>
        </w:rPr>
        <w:t xml:space="preserve">A </w:t>
      </w:r>
      <w:r w:rsidRPr="00C83EDC">
        <w:rPr>
          <w:lang w:val="en-GB"/>
        </w:rPr>
        <w:t xml:space="preserve">PCR array </w:t>
      </w:r>
      <w:r>
        <w:rPr>
          <w:lang w:val="en-GB"/>
        </w:rPr>
        <w:t xml:space="preserve">platform was used to </w:t>
      </w:r>
      <w:r w:rsidRPr="00C83EDC">
        <w:rPr>
          <w:lang w:val="en-GB"/>
        </w:rPr>
        <w:t>evaluat</w:t>
      </w:r>
      <w:r>
        <w:rPr>
          <w:lang w:val="en-GB"/>
        </w:rPr>
        <w:t>e</w:t>
      </w:r>
      <w:r w:rsidRPr="00C83EDC">
        <w:rPr>
          <w:lang w:val="en-GB"/>
        </w:rPr>
        <w:t xml:space="preserve"> </w:t>
      </w:r>
      <w:r>
        <w:rPr>
          <w:lang w:val="en-GB"/>
        </w:rPr>
        <w:t>miRNA levels in FFPE tumour</w:t>
      </w:r>
      <w:r w:rsidRPr="00C83EDC">
        <w:rPr>
          <w:lang w:val="en-GB"/>
        </w:rPr>
        <w:t xml:space="preserve"> </w:t>
      </w:r>
      <w:r>
        <w:rPr>
          <w:lang w:val="en-GB"/>
        </w:rPr>
        <w:t>tissue. G</w:t>
      </w:r>
      <w:r w:rsidRPr="00C83EDC">
        <w:rPr>
          <w:lang w:val="en-GB"/>
        </w:rPr>
        <w:t>enerate</w:t>
      </w:r>
      <w:r>
        <w:rPr>
          <w:lang w:val="en-GB"/>
        </w:rPr>
        <w:t>d</w:t>
      </w:r>
      <w:r w:rsidRPr="00C83EDC">
        <w:rPr>
          <w:lang w:val="en-GB"/>
        </w:rPr>
        <w:t xml:space="preserve"> expression </w:t>
      </w:r>
      <w:r>
        <w:rPr>
          <w:lang w:val="en-GB"/>
        </w:rPr>
        <w:t>data</w:t>
      </w:r>
      <w:r w:rsidRPr="00C83EDC">
        <w:rPr>
          <w:lang w:val="en-GB"/>
        </w:rPr>
        <w:t xml:space="preserve"> </w:t>
      </w:r>
      <w:r>
        <w:rPr>
          <w:lang w:val="en-GB"/>
        </w:rPr>
        <w:t xml:space="preserve">revealed 137 upregulated and 12 downregulated miRNAs in </w:t>
      </w:r>
      <w:r w:rsidRPr="00C83EDC">
        <w:rPr>
          <w:lang w:val="en-GB"/>
        </w:rPr>
        <w:t xml:space="preserve">high-risk prostate malignancy </w:t>
      </w:r>
      <w:r>
        <w:rPr>
          <w:lang w:val="en-GB"/>
        </w:rPr>
        <w:t>in comparison to the</w:t>
      </w:r>
      <w:r w:rsidRPr="00C83EDC">
        <w:rPr>
          <w:lang w:val="en-GB"/>
        </w:rPr>
        <w:t xml:space="preserve"> low-risk</w:t>
      </w:r>
      <w:r>
        <w:rPr>
          <w:lang w:val="en-GB"/>
        </w:rPr>
        <w:t xml:space="preserve"> disease</w:t>
      </w:r>
      <w:r w:rsidRPr="00C83EDC">
        <w:rPr>
          <w:lang w:val="en-GB"/>
        </w:rPr>
        <w:t>.</w:t>
      </w:r>
      <w:r>
        <w:rPr>
          <w:lang w:val="en-GB"/>
        </w:rPr>
        <w:t xml:space="preserve"> Based on their performance, we have chosen the best miRNAs for validation in an independent cohort. Out of 11 selected miRNAs, miR‑15b‑5p and miR‑106b‑5p have shown significant ability to differentiate between aggressive and indolent </w:t>
      </w:r>
      <w:proofErr w:type="spellStart"/>
      <w:r>
        <w:rPr>
          <w:lang w:val="en-GB"/>
        </w:rPr>
        <w:t>PCa</w:t>
      </w:r>
      <w:proofErr w:type="spellEnd"/>
      <w:r>
        <w:rPr>
          <w:lang w:val="en-GB"/>
        </w:rPr>
        <w:t>. Additionally, both miRNAs were able to stratify patients into three groups in accordance with their histopathological grade. We also confirmed a significant correlation of patients’ PSA level</w:t>
      </w:r>
      <w:r w:rsidRPr="00C83EDC">
        <w:rPr>
          <w:lang w:val="en-GB"/>
        </w:rPr>
        <w:t xml:space="preserve"> </w:t>
      </w:r>
      <w:r>
        <w:rPr>
          <w:lang w:val="en-GB"/>
        </w:rPr>
        <w:t>with the expression of miR‑</w:t>
      </w:r>
      <w:r w:rsidRPr="00C83EDC">
        <w:rPr>
          <w:lang w:val="en-GB"/>
        </w:rPr>
        <w:t>103a</w:t>
      </w:r>
      <w:r>
        <w:rPr>
          <w:lang w:val="en-GB"/>
        </w:rPr>
        <w:t>‑3p</w:t>
      </w:r>
      <w:r w:rsidRPr="00C83EDC">
        <w:rPr>
          <w:lang w:val="en-GB"/>
        </w:rPr>
        <w:t xml:space="preserve"> and </w:t>
      </w:r>
      <w:r>
        <w:rPr>
          <w:lang w:val="en-GB"/>
        </w:rPr>
        <w:t>miR‑</w:t>
      </w:r>
      <w:r w:rsidRPr="00C83EDC">
        <w:rPr>
          <w:lang w:val="en-GB"/>
        </w:rPr>
        <w:t>106b</w:t>
      </w:r>
      <w:r>
        <w:rPr>
          <w:lang w:val="en-GB"/>
        </w:rPr>
        <w:t xml:space="preserve">‑5p. </w:t>
      </w:r>
      <w:r w:rsidRPr="00C83EDC">
        <w:rPr>
          <w:lang w:val="en-GB"/>
        </w:rPr>
        <w:t xml:space="preserve">Short RNA sequencing identified 11 </w:t>
      </w:r>
      <w:r>
        <w:rPr>
          <w:lang w:val="en-GB"/>
        </w:rPr>
        <w:t xml:space="preserve">miRNAs with </w:t>
      </w:r>
      <w:r w:rsidRPr="00C83EDC">
        <w:rPr>
          <w:lang w:val="en-GB"/>
        </w:rPr>
        <w:t xml:space="preserve">significantly different </w:t>
      </w:r>
      <w:r>
        <w:rPr>
          <w:lang w:val="en-GB"/>
        </w:rPr>
        <w:t>levels</w:t>
      </w:r>
      <w:r w:rsidRPr="00C83EDC">
        <w:rPr>
          <w:lang w:val="en-GB"/>
        </w:rPr>
        <w:t xml:space="preserve"> in the group of patients with indolent </w:t>
      </w:r>
      <w:proofErr w:type="spellStart"/>
      <w:r>
        <w:rPr>
          <w:lang w:val="en-GB"/>
        </w:rPr>
        <w:t>PCa</w:t>
      </w:r>
      <w:proofErr w:type="spellEnd"/>
      <w:r w:rsidRPr="00C83EDC">
        <w:rPr>
          <w:lang w:val="en-GB"/>
        </w:rPr>
        <w:t xml:space="preserve"> </w:t>
      </w:r>
      <w:r>
        <w:rPr>
          <w:lang w:val="en-GB"/>
        </w:rPr>
        <w:t>versus</w:t>
      </w:r>
      <w:r w:rsidRPr="00C83EDC">
        <w:rPr>
          <w:lang w:val="en-GB"/>
        </w:rPr>
        <w:t xml:space="preserve"> </w:t>
      </w:r>
      <w:r>
        <w:rPr>
          <w:lang w:val="en-GB"/>
        </w:rPr>
        <w:t>patients</w:t>
      </w:r>
      <w:r w:rsidRPr="00C83EDC">
        <w:rPr>
          <w:lang w:val="en-GB"/>
        </w:rPr>
        <w:t xml:space="preserve"> with </w:t>
      </w:r>
      <w:r>
        <w:rPr>
          <w:lang w:val="en-GB"/>
        </w:rPr>
        <w:t xml:space="preserve">the </w:t>
      </w:r>
      <w:r w:rsidRPr="00C83EDC">
        <w:rPr>
          <w:lang w:val="en-GB"/>
        </w:rPr>
        <w:t xml:space="preserve">aggressive form of </w:t>
      </w:r>
      <w:r>
        <w:rPr>
          <w:lang w:val="en-GB"/>
        </w:rPr>
        <w:t xml:space="preserve">the </w:t>
      </w:r>
      <w:r w:rsidRPr="00C83EDC">
        <w:rPr>
          <w:lang w:val="en-GB"/>
        </w:rPr>
        <w:t xml:space="preserve">disease. Additionally, 12 miRNAs with significantly </w:t>
      </w:r>
      <w:r>
        <w:rPr>
          <w:lang w:val="en-GB"/>
        </w:rPr>
        <w:t>changed</w:t>
      </w:r>
      <w:r w:rsidRPr="00C83EDC">
        <w:rPr>
          <w:lang w:val="en-GB"/>
        </w:rPr>
        <w:t xml:space="preserve"> levels were identified in </w:t>
      </w:r>
      <w:r>
        <w:rPr>
          <w:lang w:val="en-GB"/>
        </w:rPr>
        <w:t xml:space="preserve">men diagnosed </w:t>
      </w:r>
      <w:r w:rsidRPr="00C83EDC">
        <w:rPr>
          <w:lang w:val="en-GB"/>
        </w:rPr>
        <w:t xml:space="preserve">with prostate malignancy </w:t>
      </w:r>
      <w:r>
        <w:rPr>
          <w:lang w:val="en-GB"/>
        </w:rPr>
        <w:t>compared to</w:t>
      </w:r>
      <w:r w:rsidRPr="00C83EDC">
        <w:rPr>
          <w:lang w:val="en-GB"/>
        </w:rPr>
        <w:t xml:space="preserve"> the group </w:t>
      </w:r>
      <w:r>
        <w:rPr>
          <w:lang w:val="en-GB"/>
        </w:rPr>
        <w:t xml:space="preserve">that included subjects </w:t>
      </w:r>
      <w:r w:rsidRPr="00C83EDC">
        <w:rPr>
          <w:lang w:val="en-GB"/>
        </w:rPr>
        <w:t xml:space="preserve">with benign prostate hyperplasia and healthy donors. </w:t>
      </w:r>
      <w:r w:rsidR="00502B71">
        <w:rPr>
          <w:lang w:val="en-GB"/>
        </w:rPr>
        <w:t>The results suggest that identified</w:t>
      </w:r>
      <w:r w:rsidR="00502B71" w:rsidRPr="00502B71">
        <w:rPr>
          <w:lang w:val="en-GB"/>
        </w:rPr>
        <w:t xml:space="preserve"> miRNAs with significantly changed levels between the investigated groups </w:t>
      </w:r>
      <w:r w:rsidR="00502B71">
        <w:rPr>
          <w:lang w:val="en-GB"/>
        </w:rPr>
        <w:t>have a potential to</w:t>
      </w:r>
      <w:r w:rsidR="00502B71" w:rsidRPr="00502B71">
        <w:rPr>
          <w:lang w:val="en-GB"/>
        </w:rPr>
        <w:t xml:space="preserve"> refine </w:t>
      </w:r>
      <w:proofErr w:type="spellStart"/>
      <w:r w:rsidR="00502B71" w:rsidRPr="00502B71">
        <w:rPr>
          <w:lang w:val="en-GB"/>
        </w:rPr>
        <w:t>PCa</w:t>
      </w:r>
      <w:proofErr w:type="spellEnd"/>
      <w:r w:rsidR="00502B71" w:rsidRPr="00502B71">
        <w:rPr>
          <w:lang w:val="en-GB"/>
        </w:rPr>
        <w:t xml:space="preserve"> identification by discriminating between indolent and aggressive types of tumour</w:t>
      </w:r>
      <w:r w:rsidR="00502B71">
        <w:rPr>
          <w:lang w:val="en-GB"/>
        </w:rPr>
        <w:t>.</w:t>
      </w:r>
    </w:p>
    <w:p w14:paraId="1D278295" w14:textId="77777777" w:rsidR="00EE7EB3" w:rsidRPr="00C83EDC" w:rsidRDefault="00EE7EB3" w:rsidP="00EE7EB3">
      <w:pPr>
        <w:pStyle w:val="Dalodstavce"/>
        <w:rPr>
          <w:lang w:val="en-GB"/>
        </w:rPr>
      </w:pPr>
      <w:r>
        <w:rPr>
          <w:lang w:val="en-GB"/>
        </w:rPr>
        <w:t>.</w:t>
      </w:r>
    </w:p>
    <w:p w14:paraId="0FC95550" w14:textId="77777777" w:rsidR="00EE7EB3" w:rsidRPr="00C83EDC" w:rsidRDefault="00EE7EB3" w:rsidP="00EE7EB3">
      <w:pPr>
        <w:rPr>
          <w:lang w:val="en-GB"/>
        </w:rPr>
      </w:pPr>
      <w:r w:rsidRPr="00C83EDC">
        <w:rPr>
          <w:lang w:val="en-GB"/>
        </w:rPr>
        <w:br w:type="page"/>
      </w:r>
    </w:p>
    <w:p w14:paraId="39DAA6F8" w14:textId="77777777" w:rsidR="00EE7EB3" w:rsidRPr="00C83EDC" w:rsidRDefault="00EE7EB3" w:rsidP="00EE7EB3">
      <w:pPr>
        <w:pStyle w:val="Nadpis1"/>
        <w:numPr>
          <w:ilvl w:val="0"/>
          <w:numId w:val="0"/>
        </w:numPr>
        <w:rPr>
          <w:lang w:val="en-GB"/>
        </w:rPr>
      </w:pPr>
      <w:bookmarkStart w:id="107" w:name="_Toc47889336"/>
      <w:bookmarkStart w:id="108" w:name="_Toc48161007"/>
      <w:r w:rsidRPr="00C83EDC">
        <w:rPr>
          <w:lang w:val="en-GB"/>
        </w:rPr>
        <w:lastRenderedPageBreak/>
        <w:t>List of references</w:t>
      </w:r>
      <w:bookmarkEnd w:id="107"/>
      <w:bookmarkEnd w:id="108"/>
    </w:p>
    <w:p w14:paraId="53DA855B" w14:textId="71907360" w:rsidR="000C069C" w:rsidRPr="000C069C" w:rsidRDefault="00EE7EB3" w:rsidP="000C069C">
      <w:pPr>
        <w:widowControl w:val="0"/>
        <w:autoSpaceDE w:val="0"/>
        <w:autoSpaceDN w:val="0"/>
        <w:adjustRightInd w:val="0"/>
        <w:spacing w:line="240" w:lineRule="atLeast"/>
        <w:ind w:left="640" w:hanging="640"/>
        <w:rPr>
          <w:noProof/>
        </w:rPr>
      </w:pPr>
      <w:r w:rsidRPr="00C83EDC">
        <w:rPr>
          <w:lang w:val="en-GB"/>
        </w:rPr>
        <w:fldChar w:fldCharType="begin" w:fldLock="1"/>
      </w:r>
      <w:r w:rsidRPr="00C83EDC">
        <w:rPr>
          <w:lang w:val="en-GB"/>
        </w:rPr>
        <w:instrText xml:space="preserve">ADDIN Mendeley Bibliography CSL_BIBLIOGRAPHY </w:instrText>
      </w:r>
      <w:r w:rsidRPr="00C83EDC">
        <w:rPr>
          <w:lang w:val="en-GB"/>
        </w:rPr>
        <w:fldChar w:fldCharType="separate"/>
      </w:r>
      <w:r w:rsidR="000C069C" w:rsidRPr="000C069C">
        <w:rPr>
          <w:noProof/>
        </w:rPr>
        <w:t xml:space="preserve">1. </w:t>
      </w:r>
      <w:r w:rsidR="000C069C" w:rsidRPr="000C069C">
        <w:rPr>
          <w:noProof/>
        </w:rPr>
        <w:tab/>
        <w:t xml:space="preserve">Bray F, Ferlay J, Soerjomataram I, Siegel RL, Torre LA, Jemal A. Global cancer statistics 2018: GLOBOCAN estimates of incidence and mortality worldwide for 36 cancers in 185 countries. </w:t>
      </w:r>
      <w:r w:rsidR="000C069C" w:rsidRPr="000C069C">
        <w:rPr>
          <w:i/>
          <w:iCs/>
          <w:noProof/>
        </w:rPr>
        <w:t>CA Cancer J Clin</w:t>
      </w:r>
      <w:r w:rsidR="000C069C" w:rsidRPr="000C069C">
        <w:rPr>
          <w:noProof/>
        </w:rPr>
        <w:t>. 2018;68(6):394-424. doi:10.3322/caac.21492</w:t>
      </w:r>
    </w:p>
    <w:p w14:paraId="013AE654" w14:textId="22E99E24"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 </w:t>
      </w:r>
      <w:r w:rsidRPr="000C069C">
        <w:rPr>
          <w:noProof/>
        </w:rPr>
        <w:tab/>
        <w:t xml:space="preserve">Dušek L, Mužík J, Kubásek M, Koptíková J, Žaloudík J, Vyzula R. Epidemiologie zhoubných nádorů v České republice [online]. </w:t>
      </w:r>
      <w:r w:rsidRPr="000C069C">
        <w:rPr>
          <w:i/>
          <w:iCs/>
          <w:noProof/>
        </w:rPr>
        <w:t>Masaryk univerzita</w:t>
      </w:r>
      <w:r w:rsidRPr="000C069C">
        <w:rPr>
          <w:noProof/>
        </w:rPr>
        <w:t>. 2005.</w:t>
      </w:r>
      <w:r w:rsidR="00673928">
        <w:rPr>
          <w:noProof/>
        </w:rPr>
        <w:t xml:space="preserve"> Available from:</w:t>
      </w:r>
      <w:r w:rsidRPr="000C069C">
        <w:rPr>
          <w:noProof/>
        </w:rPr>
        <w:t xml:space="preserve"> http://www.svod.cz.</w:t>
      </w:r>
    </w:p>
    <w:p w14:paraId="4BA2D811"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 </w:t>
      </w:r>
      <w:r w:rsidRPr="000C069C">
        <w:rPr>
          <w:noProof/>
        </w:rPr>
        <w:tab/>
        <w:t xml:space="preserve">Solé C, Goicoechea I, Goñi A, et al. The urinary transcriptome as a source of biomarkers for prostate cancer. </w:t>
      </w:r>
      <w:r w:rsidRPr="000C069C">
        <w:rPr>
          <w:i/>
          <w:iCs/>
          <w:noProof/>
        </w:rPr>
        <w:t>Cancers (Basel)</w:t>
      </w:r>
      <w:r w:rsidRPr="000C069C">
        <w:rPr>
          <w:noProof/>
        </w:rPr>
        <w:t>. 2020;12(2):1-14. doi:10.3390/cancers12020513</w:t>
      </w:r>
    </w:p>
    <w:p w14:paraId="4147DCD1"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 </w:t>
      </w:r>
      <w:r w:rsidRPr="000C069C">
        <w:rPr>
          <w:noProof/>
        </w:rPr>
        <w:tab/>
        <w:t xml:space="preserve">Parker C, Gillessen S, Heidenreich A, Horwich A. Cancer of the prostate: ESMO Clinical Practice Guidelines for diagnosis, treatment and follow-up. </w:t>
      </w:r>
      <w:r w:rsidRPr="000C069C">
        <w:rPr>
          <w:i/>
          <w:iCs/>
          <w:noProof/>
        </w:rPr>
        <w:t>Ann Oncol</w:t>
      </w:r>
      <w:r w:rsidRPr="000C069C">
        <w:rPr>
          <w:noProof/>
        </w:rPr>
        <w:t>. 2015;26(February 2002):v69-v77. doi:10.1093/annonc/mdv222</w:t>
      </w:r>
    </w:p>
    <w:p w14:paraId="7CEF1EA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 </w:t>
      </w:r>
      <w:r w:rsidRPr="000C069C">
        <w:rPr>
          <w:noProof/>
        </w:rPr>
        <w:tab/>
        <w:t xml:space="preserve">Edge SB, Byrd DR, Compton CC, Fritz AG, Greene FL TA. AJCC cancer staging manual (7th ed). </w:t>
      </w:r>
      <w:r w:rsidRPr="000C069C">
        <w:rPr>
          <w:i/>
          <w:iCs/>
          <w:noProof/>
        </w:rPr>
        <w:t>New York, NY Springer</w:t>
      </w:r>
      <w:r w:rsidRPr="000C069C">
        <w:rPr>
          <w:noProof/>
        </w:rPr>
        <w:t>. 2010;38(2):408-408. http://link.springer.com/10.1007/s00259-010-1693-9.</w:t>
      </w:r>
    </w:p>
    <w:p w14:paraId="7C77FFF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 </w:t>
      </w:r>
      <w:r w:rsidRPr="000C069C">
        <w:rPr>
          <w:noProof/>
        </w:rPr>
        <w:tab/>
        <w:t xml:space="preserve">Buyyounouski MK, Choyke PL, McKenney JK, et al. Prostate cancer - major changes in the American Joint Committee on Cancer eighth edition cancer staging manual. </w:t>
      </w:r>
      <w:r w:rsidRPr="000C069C">
        <w:rPr>
          <w:i/>
          <w:iCs/>
          <w:noProof/>
        </w:rPr>
        <w:t>CA Cancer J Clin</w:t>
      </w:r>
      <w:r w:rsidRPr="000C069C">
        <w:rPr>
          <w:noProof/>
        </w:rPr>
        <w:t>. 2017;67(3):245-253. doi:10.3322/caac.21391</w:t>
      </w:r>
    </w:p>
    <w:p w14:paraId="22A3F7D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 </w:t>
      </w:r>
      <w:r w:rsidRPr="000C069C">
        <w:rPr>
          <w:noProof/>
        </w:rPr>
        <w:tab/>
        <w:t xml:space="preserve">Humphrey PA. Gleason grading and prognostic factors in carcinoma of the prostate. </w:t>
      </w:r>
      <w:r w:rsidRPr="000C069C">
        <w:rPr>
          <w:i/>
          <w:iCs/>
          <w:noProof/>
        </w:rPr>
        <w:t>Mod Pathol</w:t>
      </w:r>
      <w:r w:rsidRPr="000C069C">
        <w:rPr>
          <w:noProof/>
        </w:rPr>
        <w:t>. 2004;17(3):292-306. doi:10.1038/modpathol.3800054</w:t>
      </w:r>
    </w:p>
    <w:p w14:paraId="076864E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 </w:t>
      </w:r>
      <w:r w:rsidRPr="000C069C">
        <w:rPr>
          <w:noProof/>
        </w:rPr>
        <w:tab/>
        <w:t xml:space="preserve">Sauter G, Steurer S, Clauditz TS, et al. Clinical utility of quantitative gleason grading in prostate biopsies and prostatectomy specimens. </w:t>
      </w:r>
      <w:r w:rsidRPr="000C069C">
        <w:rPr>
          <w:i/>
          <w:iCs/>
          <w:noProof/>
        </w:rPr>
        <w:t>Eur Urol</w:t>
      </w:r>
      <w:r w:rsidRPr="000C069C">
        <w:rPr>
          <w:noProof/>
        </w:rPr>
        <w:t>. 2016;69(4):592-598. doi:10.1016/j.eururo.2015.10.029</w:t>
      </w:r>
    </w:p>
    <w:p w14:paraId="4AF3AB50"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 </w:t>
      </w:r>
      <w:r w:rsidRPr="000C069C">
        <w:rPr>
          <w:noProof/>
        </w:rPr>
        <w:tab/>
        <w:t xml:space="preserve">Epstein JI, Egevad L, Amin MB, Delahunt B, Srigley JR, Humphrey PA. The 2014 international society of urological pathology (ISUP) consensus conference on gleason grading of prostatic carcinoma definition of grading patterns and proposal for a new grading system. </w:t>
      </w:r>
      <w:r w:rsidRPr="000C069C">
        <w:rPr>
          <w:i/>
          <w:iCs/>
          <w:noProof/>
        </w:rPr>
        <w:t>Am J Surg Pathol</w:t>
      </w:r>
      <w:r w:rsidRPr="000C069C">
        <w:rPr>
          <w:noProof/>
        </w:rPr>
        <w:t>. 2016;40(2):244-252. doi:10.1097/PAS.0000000000000530</w:t>
      </w:r>
    </w:p>
    <w:p w14:paraId="00FFFB2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 </w:t>
      </w:r>
      <w:r w:rsidRPr="000C069C">
        <w:rPr>
          <w:noProof/>
        </w:rPr>
        <w:tab/>
        <w:t xml:space="preserve">Klotz L. Active surveillance for low-risk prostate cancer. </w:t>
      </w:r>
      <w:r w:rsidRPr="000C069C">
        <w:rPr>
          <w:i/>
          <w:iCs/>
          <w:noProof/>
        </w:rPr>
        <w:t>Curr Opin Urol</w:t>
      </w:r>
      <w:r w:rsidRPr="000C069C">
        <w:rPr>
          <w:noProof/>
        </w:rPr>
        <w:t>. 2017;27(3):225-230. doi:10.1097/MOU.0000000000000393</w:t>
      </w:r>
    </w:p>
    <w:p w14:paraId="7752A78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 </w:t>
      </w:r>
      <w:r w:rsidRPr="000C069C">
        <w:rPr>
          <w:noProof/>
        </w:rPr>
        <w:tab/>
        <w:t xml:space="preserve">Mottet N, Bellmunt J, Bolla M, et al. EAU-ESTRO-SIOG Guidelines on Prostate Cancer. Part 1: Screening, Diagnosis, and Local Treatment with Curative Intent. </w:t>
      </w:r>
      <w:r w:rsidRPr="000C069C">
        <w:rPr>
          <w:i/>
          <w:iCs/>
          <w:noProof/>
        </w:rPr>
        <w:t>Eur Urol</w:t>
      </w:r>
      <w:r w:rsidRPr="000C069C">
        <w:rPr>
          <w:noProof/>
        </w:rPr>
        <w:t>. 2017;71(4):618-629. doi:10.1016/j.eururo.2016.08.003</w:t>
      </w:r>
    </w:p>
    <w:p w14:paraId="38F21E9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 </w:t>
      </w:r>
      <w:r w:rsidRPr="000C069C">
        <w:rPr>
          <w:noProof/>
        </w:rPr>
        <w:tab/>
        <w:t xml:space="preserve">Epstein JI, Zelefsky MJ, Sjoberg DD, et al. A Contemporary Prostate Cancer Grading System: A Validated Alternative to the Gleason Score. </w:t>
      </w:r>
      <w:r w:rsidRPr="000C069C">
        <w:rPr>
          <w:i/>
          <w:iCs/>
          <w:noProof/>
        </w:rPr>
        <w:t>Eur Urol</w:t>
      </w:r>
      <w:r w:rsidRPr="000C069C">
        <w:rPr>
          <w:noProof/>
        </w:rPr>
        <w:t>. 2016;69(3):428-435. doi:10.1016/j.eururo.2015.06.046</w:t>
      </w:r>
    </w:p>
    <w:p w14:paraId="3B8C7AE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 </w:t>
      </w:r>
      <w:r w:rsidRPr="000C069C">
        <w:rPr>
          <w:noProof/>
        </w:rPr>
        <w:tab/>
        <w:t xml:space="preserve">Faisal FA, Lotan TL. The Genomic and Molecular Pathology of Prostate Cancer: Clinical Implications for Diagnosis, Prognosis, and Therapy. </w:t>
      </w:r>
      <w:r w:rsidRPr="000C069C">
        <w:rPr>
          <w:i/>
          <w:iCs/>
          <w:noProof/>
        </w:rPr>
        <w:t>Adv Anat Pathol</w:t>
      </w:r>
      <w:r w:rsidRPr="000C069C">
        <w:rPr>
          <w:noProof/>
        </w:rPr>
        <w:t>. 2020;27(1):11-19. doi:10.1097/PAP.0000000000000245</w:t>
      </w:r>
    </w:p>
    <w:p w14:paraId="17547113"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 </w:t>
      </w:r>
      <w:r w:rsidRPr="000C069C">
        <w:rPr>
          <w:noProof/>
        </w:rPr>
        <w:tab/>
        <w:t xml:space="preserve">Weischenfeldt J, Korbel JO. Genomes of early onset prostate cancer. </w:t>
      </w:r>
      <w:r w:rsidRPr="000C069C">
        <w:rPr>
          <w:i/>
          <w:iCs/>
          <w:noProof/>
        </w:rPr>
        <w:t>Curr Opin Urol</w:t>
      </w:r>
      <w:r w:rsidRPr="000C069C">
        <w:rPr>
          <w:noProof/>
        </w:rPr>
        <w:t>. 2017;27(5):481-487. doi:10.1097/MOU.0000000000000422</w:t>
      </w:r>
    </w:p>
    <w:p w14:paraId="1D82A85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15. </w:t>
      </w:r>
      <w:r w:rsidRPr="000C069C">
        <w:rPr>
          <w:noProof/>
        </w:rPr>
        <w:tab/>
        <w:t xml:space="preserve">Netto GJ, Eich ML, Varambally S. Prostate Cancer: An Update on Molecular Pathology with Clinical Implications. </w:t>
      </w:r>
      <w:r w:rsidRPr="000C069C">
        <w:rPr>
          <w:i/>
          <w:iCs/>
          <w:noProof/>
        </w:rPr>
        <w:t>Eur Urol Suppl</w:t>
      </w:r>
      <w:r w:rsidRPr="000C069C">
        <w:rPr>
          <w:noProof/>
        </w:rPr>
        <w:t>. 2017;16(12):253-271. doi:10.1016/j.eursup.2017.10.001</w:t>
      </w:r>
    </w:p>
    <w:p w14:paraId="3881D60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lastRenderedPageBreak/>
        <w:t xml:space="preserve">16. </w:t>
      </w:r>
      <w:r w:rsidRPr="000C069C">
        <w:rPr>
          <w:noProof/>
        </w:rPr>
        <w:tab/>
        <w:t xml:space="preserve">Easton DF, Eeles RA. Genome-wide association studies in cancer. </w:t>
      </w:r>
      <w:r w:rsidRPr="000C069C">
        <w:rPr>
          <w:i/>
          <w:iCs/>
          <w:noProof/>
        </w:rPr>
        <w:t>Hum Mol Genet</w:t>
      </w:r>
      <w:r w:rsidRPr="000C069C">
        <w:rPr>
          <w:noProof/>
        </w:rPr>
        <w:t>. 2008;17(R2):109-115. doi:10.1093/hmg/ddn287</w:t>
      </w:r>
    </w:p>
    <w:p w14:paraId="67FD512A"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17. </w:t>
      </w:r>
      <w:r w:rsidRPr="000C069C">
        <w:rPr>
          <w:noProof/>
        </w:rPr>
        <w:tab/>
        <w:t xml:space="preserve">Eeles R, Goh C, Castro E, et al. The genetic epidemiology of prostate cancer and its clinical implications. </w:t>
      </w:r>
      <w:r w:rsidRPr="000C069C">
        <w:rPr>
          <w:i/>
          <w:iCs/>
          <w:noProof/>
        </w:rPr>
        <w:t>Nat Rev Urol</w:t>
      </w:r>
      <w:r w:rsidRPr="000C069C">
        <w:rPr>
          <w:noProof/>
        </w:rPr>
        <w:t>. 2014;11(1):18-31. doi:10.1038/nrurol.2013.266</w:t>
      </w:r>
    </w:p>
    <w:p w14:paraId="7C1FAB0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18. </w:t>
      </w:r>
      <w:r w:rsidRPr="000C069C">
        <w:rPr>
          <w:noProof/>
        </w:rPr>
        <w:tab/>
        <w:t xml:space="preserve">Castro E, Goh C, Olmos D, et al. Germline BRCA mutations are associated with higher risk of nodal involvement, distant metastasis, and poor survival outcomes in prostate cancer. </w:t>
      </w:r>
      <w:r w:rsidRPr="000C069C">
        <w:rPr>
          <w:i/>
          <w:iCs/>
          <w:noProof/>
        </w:rPr>
        <w:t>J Clin Oncol</w:t>
      </w:r>
      <w:r w:rsidRPr="000C069C">
        <w:rPr>
          <w:noProof/>
        </w:rPr>
        <w:t>. 2013;31(14):1748-1757. doi:10.1200/JCO.2012.43.1882</w:t>
      </w:r>
    </w:p>
    <w:p w14:paraId="65F1CFB0"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19. </w:t>
      </w:r>
      <w:r w:rsidRPr="000C069C">
        <w:rPr>
          <w:noProof/>
        </w:rPr>
        <w:tab/>
        <w:t xml:space="preserve">Xu J, Lange EM, Lu L, et al. HOXB13 is a susceptibility gene for prostate cancer: Results from the International Consortium for Prostate Cancer Genetics (ICPCG). </w:t>
      </w:r>
      <w:r w:rsidRPr="000C069C">
        <w:rPr>
          <w:i/>
          <w:iCs/>
          <w:noProof/>
        </w:rPr>
        <w:t>Hum Genet</w:t>
      </w:r>
      <w:r w:rsidRPr="000C069C">
        <w:rPr>
          <w:noProof/>
        </w:rPr>
        <w:t>. 2013;132(1):5-14. doi:10.1007/s00439-012-1229-4</w:t>
      </w:r>
    </w:p>
    <w:p w14:paraId="08B9752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20. </w:t>
      </w:r>
      <w:r w:rsidRPr="000C069C">
        <w:rPr>
          <w:noProof/>
        </w:rPr>
        <w:tab/>
        <w:t xml:space="preserve">Ewing CM, Ray AM, Lange EM, et al. Germline mutations in HOXB13 and prostate-cancer risk. </w:t>
      </w:r>
      <w:r w:rsidRPr="000C069C">
        <w:rPr>
          <w:i/>
          <w:iCs/>
          <w:noProof/>
        </w:rPr>
        <w:t>N Engl J Med</w:t>
      </w:r>
      <w:r w:rsidRPr="000C069C">
        <w:rPr>
          <w:noProof/>
        </w:rPr>
        <w:t>. 2012;366(2):141-149. doi:10.1056/NEJMoa1110000</w:t>
      </w:r>
    </w:p>
    <w:p w14:paraId="4DD0D17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21. </w:t>
      </w:r>
      <w:r w:rsidRPr="000C069C">
        <w:rPr>
          <w:noProof/>
        </w:rPr>
        <w:tab/>
        <w:t xml:space="preserve">Rubin MA, Demichelis F. The Genomics of Prostate Cancer: emerging understanding with technologic advances. </w:t>
      </w:r>
      <w:r w:rsidRPr="000C069C">
        <w:rPr>
          <w:i/>
          <w:iCs/>
          <w:noProof/>
        </w:rPr>
        <w:t>Mod Pathol</w:t>
      </w:r>
      <w:r w:rsidRPr="000C069C">
        <w:rPr>
          <w:noProof/>
        </w:rPr>
        <w:t>. 2018;31:1-11. doi:10.1038/modpathol.2017.166</w:t>
      </w:r>
    </w:p>
    <w:p w14:paraId="5F0133DF"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22. </w:t>
      </w:r>
      <w:r w:rsidRPr="000C069C">
        <w:rPr>
          <w:noProof/>
        </w:rPr>
        <w:tab/>
        <w:t xml:space="preserve">Abeshouse A, Ahn J, Akbani R, et al. The Molecular Taxonomy of Primary Prostate Cancer. </w:t>
      </w:r>
      <w:r w:rsidRPr="000C069C">
        <w:rPr>
          <w:i/>
          <w:iCs/>
          <w:noProof/>
        </w:rPr>
        <w:t>Cell</w:t>
      </w:r>
      <w:r w:rsidRPr="000C069C">
        <w:rPr>
          <w:noProof/>
        </w:rPr>
        <w:t>. 2015;163(4):1011-1025. doi:10.1016/j.cell.2015.10.025</w:t>
      </w:r>
    </w:p>
    <w:p w14:paraId="4C2FEA32"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23. </w:t>
      </w:r>
      <w:r w:rsidRPr="000C069C">
        <w:rPr>
          <w:noProof/>
        </w:rPr>
        <w:tab/>
        <w:t xml:space="preserve">Jamaspishvili T, Berman DM, Ross AE, et al. Clinical implications of PTEN loss in prostate cancer. </w:t>
      </w:r>
      <w:r w:rsidRPr="000C069C">
        <w:rPr>
          <w:i/>
          <w:iCs/>
          <w:noProof/>
        </w:rPr>
        <w:t>Nat Rev Urol</w:t>
      </w:r>
      <w:r w:rsidRPr="000C069C">
        <w:rPr>
          <w:noProof/>
        </w:rPr>
        <w:t>. 2018;15(4):222-234. doi:10.1038/nrurol.2018.9</w:t>
      </w:r>
    </w:p>
    <w:p w14:paraId="6538677D"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24. </w:t>
      </w:r>
      <w:r w:rsidRPr="000C069C">
        <w:rPr>
          <w:noProof/>
        </w:rPr>
        <w:tab/>
        <w:t xml:space="preserve">Tomlins SA, Rhodes DR, Perner S, et al. Recurrent fusion of TMPRSS2 and ETS transcription factor genes in prostate cancer. </w:t>
      </w:r>
      <w:r w:rsidRPr="000C069C">
        <w:rPr>
          <w:i/>
          <w:iCs/>
          <w:noProof/>
        </w:rPr>
        <w:t>Science (80- )</w:t>
      </w:r>
      <w:r w:rsidRPr="000C069C">
        <w:rPr>
          <w:noProof/>
        </w:rPr>
        <w:t>. 2005;310(5748):644-648. doi:10.1126/science.1117679</w:t>
      </w:r>
    </w:p>
    <w:p w14:paraId="3FE712C2"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25. </w:t>
      </w:r>
      <w:r w:rsidRPr="000C069C">
        <w:rPr>
          <w:noProof/>
        </w:rPr>
        <w:tab/>
        <w:t xml:space="preserve">Tomlins SA, Mehra R, Rhodes DR, et al. TMPRSS2:ETV4 gene fusions define a third molecular subtype of prostate cancer. </w:t>
      </w:r>
      <w:r w:rsidRPr="000C069C">
        <w:rPr>
          <w:i/>
          <w:iCs/>
          <w:noProof/>
        </w:rPr>
        <w:t>Cancer Res</w:t>
      </w:r>
      <w:r w:rsidRPr="000C069C">
        <w:rPr>
          <w:noProof/>
        </w:rPr>
        <w:t>. 2006;66(7):3396-3400. doi:10.1158/0008-5472.CAN-06-0168</w:t>
      </w:r>
    </w:p>
    <w:p w14:paraId="1EC768F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26. </w:t>
      </w:r>
      <w:r w:rsidRPr="000C069C">
        <w:rPr>
          <w:noProof/>
        </w:rPr>
        <w:tab/>
        <w:t xml:space="preserve">Helgeson BE, Tomlins SA, Shah N, et al. Characterization of TMPRSS2:ETV5 and SLC45A3:ETV5 gene fusions in prostate cancer. </w:t>
      </w:r>
      <w:r w:rsidRPr="000C069C">
        <w:rPr>
          <w:i/>
          <w:iCs/>
          <w:noProof/>
        </w:rPr>
        <w:t>Cancer Res</w:t>
      </w:r>
      <w:r w:rsidRPr="000C069C">
        <w:rPr>
          <w:noProof/>
        </w:rPr>
        <w:t>. 2008;68(1):73-80. doi:10.1158/0008-5472.CAN-07-5352</w:t>
      </w:r>
    </w:p>
    <w:p w14:paraId="63132A1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27. </w:t>
      </w:r>
      <w:r w:rsidRPr="000C069C">
        <w:rPr>
          <w:noProof/>
        </w:rPr>
        <w:tab/>
        <w:t xml:space="preserve">Barbieri CE, Baca SC, Lawrence MS, et al. Exome sequencing identifies recurrent SPOP, FOXA1 and MED12 mutations in prostate cancer. </w:t>
      </w:r>
      <w:r w:rsidRPr="000C069C">
        <w:rPr>
          <w:i/>
          <w:iCs/>
          <w:noProof/>
        </w:rPr>
        <w:t>Nat Genet</w:t>
      </w:r>
      <w:r w:rsidRPr="000C069C">
        <w:rPr>
          <w:noProof/>
        </w:rPr>
        <w:t>. 2012;44(6):685-689. doi:10.1038/ng.2279</w:t>
      </w:r>
    </w:p>
    <w:p w14:paraId="71439EE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28. </w:t>
      </w:r>
      <w:r w:rsidRPr="000C069C">
        <w:rPr>
          <w:noProof/>
        </w:rPr>
        <w:tab/>
        <w:t xml:space="preserve">Mani RS. The emerging role of speckle-type POZ protein (SPOP) in cancer development. </w:t>
      </w:r>
      <w:r w:rsidRPr="000C069C">
        <w:rPr>
          <w:i/>
          <w:iCs/>
          <w:noProof/>
        </w:rPr>
        <w:t>Drug Discov Today</w:t>
      </w:r>
      <w:r w:rsidRPr="000C069C">
        <w:rPr>
          <w:noProof/>
        </w:rPr>
        <w:t>. 2014;19(9):1498-1502. doi:10.1016/j.drudis.2014.07.009</w:t>
      </w:r>
    </w:p>
    <w:p w14:paraId="4A350F1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29. </w:t>
      </w:r>
      <w:r w:rsidRPr="000C069C">
        <w:rPr>
          <w:noProof/>
        </w:rPr>
        <w:tab/>
        <w:t xml:space="preserve">Shah N, Brown M. The Sly Oncogene: FOXA1 Mutations in Prostate Cancer. </w:t>
      </w:r>
      <w:r w:rsidRPr="000C069C">
        <w:rPr>
          <w:i/>
          <w:iCs/>
          <w:noProof/>
        </w:rPr>
        <w:t>Cancer Cell</w:t>
      </w:r>
      <w:r w:rsidRPr="000C069C">
        <w:rPr>
          <w:noProof/>
        </w:rPr>
        <w:t>. 2019;36(2):119-121. doi:10.1016/j.ccell.2019.07.005</w:t>
      </w:r>
    </w:p>
    <w:p w14:paraId="7090BE4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30. </w:t>
      </w:r>
      <w:r w:rsidRPr="000C069C">
        <w:rPr>
          <w:noProof/>
        </w:rPr>
        <w:tab/>
        <w:t xml:space="preserve">Gao N, Zhang J, Rao MA, et al. The role of hepatocyte nuclear factor-3α (forkhead box A1) and androgen receptor in transcriptional regulation of prostatic genes. </w:t>
      </w:r>
      <w:r w:rsidRPr="000C069C">
        <w:rPr>
          <w:i/>
          <w:iCs/>
          <w:noProof/>
        </w:rPr>
        <w:t>Mol Endocrinol</w:t>
      </w:r>
      <w:r w:rsidRPr="000C069C">
        <w:rPr>
          <w:noProof/>
        </w:rPr>
        <w:t>. 2003;17(8):1484-1507. doi:10.1210/me.2003-0020</w:t>
      </w:r>
    </w:p>
    <w:p w14:paraId="7BE13462"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31. </w:t>
      </w:r>
      <w:r w:rsidRPr="000C069C">
        <w:rPr>
          <w:noProof/>
        </w:rPr>
        <w:tab/>
        <w:t xml:space="preserve">Gao S, Chen S, Han D, et al. Forkhead domain mutations in FOXA1 drive prostate cancer progression. </w:t>
      </w:r>
      <w:r w:rsidRPr="000C069C">
        <w:rPr>
          <w:i/>
          <w:iCs/>
          <w:noProof/>
        </w:rPr>
        <w:t>Cell Res</w:t>
      </w:r>
      <w:r w:rsidRPr="000C069C">
        <w:rPr>
          <w:noProof/>
        </w:rPr>
        <w:t>. 2019;29(9):770-772. doi:10.1038/s41422-019-0203-2</w:t>
      </w:r>
    </w:p>
    <w:p w14:paraId="09A39E9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32. </w:t>
      </w:r>
      <w:r w:rsidRPr="000C069C">
        <w:rPr>
          <w:noProof/>
        </w:rPr>
        <w:tab/>
        <w:t xml:space="preserve">Prensner JR, Chinnaiyan AM. Metabolism unhinged: IDH mutations in cancer. </w:t>
      </w:r>
      <w:r w:rsidRPr="000C069C">
        <w:rPr>
          <w:i/>
          <w:iCs/>
          <w:noProof/>
        </w:rPr>
        <w:t>Nat Med</w:t>
      </w:r>
      <w:r w:rsidRPr="000C069C">
        <w:rPr>
          <w:noProof/>
        </w:rPr>
        <w:t>. 2011;17(3):291-293. doi:10.1038/nm0311-291</w:t>
      </w:r>
    </w:p>
    <w:p w14:paraId="650804F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33. </w:t>
      </w:r>
      <w:r w:rsidRPr="000C069C">
        <w:rPr>
          <w:noProof/>
        </w:rPr>
        <w:tab/>
        <w:t xml:space="preserve">Yen KE, Bittinger MA, Su SM, Fantin VR. Cancer-associated IDH mutations: Biomarker and therapeutic opportunities. </w:t>
      </w:r>
      <w:r w:rsidRPr="000C069C">
        <w:rPr>
          <w:i/>
          <w:iCs/>
          <w:noProof/>
        </w:rPr>
        <w:t>Oncogene</w:t>
      </w:r>
      <w:r w:rsidRPr="000C069C">
        <w:rPr>
          <w:noProof/>
        </w:rPr>
        <w:t xml:space="preserve">. 2010;29(49):6409-6417. </w:t>
      </w:r>
      <w:r w:rsidRPr="000C069C">
        <w:rPr>
          <w:noProof/>
        </w:rPr>
        <w:lastRenderedPageBreak/>
        <w:t>doi:10.1038/onc.2010.444</w:t>
      </w:r>
    </w:p>
    <w:p w14:paraId="7FB31FBD"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34. </w:t>
      </w:r>
      <w:r w:rsidRPr="000C069C">
        <w:rPr>
          <w:noProof/>
        </w:rPr>
        <w:tab/>
        <w:t xml:space="preserve">Ratz L, Laible M, Kacprzyk LA, et al. TMPRSS2: ERG gene fusion variants induce TGF-β signaling and epithelial to mesenchymal transition in human prostate cancer cells. </w:t>
      </w:r>
      <w:r w:rsidRPr="000C069C">
        <w:rPr>
          <w:i/>
          <w:iCs/>
          <w:noProof/>
        </w:rPr>
        <w:t>Oncotarget</w:t>
      </w:r>
      <w:r w:rsidRPr="000C069C">
        <w:rPr>
          <w:noProof/>
        </w:rPr>
        <w:t>. 2017;8(15):25115-25130. doi:10.18632/oncotarget.15931</w:t>
      </w:r>
    </w:p>
    <w:p w14:paraId="15D595B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35. </w:t>
      </w:r>
      <w:r w:rsidRPr="000C069C">
        <w:rPr>
          <w:noProof/>
        </w:rPr>
        <w:tab/>
        <w:t xml:space="preserve">Tomlins SA, Laxman B, Varambally S, et al. Role of the TMPRSS2-ERG gene fusion in prostate cancer. </w:t>
      </w:r>
      <w:r w:rsidRPr="000C069C">
        <w:rPr>
          <w:i/>
          <w:iCs/>
          <w:noProof/>
        </w:rPr>
        <w:t>Neoplasia</w:t>
      </w:r>
      <w:r w:rsidRPr="000C069C">
        <w:rPr>
          <w:noProof/>
        </w:rPr>
        <w:t>. 2008;10(2):177-188. doi:10.1593/neo.07822</w:t>
      </w:r>
    </w:p>
    <w:p w14:paraId="3DDD514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36. </w:t>
      </w:r>
      <w:r w:rsidRPr="000C069C">
        <w:rPr>
          <w:noProof/>
        </w:rPr>
        <w:tab/>
        <w:t xml:space="preserve">Blattner M, Lee DJ, O’Reilly C, et al. SPOP mutations in prostate cancer across demographically diverse patient cohorts. </w:t>
      </w:r>
      <w:r w:rsidRPr="000C069C">
        <w:rPr>
          <w:i/>
          <w:iCs/>
          <w:noProof/>
        </w:rPr>
        <w:t>Neoplasia (United States)</w:t>
      </w:r>
      <w:r w:rsidRPr="000C069C">
        <w:rPr>
          <w:noProof/>
        </w:rPr>
        <w:t>. 2014;16(1):14-20. doi:10.1593/neo.131704</w:t>
      </w:r>
    </w:p>
    <w:p w14:paraId="6E846C7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37. </w:t>
      </w:r>
      <w:r w:rsidRPr="000C069C">
        <w:rPr>
          <w:noProof/>
        </w:rPr>
        <w:tab/>
        <w:t xml:space="preserve">García-Flores M, Casanova-Salas I, Rubio-Briones J, et al. Clinico-pathological significance of the molecular alterations of the SPOP gene in prostate cancer. </w:t>
      </w:r>
      <w:r w:rsidRPr="000C069C">
        <w:rPr>
          <w:i/>
          <w:iCs/>
          <w:noProof/>
        </w:rPr>
        <w:t>Eur J Cancer</w:t>
      </w:r>
      <w:r w:rsidRPr="000C069C">
        <w:rPr>
          <w:noProof/>
        </w:rPr>
        <w:t>. 2014;50(17):2994-3002. doi:10.1016/j.ejca.2014.08.009</w:t>
      </w:r>
    </w:p>
    <w:p w14:paraId="69429A6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38. </w:t>
      </w:r>
      <w:r w:rsidRPr="000C069C">
        <w:rPr>
          <w:noProof/>
        </w:rPr>
        <w:tab/>
        <w:t xml:space="preserve">Adams EJ, Karthaus WR, Hoover E, et al. FOXA1 mutations alter pioneering activity, differentiation and prostate cancer phenotypes. </w:t>
      </w:r>
      <w:r w:rsidRPr="000C069C">
        <w:rPr>
          <w:i/>
          <w:iCs/>
          <w:noProof/>
        </w:rPr>
        <w:t>Nature</w:t>
      </w:r>
      <w:r w:rsidRPr="000C069C">
        <w:rPr>
          <w:noProof/>
        </w:rPr>
        <w:t>. 2019;571(7765):408-412. doi:10.1038/s41586-019-1318-9</w:t>
      </w:r>
    </w:p>
    <w:p w14:paraId="3B2A34AA"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39. </w:t>
      </w:r>
      <w:r w:rsidRPr="000C069C">
        <w:rPr>
          <w:noProof/>
        </w:rPr>
        <w:tab/>
        <w:t xml:space="preserve">Angeles A, Bauer S, Ratz L, Klauck S, Sültmann H. Genome-Based Classification and Therapy of Prostate Cancer. </w:t>
      </w:r>
      <w:r w:rsidRPr="000C069C">
        <w:rPr>
          <w:i/>
          <w:iCs/>
          <w:noProof/>
        </w:rPr>
        <w:t>Diagnostics</w:t>
      </w:r>
      <w:r w:rsidRPr="000C069C">
        <w:rPr>
          <w:noProof/>
        </w:rPr>
        <w:t>. 2018;8(3):62. doi:10.3390/diagnostics8030062</w:t>
      </w:r>
    </w:p>
    <w:p w14:paraId="5D33300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40. </w:t>
      </w:r>
      <w:r w:rsidRPr="000C069C">
        <w:rPr>
          <w:noProof/>
        </w:rPr>
        <w:tab/>
        <w:t xml:space="preserve">Fanti S, Minozzi S, Antoch G, et al. Consensus on molecular imaging and theranostics in prostate cancer. </w:t>
      </w:r>
      <w:r w:rsidRPr="000C069C">
        <w:rPr>
          <w:i/>
          <w:iCs/>
          <w:noProof/>
        </w:rPr>
        <w:t>Lancet Oncol</w:t>
      </w:r>
      <w:r w:rsidRPr="000C069C">
        <w:rPr>
          <w:noProof/>
        </w:rPr>
        <w:t>. 2018;19(12):e696-e708. doi:10.1016/S1470-2045(18)30604-1</w:t>
      </w:r>
    </w:p>
    <w:p w14:paraId="0FC66752" w14:textId="4AEBB971"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41. </w:t>
      </w:r>
      <w:r w:rsidRPr="000C069C">
        <w:rPr>
          <w:noProof/>
        </w:rPr>
        <w:tab/>
        <w:t>N. Mottet</w:t>
      </w:r>
      <w:r w:rsidR="00205DD1">
        <w:rPr>
          <w:noProof/>
        </w:rPr>
        <w:t xml:space="preserve"> </w:t>
      </w:r>
      <w:r w:rsidRPr="000C069C">
        <w:rPr>
          <w:noProof/>
        </w:rPr>
        <w:t xml:space="preserve">van den B, E. Briers PC, J. Grummet AMHMDSSFSG, et al. </w:t>
      </w:r>
      <w:r w:rsidRPr="000C069C">
        <w:rPr>
          <w:i/>
          <w:iCs/>
          <w:noProof/>
        </w:rPr>
        <w:t>EAU - EANM - ESTRO - ESUR - SIOG Guidelines on Prostate Cancer 2019</w:t>
      </w:r>
      <w:r w:rsidRPr="000C069C">
        <w:rPr>
          <w:noProof/>
        </w:rPr>
        <w:t>. Vol 53.; 2019. https://uroweb.org/guideline/prostate-cancer.</w:t>
      </w:r>
    </w:p>
    <w:p w14:paraId="4976620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42. </w:t>
      </w:r>
      <w:r w:rsidRPr="000C069C">
        <w:rPr>
          <w:noProof/>
        </w:rPr>
        <w:tab/>
        <w:t xml:space="preserve">Lilja H, Ulmert D, Vickers AJ. Prostate-specific antigen and prostate cancer: prediction, detection and monitoring. </w:t>
      </w:r>
      <w:r w:rsidRPr="000C069C">
        <w:rPr>
          <w:i/>
          <w:iCs/>
          <w:noProof/>
        </w:rPr>
        <w:t>Nat Rev Cancer</w:t>
      </w:r>
      <w:r w:rsidRPr="000C069C">
        <w:rPr>
          <w:noProof/>
        </w:rPr>
        <w:t>. 2008;8(4):268-278. doi:10.1038/nrc2351</w:t>
      </w:r>
    </w:p>
    <w:p w14:paraId="5D9C351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43. </w:t>
      </w:r>
      <w:r w:rsidRPr="000C069C">
        <w:rPr>
          <w:noProof/>
        </w:rPr>
        <w:tab/>
        <w:t xml:space="preserve">Prensner JR, Rubin MA, Wei JT, Chinnaiyan AM. Beyond PSA: The next generation of prostate cancer biomarkers. </w:t>
      </w:r>
      <w:r w:rsidRPr="000C069C">
        <w:rPr>
          <w:i/>
          <w:iCs/>
          <w:noProof/>
        </w:rPr>
        <w:t>Sci Transl Med</w:t>
      </w:r>
      <w:r w:rsidRPr="000C069C">
        <w:rPr>
          <w:noProof/>
        </w:rPr>
        <w:t>. 2012;4(127). doi:10.1126/scitranslmed.3003180</w:t>
      </w:r>
    </w:p>
    <w:p w14:paraId="4CAE495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44. </w:t>
      </w:r>
      <w:r w:rsidRPr="000C069C">
        <w:rPr>
          <w:noProof/>
        </w:rPr>
        <w:tab/>
        <w:t xml:space="preserve">Balk SP, Ko Y, Bubley GJ. Biology of Prostate-Specific Antigen. </w:t>
      </w:r>
      <w:r w:rsidRPr="000C069C">
        <w:rPr>
          <w:i/>
          <w:iCs/>
          <w:noProof/>
        </w:rPr>
        <w:t>J Clin Oncol</w:t>
      </w:r>
      <w:r w:rsidRPr="000C069C">
        <w:rPr>
          <w:noProof/>
        </w:rPr>
        <w:t>. 2003;21(2):383-391. doi:10.1200/JCO.2003.02.083</w:t>
      </w:r>
    </w:p>
    <w:p w14:paraId="5540641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45. </w:t>
      </w:r>
      <w:r w:rsidRPr="000C069C">
        <w:rPr>
          <w:noProof/>
        </w:rPr>
        <w:tab/>
        <w:t xml:space="preserve">Loeb S, Catalona WJ. Prostate-specific antigen in clinical practice. </w:t>
      </w:r>
      <w:r w:rsidRPr="000C069C">
        <w:rPr>
          <w:i/>
          <w:iCs/>
          <w:noProof/>
        </w:rPr>
        <w:t>Cancer Lett</w:t>
      </w:r>
      <w:r w:rsidRPr="000C069C">
        <w:rPr>
          <w:noProof/>
        </w:rPr>
        <w:t>. 2007;249(1):30-39. doi:10.1016/j.canlet.2006.12.022</w:t>
      </w:r>
    </w:p>
    <w:p w14:paraId="224CF69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46. </w:t>
      </w:r>
      <w:r w:rsidRPr="000C069C">
        <w:rPr>
          <w:noProof/>
        </w:rPr>
        <w:tab/>
        <w:t xml:space="preserve">Catalona WJ, Richie JP, Ahmann FR, et al. Comparison of Digital Rectal Examination and Serum Prostate Specific Antigen in the Early Detection of Prostate Cancer: Results of a Multicenter Clinical Trial of 6,630 Men. </w:t>
      </w:r>
      <w:r w:rsidRPr="000C069C">
        <w:rPr>
          <w:i/>
          <w:iCs/>
          <w:noProof/>
        </w:rPr>
        <w:t>J Urol</w:t>
      </w:r>
      <w:r w:rsidRPr="000C069C">
        <w:rPr>
          <w:noProof/>
        </w:rPr>
        <w:t>. 1994;151(5):1283-1290. doi:10.1016/S0022-5347(17)35233-3</w:t>
      </w:r>
    </w:p>
    <w:p w14:paraId="7D9CBAB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47. </w:t>
      </w:r>
      <w:r w:rsidRPr="000C069C">
        <w:rPr>
          <w:noProof/>
        </w:rPr>
        <w:tab/>
        <w:t xml:space="preserve">Moyer VA. Screening for prostate cancer: U.S. preventive services task force recommendation statement. </w:t>
      </w:r>
      <w:r w:rsidRPr="000C069C">
        <w:rPr>
          <w:i/>
          <w:iCs/>
          <w:noProof/>
        </w:rPr>
        <w:t>Ann Intern Med</w:t>
      </w:r>
      <w:r w:rsidRPr="000C069C">
        <w:rPr>
          <w:noProof/>
        </w:rPr>
        <w:t>. 2012;157(2):120-134. doi:10.7326/0003-4819-157-2-201207170-00459</w:t>
      </w:r>
    </w:p>
    <w:p w14:paraId="00B42A12"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48. </w:t>
      </w:r>
      <w:r w:rsidRPr="000C069C">
        <w:rPr>
          <w:noProof/>
        </w:rPr>
        <w:tab/>
        <w:t xml:space="preserve">Grossman DC, Curry SJ, Owens DK, et al. Screening for Prostate Cancer. </w:t>
      </w:r>
      <w:r w:rsidRPr="000C069C">
        <w:rPr>
          <w:i/>
          <w:iCs/>
          <w:noProof/>
        </w:rPr>
        <w:t>JAMA</w:t>
      </w:r>
      <w:r w:rsidRPr="000C069C">
        <w:rPr>
          <w:noProof/>
        </w:rPr>
        <w:t>. 2018;319(18):1901. doi:10.1001/jama.2018.3710</w:t>
      </w:r>
    </w:p>
    <w:p w14:paraId="1ABEA68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49. </w:t>
      </w:r>
      <w:r w:rsidRPr="000C069C">
        <w:rPr>
          <w:noProof/>
        </w:rPr>
        <w:tab/>
        <w:t xml:space="preserve">Schröder FH, Carter HB, Wolters T, et al. Early Detection of Prostate Cancer in 2007. Part 1: PSA and PSA Kinetics. </w:t>
      </w:r>
      <w:r w:rsidRPr="000C069C">
        <w:rPr>
          <w:i/>
          <w:iCs/>
          <w:noProof/>
        </w:rPr>
        <w:t>Eur Urol</w:t>
      </w:r>
      <w:r w:rsidRPr="000C069C">
        <w:rPr>
          <w:noProof/>
        </w:rPr>
        <w:t>. 2008;53(3):468-477. doi:10.1016/j.eururo.2007.10.047</w:t>
      </w:r>
    </w:p>
    <w:p w14:paraId="1F06F5B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50. </w:t>
      </w:r>
      <w:r w:rsidRPr="000C069C">
        <w:rPr>
          <w:noProof/>
        </w:rPr>
        <w:tab/>
        <w:t>Catalona WJ, Partin AW, Slawin KM, et al. Use of the Percentage of Free Prostate-</w:t>
      </w:r>
      <w:r w:rsidRPr="000C069C">
        <w:rPr>
          <w:noProof/>
        </w:rPr>
        <w:lastRenderedPageBreak/>
        <w:t xml:space="preserve">Specific Antigen to Enhance Differentiation of Prostate Cancer From Benign Prostatic Disease. </w:t>
      </w:r>
      <w:r w:rsidRPr="000C069C">
        <w:rPr>
          <w:i/>
          <w:iCs/>
          <w:noProof/>
        </w:rPr>
        <w:t>JAMA</w:t>
      </w:r>
      <w:r w:rsidRPr="000C069C">
        <w:rPr>
          <w:noProof/>
        </w:rPr>
        <w:t>. 1998;279(19):1542. doi:10.1001/jama.279.19.1542</w:t>
      </w:r>
    </w:p>
    <w:p w14:paraId="690D31B3"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51. </w:t>
      </w:r>
      <w:r w:rsidRPr="000C069C">
        <w:rPr>
          <w:noProof/>
        </w:rPr>
        <w:tab/>
        <w:t xml:space="preserve">Catalona WJ, Bartsch G, Rittenhouse HG, et al. Serum Pro prostate specific antigen improves cancer detection compared to free and complexed prostate specific antigen in men with prostate specific antigen 2 to 4 ng/ml. </w:t>
      </w:r>
      <w:r w:rsidRPr="000C069C">
        <w:rPr>
          <w:i/>
          <w:iCs/>
          <w:noProof/>
        </w:rPr>
        <w:t>J Urol</w:t>
      </w:r>
      <w:r w:rsidRPr="000C069C">
        <w:rPr>
          <w:noProof/>
        </w:rPr>
        <w:t>. 2003;170(6 I):2181-2185. doi:10.1097/01.ju.0000095460.12999.43</w:t>
      </w:r>
    </w:p>
    <w:p w14:paraId="3A389BC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52. </w:t>
      </w:r>
      <w:r w:rsidRPr="000C069C">
        <w:rPr>
          <w:noProof/>
        </w:rPr>
        <w:tab/>
        <w:t xml:space="preserve">Loeb S, Catalona WJ. The Prostate Health Index: A new test for the detection of prostate cancer. </w:t>
      </w:r>
      <w:r w:rsidRPr="000C069C">
        <w:rPr>
          <w:i/>
          <w:iCs/>
          <w:noProof/>
        </w:rPr>
        <w:t>Ther Adv Urol</w:t>
      </w:r>
      <w:r w:rsidRPr="000C069C">
        <w:rPr>
          <w:noProof/>
        </w:rPr>
        <w:t>. 2014;6(2):74-77. doi:10.1177/1756287213513488</w:t>
      </w:r>
    </w:p>
    <w:p w14:paraId="28BCC0C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53. </w:t>
      </w:r>
      <w:r w:rsidRPr="000C069C">
        <w:rPr>
          <w:noProof/>
        </w:rPr>
        <w:tab/>
        <w:t xml:space="preserve">Catalona WJ, Partin AW, Sanda MG, et al. A multicenter study of [-2]pro-prostate specific antigen combined with prostate specific antigen and free prostate specific antigen for prostate cancer detection in the 2.0 to 10.0 ng/ml prostate specific antigen range. </w:t>
      </w:r>
      <w:r w:rsidRPr="000C069C">
        <w:rPr>
          <w:i/>
          <w:iCs/>
          <w:noProof/>
        </w:rPr>
        <w:t>J Urol</w:t>
      </w:r>
      <w:r w:rsidRPr="000C069C">
        <w:rPr>
          <w:noProof/>
        </w:rPr>
        <w:t>. 2011;185(5):1650-1655. doi:10.1016/j.juro.2010.12.032</w:t>
      </w:r>
    </w:p>
    <w:p w14:paraId="6C3BDDC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54. </w:t>
      </w:r>
      <w:r w:rsidRPr="000C069C">
        <w:rPr>
          <w:noProof/>
        </w:rPr>
        <w:tab/>
        <w:t xml:space="preserve">Kundu SD, Roehl KA, Yu X, Antenor JA V, Suarez BK, Catalona WJ. Prostate Specific Antigen Density Correlates With Features of Prostate Cancer Aggressiveness. </w:t>
      </w:r>
      <w:r w:rsidRPr="000C069C">
        <w:rPr>
          <w:i/>
          <w:iCs/>
          <w:noProof/>
        </w:rPr>
        <w:t>J Urol</w:t>
      </w:r>
      <w:r w:rsidRPr="000C069C">
        <w:rPr>
          <w:noProof/>
        </w:rPr>
        <w:t>. 2007;177(2):505-509. doi:10.1016/j.juro.2006.09.039</w:t>
      </w:r>
    </w:p>
    <w:p w14:paraId="4FB79BB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55. </w:t>
      </w:r>
      <w:r w:rsidRPr="000C069C">
        <w:rPr>
          <w:noProof/>
        </w:rPr>
        <w:tab/>
        <w:t xml:space="preserve">Catalona WJ, Richie JP, DeKernion JB, et al. Comparison of prostate specific antigen concentration versus prostate specific antigen density in the early detection of prostate cancer: Receiver operating characteristic curves. </w:t>
      </w:r>
      <w:r w:rsidRPr="000C069C">
        <w:rPr>
          <w:i/>
          <w:iCs/>
          <w:noProof/>
        </w:rPr>
        <w:t>J Urol</w:t>
      </w:r>
      <w:r w:rsidRPr="000C069C">
        <w:rPr>
          <w:noProof/>
        </w:rPr>
        <w:t>. 1994;152(6 I):2031-2036. doi:10.1016/S0022-5347(17)32299-1</w:t>
      </w:r>
    </w:p>
    <w:p w14:paraId="51DEA57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56. </w:t>
      </w:r>
      <w:r w:rsidRPr="000C069C">
        <w:rPr>
          <w:noProof/>
        </w:rPr>
        <w:tab/>
        <w:t xml:space="preserve">Carter HB, Pearson JD, Metter EJ, et al. Longitudinal evaluation of serum androgen levels in men with and without prostate cancer. </w:t>
      </w:r>
      <w:r w:rsidRPr="000C069C">
        <w:rPr>
          <w:i/>
          <w:iCs/>
          <w:noProof/>
        </w:rPr>
        <w:t>Prostate</w:t>
      </w:r>
      <w:r w:rsidRPr="000C069C">
        <w:rPr>
          <w:noProof/>
        </w:rPr>
        <w:t>. 1995;27(1):25-31. doi:10.1002/pros.2990270106</w:t>
      </w:r>
    </w:p>
    <w:p w14:paraId="657E66BF"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57. </w:t>
      </w:r>
      <w:r w:rsidRPr="000C069C">
        <w:rPr>
          <w:noProof/>
        </w:rPr>
        <w:tab/>
        <w:t xml:space="preserve">D’Amico A V., Chen M-H, Roehl KA, Catalona WJ. Preoperative PSA Velocity and the Risk of Death from Prostate Cancer after Radical Prostatectomy. </w:t>
      </w:r>
      <w:r w:rsidRPr="000C069C">
        <w:rPr>
          <w:i/>
          <w:iCs/>
          <w:noProof/>
        </w:rPr>
        <w:t>N Engl J Med</w:t>
      </w:r>
      <w:r w:rsidRPr="000C069C">
        <w:rPr>
          <w:noProof/>
        </w:rPr>
        <w:t>. 2004;351(2):125-135. doi:10.1056/NEJMoa032975</w:t>
      </w:r>
    </w:p>
    <w:p w14:paraId="3D38A72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58. </w:t>
      </w:r>
      <w:r w:rsidRPr="000C069C">
        <w:rPr>
          <w:noProof/>
        </w:rPr>
        <w:tab/>
        <w:t xml:space="preserve">Ulmert D, Serio AM, O’Brien MF, et al. Long-term prediction of prostate cancer: Prostate-specific antigen (PSA) velocity is predictive but does not improve the predictive accuracy of a single PSA measurement 15 years or more before cancer diagnosis in a large, representative, unscreened popula. </w:t>
      </w:r>
      <w:r w:rsidRPr="000C069C">
        <w:rPr>
          <w:i/>
          <w:iCs/>
          <w:noProof/>
        </w:rPr>
        <w:t>J Clin Oncol</w:t>
      </w:r>
      <w:r w:rsidRPr="000C069C">
        <w:rPr>
          <w:noProof/>
        </w:rPr>
        <w:t>. 2008;26(6):835-841. doi:10.1200/JCO.2007.13.1490</w:t>
      </w:r>
    </w:p>
    <w:p w14:paraId="417116A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59. </w:t>
      </w:r>
      <w:r w:rsidRPr="000C069C">
        <w:rPr>
          <w:noProof/>
        </w:rPr>
        <w:tab/>
        <w:t xml:space="preserve">Arlen PM, Bianco F, Dahut WL, et al. Prostate Specific Antigen Working Group Guidelines on Prostate Specific Antigen Doubling Time. </w:t>
      </w:r>
      <w:r w:rsidRPr="000C069C">
        <w:rPr>
          <w:i/>
          <w:iCs/>
          <w:noProof/>
        </w:rPr>
        <w:t>J Urol</w:t>
      </w:r>
      <w:r w:rsidRPr="000C069C">
        <w:rPr>
          <w:noProof/>
        </w:rPr>
        <w:t>. 2008;179(6):2181-2186. doi:10.1016/j.juro.2008.01.099</w:t>
      </w:r>
    </w:p>
    <w:p w14:paraId="2A7EC0D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60. </w:t>
      </w:r>
      <w:r w:rsidRPr="000C069C">
        <w:rPr>
          <w:noProof/>
        </w:rPr>
        <w:tab/>
        <w:t xml:space="preserve">Di Meo A, Bartlett J, Cheng Y, Pasic MD, Yousef GM. Liquid biopsy: A step forward towards precision medicine in urologic malignancies. </w:t>
      </w:r>
      <w:r w:rsidRPr="000C069C">
        <w:rPr>
          <w:i/>
          <w:iCs/>
          <w:noProof/>
        </w:rPr>
        <w:t>Mol Cancer</w:t>
      </w:r>
      <w:r w:rsidRPr="000C069C">
        <w:rPr>
          <w:noProof/>
        </w:rPr>
        <w:t>. 2017;16(1):1-14. doi:10.1186/s12943-017-0644-5</w:t>
      </w:r>
    </w:p>
    <w:p w14:paraId="5BB8A61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61. </w:t>
      </w:r>
      <w:r w:rsidRPr="000C069C">
        <w:rPr>
          <w:noProof/>
        </w:rPr>
        <w:tab/>
        <w:t xml:space="preserve">Bussemakers MJG, Van Bokhoven A, Verhaegh GW, et al. DD3: A new prostate-specific gene, highly overexpressed in prostate cancer. </w:t>
      </w:r>
      <w:r w:rsidRPr="000C069C">
        <w:rPr>
          <w:i/>
          <w:iCs/>
          <w:noProof/>
        </w:rPr>
        <w:t>Cancer Res</w:t>
      </w:r>
      <w:r w:rsidRPr="000C069C">
        <w:rPr>
          <w:noProof/>
        </w:rPr>
        <w:t>. 1999;59(23):5975-5979.</w:t>
      </w:r>
    </w:p>
    <w:p w14:paraId="55C96E3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62. </w:t>
      </w:r>
      <w:r w:rsidRPr="000C069C">
        <w:rPr>
          <w:noProof/>
        </w:rPr>
        <w:tab/>
        <w:t xml:space="preserve">Rittenhouse H, Blase A, Shamel B, Schalken J, Groskopf J. The long and winding road to FDA approval of a novel prostate cancer test: Our story. </w:t>
      </w:r>
      <w:r w:rsidRPr="000C069C">
        <w:rPr>
          <w:i/>
          <w:iCs/>
          <w:noProof/>
        </w:rPr>
        <w:t>Clin Chem</w:t>
      </w:r>
      <w:r w:rsidRPr="000C069C">
        <w:rPr>
          <w:noProof/>
        </w:rPr>
        <w:t>. 2013;59(1):32-34. doi:10.1373/clinchem.2012.198739</w:t>
      </w:r>
    </w:p>
    <w:p w14:paraId="2B9713D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63. </w:t>
      </w:r>
      <w:r w:rsidRPr="000C069C">
        <w:rPr>
          <w:noProof/>
        </w:rPr>
        <w:tab/>
        <w:t xml:space="preserve">Groskopf J, Aubin SMJ, Deras IL, et al. APTIMA PCA3 molecular urine test: Development of a method to aid in the diagnosis of prostate cancer. </w:t>
      </w:r>
      <w:r w:rsidRPr="000C069C">
        <w:rPr>
          <w:i/>
          <w:iCs/>
          <w:noProof/>
        </w:rPr>
        <w:t>Clin Chem</w:t>
      </w:r>
      <w:r w:rsidRPr="000C069C">
        <w:rPr>
          <w:noProof/>
        </w:rPr>
        <w:t>. 2006;52(6):1089-1095. doi:10.1373/clinchem.2005.063289</w:t>
      </w:r>
    </w:p>
    <w:p w14:paraId="5DE11EB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64. </w:t>
      </w:r>
      <w:r w:rsidRPr="000C069C">
        <w:rPr>
          <w:noProof/>
        </w:rPr>
        <w:tab/>
        <w:t>Use I, Results S. Physician Brochure for the PROGENSA PCA3 Assay.</w:t>
      </w:r>
    </w:p>
    <w:p w14:paraId="2063EC6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65. </w:t>
      </w:r>
      <w:r w:rsidRPr="000C069C">
        <w:rPr>
          <w:noProof/>
        </w:rPr>
        <w:tab/>
        <w:t xml:space="preserve">Kornberg Z, Cooperberg MR, Spratt DE, Feng FY. Genomic biomarkers in prostate </w:t>
      </w:r>
      <w:r w:rsidRPr="000C069C">
        <w:rPr>
          <w:noProof/>
        </w:rPr>
        <w:lastRenderedPageBreak/>
        <w:t xml:space="preserve">cancer. </w:t>
      </w:r>
      <w:r w:rsidRPr="000C069C">
        <w:rPr>
          <w:i/>
          <w:iCs/>
          <w:noProof/>
        </w:rPr>
        <w:t>Transl Androl Urol</w:t>
      </w:r>
      <w:r w:rsidRPr="000C069C">
        <w:rPr>
          <w:noProof/>
        </w:rPr>
        <w:t>. 2018;7(3):459-471. doi:10.21037/tau.2018.06.02</w:t>
      </w:r>
    </w:p>
    <w:p w14:paraId="347125C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66. </w:t>
      </w:r>
      <w:r w:rsidRPr="000C069C">
        <w:rPr>
          <w:noProof/>
        </w:rPr>
        <w:tab/>
        <w:t xml:space="preserve">Nevo A, Navaratnam A, Andrews P. Prostate cancer and the role of biomarkers. </w:t>
      </w:r>
      <w:r w:rsidRPr="000C069C">
        <w:rPr>
          <w:i/>
          <w:iCs/>
          <w:noProof/>
        </w:rPr>
        <w:t>Abdom Radiol</w:t>
      </w:r>
      <w:r w:rsidRPr="000C069C">
        <w:rPr>
          <w:noProof/>
        </w:rPr>
        <w:t>. 2019;(0123456789). doi:10.1007/s00261-019-02305-8</w:t>
      </w:r>
    </w:p>
    <w:p w14:paraId="73C30E8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67. </w:t>
      </w:r>
      <w:r w:rsidRPr="000C069C">
        <w:rPr>
          <w:noProof/>
        </w:rPr>
        <w:tab/>
        <w:t xml:space="preserve">Sanda MG, Feng Z, Howard DH, et al. Association between combined TMPRSS2:ERG and PCA3 RNA urinary testing and detection of aggressive prostate cancer. </w:t>
      </w:r>
      <w:r w:rsidRPr="000C069C">
        <w:rPr>
          <w:i/>
          <w:iCs/>
          <w:noProof/>
        </w:rPr>
        <w:t>JAMA Oncol</w:t>
      </w:r>
      <w:r w:rsidRPr="000C069C">
        <w:rPr>
          <w:noProof/>
        </w:rPr>
        <w:t>. 2017;3(8):1085-1093. doi:10.1001/jamaoncol.2017.0177</w:t>
      </w:r>
    </w:p>
    <w:p w14:paraId="1D10EC3F"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68. </w:t>
      </w:r>
      <w:r w:rsidRPr="000C069C">
        <w:rPr>
          <w:noProof/>
        </w:rPr>
        <w:tab/>
        <w:t xml:space="preserve">McKiernan J, Donovan MJ, O’Neill V, et al. A Novel Urine Exosome Gene Expression Assay to Predict High-grade Prostate Cancer at Initial Biopsy. </w:t>
      </w:r>
      <w:r w:rsidRPr="000C069C">
        <w:rPr>
          <w:i/>
          <w:iCs/>
          <w:noProof/>
        </w:rPr>
        <w:t>JAMA Oncol</w:t>
      </w:r>
      <w:r w:rsidRPr="000C069C">
        <w:rPr>
          <w:noProof/>
        </w:rPr>
        <w:t>. 2016;2(7):882. doi:10.1001/jamaoncol.2016.0097</w:t>
      </w:r>
    </w:p>
    <w:p w14:paraId="2D43DDF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69. </w:t>
      </w:r>
      <w:r w:rsidRPr="000C069C">
        <w:rPr>
          <w:noProof/>
        </w:rPr>
        <w:tab/>
        <w:t xml:space="preserve">Van Neste L, Hendriks RJ, Dijkstra S, et al. Detection of High-grade Prostate Cancer Using a Urinary Molecular Biomarker–Based Risk Score. </w:t>
      </w:r>
      <w:r w:rsidRPr="000C069C">
        <w:rPr>
          <w:i/>
          <w:iCs/>
          <w:noProof/>
        </w:rPr>
        <w:t>Eur Urol</w:t>
      </w:r>
      <w:r w:rsidRPr="000C069C">
        <w:rPr>
          <w:noProof/>
        </w:rPr>
        <w:t>. 2016;70(5):740-748. doi:10.1016/j.eururo.2016.04.012</w:t>
      </w:r>
    </w:p>
    <w:p w14:paraId="1FA7259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70. </w:t>
      </w:r>
      <w:r w:rsidRPr="000C069C">
        <w:rPr>
          <w:noProof/>
        </w:rPr>
        <w:tab/>
        <w:t xml:space="preserve">Hologic I. </w:t>
      </w:r>
      <w:r w:rsidRPr="000C069C">
        <w:rPr>
          <w:i/>
          <w:iCs/>
          <w:noProof/>
        </w:rPr>
        <w:t>Progensa PCA3 Assay</w:t>
      </w:r>
      <w:r w:rsidRPr="000C069C">
        <w:rPr>
          <w:noProof/>
        </w:rPr>
        <w:t>.; 2019.</w:t>
      </w:r>
    </w:p>
    <w:p w14:paraId="6A5A226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71. </w:t>
      </w:r>
      <w:r w:rsidRPr="000C069C">
        <w:rPr>
          <w:noProof/>
        </w:rPr>
        <w:tab/>
        <w:t xml:space="preserve">Russo GI, Regis F, Castelli T, et al. A Systematic Review and Meta-analysis of the Diagnostic Accuracy of Prostate Health Index and 4-Kallikrein Panel Score in Predicting Overall and High-grade Prostate Cancer. </w:t>
      </w:r>
      <w:r w:rsidRPr="000C069C">
        <w:rPr>
          <w:i/>
          <w:iCs/>
          <w:noProof/>
        </w:rPr>
        <w:t>Clin Genitourin Cancer</w:t>
      </w:r>
      <w:r w:rsidRPr="000C069C">
        <w:rPr>
          <w:noProof/>
        </w:rPr>
        <w:t>. 2017;15(4):429-439.e1. doi:10.1016/j.clgc.2016.12.022</w:t>
      </w:r>
    </w:p>
    <w:p w14:paraId="1EE63EE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72. </w:t>
      </w:r>
      <w:r w:rsidRPr="000C069C">
        <w:rPr>
          <w:noProof/>
        </w:rPr>
        <w:tab/>
        <w:t xml:space="preserve">Liu B, Shyr Y, Cai J, Liu Q. Interplay between miRNAs and host genes and their role in cancer. </w:t>
      </w:r>
      <w:r w:rsidRPr="000C069C">
        <w:rPr>
          <w:i/>
          <w:iCs/>
          <w:noProof/>
        </w:rPr>
        <w:t>Brief Funct Genomics</w:t>
      </w:r>
      <w:r w:rsidRPr="000C069C">
        <w:rPr>
          <w:noProof/>
        </w:rPr>
        <w:t>. 2018;18(4):255-266. doi:10.1093/bfgp/elz002</w:t>
      </w:r>
    </w:p>
    <w:p w14:paraId="0208F9D2"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73. </w:t>
      </w:r>
      <w:r w:rsidRPr="000C069C">
        <w:rPr>
          <w:noProof/>
        </w:rPr>
        <w:tab/>
        <w:t xml:space="preserve">Kim VN, Han J, Siomi MC. Biogenesis of small RNAs in animals. </w:t>
      </w:r>
      <w:r w:rsidRPr="000C069C">
        <w:rPr>
          <w:i/>
          <w:iCs/>
          <w:noProof/>
        </w:rPr>
        <w:t>Nat Rev Mol Cell Biol</w:t>
      </w:r>
      <w:r w:rsidRPr="000C069C">
        <w:rPr>
          <w:noProof/>
        </w:rPr>
        <w:t>. 2009;10(2):126-139. doi:10.1038/nrm2632</w:t>
      </w:r>
    </w:p>
    <w:p w14:paraId="2D649A1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74. </w:t>
      </w:r>
      <w:r w:rsidRPr="000C069C">
        <w:rPr>
          <w:noProof/>
        </w:rPr>
        <w:tab/>
        <w:t xml:space="preserve">Lee Y, Jeon K, Lee JT, Kim S, Kim VN. MicroRNA maturation: Stepwise processing and subcellular localization. </w:t>
      </w:r>
      <w:r w:rsidRPr="000C069C">
        <w:rPr>
          <w:i/>
          <w:iCs/>
          <w:noProof/>
        </w:rPr>
        <w:t>EMBO J</w:t>
      </w:r>
      <w:r w:rsidRPr="000C069C">
        <w:rPr>
          <w:noProof/>
        </w:rPr>
        <w:t>. 2002;21(17):4663-4670. doi:10.1093/emboj/cdf476</w:t>
      </w:r>
    </w:p>
    <w:p w14:paraId="07787C6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75. </w:t>
      </w:r>
      <w:r w:rsidRPr="000C069C">
        <w:rPr>
          <w:noProof/>
        </w:rPr>
        <w:tab/>
        <w:t xml:space="preserve">Lee Y, Ahn C, Han J, et al. The nuclear RNase III Drosha initiates microRNA processing. </w:t>
      </w:r>
      <w:r w:rsidRPr="000C069C">
        <w:rPr>
          <w:i/>
          <w:iCs/>
          <w:noProof/>
        </w:rPr>
        <w:t>Nature</w:t>
      </w:r>
      <w:r w:rsidRPr="000C069C">
        <w:rPr>
          <w:noProof/>
        </w:rPr>
        <w:t>. 2003;425(6956):415-419. doi:10.1038/nature01957</w:t>
      </w:r>
    </w:p>
    <w:p w14:paraId="3448C180"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76. </w:t>
      </w:r>
      <w:r w:rsidRPr="000C069C">
        <w:rPr>
          <w:noProof/>
        </w:rPr>
        <w:tab/>
        <w:t xml:space="preserve">Denli AM, Tops BBJ, Plasterk RHA, Ketting RF, Hannon GJ. Processing of primary microRNAs by the Microprocessor complex. </w:t>
      </w:r>
      <w:r w:rsidRPr="000C069C">
        <w:rPr>
          <w:i/>
          <w:iCs/>
          <w:noProof/>
        </w:rPr>
        <w:t>Nature</w:t>
      </w:r>
      <w:r w:rsidRPr="000C069C">
        <w:rPr>
          <w:noProof/>
        </w:rPr>
        <w:t>. 2004;432(7014):231-235. doi:10.1038/nature03049</w:t>
      </w:r>
    </w:p>
    <w:p w14:paraId="663415AD"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77. </w:t>
      </w:r>
      <w:r w:rsidRPr="000C069C">
        <w:rPr>
          <w:noProof/>
        </w:rPr>
        <w:tab/>
        <w:t xml:space="preserve">Zeng Y, Cullen BR. Structural requirements for pre-microRNA binding and nuclear export by Exportin 5. </w:t>
      </w:r>
      <w:r w:rsidRPr="000C069C">
        <w:rPr>
          <w:i/>
          <w:iCs/>
          <w:noProof/>
        </w:rPr>
        <w:t>Nucleic Acids Res</w:t>
      </w:r>
      <w:r w:rsidRPr="000C069C">
        <w:rPr>
          <w:noProof/>
        </w:rPr>
        <w:t>. 2004;32(16):4776-4785. doi:10.1093/nar/gkh824</w:t>
      </w:r>
    </w:p>
    <w:p w14:paraId="7730874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78. </w:t>
      </w:r>
      <w:r w:rsidRPr="000C069C">
        <w:rPr>
          <w:noProof/>
        </w:rPr>
        <w:tab/>
        <w:t xml:space="preserve">Lee Y, Hur I, Park SY, Kim YK, Mi RS, Kim VN. The role of PACT in the RNA silencing pathway. </w:t>
      </w:r>
      <w:r w:rsidRPr="000C069C">
        <w:rPr>
          <w:i/>
          <w:iCs/>
          <w:noProof/>
        </w:rPr>
        <w:t>EMBO J</w:t>
      </w:r>
      <w:r w:rsidRPr="000C069C">
        <w:rPr>
          <w:noProof/>
        </w:rPr>
        <w:t>. 2006;25(3):522-532. doi:10.1038/sj.emboj.7600942</w:t>
      </w:r>
    </w:p>
    <w:p w14:paraId="1BC3A60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79. </w:t>
      </w:r>
      <w:r w:rsidRPr="000C069C">
        <w:rPr>
          <w:noProof/>
        </w:rPr>
        <w:tab/>
        <w:t xml:space="preserve">Haase AD, Jaskiewicz L, Zhang H, et al. TRBP, a regulator of cellular PKR and HIV-1 virus expression, interacts with Dicer and functions in RNA silencing. </w:t>
      </w:r>
      <w:r w:rsidRPr="000C069C">
        <w:rPr>
          <w:i/>
          <w:iCs/>
          <w:noProof/>
        </w:rPr>
        <w:t>EMBO Rep</w:t>
      </w:r>
      <w:r w:rsidRPr="000C069C">
        <w:rPr>
          <w:noProof/>
        </w:rPr>
        <w:t>. 2005;6(10):961-967. doi:10.1038/sj.embor.7400509</w:t>
      </w:r>
    </w:p>
    <w:p w14:paraId="3BC573E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80. </w:t>
      </w:r>
      <w:r w:rsidRPr="000C069C">
        <w:rPr>
          <w:noProof/>
        </w:rPr>
        <w:tab/>
        <w:t xml:space="preserve">Wahid F, Shehzad A, Khan T, Kim YY. MicroRNAs: Synthesis, mechanism, function, and recent clinical trials. </w:t>
      </w:r>
      <w:r w:rsidRPr="000C069C">
        <w:rPr>
          <w:i/>
          <w:iCs/>
          <w:noProof/>
        </w:rPr>
        <w:t>Biochim Biophys Acta - Mol Cell Res</w:t>
      </w:r>
      <w:r w:rsidRPr="000C069C">
        <w:rPr>
          <w:noProof/>
        </w:rPr>
        <w:t>. 2010;1803(11):1231-1243. doi:10.1016/j.bbamcr.2010.06.013</w:t>
      </w:r>
    </w:p>
    <w:p w14:paraId="20FCF79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81. </w:t>
      </w:r>
      <w:r w:rsidRPr="000C069C">
        <w:rPr>
          <w:noProof/>
        </w:rPr>
        <w:tab/>
        <w:t xml:space="preserve">Saito T, Sætrom P. MicroRNAs - targeting and target prediction. </w:t>
      </w:r>
      <w:r w:rsidRPr="000C069C">
        <w:rPr>
          <w:i/>
          <w:iCs/>
          <w:noProof/>
        </w:rPr>
        <w:t>N Biotechnol</w:t>
      </w:r>
      <w:r w:rsidRPr="000C069C">
        <w:rPr>
          <w:noProof/>
        </w:rPr>
        <w:t>. 2010;27(3):243-249. doi:10.1016/j.nbt.2010.02.016</w:t>
      </w:r>
    </w:p>
    <w:p w14:paraId="23B3CB1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82. </w:t>
      </w:r>
      <w:r w:rsidRPr="000C069C">
        <w:rPr>
          <w:noProof/>
        </w:rPr>
        <w:tab/>
        <w:t xml:space="preserve">MacFarlane L-A, R. Murphy P. MicroRNA: Biogenesis, Function and Role in Cancer. </w:t>
      </w:r>
      <w:r w:rsidRPr="000C069C">
        <w:rPr>
          <w:i/>
          <w:iCs/>
          <w:noProof/>
        </w:rPr>
        <w:t>Curr Genomics</w:t>
      </w:r>
      <w:r w:rsidRPr="000C069C">
        <w:rPr>
          <w:noProof/>
        </w:rPr>
        <w:t>. 2010;11(7):537-561. doi:10.2174/138920210793175895</w:t>
      </w:r>
    </w:p>
    <w:p w14:paraId="43837D7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83. </w:t>
      </w:r>
      <w:r w:rsidRPr="000C069C">
        <w:rPr>
          <w:noProof/>
        </w:rPr>
        <w:tab/>
        <w:t xml:space="preserve">Terrinoni A, Calabrese C, Basso D, et al. The circulating miRNAs as diagnostic and prognostic markers. </w:t>
      </w:r>
      <w:r w:rsidRPr="000C069C">
        <w:rPr>
          <w:i/>
          <w:iCs/>
          <w:noProof/>
        </w:rPr>
        <w:t>Clin Chem Lab Med</w:t>
      </w:r>
      <w:r w:rsidRPr="000C069C">
        <w:rPr>
          <w:noProof/>
        </w:rPr>
        <w:t>. 2019;57(7):932-953. doi:10.1515/cclm-2018-0838</w:t>
      </w:r>
    </w:p>
    <w:p w14:paraId="2670E99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84. </w:t>
      </w:r>
      <w:r w:rsidRPr="000C069C">
        <w:rPr>
          <w:noProof/>
        </w:rPr>
        <w:tab/>
        <w:t xml:space="preserve">Nana-Sinkam P, Croce CM. MicroRNAs in diagnosis and prognosis in cancer: What </w:t>
      </w:r>
      <w:r w:rsidRPr="000C069C">
        <w:rPr>
          <w:noProof/>
        </w:rPr>
        <w:lastRenderedPageBreak/>
        <w:t xml:space="preserve">does the future hold? </w:t>
      </w:r>
      <w:r w:rsidRPr="000C069C">
        <w:rPr>
          <w:i/>
          <w:iCs/>
          <w:noProof/>
        </w:rPr>
        <w:t>Pharmacogenomics</w:t>
      </w:r>
      <w:r w:rsidRPr="000C069C">
        <w:rPr>
          <w:noProof/>
        </w:rPr>
        <w:t>. 2010;11(5):667-669. doi:10.2217/pgs.10.57</w:t>
      </w:r>
    </w:p>
    <w:p w14:paraId="54BF0C6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85. </w:t>
      </w:r>
      <w:r w:rsidRPr="000C069C">
        <w:rPr>
          <w:noProof/>
        </w:rPr>
        <w:tab/>
        <w:t xml:space="preserve">Taft RJ, Pang KC, Mercer TR, Dinger M, Mattick JS. Non-coding RNAs: regulators of disease. </w:t>
      </w:r>
      <w:r w:rsidRPr="000C069C">
        <w:rPr>
          <w:i/>
          <w:iCs/>
          <w:noProof/>
        </w:rPr>
        <w:t>J Pathol</w:t>
      </w:r>
      <w:r w:rsidRPr="000C069C">
        <w:rPr>
          <w:noProof/>
        </w:rPr>
        <w:t>. 2010;220(2):126-139. doi:10.1002/path.2638</w:t>
      </w:r>
    </w:p>
    <w:p w14:paraId="404B48C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86. </w:t>
      </w:r>
      <w:r w:rsidRPr="000C069C">
        <w:rPr>
          <w:noProof/>
        </w:rPr>
        <w:tab/>
        <w:t xml:space="preserve">Paliouras AR, Monteverde T, Garofalo M. Oncogene-induced regulation of microRNA expression: Implications for cancer initiation, progression and therapy. </w:t>
      </w:r>
      <w:r w:rsidRPr="000C069C">
        <w:rPr>
          <w:i/>
          <w:iCs/>
          <w:noProof/>
        </w:rPr>
        <w:t>Cancer Lett</w:t>
      </w:r>
      <w:r w:rsidRPr="000C069C">
        <w:rPr>
          <w:noProof/>
        </w:rPr>
        <w:t>. 2018;421:152-160. doi:10.1016/j.canlet.2018.02.029</w:t>
      </w:r>
    </w:p>
    <w:p w14:paraId="2334863D"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87. </w:t>
      </w:r>
      <w:r w:rsidRPr="000C069C">
        <w:rPr>
          <w:noProof/>
        </w:rPr>
        <w:tab/>
        <w:t xml:space="preserve">Gambari R, Brognara E, Spandidos DA, Fabbri E. Targeting oncomiRNAs and mimicking tumor suppressor miRNAs: Ew trends in the development of miRNA therapeutic strategies in oncology (Review). </w:t>
      </w:r>
      <w:r w:rsidRPr="000C069C">
        <w:rPr>
          <w:i/>
          <w:iCs/>
          <w:noProof/>
        </w:rPr>
        <w:t>Int J Oncol</w:t>
      </w:r>
      <w:r w:rsidRPr="000C069C">
        <w:rPr>
          <w:noProof/>
        </w:rPr>
        <w:t>. 2016;49(1):5-32. doi:10.3892/ijo.2016.3503</w:t>
      </w:r>
    </w:p>
    <w:p w14:paraId="310E9A9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88. </w:t>
      </w:r>
      <w:r w:rsidRPr="000C069C">
        <w:rPr>
          <w:noProof/>
        </w:rPr>
        <w:tab/>
        <w:t xml:space="preserve">Petrovic N, Ergün S, Isenovic ER. Levels of MicroRNA Heterogeneity in Cancer Biology. </w:t>
      </w:r>
      <w:r w:rsidRPr="000C069C">
        <w:rPr>
          <w:i/>
          <w:iCs/>
          <w:noProof/>
        </w:rPr>
        <w:t>Mol Diagnosis Ther</w:t>
      </w:r>
      <w:r w:rsidRPr="000C069C">
        <w:rPr>
          <w:noProof/>
        </w:rPr>
        <w:t>. 2017;21(5):511-523. doi:10.1007/s40291-017-0285-9</w:t>
      </w:r>
    </w:p>
    <w:p w14:paraId="184E6BA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89. </w:t>
      </w:r>
      <w:r w:rsidRPr="000C069C">
        <w:rPr>
          <w:noProof/>
        </w:rPr>
        <w:tab/>
        <w:t xml:space="preserve">Croce CM. Causes and consequences of microRNA dysregulation in cancer. </w:t>
      </w:r>
      <w:r w:rsidRPr="000C069C">
        <w:rPr>
          <w:i/>
          <w:iCs/>
          <w:noProof/>
        </w:rPr>
        <w:t>Nat Rev Genet</w:t>
      </w:r>
      <w:r w:rsidRPr="000C069C">
        <w:rPr>
          <w:noProof/>
        </w:rPr>
        <w:t>. 2009;10(10):704-714. doi:10.1038/nrg2634</w:t>
      </w:r>
    </w:p>
    <w:p w14:paraId="1385A23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90. </w:t>
      </w:r>
      <w:r w:rsidRPr="000C069C">
        <w:rPr>
          <w:noProof/>
        </w:rPr>
        <w:tab/>
        <w:t xml:space="preserve">Lin S, Gregory RI. MicroRNA biogenesis pathways in cancer. </w:t>
      </w:r>
      <w:r w:rsidRPr="000C069C">
        <w:rPr>
          <w:i/>
          <w:iCs/>
          <w:noProof/>
        </w:rPr>
        <w:t>Nat Rev Cancer</w:t>
      </w:r>
      <w:r w:rsidRPr="000C069C">
        <w:rPr>
          <w:noProof/>
        </w:rPr>
        <w:t>. 2015;15(6):321-333. doi:10.1038/nrc3932</w:t>
      </w:r>
    </w:p>
    <w:p w14:paraId="08ADE890"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91. </w:t>
      </w:r>
      <w:r w:rsidRPr="000C069C">
        <w:rPr>
          <w:noProof/>
        </w:rPr>
        <w:tab/>
        <w:t xml:space="preserve">Lagos-Quintana M, Rauhut R, Yalcin A, Meyer J, Lendeckel W, Tuschl T. Identification of tissue-specific MicroRNAs from mouse. </w:t>
      </w:r>
      <w:r w:rsidRPr="000C069C">
        <w:rPr>
          <w:i/>
          <w:iCs/>
          <w:noProof/>
        </w:rPr>
        <w:t>Curr Biol</w:t>
      </w:r>
      <w:r w:rsidRPr="000C069C">
        <w:rPr>
          <w:noProof/>
        </w:rPr>
        <w:t>. 2002;12(9):735-739. doi:10.1016/S0960-9822(02)00809-6</w:t>
      </w:r>
    </w:p>
    <w:p w14:paraId="12BF8D1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92. </w:t>
      </w:r>
      <w:r w:rsidRPr="000C069C">
        <w:rPr>
          <w:noProof/>
        </w:rPr>
        <w:tab/>
        <w:t xml:space="preserve">Chen X, Liang H, Zhang J, Zen K, Zhang CY. Secreted microRNAs: A new form of intercellular communication. </w:t>
      </w:r>
      <w:r w:rsidRPr="000C069C">
        <w:rPr>
          <w:i/>
          <w:iCs/>
          <w:noProof/>
        </w:rPr>
        <w:t>Trends Cell Biol</w:t>
      </w:r>
      <w:r w:rsidRPr="000C069C">
        <w:rPr>
          <w:noProof/>
        </w:rPr>
        <w:t>. 2012;22(3):125-132. doi:10.1016/j.tcb.2011.12.001</w:t>
      </w:r>
    </w:p>
    <w:p w14:paraId="59948EB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93. </w:t>
      </w:r>
      <w:r w:rsidRPr="000C069C">
        <w:rPr>
          <w:noProof/>
        </w:rPr>
        <w:tab/>
        <w:t xml:space="preserve">Mitchell PS, Parkin RK, Kroh EM, et al. Circulating microRNAs as stable blood-based markers for cancer detection. </w:t>
      </w:r>
      <w:r w:rsidRPr="000C069C">
        <w:rPr>
          <w:i/>
          <w:iCs/>
          <w:noProof/>
        </w:rPr>
        <w:t>Proc Natl Acad Sci U S A</w:t>
      </w:r>
      <w:r w:rsidRPr="000C069C">
        <w:rPr>
          <w:noProof/>
        </w:rPr>
        <w:t>. 2008;105(30):10513-10518. doi:10.1073/pnas.0804549105</w:t>
      </w:r>
    </w:p>
    <w:p w14:paraId="3333B06A"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94. </w:t>
      </w:r>
      <w:r w:rsidRPr="000C069C">
        <w:rPr>
          <w:noProof/>
        </w:rPr>
        <w:tab/>
        <w:t xml:space="preserve">Jung M, Schaefer A, Steiner I, et al. Robust MicroRNA stability in degraded RNA preparations from human tissue and cell samples. </w:t>
      </w:r>
      <w:r w:rsidRPr="000C069C">
        <w:rPr>
          <w:i/>
          <w:iCs/>
          <w:noProof/>
        </w:rPr>
        <w:t>Clin Chem</w:t>
      </w:r>
      <w:r w:rsidRPr="000C069C">
        <w:rPr>
          <w:noProof/>
        </w:rPr>
        <w:t>. 2010;56(6):998-1006. doi:10.1373/clinchem.2009.141580</w:t>
      </w:r>
    </w:p>
    <w:p w14:paraId="6103933F"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95. </w:t>
      </w:r>
      <w:r w:rsidRPr="000C069C">
        <w:rPr>
          <w:noProof/>
        </w:rPr>
        <w:tab/>
        <w:t xml:space="preserve">Dijkstra JR, Mekenkamp LJM, Teerenstra S, De Krijger I, Nagtegaal ID. MicroRNA expression in formalin-fixed paraffin embedded: Tissue using real time quantitative PCR: The strengths and pitfalls. </w:t>
      </w:r>
      <w:r w:rsidRPr="000C069C">
        <w:rPr>
          <w:i/>
          <w:iCs/>
          <w:noProof/>
        </w:rPr>
        <w:t>J Cell Mol Med</w:t>
      </w:r>
      <w:r w:rsidRPr="000C069C">
        <w:rPr>
          <w:noProof/>
        </w:rPr>
        <w:t>. 2012;16(4):683-690. doi:10.1111/j.1582-4934.2011.01467.x</w:t>
      </w:r>
    </w:p>
    <w:p w14:paraId="6134AF5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96. </w:t>
      </w:r>
      <w:r w:rsidRPr="000C069C">
        <w:rPr>
          <w:noProof/>
        </w:rPr>
        <w:tab/>
        <w:t xml:space="preserve">Mall C, Rocke DM, Durbin-Johnson B, Weiss RH. Stability of miRNA in human urine supports its biomarker potential. </w:t>
      </w:r>
      <w:r w:rsidRPr="000C069C">
        <w:rPr>
          <w:i/>
          <w:iCs/>
          <w:noProof/>
        </w:rPr>
        <w:t>Biomark Med</w:t>
      </w:r>
      <w:r w:rsidRPr="000C069C">
        <w:rPr>
          <w:noProof/>
        </w:rPr>
        <w:t>. 2013;7(4):623-631. doi:10.2217/bmm.13.44</w:t>
      </w:r>
    </w:p>
    <w:p w14:paraId="3D370262"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97. </w:t>
      </w:r>
      <w:r w:rsidRPr="000C069C">
        <w:rPr>
          <w:noProof/>
        </w:rPr>
        <w:tab/>
        <w:t xml:space="preserve">Filella X, Foj L. MiRNAs as novel biomarkers in the management of prostate cancer. </w:t>
      </w:r>
      <w:r w:rsidRPr="000C069C">
        <w:rPr>
          <w:i/>
          <w:iCs/>
          <w:noProof/>
        </w:rPr>
        <w:t>Clin Chem Lab Med</w:t>
      </w:r>
      <w:r w:rsidRPr="000C069C">
        <w:rPr>
          <w:noProof/>
        </w:rPr>
        <w:t>. 2017;55(5):715-736. doi:10.1515/cclm-2015-1073</w:t>
      </w:r>
    </w:p>
    <w:p w14:paraId="02632D6A"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98. </w:t>
      </w:r>
      <w:r w:rsidRPr="000C069C">
        <w:rPr>
          <w:noProof/>
        </w:rPr>
        <w:tab/>
        <w:t xml:space="preserve">Volinia S, Calin GA, Liu CG, et al. A microRNA expression signature of human solid tumors defines cancer gene targets. </w:t>
      </w:r>
      <w:r w:rsidRPr="000C069C">
        <w:rPr>
          <w:i/>
          <w:iCs/>
          <w:noProof/>
        </w:rPr>
        <w:t>Proc Natl Acad Sci U S A</w:t>
      </w:r>
      <w:r w:rsidRPr="000C069C">
        <w:rPr>
          <w:noProof/>
        </w:rPr>
        <w:t>. 2006;103(7):2257-2261. doi:10.1073/pnas.0510565103</w:t>
      </w:r>
    </w:p>
    <w:p w14:paraId="31D1FDBF"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99. </w:t>
      </w:r>
      <w:r w:rsidRPr="000C069C">
        <w:rPr>
          <w:noProof/>
        </w:rPr>
        <w:tab/>
        <w:t xml:space="preserve">Porkka KP, Pfeiffer MJ, Waltering KK, Vessella RL, Tammela TLJ, Visakorpi T. MicroRNA expression profiling in prostate cancer. </w:t>
      </w:r>
      <w:r w:rsidRPr="000C069C">
        <w:rPr>
          <w:i/>
          <w:iCs/>
          <w:noProof/>
        </w:rPr>
        <w:t>Cancer Res</w:t>
      </w:r>
      <w:r w:rsidRPr="000C069C">
        <w:rPr>
          <w:noProof/>
        </w:rPr>
        <w:t>. 2007;67(13):6130-6135. doi:10.1158/0008-5472.CAN-07-0533</w:t>
      </w:r>
    </w:p>
    <w:p w14:paraId="600051B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100. </w:t>
      </w:r>
      <w:r w:rsidRPr="000C069C">
        <w:rPr>
          <w:noProof/>
        </w:rPr>
        <w:tab/>
        <w:t xml:space="preserve">Srivastava A, Goldberger H, Dimtchev A, et al. MicroRNA Profiling in Prostate Cancer - The Diagnostic Potential of Urinary miR-205 and miR-214. </w:t>
      </w:r>
      <w:r w:rsidRPr="000C069C">
        <w:rPr>
          <w:i/>
          <w:iCs/>
          <w:noProof/>
        </w:rPr>
        <w:t>PLoS One</w:t>
      </w:r>
      <w:r w:rsidRPr="000C069C">
        <w:rPr>
          <w:noProof/>
        </w:rPr>
        <w:t>. 2013;8(10). doi:10.1371/journal.pone.0076994</w:t>
      </w:r>
    </w:p>
    <w:p w14:paraId="074CD033"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lastRenderedPageBreak/>
        <w:t xml:space="preserve">101. </w:t>
      </w:r>
      <w:r w:rsidRPr="000C069C">
        <w:rPr>
          <w:noProof/>
        </w:rPr>
        <w:tab/>
        <w:t xml:space="preserve">Bidarra D, Constâncio V, Barros-Silva D, et al. Circulating MicroRNAs as Biomarkers for Prostate Cancer Detection and Metastasis Development Prediction. </w:t>
      </w:r>
      <w:r w:rsidRPr="000C069C">
        <w:rPr>
          <w:i/>
          <w:iCs/>
          <w:noProof/>
        </w:rPr>
        <w:t>Front Oncol</w:t>
      </w:r>
      <w:r w:rsidRPr="000C069C">
        <w:rPr>
          <w:noProof/>
        </w:rPr>
        <w:t>. 2019;9(September):1-8. doi:10.3389/fonc.2019.00900</w:t>
      </w:r>
    </w:p>
    <w:p w14:paraId="28DBF6C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102. </w:t>
      </w:r>
      <w:r w:rsidRPr="000C069C">
        <w:rPr>
          <w:noProof/>
        </w:rPr>
        <w:tab/>
        <w:t xml:space="preserve">Kristensen H, Thomsen AR, Haldrup C, et al. Novel diagnostic and prognostic classifiers for prostate cancer identified by genome-wide microRNA profiling. </w:t>
      </w:r>
      <w:r w:rsidRPr="000C069C">
        <w:rPr>
          <w:i/>
          <w:iCs/>
          <w:noProof/>
        </w:rPr>
        <w:t>Oncotarget</w:t>
      </w:r>
      <w:r w:rsidRPr="000C069C">
        <w:rPr>
          <w:noProof/>
        </w:rPr>
        <w:t>. 2016;7(21):30760-30771. doi:10.18632/oncotarget.8953</w:t>
      </w:r>
    </w:p>
    <w:p w14:paraId="19968690"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103. </w:t>
      </w:r>
      <w:r w:rsidRPr="000C069C">
        <w:rPr>
          <w:noProof/>
        </w:rPr>
        <w:tab/>
        <w:t xml:space="preserve">Fendler A, Jung M, Stephan C, et al. miRNAs can predict prostate cancer biochemical relapse and are involved in tumor progression. </w:t>
      </w:r>
      <w:r w:rsidRPr="000C069C">
        <w:rPr>
          <w:i/>
          <w:iCs/>
          <w:noProof/>
        </w:rPr>
        <w:t>Int J Oncol</w:t>
      </w:r>
      <w:r w:rsidRPr="000C069C">
        <w:rPr>
          <w:noProof/>
        </w:rPr>
        <w:t>. 2011;39(5):1183-1192. doi:10.3892/ijo.2011.1128</w:t>
      </w:r>
    </w:p>
    <w:p w14:paraId="3EB4EF1F"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104. </w:t>
      </w:r>
      <w:r w:rsidRPr="000C069C">
        <w:rPr>
          <w:noProof/>
        </w:rPr>
        <w:tab/>
        <w:t xml:space="preserve">Moltzahn F, Olshen AB, Baehner L, et al. Microfluidic-based multiplex qRT-PCR identifies diagnostic and prognostic microRNA signatures in the sera of prostate cancer patients. </w:t>
      </w:r>
      <w:r w:rsidRPr="000C069C">
        <w:rPr>
          <w:i/>
          <w:iCs/>
          <w:noProof/>
        </w:rPr>
        <w:t>Cancer Res</w:t>
      </w:r>
      <w:r w:rsidRPr="000C069C">
        <w:rPr>
          <w:noProof/>
        </w:rPr>
        <w:t>. 2011;71(2):550-560. doi:10.1158/0008-5472.CAN-10-1229</w:t>
      </w:r>
    </w:p>
    <w:p w14:paraId="3E464391"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105. </w:t>
      </w:r>
      <w:r w:rsidRPr="000C069C">
        <w:rPr>
          <w:noProof/>
        </w:rPr>
        <w:tab/>
        <w:t xml:space="preserve">Yun SJ, Jeong P, Kim WT, et al. Cell-free microRNAs in urine as diagnostic and prognostic biomarkers of bladder cancer. </w:t>
      </w:r>
      <w:r w:rsidRPr="000C069C">
        <w:rPr>
          <w:i/>
          <w:iCs/>
          <w:noProof/>
        </w:rPr>
        <w:t>Int J Oncol</w:t>
      </w:r>
      <w:r w:rsidRPr="000C069C">
        <w:rPr>
          <w:noProof/>
        </w:rPr>
        <w:t>. 2012;41(5):1871-1878. doi:10.3892/ijo.2012.1622</w:t>
      </w:r>
    </w:p>
    <w:p w14:paraId="289ADA3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106. </w:t>
      </w:r>
      <w:r w:rsidRPr="000C069C">
        <w:rPr>
          <w:noProof/>
        </w:rPr>
        <w:tab/>
        <w:t xml:space="preserve">Mlcochova H, Hezova R, Stanik M, Slaby O. Urine microRNAs as potential noninvasive biomarkers in urologic cancers. </w:t>
      </w:r>
      <w:r w:rsidRPr="000C069C">
        <w:rPr>
          <w:i/>
          <w:iCs/>
          <w:noProof/>
        </w:rPr>
        <w:t>Urol Oncol Semin Orig Investig</w:t>
      </w:r>
      <w:r w:rsidRPr="000C069C">
        <w:rPr>
          <w:noProof/>
        </w:rPr>
        <w:t>. 2014;32(1):41.e1-41.e9. doi:10.1016/j.urolonc.2013.04.011</w:t>
      </w:r>
    </w:p>
    <w:p w14:paraId="57B1F680"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107. </w:t>
      </w:r>
      <w:r w:rsidRPr="000C069C">
        <w:rPr>
          <w:noProof/>
        </w:rPr>
        <w:tab/>
        <w:t xml:space="preserve">Bryant RJ, Pawlowski T, Catto JWF, et al. Changes in circulating microRNA levels associated with prostate cancer. </w:t>
      </w:r>
      <w:r w:rsidRPr="000C069C">
        <w:rPr>
          <w:i/>
          <w:iCs/>
          <w:noProof/>
        </w:rPr>
        <w:t>Br J Cancer</w:t>
      </w:r>
      <w:r w:rsidRPr="000C069C">
        <w:rPr>
          <w:noProof/>
        </w:rPr>
        <w:t>. 2012;106(4):768-774. doi:10.1038/bjc.2011.595</w:t>
      </w:r>
    </w:p>
    <w:p w14:paraId="614A5EC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108. </w:t>
      </w:r>
      <w:r w:rsidRPr="000C069C">
        <w:rPr>
          <w:noProof/>
        </w:rPr>
        <w:tab/>
        <w:t xml:space="preserve">Fredsøe J, Rasmussen AKI, Thomsen AR, et al. Diagnostic and Prognostic MicroRNA Biomarkers for Prostate Cancer in Cell-free Urine. </w:t>
      </w:r>
      <w:r w:rsidRPr="000C069C">
        <w:rPr>
          <w:i/>
          <w:iCs/>
          <w:noProof/>
        </w:rPr>
        <w:t>Eur Urol Focus</w:t>
      </w:r>
      <w:r w:rsidRPr="000C069C">
        <w:rPr>
          <w:noProof/>
        </w:rPr>
        <w:t>. 2018;4(6):825-833. doi:10.1016/j.euf.2017.02.018</w:t>
      </w:r>
    </w:p>
    <w:p w14:paraId="7D22965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109. </w:t>
      </w:r>
      <w:r w:rsidRPr="000C069C">
        <w:rPr>
          <w:noProof/>
        </w:rPr>
        <w:tab/>
        <w:t xml:space="preserve">Korzeniewski N, Tosev G, Pahernik S, Hadaschik B, Hohenfellner M, Duensing S. Identification of cell-free microRNAs in the urine of patients with prostate cancer. </w:t>
      </w:r>
      <w:r w:rsidRPr="000C069C">
        <w:rPr>
          <w:i/>
          <w:iCs/>
          <w:noProof/>
        </w:rPr>
        <w:t>Urol Oncol Semin Orig Investig</w:t>
      </w:r>
      <w:r w:rsidRPr="000C069C">
        <w:rPr>
          <w:noProof/>
        </w:rPr>
        <w:t>. 2015;33(1):16.e17-16.e22. doi:10.1016/j.urolonc.2014.09.015</w:t>
      </w:r>
    </w:p>
    <w:p w14:paraId="32EE5B3A"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110. </w:t>
      </w:r>
      <w:r w:rsidRPr="000C069C">
        <w:rPr>
          <w:noProof/>
        </w:rPr>
        <w:tab/>
        <w:t xml:space="preserve">Cheng HH, Mitchell PS, Kroh EM, et al. Circulating microRNA Profiling Identifies a Subset of Metastatic Prostate Cancer Patients with Evidence of Cancer-Associated Hypoxia. </w:t>
      </w:r>
      <w:r w:rsidRPr="000C069C">
        <w:rPr>
          <w:i/>
          <w:iCs/>
          <w:noProof/>
        </w:rPr>
        <w:t>PLoS One</w:t>
      </w:r>
      <w:r w:rsidRPr="000C069C">
        <w:rPr>
          <w:noProof/>
        </w:rPr>
        <w:t>. 2013;8(7):1-12. doi:10.1371/journal.pone.0069239</w:t>
      </w:r>
    </w:p>
    <w:p w14:paraId="7D2E8ED1"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111. </w:t>
      </w:r>
      <w:r w:rsidRPr="000C069C">
        <w:rPr>
          <w:noProof/>
        </w:rPr>
        <w:tab/>
        <w:t xml:space="preserve">Srivastava A, Goldberger H, Dimtchev A, et al. Circulatory miR-628-5p is downregulated in prostate cancer patients. </w:t>
      </w:r>
      <w:r w:rsidRPr="000C069C">
        <w:rPr>
          <w:i/>
          <w:iCs/>
          <w:noProof/>
        </w:rPr>
        <w:t>Tumor Biol</w:t>
      </w:r>
      <w:r w:rsidRPr="000C069C">
        <w:rPr>
          <w:noProof/>
        </w:rPr>
        <w:t>. 2014;35(5):4867-4873. doi:10.1007/s13277-014-1638-1</w:t>
      </w:r>
    </w:p>
    <w:p w14:paraId="7E29E47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112. </w:t>
      </w:r>
      <w:r w:rsidRPr="000C069C">
        <w:rPr>
          <w:noProof/>
        </w:rPr>
        <w:tab/>
        <w:t xml:space="preserve">Agaoglu FY, Kovancilar M, Dizdar Y, et al. Investigation of miR-21, miR-141, and miR-221 in blood circulation of patients with prostate cancer. </w:t>
      </w:r>
      <w:r w:rsidRPr="000C069C">
        <w:rPr>
          <w:i/>
          <w:iCs/>
          <w:noProof/>
        </w:rPr>
        <w:t>Tumor Biol</w:t>
      </w:r>
      <w:r w:rsidRPr="000C069C">
        <w:rPr>
          <w:noProof/>
        </w:rPr>
        <w:t>. 2011;32(3):583-588. doi:10.1007/s13277-011-0154-9</w:t>
      </w:r>
    </w:p>
    <w:p w14:paraId="282E322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113. </w:t>
      </w:r>
      <w:r w:rsidRPr="000C069C">
        <w:rPr>
          <w:noProof/>
        </w:rPr>
        <w:tab/>
        <w:t xml:space="preserve">Huang W, Kang XL, Cen S, Wang Y, Chen X. High-Level Expression of microRNA-21 in Peripheral Blood Mononuclear Cells Is a Diagnostic and Prognostic Marker in Prostate Cancer. </w:t>
      </w:r>
      <w:r w:rsidRPr="000C069C">
        <w:rPr>
          <w:i/>
          <w:iCs/>
          <w:noProof/>
        </w:rPr>
        <w:t>Genet Test Mol Biomarkers</w:t>
      </w:r>
      <w:r w:rsidRPr="000C069C">
        <w:rPr>
          <w:noProof/>
        </w:rPr>
        <w:t>. 2015;19(9):469-475. doi:10.1089/gtmb.2015.0088</w:t>
      </w:r>
    </w:p>
    <w:p w14:paraId="0F46A6F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114. </w:t>
      </w:r>
      <w:r w:rsidRPr="000C069C">
        <w:rPr>
          <w:noProof/>
        </w:rPr>
        <w:tab/>
        <w:t xml:space="preserve">Wach S, Al-Janabi O, Weigelt K, et al. The combined serum levels of miR-375 and urokinase plasminogen activator receptor are suggested as diagnostic and prognostic biomarkers in prostate cancer. </w:t>
      </w:r>
      <w:r w:rsidRPr="000C069C">
        <w:rPr>
          <w:i/>
          <w:iCs/>
          <w:noProof/>
        </w:rPr>
        <w:t>Int J Cancer</w:t>
      </w:r>
      <w:r w:rsidRPr="000C069C">
        <w:rPr>
          <w:noProof/>
        </w:rPr>
        <w:t>. 2015;137(6):1406-1416. doi:10.1002/ijc.29505</w:t>
      </w:r>
    </w:p>
    <w:p w14:paraId="247FE5F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115. </w:t>
      </w:r>
      <w:r w:rsidRPr="000C069C">
        <w:rPr>
          <w:noProof/>
        </w:rPr>
        <w:tab/>
        <w:t xml:space="preserve">Xu S, Yi XM, Zhou WQ, Cheng W, Ge JP, Zhang ZY. Downregulation of miR-129 in peripheral blood mononuclear cells is a diagnostic and prognostic biomarker in </w:t>
      </w:r>
      <w:r w:rsidRPr="000C069C">
        <w:rPr>
          <w:noProof/>
        </w:rPr>
        <w:lastRenderedPageBreak/>
        <w:t xml:space="preserve">prostate cancer. </w:t>
      </w:r>
      <w:r w:rsidRPr="000C069C">
        <w:rPr>
          <w:i/>
          <w:iCs/>
          <w:noProof/>
        </w:rPr>
        <w:t>Int J Clin Exp Pathol</w:t>
      </w:r>
      <w:r w:rsidRPr="000C069C">
        <w:rPr>
          <w:noProof/>
        </w:rPr>
        <w:t>. 2015;8(11):14335-14344. doi:10.21037/tau.2017.s064</w:t>
      </w:r>
    </w:p>
    <w:p w14:paraId="59A5E9DA"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116. </w:t>
      </w:r>
      <w:r w:rsidRPr="000C069C">
        <w:rPr>
          <w:noProof/>
        </w:rPr>
        <w:tab/>
        <w:t xml:space="preserve">Egidi MG, Guelfi G, Cochetti G, et al. Characterization of Kallireins and microRNAs in Urine Sediment for the Discrimination of Prostate Cancer from Benign Prostatic Hyperplasia. </w:t>
      </w:r>
      <w:r w:rsidRPr="000C069C">
        <w:rPr>
          <w:i/>
          <w:iCs/>
          <w:noProof/>
        </w:rPr>
        <w:t>J Cancer Sci Ther</w:t>
      </w:r>
      <w:r w:rsidRPr="000C069C">
        <w:rPr>
          <w:noProof/>
        </w:rPr>
        <w:t>. 2015;07(04):130-136. doi:10.4172/1948-5956.1000337</w:t>
      </w:r>
    </w:p>
    <w:p w14:paraId="4D094815"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117. </w:t>
      </w:r>
      <w:r w:rsidRPr="000C069C">
        <w:rPr>
          <w:noProof/>
        </w:rPr>
        <w:tab/>
        <w:t xml:space="preserve">Stephan C, Jung M, Rabenhorst S, Kilic E, Jung K. Urinary miR-183 and miR-205 do not surpass PCA3 in urine as predictive markers for prostate biopsy outcome despite their highly dysregulated expression in prostate cancer tissue. </w:t>
      </w:r>
      <w:r w:rsidRPr="000C069C">
        <w:rPr>
          <w:i/>
          <w:iCs/>
          <w:noProof/>
        </w:rPr>
        <w:t>Clin Chem Lab Med</w:t>
      </w:r>
      <w:r w:rsidRPr="000C069C">
        <w:rPr>
          <w:noProof/>
        </w:rPr>
        <w:t>. 2015;53(7):1109-1118. doi:10.1515/cclm-2014-1000</w:t>
      </w:r>
    </w:p>
    <w:p w14:paraId="781F191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118. </w:t>
      </w:r>
      <w:r w:rsidRPr="000C069C">
        <w:rPr>
          <w:noProof/>
        </w:rPr>
        <w:tab/>
        <w:t xml:space="preserve">Samsonov R, Shtam T, Burdakov V, et al. Lectin-induced agglutination method of urinary exosomes isolation followed by mi-RNA analysis: Application for prostate cancer diagnostic. </w:t>
      </w:r>
      <w:r w:rsidRPr="000C069C">
        <w:rPr>
          <w:i/>
          <w:iCs/>
          <w:noProof/>
        </w:rPr>
        <w:t>Prostate</w:t>
      </w:r>
      <w:r w:rsidRPr="000C069C">
        <w:rPr>
          <w:noProof/>
        </w:rPr>
        <w:t>. 2016;76(1):68-79. doi:10.1002/pros.23101</w:t>
      </w:r>
    </w:p>
    <w:p w14:paraId="5C12111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119. </w:t>
      </w:r>
      <w:r w:rsidRPr="000C069C">
        <w:rPr>
          <w:noProof/>
        </w:rPr>
        <w:tab/>
        <w:t xml:space="preserve">Yun SJ, Jeong P, Kang HW, et al. Urinary MicroRNAs of prostate cancer: Virus-encoded hsv1-miR-H18and hsv2-miR-H9-5p could be valuable diagnostic markers. </w:t>
      </w:r>
      <w:r w:rsidRPr="000C069C">
        <w:rPr>
          <w:i/>
          <w:iCs/>
          <w:noProof/>
        </w:rPr>
        <w:t>Int Neurourol J</w:t>
      </w:r>
      <w:r w:rsidRPr="000C069C">
        <w:rPr>
          <w:noProof/>
        </w:rPr>
        <w:t>. 2015;19(2):74-84. doi:10.5213/inj.2015.19.2.74</w:t>
      </w:r>
    </w:p>
    <w:p w14:paraId="3C26B73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120. </w:t>
      </w:r>
      <w:r w:rsidRPr="000C069C">
        <w:rPr>
          <w:noProof/>
        </w:rPr>
        <w:tab/>
        <w:t xml:space="preserve">Sapre N, Hong MKH, Macintyre G, et al. Curated microRNAs in urine and blood fail to validate as predictive biomarkers for high-risk prostate cancer. </w:t>
      </w:r>
      <w:r w:rsidRPr="000C069C">
        <w:rPr>
          <w:i/>
          <w:iCs/>
          <w:noProof/>
        </w:rPr>
        <w:t>PLoS One</w:t>
      </w:r>
      <w:r w:rsidRPr="000C069C">
        <w:rPr>
          <w:noProof/>
        </w:rPr>
        <w:t>. 2014;9(4). doi:10.1371/journal.pone.0091729</w:t>
      </w:r>
    </w:p>
    <w:p w14:paraId="345059C1"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121. </w:t>
      </w:r>
      <w:r w:rsidRPr="000C069C">
        <w:rPr>
          <w:noProof/>
        </w:rPr>
        <w:tab/>
        <w:t xml:space="preserve">Mahn R, Heukamp LC, Rogenhofer S, Von Ruecker A, Müller SC, Ellinger J. Circulating microRNAs (miRNA) in serum of patients with prostate cancer. </w:t>
      </w:r>
      <w:r w:rsidRPr="000C069C">
        <w:rPr>
          <w:i/>
          <w:iCs/>
          <w:noProof/>
        </w:rPr>
        <w:t>Urology</w:t>
      </w:r>
      <w:r w:rsidRPr="000C069C">
        <w:rPr>
          <w:noProof/>
        </w:rPr>
        <w:t>. 2011;77(5):1265.e9-1265.e16. doi:10.1016/j.urology.2011.01.020</w:t>
      </w:r>
    </w:p>
    <w:p w14:paraId="09901C9B"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122. </w:t>
      </w:r>
      <w:r w:rsidRPr="000C069C">
        <w:rPr>
          <w:noProof/>
        </w:rPr>
        <w:tab/>
        <w:t xml:space="preserve">Kotb S, Mosharafa A, Essawi M, Hassan H, Meshref A, Morsy A. Circulating miRNAs 21 and 221 as biomarkers for early diagnosis of prostate cancer. </w:t>
      </w:r>
      <w:r w:rsidRPr="000C069C">
        <w:rPr>
          <w:i/>
          <w:iCs/>
          <w:noProof/>
        </w:rPr>
        <w:t>Tumor Biol</w:t>
      </w:r>
      <w:r w:rsidRPr="000C069C">
        <w:rPr>
          <w:noProof/>
        </w:rPr>
        <w:t>. 2014;35(12):12613-12617. doi:10.1007/s13277-014-2584-7</w:t>
      </w:r>
    </w:p>
    <w:p w14:paraId="78A61177"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123. </w:t>
      </w:r>
      <w:r w:rsidRPr="000C069C">
        <w:rPr>
          <w:noProof/>
        </w:rPr>
        <w:tab/>
        <w:t xml:space="preserve">Kachakova D, Mitkova A, Popov E, et al. Combinations of serum prostate-specific antigen and plasma expression levels of let-7c, miR-30c, miR-141, and miR-375 as potential better diagnostic biomarkers for prostate cancer. </w:t>
      </w:r>
      <w:r w:rsidRPr="000C069C">
        <w:rPr>
          <w:i/>
          <w:iCs/>
          <w:noProof/>
        </w:rPr>
        <w:t>DNA Cell Biol</w:t>
      </w:r>
      <w:r w:rsidRPr="000C069C">
        <w:rPr>
          <w:noProof/>
        </w:rPr>
        <w:t>. 2015;34(3):189-200. doi:10.1089/dna.2014.2663</w:t>
      </w:r>
    </w:p>
    <w:p w14:paraId="15F8F40D"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124. </w:t>
      </w:r>
      <w:r w:rsidRPr="000C069C">
        <w:rPr>
          <w:noProof/>
        </w:rPr>
        <w:tab/>
        <w:t xml:space="preserve">Haj-Ahmad TA, Abdalla MAK, Haj-Ahmad Y. Potential urinary miRNA biomarker candidates for the accurate detection of prostate cancer among benign prostatic Hyperplasia patients. </w:t>
      </w:r>
      <w:r w:rsidRPr="000C069C">
        <w:rPr>
          <w:i/>
          <w:iCs/>
          <w:noProof/>
        </w:rPr>
        <w:t>J Cancer</w:t>
      </w:r>
      <w:r w:rsidRPr="000C069C">
        <w:rPr>
          <w:noProof/>
        </w:rPr>
        <w:t>. 2014;5(3):182-191. doi:10.7150/jca.6799</w:t>
      </w:r>
    </w:p>
    <w:p w14:paraId="0AB746E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125. </w:t>
      </w:r>
      <w:r w:rsidRPr="000C069C">
        <w:rPr>
          <w:noProof/>
        </w:rPr>
        <w:tab/>
        <w:t xml:space="preserve">Li Z, Ma YY, Wang J, et al. Exosomal microRNA-141 is upregulated in the serum of prostate cancer patients. </w:t>
      </w:r>
      <w:r w:rsidRPr="000C069C">
        <w:rPr>
          <w:i/>
          <w:iCs/>
          <w:noProof/>
        </w:rPr>
        <w:t>Onco Targets Ther</w:t>
      </w:r>
      <w:r w:rsidRPr="000C069C">
        <w:rPr>
          <w:noProof/>
        </w:rPr>
        <w:t>. 2015;9:139-148. doi:10.2147/OTT.S95565</w:t>
      </w:r>
    </w:p>
    <w:p w14:paraId="3427DDE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126. </w:t>
      </w:r>
      <w:r w:rsidRPr="000C069C">
        <w:rPr>
          <w:noProof/>
        </w:rPr>
        <w:tab/>
        <w:t xml:space="preserve">Hao Y, Zhao Y, Zhao X, et al. Improvement of prostate cancer detection by integrating the PSA test with miRNA expression profiling. </w:t>
      </w:r>
      <w:r w:rsidRPr="000C069C">
        <w:rPr>
          <w:i/>
          <w:iCs/>
          <w:noProof/>
        </w:rPr>
        <w:t>Cancer Invest</w:t>
      </w:r>
      <w:r w:rsidRPr="000C069C">
        <w:rPr>
          <w:noProof/>
        </w:rPr>
        <w:t>. 2011;29(4):318-324. doi:10.3109/07357907.2011.554477</w:t>
      </w:r>
    </w:p>
    <w:p w14:paraId="787842B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127. </w:t>
      </w:r>
      <w:r w:rsidRPr="000C069C">
        <w:rPr>
          <w:noProof/>
        </w:rPr>
        <w:tab/>
        <w:t xml:space="preserve">Li T, Li RS, Li YH, et al. MiR-21 as an independent biochemical recurrence predictor and potential therapeutic target for prostate cancer. </w:t>
      </w:r>
      <w:r w:rsidRPr="000C069C">
        <w:rPr>
          <w:i/>
          <w:iCs/>
          <w:noProof/>
        </w:rPr>
        <w:t>J Urol</w:t>
      </w:r>
      <w:r w:rsidRPr="000C069C">
        <w:rPr>
          <w:noProof/>
        </w:rPr>
        <w:t>. 2012;187(4):1466-1472. doi:10.1016/j.juro.2011.11.082</w:t>
      </w:r>
    </w:p>
    <w:p w14:paraId="38A4BDAD"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128. </w:t>
      </w:r>
      <w:r w:rsidRPr="000C069C">
        <w:rPr>
          <w:noProof/>
        </w:rPr>
        <w:tab/>
        <w:t xml:space="preserve">Hart M, Nolte E, Wach S, et al. Comparative microrna profiling of prostate carcinomas with increasing tumor stage by deep sequencing. </w:t>
      </w:r>
      <w:r w:rsidRPr="000C069C">
        <w:rPr>
          <w:i/>
          <w:iCs/>
          <w:noProof/>
        </w:rPr>
        <w:t>Mol Cancer Res</w:t>
      </w:r>
      <w:r w:rsidRPr="000C069C">
        <w:rPr>
          <w:noProof/>
        </w:rPr>
        <w:t>. 2014;12(2):250-263. doi:10.1158/1541-7786.MCR-13-0230</w:t>
      </w:r>
    </w:p>
    <w:p w14:paraId="230D631A"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129. </w:t>
      </w:r>
      <w:r w:rsidRPr="000C069C">
        <w:rPr>
          <w:noProof/>
        </w:rPr>
        <w:tab/>
        <w:t xml:space="preserve">Stuopelyte K, Daniunaite K, Bakavicius A, Lazutka JR, Jankevicius F, Jarmalaite S. The utility of urine-circulating miRNAs for detection of prostate cancer. </w:t>
      </w:r>
      <w:r w:rsidRPr="000C069C">
        <w:rPr>
          <w:i/>
          <w:iCs/>
          <w:noProof/>
        </w:rPr>
        <w:t>Br J Cancer</w:t>
      </w:r>
      <w:r w:rsidRPr="000C069C">
        <w:rPr>
          <w:noProof/>
        </w:rPr>
        <w:t>. 2016;115(6):707-715. doi:10.1038/bjc.2016.233</w:t>
      </w:r>
    </w:p>
    <w:p w14:paraId="539F9A5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130. </w:t>
      </w:r>
      <w:r w:rsidRPr="000C069C">
        <w:rPr>
          <w:noProof/>
        </w:rPr>
        <w:tab/>
        <w:t xml:space="preserve">Larne O, Martens-Uzunova E, Hagman Z, et al. MiQ - A novel microRNA based </w:t>
      </w:r>
      <w:r w:rsidRPr="000C069C">
        <w:rPr>
          <w:noProof/>
        </w:rPr>
        <w:lastRenderedPageBreak/>
        <w:t xml:space="preserve">diagnostic and prognostic tool for prostate cancer. </w:t>
      </w:r>
      <w:r w:rsidRPr="000C069C">
        <w:rPr>
          <w:i/>
          <w:iCs/>
          <w:noProof/>
        </w:rPr>
        <w:t>Int J Cancer</w:t>
      </w:r>
      <w:r w:rsidRPr="000C069C">
        <w:rPr>
          <w:noProof/>
        </w:rPr>
        <w:t>. 2013;132(12):2867-2875. doi:10.1002/ijc.27973</w:t>
      </w:r>
    </w:p>
    <w:p w14:paraId="2CF0B06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131. </w:t>
      </w:r>
      <w:r w:rsidRPr="000C069C">
        <w:rPr>
          <w:noProof/>
        </w:rPr>
        <w:tab/>
        <w:t xml:space="preserve">Huang X, Yuan T, Liang M, et al. Exosomal miR-1290 and miR-375 as prognostic markers in castration-resistant prostate cancer. </w:t>
      </w:r>
      <w:r w:rsidRPr="000C069C">
        <w:rPr>
          <w:i/>
          <w:iCs/>
          <w:noProof/>
        </w:rPr>
        <w:t>Eur Urol</w:t>
      </w:r>
      <w:r w:rsidRPr="000C069C">
        <w:rPr>
          <w:noProof/>
        </w:rPr>
        <w:t>. 2015;67(1):33-41. doi:10.1016/j.eururo.2014.07.035</w:t>
      </w:r>
    </w:p>
    <w:p w14:paraId="28AD47FA"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132. </w:t>
      </w:r>
      <w:r w:rsidRPr="000C069C">
        <w:rPr>
          <w:noProof/>
        </w:rPr>
        <w:tab/>
        <w:t xml:space="preserve">Chen R, Sheng L, Zhang HJ, Ji M, Qian WQ. miR-15b-5p facilitates the tumorigenicity by targeting RECK and predicts tumour recurrence in prostate cancer. </w:t>
      </w:r>
      <w:r w:rsidRPr="000C069C">
        <w:rPr>
          <w:i/>
          <w:iCs/>
          <w:noProof/>
        </w:rPr>
        <w:t>J Cell Mol Med</w:t>
      </w:r>
      <w:r w:rsidRPr="000C069C">
        <w:rPr>
          <w:noProof/>
        </w:rPr>
        <w:t>. 2018;22(3):1855-1863. doi:10.1111/jcmm.13469</w:t>
      </w:r>
    </w:p>
    <w:p w14:paraId="1AAEF76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133. </w:t>
      </w:r>
      <w:r w:rsidRPr="000C069C">
        <w:rPr>
          <w:noProof/>
        </w:rPr>
        <w:tab/>
        <w:t xml:space="preserve">Sikand K, Slane SD, Shukla GC. Intrinsic expression of host genes and intronic miRNAs in prostate carcinoma cells. </w:t>
      </w:r>
      <w:r w:rsidRPr="000C069C">
        <w:rPr>
          <w:i/>
          <w:iCs/>
          <w:noProof/>
        </w:rPr>
        <w:t>Cancer Cell Int</w:t>
      </w:r>
      <w:r w:rsidRPr="000C069C">
        <w:rPr>
          <w:noProof/>
        </w:rPr>
        <w:t>. 2009;9:21. doi:10.1186/1475-2867-9-21</w:t>
      </w:r>
    </w:p>
    <w:p w14:paraId="4555B2A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134. </w:t>
      </w:r>
      <w:r w:rsidRPr="000C069C">
        <w:rPr>
          <w:noProof/>
        </w:rPr>
        <w:tab/>
        <w:t xml:space="preserve">Poliseno L, Salmena L, Riccardi L, et al. Identification of the miR-106b-25 microRNA cluster as a protooncogenic PTEN. </w:t>
      </w:r>
      <w:r w:rsidRPr="000C069C">
        <w:rPr>
          <w:i/>
          <w:iCs/>
          <w:noProof/>
        </w:rPr>
        <w:t>Sci Signal</w:t>
      </w:r>
      <w:r w:rsidRPr="000C069C">
        <w:rPr>
          <w:noProof/>
        </w:rPr>
        <w:t>. 2010;3(117):1-27. doi:10.1126/scisignal.2000594.Identification</w:t>
      </w:r>
    </w:p>
    <w:p w14:paraId="03B3D67D"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135. </w:t>
      </w:r>
      <w:r w:rsidRPr="000C069C">
        <w:rPr>
          <w:noProof/>
        </w:rPr>
        <w:tab/>
        <w:t xml:space="preserve">Ambs S, Prueitt RL, Yi M, et al. Genomic profiling of microRNA and messenger RNA reveals deregulated microRNA expression in prostate cancer. </w:t>
      </w:r>
      <w:r w:rsidRPr="000C069C">
        <w:rPr>
          <w:i/>
          <w:iCs/>
          <w:noProof/>
        </w:rPr>
        <w:t>Cancer Res</w:t>
      </w:r>
      <w:r w:rsidRPr="000C069C">
        <w:rPr>
          <w:noProof/>
        </w:rPr>
        <w:t>. 2008;68(15):6162-6170. doi:10.1158/0008-5472.CAN-08-0144</w:t>
      </w:r>
    </w:p>
    <w:p w14:paraId="25382BC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136. </w:t>
      </w:r>
      <w:r w:rsidRPr="000C069C">
        <w:rPr>
          <w:noProof/>
        </w:rPr>
        <w:tab/>
        <w:t xml:space="preserve">Jin W, Fei X, Wang X, Chen F, Song Y. Circulating miRNAs as Biomarkers for Prostate Cancer Diagnosis in Subjects with Benign Prostatic Hyperplasia. </w:t>
      </w:r>
      <w:r w:rsidRPr="000C069C">
        <w:rPr>
          <w:i/>
          <w:iCs/>
          <w:noProof/>
        </w:rPr>
        <w:t>J Immunol Res</w:t>
      </w:r>
      <w:r w:rsidRPr="000C069C">
        <w:rPr>
          <w:noProof/>
        </w:rPr>
        <w:t>. 2020;2020. doi:10.1155/2020/5873056</w:t>
      </w:r>
    </w:p>
    <w:p w14:paraId="76F3B413"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137. </w:t>
      </w:r>
      <w:r w:rsidRPr="000C069C">
        <w:rPr>
          <w:noProof/>
        </w:rPr>
        <w:tab/>
        <w:t xml:space="preserve">Ge J, Mao L, Xu W, et al. miR-103a-3p Suppresses Cell Proliferation and Invasion by Targeting Tumor Protein D52 in Prostate Cancer. </w:t>
      </w:r>
      <w:r w:rsidRPr="000C069C">
        <w:rPr>
          <w:i/>
          <w:iCs/>
          <w:noProof/>
        </w:rPr>
        <w:t>J Investig Surg</w:t>
      </w:r>
      <w:r w:rsidRPr="000C069C">
        <w:rPr>
          <w:noProof/>
        </w:rPr>
        <w:t>. 2020;0(0):1-9. doi:10.1080/08941939.2020.1738602</w:t>
      </w:r>
    </w:p>
    <w:p w14:paraId="7E502DB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138. </w:t>
      </w:r>
      <w:r w:rsidRPr="000C069C">
        <w:rPr>
          <w:noProof/>
        </w:rPr>
        <w:tab/>
        <w:t xml:space="preserve">Mello-Grand M, Gregnanin I, Sacchetto L, et al. Circulating microRNAs combined with PSA for accurate and non-invasive prostate cancer detection. </w:t>
      </w:r>
      <w:r w:rsidRPr="000C069C">
        <w:rPr>
          <w:i/>
          <w:iCs/>
          <w:noProof/>
        </w:rPr>
        <w:t>Carcinogenesis</w:t>
      </w:r>
      <w:r w:rsidRPr="000C069C">
        <w:rPr>
          <w:noProof/>
        </w:rPr>
        <w:t>. 2019;40(2):246-253. doi:10.1093/carcin/bgy167</w:t>
      </w:r>
    </w:p>
    <w:p w14:paraId="64F7C12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139. </w:t>
      </w:r>
      <w:r w:rsidRPr="000C069C">
        <w:rPr>
          <w:noProof/>
        </w:rPr>
        <w:tab/>
        <w:t xml:space="preserve">Fendler A, Stephan C, Yousef GM, Kristiansen G, Jung K. The translational potential of microRNAs as biofluid markers of urological tumours. </w:t>
      </w:r>
      <w:r w:rsidRPr="000C069C">
        <w:rPr>
          <w:i/>
          <w:iCs/>
          <w:noProof/>
        </w:rPr>
        <w:t>Nat Rev Urol</w:t>
      </w:r>
      <w:r w:rsidRPr="000C069C">
        <w:rPr>
          <w:noProof/>
        </w:rPr>
        <w:t>. 2016;13(12):734-752. doi:10.1038/nrurol.2016.193</w:t>
      </w:r>
    </w:p>
    <w:p w14:paraId="0FB96A4F"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140. </w:t>
      </w:r>
      <w:r w:rsidRPr="000C069C">
        <w:rPr>
          <w:noProof/>
        </w:rPr>
        <w:tab/>
        <w:t xml:space="preserve">Cheng L, Sun X, Scicluna BJ, Coleman BM, Hill AF. Characterization and deep sequencing analysis of exosomal and non-exosomal miRNA in human urine. </w:t>
      </w:r>
      <w:r w:rsidRPr="000C069C">
        <w:rPr>
          <w:i/>
          <w:iCs/>
          <w:noProof/>
        </w:rPr>
        <w:t>Kidney Int</w:t>
      </w:r>
      <w:r w:rsidRPr="000C069C">
        <w:rPr>
          <w:noProof/>
        </w:rPr>
        <w:t>. 2014;86(2):433-444. doi:10.1038/ki.2013.502</w:t>
      </w:r>
    </w:p>
    <w:p w14:paraId="572FFF3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141. </w:t>
      </w:r>
      <w:r w:rsidRPr="000C069C">
        <w:rPr>
          <w:noProof/>
        </w:rPr>
        <w:tab/>
        <w:t xml:space="preserve">Guelfi G, Cochetti G, Stefanetti V, et al. Next Generation Sequencing of urine exfoliated cells: An approach of prostate cancer microRNAs research. </w:t>
      </w:r>
      <w:r w:rsidRPr="000C069C">
        <w:rPr>
          <w:i/>
          <w:iCs/>
          <w:noProof/>
        </w:rPr>
        <w:t>Sci Rep</w:t>
      </w:r>
      <w:r w:rsidRPr="000C069C">
        <w:rPr>
          <w:noProof/>
        </w:rPr>
        <w:t>. 2018;8(1):1-8. doi:10.1038/s41598-018-24236-y</w:t>
      </w:r>
    </w:p>
    <w:p w14:paraId="675EA264"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142. </w:t>
      </w:r>
      <w:r w:rsidRPr="000C069C">
        <w:rPr>
          <w:noProof/>
        </w:rPr>
        <w:tab/>
        <w:t xml:space="preserve">Zaporozhchenko IA, Bryzgunova OE, Lekchnov EA, et al. Representation Analysis of miRNA in Urine Microvesicles and Cell-Free Urine in Prostate Diseases. </w:t>
      </w:r>
      <w:r w:rsidRPr="000C069C">
        <w:rPr>
          <w:i/>
          <w:iCs/>
          <w:noProof/>
        </w:rPr>
        <w:t>Biochem Suppl Ser B Biomed Chem</w:t>
      </w:r>
      <w:r w:rsidRPr="000C069C">
        <w:rPr>
          <w:noProof/>
        </w:rPr>
        <w:t>. 2018;12(2):156-163. doi:10.1134/S1990750818020142</w:t>
      </w:r>
    </w:p>
    <w:p w14:paraId="3488C61F"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143. </w:t>
      </w:r>
      <w:r w:rsidRPr="000C069C">
        <w:rPr>
          <w:noProof/>
        </w:rPr>
        <w:tab/>
        <w:t xml:space="preserve">Pritchard CC, Kroh E, Wood B, et al. Blood cell origin of circulating microRNAs: A cautionary note for cancer biomarker studies. </w:t>
      </w:r>
      <w:r w:rsidRPr="000C069C">
        <w:rPr>
          <w:i/>
          <w:iCs/>
          <w:noProof/>
        </w:rPr>
        <w:t>Cancer Prev Res</w:t>
      </w:r>
      <w:r w:rsidRPr="000C069C">
        <w:rPr>
          <w:noProof/>
        </w:rPr>
        <w:t>. 2012;5(3):492-497. doi:10.1158/1940-6207.CAPR-11-0370</w:t>
      </w:r>
    </w:p>
    <w:p w14:paraId="7E256D66"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144. </w:t>
      </w:r>
      <w:r w:rsidRPr="000C069C">
        <w:rPr>
          <w:noProof/>
        </w:rPr>
        <w:tab/>
        <w:t xml:space="preserve">Blondal T, Jensby Nielsen S, Baker A, et al. Assessing sample and miRNA profile quality in serum and plasma or other biofluids. </w:t>
      </w:r>
      <w:r w:rsidRPr="000C069C">
        <w:rPr>
          <w:i/>
          <w:iCs/>
          <w:noProof/>
        </w:rPr>
        <w:t>Methods</w:t>
      </w:r>
      <w:r w:rsidRPr="000C069C">
        <w:rPr>
          <w:noProof/>
        </w:rPr>
        <w:t>. 2013;59(1):S1-S6. doi:10.1016/j.ymeth.2012.09.015</w:t>
      </w:r>
    </w:p>
    <w:p w14:paraId="7CE2CF99"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145. </w:t>
      </w:r>
      <w:r w:rsidRPr="000C069C">
        <w:rPr>
          <w:noProof/>
        </w:rPr>
        <w:tab/>
        <w:t xml:space="preserve">Kirschner MB, Kao SC, Edelman JJ, et al. Haemolysis during sample preparation alters microRNA content of plasma. </w:t>
      </w:r>
      <w:r w:rsidRPr="000C069C">
        <w:rPr>
          <w:i/>
          <w:iCs/>
          <w:noProof/>
        </w:rPr>
        <w:t>PLoS One</w:t>
      </w:r>
      <w:r w:rsidRPr="000C069C">
        <w:rPr>
          <w:noProof/>
        </w:rPr>
        <w:t>. 2011;6(9). doi:10.1371/journal.pone.0024145</w:t>
      </w:r>
    </w:p>
    <w:p w14:paraId="24431001"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lastRenderedPageBreak/>
        <w:t xml:space="preserve">146. </w:t>
      </w:r>
      <w:r w:rsidRPr="000C069C">
        <w:rPr>
          <w:noProof/>
        </w:rPr>
        <w:tab/>
        <w:t xml:space="preserve">Koo MM, Swann R, McPhail S, et al. Presenting symptoms of cancer and stage at diagnosis: evidence from a cross-sectional, population-based study. </w:t>
      </w:r>
      <w:r w:rsidRPr="000C069C">
        <w:rPr>
          <w:i/>
          <w:iCs/>
          <w:noProof/>
        </w:rPr>
        <w:t>Lancet Oncol</w:t>
      </w:r>
      <w:r w:rsidRPr="000C069C">
        <w:rPr>
          <w:noProof/>
        </w:rPr>
        <w:t>. 2020;21(1):73-79. doi:10.1016/S1470-2045(19)30595-9</w:t>
      </w:r>
    </w:p>
    <w:p w14:paraId="3BC9ADBC"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147. </w:t>
      </w:r>
      <w:r w:rsidRPr="000C069C">
        <w:rPr>
          <w:noProof/>
        </w:rPr>
        <w:tab/>
        <w:t xml:space="preserve">Vasdev N, Kumar A, Veeratterapillay R, Thorpe AC. Hematuria secondary to benign prostatic hyperplasia: Retrospective analysis of 166 men identified in a single one stop hematuria clinic. </w:t>
      </w:r>
      <w:r w:rsidRPr="000C069C">
        <w:rPr>
          <w:i/>
          <w:iCs/>
          <w:noProof/>
        </w:rPr>
        <w:t>Curr Urol</w:t>
      </w:r>
      <w:r w:rsidRPr="000C069C">
        <w:rPr>
          <w:noProof/>
        </w:rPr>
        <w:t>. 2013;6(3):146-149. doi:10.1159/000343529</w:t>
      </w:r>
    </w:p>
    <w:p w14:paraId="431AE80D"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148. </w:t>
      </w:r>
      <w:r w:rsidRPr="000C069C">
        <w:rPr>
          <w:noProof/>
        </w:rPr>
        <w:tab/>
        <w:t xml:space="preserve">Yasui T, Yanagida T, Ito S, et al. Unveiling massive numbers of cancer-related urinary-microRNA candidates via nanowires. </w:t>
      </w:r>
      <w:r w:rsidRPr="000C069C">
        <w:rPr>
          <w:i/>
          <w:iCs/>
          <w:noProof/>
        </w:rPr>
        <w:t>Sci Adv</w:t>
      </w:r>
      <w:r w:rsidRPr="000C069C">
        <w:rPr>
          <w:noProof/>
        </w:rPr>
        <w:t>. 2017;3(12):1-20. doi:10.1126/sciadv.1701133</w:t>
      </w:r>
    </w:p>
    <w:p w14:paraId="7A4523FE"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149. </w:t>
      </w:r>
      <w:r w:rsidRPr="000C069C">
        <w:rPr>
          <w:noProof/>
        </w:rPr>
        <w:tab/>
        <w:t xml:space="preserve">Ramalho-Carvalho J, Martins JB, Cekaite L, et al. Epigenetic disruption of miR-130a promotes prostate cancer by targeting SEC23B and DEPDC1. </w:t>
      </w:r>
      <w:r w:rsidRPr="000C069C">
        <w:rPr>
          <w:i/>
          <w:iCs/>
          <w:noProof/>
        </w:rPr>
        <w:t>Cancer Lett</w:t>
      </w:r>
      <w:r w:rsidRPr="000C069C">
        <w:rPr>
          <w:noProof/>
        </w:rPr>
        <w:t>. 2017;385:150-159. doi:10.1016/j.canlet.2016.10.028</w:t>
      </w:r>
    </w:p>
    <w:p w14:paraId="4982CF58" w14:textId="77777777" w:rsidR="000C069C" w:rsidRPr="000C069C" w:rsidRDefault="000C069C" w:rsidP="000C069C">
      <w:pPr>
        <w:widowControl w:val="0"/>
        <w:autoSpaceDE w:val="0"/>
        <w:autoSpaceDN w:val="0"/>
        <w:adjustRightInd w:val="0"/>
        <w:spacing w:line="240" w:lineRule="atLeast"/>
        <w:ind w:left="640" w:hanging="640"/>
        <w:rPr>
          <w:noProof/>
        </w:rPr>
      </w:pPr>
      <w:r w:rsidRPr="000C069C">
        <w:rPr>
          <w:noProof/>
        </w:rPr>
        <w:t xml:space="preserve">150. </w:t>
      </w:r>
      <w:r w:rsidRPr="000C069C">
        <w:rPr>
          <w:noProof/>
        </w:rPr>
        <w:tab/>
        <w:t xml:space="preserve">Laurent LC, Abdel-Mageed AB, David Adelson P, et al. Meeting report: Discussions and preliminary findings on extracellular RNA measurement methods from laboratories in the NIH Extracellular RNA Communication Consortium. </w:t>
      </w:r>
      <w:r w:rsidRPr="000C069C">
        <w:rPr>
          <w:i/>
          <w:iCs/>
          <w:noProof/>
        </w:rPr>
        <w:t>J Extracell Vesicles</w:t>
      </w:r>
      <w:r w:rsidRPr="000C069C">
        <w:rPr>
          <w:noProof/>
        </w:rPr>
        <w:t>. 2015;4(1). doi:10.3402/jev.v4.26533</w:t>
      </w:r>
    </w:p>
    <w:p w14:paraId="3ADC8F05" w14:textId="77777777" w:rsidR="00EE7EB3" w:rsidRPr="00C83EDC" w:rsidRDefault="00EE7EB3" w:rsidP="00EE7EB3">
      <w:pPr>
        <w:pStyle w:val="Dalodstavce"/>
        <w:rPr>
          <w:lang w:val="en-GB"/>
        </w:rPr>
        <w:sectPr w:rsidR="00EE7EB3" w:rsidRPr="00C83EDC" w:rsidSect="00F71F22">
          <w:headerReference w:type="default" r:id="rId41"/>
          <w:pgSz w:w="11906" w:h="16838" w:code="9"/>
          <w:pgMar w:top="1134" w:right="1134" w:bottom="1134" w:left="1701" w:header="1134" w:footer="1134" w:gutter="0"/>
          <w:cols w:space="708"/>
          <w:docGrid w:linePitch="360"/>
        </w:sectPr>
      </w:pPr>
      <w:r w:rsidRPr="00C83EDC">
        <w:rPr>
          <w:lang w:val="en-GB"/>
        </w:rPr>
        <w:fldChar w:fldCharType="end"/>
      </w:r>
    </w:p>
    <w:p w14:paraId="3A679067" w14:textId="77777777" w:rsidR="00EE7EB3" w:rsidRDefault="00EE7EB3" w:rsidP="00EE7EB3">
      <w:pPr>
        <w:pStyle w:val="ZPLiteratura"/>
        <w:numPr>
          <w:ilvl w:val="0"/>
          <w:numId w:val="0"/>
        </w:numPr>
        <w:ind w:left="720" w:hanging="360"/>
        <w:rPr>
          <w:lang w:val="en-GB"/>
        </w:rPr>
      </w:pPr>
    </w:p>
    <w:p w14:paraId="321B943D" w14:textId="77777777" w:rsidR="00EE7EB3" w:rsidRDefault="00EE7EB3" w:rsidP="00EE7EB3">
      <w:pPr>
        <w:pStyle w:val="ZPLiteratura"/>
        <w:numPr>
          <w:ilvl w:val="0"/>
          <w:numId w:val="0"/>
        </w:numPr>
        <w:ind w:left="720" w:hanging="360"/>
        <w:rPr>
          <w:lang w:val="en-GB"/>
        </w:rPr>
      </w:pPr>
    </w:p>
    <w:p w14:paraId="0BAED3D3" w14:textId="0164135F" w:rsidR="007C0619" w:rsidRPr="00746487" w:rsidRDefault="007C0619" w:rsidP="007C0619">
      <w:pPr>
        <w:rPr>
          <w:b/>
          <w:bCs/>
        </w:rPr>
      </w:pPr>
    </w:p>
    <w:sectPr w:rsidR="007C0619" w:rsidRPr="00746487" w:rsidSect="00EE7EB3">
      <w:headerReference w:type="even" r:id="rId42"/>
      <w:headerReference w:type="default" r:id="rId43"/>
      <w:type w:val="continuous"/>
      <w:pgSz w:w="11906" w:h="16838" w:code="9"/>
      <w:pgMar w:top="1134" w:right="1134" w:bottom="1134" w:left="1701" w:header="1900" w:footer="1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D079D" w14:textId="77777777" w:rsidR="00E10EE1" w:rsidRDefault="00E10EE1">
      <w:r>
        <w:separator/>
      </w:r>
    </w:p>
    <w:p w14:paraId="4EC9B002" w14:textId="77777777" w:rsidR="00E10EE1" w:rsidRDefault="00E10EE1"/>
    <w:p w14:paraId="2A720962" w14:textId="77777777" w:rsidR="00E10EE1" w:rsidRDefault="00E10EE1"/>
    <w:p w14:paraId="73DEAC92" w14:textId="77777777" w:rsidR="00E10EE1" w:rsidRDefault="00E10EE1"/>
    <w:p w14:paraId="408F512E" w14:textId="77777777" w:rsidR="00E10EE1" w:rsidRDefault="00E10EE1"/>
    <w:p w14:paraId="552A1A2A" w14:textId="77777777" w:rsidR="00E10EE1" w:rsidRDefault="00E10EE1"/>
  </w:endnote>
  <w:endnote w:type="continuationSeparator" w:id="0">
    <w:p w14:paraId="257AE0F3" w14:textId="77777777" w:rsidR="00E10EE1" w:rsidRDefault="00E10EE1">
      <w:r>
        <w:continuationSeparator/>
      </w:r>
    </w:p>
    <w:p w14:paraId="76148E4F" w14:textId="77777777" w:rsidR="00E10EE1" w:rsidRDefault="00E10EE1"/>
    <w:p w14:paraId="0DA46A35" w14:textId="77777777" w:rsidR="00E10EE1" w:rsidRDefault="00E10EE1"/>
    <w:p w14:paraId="778B3051" w14:textId="77777777" w:rsidR="00E10EE1" w:rsidRDefault="00E10EE1"/>
    <w:p w14:paraId="31C9950E" w14:textId="77777777" w:rsidR="00E10EE1" w:rsidRDefault="00E10EE1"/>
    <w:p w14:paraId="1D67F6DB" w14:textId="77777777" w:rsidR="00E10EE1" w:rsidRDefault="00E10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E64AD" w14:textId="77777777" w:rsidR="00502B71" w:rsidRDefault="00502B71" w:rsidP="0095124B">
    <w:pPr>
      <w:pStyle w:val="ZPZaptsud"/>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68707" w14:textId="4A9D22BD" w:rsidR="00502B71" w:rsidRDefault="00502B71" w:rsidP="0095124B">
    <w:pPr>
      <w:pStyle w:val="ZPZaptsu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AE8CE" w14:textId="03FB8E2C" w:rsidR="00502B71" w:rsidRDefault="00502B71" w:rsidP="0095124B">
    <w:pPr>
      <w:pStyle w:val="ZPZapatlic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CA063" w14:textId="77777777" w:rsidR="00502B71" w:rsidRPr="00DD38C5" w:rsidRDefault="00502B71" w:rsidP="00DD38C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02668" w14:textId="63FD51B7" w:rsidR="00502B71" w:rsidRDefault="00502B71" w:rsidP="0095124B">
    <w:pPr>
      <w:pStyle w:val="ZPZapatlic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6CE6" w14:textId="70F7B0C0" w:rsidR="00502B71" w:rsidRPr="0089154B" w:rsidRDefault="00502B71" w:rsidP="00F02FCC">
    <w:pPr>
      <w:pStyle w:val="Zpat"/>
      <w:rPr>
        <w:color w:val="BFBFBF" w:themeColor="background1" w:themeShade="BF"/>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CCE11" w14:textId="77777777" w:rsidR="00502B71" w:rsidRPr="0089154B" w:rsidRDefault="00502B71" w:rsidP="00920AB6">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76915" w14:textId="77777777" w:rsidR="00502B71" w:rsidRDefault="00502B71" w:rsidP="0095124B">
    <w:pPr>
      <w:pStyle w:val="ZPZapatlich"/>
    </w:pPr>
    <w:r>
      <w:fldChar w:fldCharType="begin"/>
    </w:r>
    <w:r>
      <w:instrText xml:space="preserve"> PAGE  \* Arabic  \* MERGEFORMAT </w:instrText>
    </w:r>
    <w:r>
      <w:fldChar w:fldCharType="separate"/>
    </w:r>
    <w:r>
      <w:rPr>
        <w:noProof/>
      </w:rPr>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A14FF" w14:textId="77777777" w:rsidR="00E10EE1" w:rsidRDefault="00E10EE1">
      <w:r>
        <w:separator/>
      </w:r>
    </w:p>
  </w:footnote>
  <w:footnote w:type="continuationSeparator" w:id="0">
    <w:p w14:paraId="7A70928D" w14:textId="77777777" w:rsidR="00E10EE1" w:rsidRDefault="00E10EE1">
      <w:r>
        <w:continuationSeparator/>
      </w:r>
    </w:p>
  </w:footnote>
  <w:footnote w:type="continuationNotice" w:id="1">
    <w:p w14:paraId="33FA61E5" w14:textId="77777777" w:rsidR="00E10EE1" w:rsidRDefault="00E10E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9863" w14:textId="36B09740" w:rsidR="00502B71" w:rsidRPr="00926EDE" w:rsidRDefault="00502B71" w:rsidP="00926EDE">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385DE" w14:textId="097F0660" w:rsidR="00502B71" w:rsidRPr="009951BF" w:rsidRDefault="00502B71" w:rsidP="00C612F9">
    <w:pPr>
      <w:pStyle w:val="ZPZhlavvpravo"/>
    </w:pPr>
    <w:r>
      <w:rPr>
        <w:noProof/>
      </w:rPr>
      <w:fldChar w:fldCharType="begin"/>
    </w:r>
    <w:r>
      <w:rPr>
        <w:noProof/>
      </w:rPr>
      <w:instrText xml:space="preserve"> STYLEREF  "Nadpis 1*"  \* MERGEFORMAT </w:instrText>
    </w:r>
    <w:r>
      <w:rPr>
        <w:noProof/>
      </w:rPr>
      <w:fldChar w:fldCharType="separate"/>
    </w:r>
    <w:r>
      <w:rPr>
        <w:noProof/>
      </w:rPr>
      <w:t>PRACTICAL PART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870B9" w14:textId="77777777" w:rsidR="00502B71" w:rsidRPr="00DD38C5" w:rsidRDefault="00502B71" w:rsidP="00DD38C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7B1CA" w14:textId="11A7C280" w:rsidR="00502B71" w:rsidRPr="00926EDE" w:rsidRDefault="00502B71" w:rsidP="00926EDE">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1B7A5" w14:textId="4E720E3F" w:rsidR="00502B71" w:rsidRPr="009951BF" w:rsidRDefault="00502B71" w:rsidP="00EE7EB3">
    <w:pPr>
      <w:pStyle w:val="ZPZhlavvlevo"/>
      <w:jc w:val="right"/>
    </w:pPr>
    <w:r>
      <w:t>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E46DE" w14:textId="59E406B8" w:rsidR="00502B71" w:rsidRPr="009951BF" w:rsidRDefault="00502B71" w:rsidP="00C612F9">
    <w:pPr>
      <w:pStyle w:val="ZPZhlavvpravo"/>
    </w:pPr>
    <w:r>
      <w:t xml:space="preserve">Table </w:t>
    </w:r>
    <w:proofErr w:type="spellStart"/>
    <w:r>
      <w:t>of</w:t>
    </w:r>
    <w:proofErr w:type="spellEnd"/>
    <w:r>
      <w:t xml:space="preserve"> </w:t>
    </w:r>
    <w:proofErr w:type="spellStart"/>
    <w:r>
      <w:t>contents</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DA20A" w14:textId="5093EFBC" w:rsidR="00502B71" w:rsidRPr="009951BF" w:rsidRDefault="00502B71" w:rsidP="00AB64BF">
    <w:pPr>
      <w:pStyle w:val="ZPZhlavvlevo"/>
      <w:jc w:val="right"/>
    </w:pPr>
    <w:r>
      <w:tab/>
    </w:r>
    <w:proofErr w:type="spellStart"/>
    <w:r>
      <w:t>Prostate</w:t>
    </w:r>
    <w:proofErr w:type="spellEnd"/>
    <w:r>
      <w:t xml:space="preserve"> </w:t>
    </w:r>
    <w:proofErr w:type="spellStart"/>
    <w:r>
      <w:t>cancer</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CD0CD" w14:textId="02019C26" w:rsidR="00502B71" w:rsidRPr="009951BF" w:rsidRDefault="00502B71" w:rsidP="00C612F9">
    <w:pPr>
      <w:pStyle w:val="ZPZhlavvpravo"/>
    </w:pPr>
    <w:r>
      <w:rPr>
        <w:noProof/>
      </w:rPr>
      <w:fldChar w:fldCharType="begin"/>
    </w:r>
    <w:r>
      <w:rPr>
        <w:noProof/>
      </w:rPr>
      <w:instrText xml:space="preserve"> STYLEREF  "Nadpis 1*"  \* MERGEFORMAT </w:instrText>
    </w:r>
    <w:r>
      <w:rPr>
        <w:noProof/>
      </w:rPr>
      <w:fldChar w:fldCharType="separate"/>
    </w:r>
    <w:r w:rsidR="00D41AE4">
      <w:rPr>
        <w:noProof/>
      </w:rPr>
      <w:t>List of abbreviations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DB853" w14:textId="63DEF71C" w:rsidR="00502B71" w:rsidRPr="00B04FEC" w:rsidRDefault="00502B71" w:rsidP="00C612F9">
    <w:pPr>
      <w:pStyle w:val="ZPZhlavvpravo"/>
    </w:pPr>
    <w:r w:rsidRPr="00B04FEC">
      <w:rPr>
        <w:noProof/>
      </w:rPr>
      <w:fldChar w:fldCharType="begin"/>
    </w:r>
    <w:r w:rsidRPr="00B04FEC">
      <w:rPr>
        <w:noProof/>
      </w:rPr>
      <w:instrText xml:space="preserve"> STYLEREF  1  \* MERGEFORMAT </w:instrText>
    </w:r>
    <w:r w:rsidRPr="00B04FEC">
      <w:rPr>
        <w:noProof/>
      </w:rPr>
      <w:fldChar w:fldCharType="separate"/>
    </w:r>
    <w:r w:rsidR="00D41AE4">
      <w:rPr>
        <w:noProof/>
      </w:rPr>
      <w:t>Prostate cancer</w:t>
    </w:r>
    <w:r w:rsidRPr="00B04FEC">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D7A0C" w14:textId="36FA0CB1" w:rsidR="00502B71" w:rsidRPr="00083FB7" w:rsidRDefault="00502B71" w:rsidP="00BD0360">
    <w:pPr>
      <w:pStyle w:val="ZPZhlavvlevo"/>
    </w:pPr>
    <w:r w:rsidRPr="00083FB7">
      <w:rPr>
        <w:noProof/>
      </w:rPr>
      <w:fldChar w:fldCharType="begin"/>
    </w:r>
    <w:r w:rsidRPr="00083FB7">
      <w:rPr>
        <w:noProof/>
      </w:rPr>
      <w:instrText xml:space="preserve"> STYLEREF  "Nadpis 1*"  \* MERGEFORMAT </w:instrText>
    </w:r>
    <w:r w:rsidRPr="00083FB7">
      <w:rPr>
        <w:noProof/>
      </w:rPr>
      <w:fldChar w:fldCharType="separate"/>
    </w:r>
    <w:r w:rsidRPr="0048503A">
      <w:rPr>
        <w:bCs/>
        <w:noProof/>
      </w:rPr>
      <w:t>PRACTICAL</w:t>
    </w:r>
    <w:r>
      <w:rPr>
        <w:noProof/>
      </w:rPr>
      <w:t xml:space="preserve"> PART</w:t>
    </w:r>
    <w:r w:rsidRPr="00083FB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916D5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4D5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D24D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2E61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F4998E"/>
    <w:lvl w:ilvl="0">
      <w:start w:val="1"/>
      <w:numFmt w:val="decimal"/>
      <w:pStyle w:val="slovanseznam"/>
      <w:lvlText w:val="%1."/>
      <w:lvlJc w:val="right"/>
      <w:pPr>
        <w:ind w:left="540" w:hanging="60"/>
      </w:pPr>
      <w:rPr>
        <w:rFonts w:hint="default"/>
      </w:rPr>
    </w:lvl>
  </w:abstractNum>
  <w:abstractNum w:abstractNumId="9"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10" w15:restartNumberingAfterBreak="0">
    <w:nsid w:val="03F9130D"/>
    <w:multiLevelType w:val="hybridMultilevel"/>
    <w:tmpl w:val="1BCA9484"/>
    <w:lvl w:ilvl="0" w:tplc="889AF2B8">
      <w:numFmt w:val="bullet"/>
      <w:lvlText w:val="-"/>
      <w:lvlJc w:val="left"/>
      <w:pPr>
        <w:ind w:left="420" w:hanging="360"/>
      </w:pPr>
      <w:rPr>
        <w:rFonts w:ascii="Cambria" w:eastAsia="Times New Roman" w:hAnsi="Cambria"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1" w15:restartNumberingAfterBreak="0">
    <w:nsid w:val="06616E0E"/>
    <w:multiLevelType w:val="multilevel"/>
    <w:tmpl w:val="26CA57A6"/>
    <w:styleLink w:val="slovnkapitol"/>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Styl2ff"/>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D34F65"/>
    <w:multiLevelType w:val="multilevel"/>
    <w:tmpl w:val="90C4190A"/>
    <w:numStyleLink w:val="Vcerovovseznam"/>
  </w:abstractNum>
  <w:abstractNum w:abstractNumId="13"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2E558FB"/>
    <w:multiLevelType w:val="hybridMultilevel"/>
    <w:tmpl w:val="57B05B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2B64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2A734D"/>
    <w:multiLevelType w:val="multilevel"/>
    <w:tmpl w:val="90C4190A"/>
    <w:numStyleLink w:val="Vcerovovseznam"/>
  </w:abstractNum>
  <w:abstractNum w:abstractNumId="17" w15:restartNumberingAfterBreak="0">
    <w:nsid w:val="3D8E3D15"/>
    <w:multiLevelType w:val="multilevel"/>
    <w:tmpl w:val="C84A64D6"/>
    <w:styleLink w:val="ZPVetsodrkami"/>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00A11CE"/>
    <w:multiLevelType w:val="multilevel"/>
    <w:tmpl w:val="02F24DAC"/>
    <w:styleLink w:val="slovnploh"/>
    <w:lvl w:ilvl="0">
      <w:start w:val="1"/>
      <w:numFmt w:val="upperLetter"/>
      <w:pStyle w:val="Ploha1"/>
      <w:lvlText w:val="Příloha %1"/>
      <w:lvlJc w:val="left"/>
      <w:pPr>
        <w:ind w:left="928" w:hanging="360"/>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E241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EF12A5A"/>
    <w:multiLevelType w:val="multilevel"/>
    <w:tmpl w:val="FCA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4AD1D4C"/>
    <w:multiLevelType w:val="multilevel"/>
    <w:tmpl w:val="90C4190A"/>
    <w:styleLink w:val="Vcerovovseznam"/>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25" w15:restartNumberingAfterBreak="0">
    <w:nsid w:val="75AB6741"/>
    <w:multiLevelType w:val="multilevel"/>
    <w:tmpl w:val="26CA57A6"/>
    <w:numStyleLink w:val="slovnkapitol"/>
  </w:abstractNum>
  <w:num w:numId="1">
    <w:abstractNumId w:val="13"/>
  </w:num>
  <w:num w:numId="2">
    <w:abstractNumId w:val="24"/>
  </w:num>
  <w:num w:numId="3">
    <w:abstractNumId w:val="20"/>
  </w:num>
  <w:num w:numId="4">
    <w:abstractNumId w:val="17"/>
  </w:num>
  <w:num w:numId="5">
    <w:abstractNumId w:val="11"/>
  </w:num>
  <w:num w:numId="6">
    <w:abstractNumId w:val="18"/>
  </w:num>
  <w:num w:numId="7">
    <w:abstractNumId w:val="8"/>
  </w:num>
  <w:num w:numId="8">
    <w:abstractNumId w:val="3"/>
  </w:num>
  <w:num w:numId="9">
    <w:abstractNumId w:val="2"/>
  </w:num>
  <w:num w:numId="10">
    <w:abstractNumId w:val="1"/>
  </w:num>
  <w:num w:numId="11">
    <w:abstractNumId w:val="0"/>
  </w:num>
  <w:num w:numId="12">
    <w:abstractNumId w:val="9"/>
  </w:num>
  <w:num w:numId="13">
    <w:abstractNumId w:val="25"/>
  </w:num>
  <w:num w:numId="14">
    <w:abstractNumId w:val="23"/>
  </w:num>
  <w:num w:numId="15">
    <w:abstractNumId w:val="12"/>
  </w:num>
  <w:num w:numId="16">
    <w:abstractNumId w:val="16"/>
    <w:lvlOverride w:ilvl="0">
      <w:lvl w:ilvl="0">
        <w:start w:val="1"/>
        <w:numFmt w:val="decimal"/>
        <w:lvlText w:val="%1."/>
        <w:lvlJc w:val="right"/>
        <w:pPr>
          <w:ind w:left="540" w:hanging="60"/>
        </w:pPr>
        <w:rPr>
          <w:rFonts w:hint="default"/>
        </w:rPr>
      </w:lvl>
    </w:lvlOverride>
  </w:num>
  <w:num w:numId="17">
    <w:abstractNumId w:val="7"/>
  </w:num>
  <w:num w:numId="18">
    <w:abstractNumId w:val="6"/>
  </w:num>
  <w:num w:numId="19">
    <w:abstractNumId w:val="5"/>
  </w:num>
  <w:num w:numId="20">
    <w:abstractNumId w:val="4"/>
  </w:num>
  <w:num w:numId="21">
    <w:abstractNumId w:val="1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5"/>
  </w:num>
  <w:num w:numId="27">
    <w:abstractNumId w:val="21"/>
  </w:num>
  <w:num w:numId="2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EDE"/>
    <w:rsid w:val="000046C4"/>
    <w:rsid w:val="00006358"/>
    <w:rsid w:val="00006A66"/>
    <w:rsid w:val="0001265C"/>
    <w:rsid w:val="00013C69"/>
    <w:rsid w:val="00016DE6"/>
    <w:rsid w:val="00021CED"/>
    <w:rsid w:val="00027983"/>
    <w:rsid w:val="0003139D"/>
    <w:rsid w:val="0003276D"/>
    <w:rsid w:val="00033887"/>
    <w:rsid w:val="00033D24"/>
    <w:rsid w:val="0004183D"/>
    <w:rsid w:val="00041BC7"/>
    <w:rsid w:val="00042887"/>
    <w:rsid w:val="00045288"/>
    <w:rsid w:val="000541EB"/>
    <w:rsid w:val="0005583E"/>
    <w:rsid w:val="00056287"/>
    <w:rsid w:val="00061EC6"/>
    <w:rsid w:val="00062068"/>
    <w:rsid w:val="00062E26"/>
    <w:rsid w:val="0006632C"/>
    <w:rsid w:val="00067C23"/>
    <w:rsid w:val="0007427B"/>
    <w:rsid w:val="00083FB7"/>
    <w:rsid w:val="00091FDC"/>
    <w:rsid w:val="00095544"/>
    <w:rsid w:val="00095EBD"/>
    <w:rsid w:val="000A0556"/>
    <w:rsid w:val="000B06E2"/>
    <w:rsid w:val="000B073E"/>
    <w:rsid w:val="000B1384"/>
    <w:rsid w:val="000B2873"/>
    <w:rsid w:val="000B2FE1"/>
    <w:rsid w:val="000B35CE"/>
    <w:rsid w:val="000B3CD4"/>
    <w:rsid w:val="000B5697"/>
    <w:rsid w:val="000B5A44"/>
    <w:rsid w:val="000B7594"/>
    <w:rsid w:val="000C069C"/>
    <w:rsid w:val="000C1EEA"/>
    <w:rsid w:val="000D7A70"/>
    <w:rsid w:val="000E0DD5"/>
    <w:rsid w:val="000E17C7"/>
    <w:rsid w:val="000E1807"/>
    <w:rsid w:val="000E2574"/>
    <w:rsid w:val="000E3253"/>
    <w:rsid w:val="000E680F"/>
    <w:rsid w:val="000E751F"/>
    <w:rsid w:val="000F183A"/>
    <w:rsid w:val="000F1C94"/>
    <w:rsid w:val="00100381"/>
    <w:rsid w:val="001061C1"/>
    <w:rsid w:val="00106540"/>
    <w:rsid w:val="0010714E"/>
    <w:rsid w:val="00107A6D"/>
    <w:rsid w:val="00107AE7"/>
    <w:rsid w:val="00107E23"/>
    <w:rsid w:val="00115804"/>
    <w:rsid w:val="001165B2"/>
    <w:rsid w:val="00120459"/>
    <w:rsid w:val="00121296"/>
    <w:rsid w:val="00122F2B"/>
    <w:rsid w:val="00123134"/>
    <w:rsid w:val="001231B9"/>
    <w:rsid w:val="001259DA"/>
    <w:rsid w:val="00127018"/>
    <w:rsid w:val="00130CDD"/>
    <w:rsid w:val="001334BD"/>
    <w:rsid w:val="00141984"/>
    <w:rsid w:val="00144D48"/>
    <w:rsid w:val="00147BC7"/>
    <w:rsid w:val="00150827"/>
    <w:rsid w:val="00154884"/>
    <w:rsid w:val="00155472"/>
    <w:rsid w:val="00157BBE"/>
    <w:rsid w:val="00161E5E"/>
    <w:rsid w:val="0016330D"/>
    <w:rsid w:val="001637A0"/>
    <w:rsid w:val="00165AB0"/>
    <w:rsid w:val="00166437"/>
    <w:rsid w:val="00170E55"/>
    <w:rsid w:val="001754A7"/>
    <w:rsid w:val="0017653E"/>
    <w:rsid w:val="00176D79"/>
    <w:rsid w:val="00177036"/>
    <w:rsid w:val="00177293"/>
    <w:rsid w:val="00181534"/>
    <w:rsid w:val="001815E4"/>
    <w:rsid w:val="00181CDB"/>
    <w:rsid w:val="00184F20"/>
    <w:rsid w:val="00186DF6"/>
    <w:rsid w:val="00191A87"/>
    <w:rsid w:val="00191BB3"/>
    <w:rsid w:val="00193D5F"/>
    <w:rsid w:val="00194596"/>
    <w:rsid w:val="00196CE0"/>
    <w:rsid w:val="001A0806"/>
    <w:rsid w:val="001A2784"/>
    <w:rsid w:val="001A5AA3"/>
    <w:rsid w:val="001B0FAF"/>
    <w:rsid w:val="001B3620"/>
    <w:rsid w:val="001B43CD"/>
    <w:rsid w:val="001B7C33"/>
    <w:rsid w:val="001C7095"/>
    <w:rsid w:val="001D0120"/>
    <w:rsid w:val="001E07A1"/>
    <w:rsid w:val="001E1714"/>
    <w:rsid w:val="001E176F"/>
    <w:rsid w:val="001E44E4"/>
    <w:rsid w:val="001F1501"/>
    <w:rsid w:val="001F5586"/>
    <w:rsid w:val="00201946"/>
    <w:rsid w:val="00203419"/>
    <w:rsid w:val="002041D3"/>
    <w:rsid w:val="00205DD1"/>
    <w:rsid w:val="00206160"/>
    <w:rsid w:val="00210BCE"/>
    <w:rsid w:val="00210C1C"/>
    <w:rsid w:val="002125CA"/>
    <w:rsid w:val="002155EC"/>
    <w:rsid w:val="00221FDA"/>
    <w:rsid w:val="0022788C"/>
    <w:rsid w:val="0023175A"/>
    <w:rsid w:val="0023579F"/>
    <w:rsid w:val="00235F32"/>
    <w:rsid w:val="00236A4F"/>
    <w:rsid w:val="00244547"/>
    <w:rsid w:val="00260BE0"/>
    <w:rsid w:val="00261245"/>
    <w:rsid w:val="00273605"/>
    <w:rsid w:val="002752AB"/>
    <w:rsid w:val="00276546"/>
    <w:rsid w:val="002767C1"/>
    <w:rsid w:val="00280732"/>
    <w:rsid w:val="00280F8B"/>
    <w:rsid w:val="0028267F"/>
    <w:rsid w:val="00282A56"/>
    <w:rsid w:val="0028333C"/>
    <w:rsid w:val="00283847"/>
    <w:rsid w:val="0028594B"/>
    <w:rsid w:val="00287D5D"/>
    <w:rsid w:val="00293146"/>
    <w:rsid w:val="002A2330"/>
    <w:rsid w:val="002B31E7"/>
    <w:rsid w:val="002C0686"/>
    <w:rsid w:val="002C168E"/>
    <w:rsid w:val="002C1AA6"/>
    <w:rsid w:val="002C6A3C"/>
    <w:rsid w:val="002C6AE0"/>
    <w:rsid w:val="002D3E40"/>
    <w:rsid w:val="002D5F86"/>
    <w:rsid w:val="002D7200"/>
    <w:rsid w:val="002D7929"/>
    <w:rsid w:val="002E2753"/>
    <w:rsid w:val="002E640F"/>
    <w:rsid w:val="002F109A"/>
    <w:rsid w:val="002F1CAB"/>
    <w:rsid w:val="002F69B5"/>
    <w:rsid w:val="00300D63"/>
    <w:rsid w:val="0030249F"/>
    <w:rsid w:val="003026FA"/>
    <w:rsid w:val="00302D98"/>
    <w:rsid w:val="003033E5"/>
    <w:rsid w:val="0030413B"/>
    <w:rsid w:val="00304E54"/>
    <w:rsid w:val="00310428"/>
    <w:rsid w:val="00311E99"/>
    <w:rsid w:val="00312767"/>
    <w:rsid w:val="00312B94"/>
    <w:rsid w:val="003241F4"/>
    <w:rsid w:val="00325AA1"/>
    <w:rsid w:val="00330F77"/>
    <w:rsid w:val="00340921"/>
    <w:rsid w:val="00342068"/>
    <w:rsid w:val="003451DC"/>
    <w:rsid w:val="00345341"/>
    <w:rsid w:val="0034553C"/>
    <w:rsid w:val="00345C9D"/>
    <w:rsid w:val="00350E77"/>
    <w:rsid w:val="00354ECD"/>
    <w:rsid w:val="0036423D"/>
    <w:rsid w:val="00364EA5"/>
    <w:rsid w:val="0036613B"/>
    <w:rsid w:val="0036732B"/>
    <w:rsid w:val="003733CC"/>
    <w:rsid w:val="00373624"/>
    <w:rsid w:val="00386FD6"/>
    <w:rsid w:val="00387B07"/>
    <w:rsid w:val="00387CB9"/>
    <w:rsid w:val="00392706"/>
    <w:rsid w:val="00393AF8"/>
    <w:rsid w:val="00394B1E"/>
    <w:rsid w:val="003A4108"/>
    <w:rsid w:val="003A54DD"/>
    <w:rsid w:val="003A5B77"/>
    <w:rsid w:val="003B12CF"/>
    <w:rsid w:val="003B2FD8"/>
    <w:rsid w:val="003B498F"/>
    <w:rsid w:val="003B6227"/>
    <w:rsid w:val="003B7C9B"/>
    <w:rsid w:val="003C3FD7"/>
    <w:rsid w:val="003C52CA"/>
    <w:rsid w:val="003D12A0"/>
    <w:rsid w:val="003D1B3D"/>
    <w:rsid w:val="003D2A7C"/>
    <w:rsid w:val="003D2A99"/>
    <w:rsid w:val="003D2D22"/>
    <w:rsid w:val="003D3882"/>
    <w:rsid w:val="003D4729"/>
    <w:rsid w:val="003E3A5B"/>
    <w:rsid w:val="003E6F4C"/>
    <w:rsid w:val="003E7C04"/>
    <w:rsid w:val="003F0388"/>
    <w:rsid w:val="003F6398"/>
    <w:rsid w:val="003F666A"/>
    <w:rsid w:val="00402B80"/>
    <w:rsid w:val="00412789"/>
    <w:rsid w:val="0041503D"/>
    <w:rsid w:val="00415B11"/>
    <w:rsid w:val="00417009"/>
    <w:rsid w:val="00417CCE"/>
    <w:rsid w:val="004235C2"/>
    <w:rsid w:val="00432739"/>
    <w:rsid w:val="00434473"/>
    <w:rsid w:val="00434981"/>
    <w:rsid w:val="004432E2"/>
    <w:rsid w:val="004433C7"/>
    <w:rsid w:val="0045066B"/>
    <w:rsid w:val="00454387"/>
    <w:rsid w:val="00455C27"/>
    <w:rsid w:val="0045673C"/>
    <w:rsid w:val="00456D17"/>
    <w:rsid w:val="00457A41"/>
    <w:rsid w:val="00457A74"/>
    <w:rsid w:val="004622BA"/>
    <w:rsid w:val="00464CF0"/>
    <w:rsid w:val="00465207"/>
    <w:rsid w:val="004668F5"/>
    <w:rsid w:val="004674B1"/>
    <w:rsid w:val="0047106E"/>
    <w:rsid w:val="0047272D"/>
    <w:rsid w:val="004743C2"/>
    <w:rsid w:val="004748C4"/>
    <w:rsid w:val="00476EB7"/>
    <w:rsid w:val="00482CE5"/>
    <w:rsid w:val="0048503A"/>
    <w:rsid w:val="0048704E"/>
    <w:rsid w:val="004922F1"/>
    <w:rsid w:val="00492B34"/>
    <w:rsid w:val="004932BC"/>
    <w:rsid w:val="0049372C"/>
    <w:rsid w:val="00493755"/>
    <w:rsid w:val="00497972"/>
    <w:rsid w:val="004A14C7"/>
    <w:rsid w:val="004A15F7"/>
    <w:rsid w:val="004A2453"/>
    <w:rsid w:val="004A4934"/>
    <w:rsid w:val="004A4E21"/>
    <w:rsid w:val="004A56A2"/>
    <w:rsid w:val="004A72B1"/>
    <w:rsid w:val="004A7B07"/>
    <w:rsid w:val="004C3A23"/>
    <w:rsid w:val="004C4987"/>
    <w:rsid w:val="004E4B9D"/>
    <w:rsid w:val="004F1C84"/>
    <w:rsid w:val="00500638"/>
    <w:rsid w:val="00502231"/>
    <w:rsid w:val="00502B71"/>
    <w:rsid w:val="00506DC5"/>
    <w:rsid w:val="00511543"/>
    <w:rsid w:val="00512363"/>
    <w:rsid w:val="00515F92"/>
    <w:rsid w:val="00521AA8"/>
    <w:rsid w:val="00522BE0"/>
    <w:rsid w:val="005253A0"/>
    <w:rsid w:val="00525CD8"/>
    <w:rsid w:val="0052762D"/>
    <w:rsid w:val="00533A95"/>
    <w:rsid w:val="005362AF"/>
    <w:rsid w:val="00537574"/>
    <w:rsid w:val="00537BCE"/>
    <w:rsid w:val="00541E2B"/>
    <w:rsid w:val="0054310E"/>
    <w:rsid w:val="0054338A"/>
    <w:rsid w:val="005446D8"/>
    <w:rsid w:val="00544969"/>
    <w:rsid w:val="005566DB"/>
    <w:rsid w:val="0055672C"/>
    <w:rsid w:val="005573A5"/>
    <w:rsid w:val="00564575"/>
    <w:rsid w:val="005655D5"/>
    <w:rsid w:val="00567CEB"/>
    <w:rsid w:val="00575E7E"/>
    <w:rsid w:val="00576992"/>
    <w:rsid w:val="00576A89"/>
    <w:rsid w:val="00576E43"/>
    <w:rsid w:val="0057725C"/>
    <w:rsid w:val="0058175D"/>
    <w:rsid w:val="00581933"/>
    <w:rsid w:val="00581F80"/>
    <w:rsid w:val="005843DF"/>
    <w:rsid w:val="005A20B0"/>
    <w:rsid w:val="005A40A7"/>
    <w:rsid w:val="005B2DB8"/>
    <w:rsid w:val="005B452E"/>
    <w:rsid w:val="005C1ED4"/>
    <w:rsid w:val="005C3259"/>
    <w:rsid w:val="005C665F"/>
    <w:rsid w:val="005D16B0"/>
    <w:rsid w:val="005D346A"/>
    <w:rsid w:val="005D3F47"/>
    <w:rsid w:val="005D5356"/>
    <w:rsid w:val="005D625E"/>
    <w:rsid w:val="005D6619"/>
    <w:rsid w:val="005D7354"/>
    <w:rsid w:val="005E4C2C"/>
    <w:rsid w:val="005F135F"/>
    <w:rsid w:val="005F224B"/>
    <w:rsid w:val="005F5ED2"/>
    <w:rsid w:val="005F66CA"/>
    <w:rsid w:val="005F7BA3"/>
    <w:rsid w:val="00600188"/>
    <w:rsid w:val="006032BC"/>
    <w:rsid w:val="00607AE2"/>
    <w:rsid w:val="00611A02"/>
    <w:rsid w:val="00612ED3"/>
    <w:rsid w:val="0061507C"/>
    <w:rsid w:val="006219B5"/>
    <w:rsid w:val="0062604D"/>
    <w:rsid w:val="006276B9"/>
    <w:rsid w:val="00631EEE"/>
    <w:rsid w:val="006400F5"/>
    <w:rsid w:val="00646C4C"/>
    <w:rsid w:val="00647C19"/>
    <w:rsid w:val="00654702"/>
    <w:rsid w:val="00655A3C"/>
    <w:rsid w:val="00656C84"/>
    <w:rsid w:val="00657A0F"/>
    <w:rsid w:val="006608C9"/>
    <w:rsid w:val="006613D4"/>
    <w:rsid w:val="00663599"/>
    <w:rsid w:val="006668A0"/>
    <w:rsid w:val="006675DE"/>
    <w:rsid w:val="00673928"/>
    <w:rsid w:val="006748F7"/>
    <w:rsid w:val="006753EC"/>
    <w:rsid w:val="006767CE"/>
    <w:rsid w:val="00676B9F"/>
    <w:rsid w:val="006777C4"/>
    <w:rsid w:val="006803AE"/>
    <w:rsid w:val="00682B4D"/>
    <w:rsid w:val="00685852"/>
    <w:rsid w:val="00685DD9"/>
    <w:rsid w:val="00686598"/>
    <w:rsid w:val="006921C6"/>
    <w:rsid w:val="00692D32"/>
    <w:rsid w:val="00692D68"/>
    <w:rsid w:val="00693FCD"/>
    <w:rsid w:val="0069572B"/>
    <w:rsid w:val="006959C8"/>
    <w:rsid w:val="006A0353"/>
    <w:rsid w:val="006A1389"/>
    <w:rsid w:val="006A2A1F"/>
    <w:rsid w:val="006A6A13"/>
    <w:rsid w:val="006A6C98"/>
    <w:rsid w:val="006A7D16"/>
    <w:rsid w:val="006B0A96"/>
    <w:rsid w:val="006B15F8"/>
    <w:rsid w:val="006B4A0B"/>
    <w:rsid w:val="006C0CC8"/>
    <w:rsid w:val="006C2D7E"/>
    <w:rsid w:val="006E2F26"/>
    <w:rsid w:val="006E36ED"/>
    <w:rsid w:val="006E3D06"/>
    <w:rsid w:val="006E770E"/>
    <w:rsid w:val="006F2973"/>
    <w:rsid w:val="006F378B"/>
    <w:rsid w:val="006F5171"/>
    <w:rsid w:val="006F6265"/>
    <w:rsid w:val="006F7134"/>
    <w:rsid w:val="007032F3"/>
    <w:rsid w:val="00704143"/>
    <w:rsid w:val="00705DB6"/>
    <w:rsid w:val="007066FD"/>
    <w:rsid w:val="00710C27"/>
    <w:rsid w:val="007128B1"/>
    <w:rsid w:val="00713C76"/>
    <w:rsid w:val="007142B1"/>
    <w:rsid w:val="00720955"/>
    <w:rsid w:val="007229E6"/>
    <w:rsid w:val="00726757"/>
    <w:rsid w:val="00727972"/>
    <w:rsid w:val="0074241C"/>
    <w:rsid w:val="00742BF1"/>
    <w:rsid w:val="00742C2C"/>
    <w:rsid w:val="00743F57"/>
    <w:rsid w:val="007442AC"/>
    <w:rsid w:val="00746392"/>
    <w:rsid w:val="00746487"/>
    <w:rsid w:val="007468F6"/>
    <w:rsid w:val="00747FF7"/>
    <w:rsid w:val="0075091C"/>
    <w:rsid w:val="007520B4"/>
    <w:rsid w:val="00761D2F"/>
    <w:rsid w:val="00763D61"/>
    <w:rsid w:val="0076407F"/>
    <w:rsid w:val="007677DD"/>
    <w:rsid w:val="00767FEB"/>
    <w:rsid w:val="00770F7B"/>
    <w:rsid w:val="007712C9"/>
    <w:rsid w:val="007723D7"/>
    <w:rsid w:val="0077393E"/>
    <w:rsid w:val="0077567B"/>
    <w:rsid w:val="007863E4"/>
    <w:rsid w:val="00793F90"/>
    <w:rsid w:val="00796B68"/>
    <w:rsid w:val="007A00EC"/>
    <w:rsid w:val="007A1F2E"/>
    <w:rsid w:val="007A26A7"/>
    <w:rsid w:val="007A31FF"/>
    <w:rsid w:val="007A5BA1"/>
    <w:rsid w:val="007A70C1"/>
    <w:rsid w:val="007B4235"/>
    <w:rsid w:val="007B63D5"/>
    <w:rsid w:val="007C050F"/>
    <w:rsid w:val="007C0619"/>
    <w:rsid w:val="007C0D94"/>
    <w:rsid w:val="007C294D"/>
    <w:rsid w:val="007D15C2"/>
    <w:rsid w:val="007D341B"/>
    <w:rsid w:val="007D50D0"/>
    <w:rsid w:val="007E1ADE"/>
    <w:rsid w:val="007E3C3E"/>
    <w:rsid w:val="007E6199"/>
    <w:rsid w:val="007E667D"/>
    <w:rsid w:val="007E7F97"/>
    <w:rsid w:val="007F013D"/>
    <w:rsid w:val="007F048A"/>
    <w:rsid w:val="007F0A70"/>
    <w:rsid w:val="007F0FCC"/>
    <w:rsid w:val="007F12C7"/>
    <w:rsid w:val="007F7A82"/>
    <w:rsid w:val="00802CD0"/>
    <w:rsid w:val="00807D5C"/>
    <w:rsid w:val="00807DB4"/>
    <w:rsid w:val="00812EBD"/>
    <w:rsid w:val="00813987"/>
    <w:rsid w:val="00816D41"/>
    <w:rsid w:val="008178C6"/>
    <w:rsid w:val="0082162F"/>
    <w:rsid w:val="00824749"/>
    <w:rsid w:val="00825A03"/>
    <w:rsid w:val="00825B26"/>
    <w:rsid w:val="00830CE4"/>
    <w:rsid w:val="0083198F"/>
    <w:rsid w:val="00832A1F"/>
    <w:rsid w:val="00832CB3"/>
    <w:rsid w:val="00833621"/>
    <w:rsid w:val="00837662"/>
    <w:rsid w:val="00843594"/>
    <w:rsid w:val="0084461E"/>
    <w:rsid w:val="008448B3"/>
    <w:rsid w:val="00845927"/>
    <w:rsid w:val="008470D4"/>
    <w:rsid w:val="00852F37"/>
    <w:rsid w:val="008537C0"/>
    <w:rsid w:val="00853C55"/>
    <w:rsid w:val="008540FF"/>
    <w:rsid w:val="00854E09"/>
    <w:rsid w:val="0085725D"/>
    <w:rsid w:val="00857D84"/>
    <w:rsid w:val="00860635"/>
    <w:rsid w:val="0086068B"/>
    <w:rsid w:val="008714D6"/>
    <w:rsid w:val="00871910"/>
    <w:rsid w:val="008813AE"/>
    <w:rsid w:val="008814CE"/>
    <w:rsid w:val="008824F2"/>
    <w:rsid w:val="00882E07"/>
    <w:rsid w:val="00885B92"/>
    <w:rsid w:val="00887877"/>
    <w:rsid w:val="0089154B"/>
    <w:rsid w:val="0089226F"/>
    <w:rsid w:val="00893C1B"/>
    <w:rsid w:val="00895D0C"/>
    <w:rsid w:val="008A0030"/>
    <w:rsid w:val="008A32E3"/>
    <w:rsid w:val="008A3FFD"/>
    <w:rsid w:val="008A41F0"/>
    <w:rsid w:val="008A7F29"/>
    <w:rsid w:val="008B08EA"/>
    <w:rsid w:val="008B1399"/>
    <w:rsid w:val="008B1BE6"/>
    <w:rsid w:val="008B3AED"/>
    <w:rsid w:val="008B5E98"/>
    <w:rsid w:val="008B78FE"/>
    <w:rsid w:val="008C0E28"/>
    <w:rsid w:val="008C140F"/>
    <w:rsid w:val="008C227D"/>
    <w:rsid w:val="008C2F0D"/>
    <w:rsid w:val="008C55EB"/>
    <w:rsid w:val="008C5E34"/>
    <w:rsid w:val="008C7A93"/>
    <w:rsid w:val="008D1ABC"/>
    <w:rsid w:val="008D3C76"/>
    <w:rsid w:val="008D5E0A"/>
    <w:rsid w:val="008D69A1"/>
    <w:rsid w:val="008E22AE"/>
    <w:rsid w:val="008E36E9"/>
    <w:rsid w:val="008E4942"/>
    <w:rsid w:val="008E67FF"/>
    <w:rsid w:val="008F0E87"/>
    <w:rsid w:val="008F290B"/>
    <w:rsid w:val="008F3091"/>
    <w:rsid w:val="00906BB7"/>
    <w:rsid w:val="00915187"/>
    <w:rsid w:val="0091617E"/>
    <w:rsid w:val="0091711B"/>
    <w:rsid w:val="0092000F"/>
    <w:rsid w:val="00920AB6"/>
    <w:rsid w:val="00920C93"/>
    <w:rsid w:val="00923C08"/>
    <w:rsid w:val="009263A5"/>
    <w:rsid w:val="00926EDE"/>
    <w:rsid w:val="00930CDA"/>
    <w:rsid w:val="00931066"/>
    <w:rsid w:val="00933110"/>
    <w:rsid w:val="00936835"/>
    <w:rsid w:val="00940EE8"/>
    <w:rsid w:val="00943E95"/>
    <w:rsid w:val="00944A50"/>
    <w:rsid w:val="0095002C"/>
    <w:rsid w:val="0095124B"/>
    <w:rsid w:val="00951A7E"/>
    <w:rsid w:val="00953CD9"/>
    <w:rsid w:val="009555C8"/>
    <w:rsid w:val="00956852"/>
    <w:rsid w:val="00957F17"/>
    <w:rsid w:val="00962B93"/>
    <w:rsid w:val="00974A40"/>
    <w:rsid w:val="00982664"/>
    <w:rsid w:val="00984F82"/>
    <w:rsid w:val="009903DA"/>
    <w:rsid w:val="009927E9"/>
    <w:rsid w:val="0099393C"/>
    <w:rsid w:val="009951BF"/>
    <w:rsid w:val="009A4019"/>
    <w:rsid w:val="009A4169"/>
    <w:rsid w:val="009A7A9C"/>
    <w:rsid w:val="009B11C8"/>
    <w:rsid w:val="009B23FC"/>
    <w:rsid w:val="009B2498"/>
    <w:rsid w:val="009B2E5E"/>
    <w:rsid w:val="009B6D89"/>
    <w:rsid w:val="009B75CC"/>
    <w:rsid w:val="009C0CBA"/>
    <w:rsid w:val="009C10BC"/>
    <w:rsid w:val="009C6A70"/>
    <w:rsid w:val="009D1A62"/>
    <w:rsid w:val="009D587D"/>
    <w:rsid w:val="009D77D7"/>
    <w:rsid w:val="009E2412"/>
    <w:rsid w:val="009E46D8"/>
    <w:rsid w:val="009F057F"/>
    <w:rsid w:val="009F0813"/>
    <w:rsid w:val="009F2EBA"/>
    <w:rsid w:val="009F2EFC"/>
    <w:rsid w:val="009F5D2C"/>
    <w:rsid w:val="009F6E4F"/>
    <w:rsid w:val="00A00883"/>
    <w:rsid w:val="00A00BBC"/>
    <w:rsid w:val="00A07538"/>
    <w:rsid w:val="00A13ECE"/>
    <w:rsid w:val="00A13F1F"/>
    <w:rsid w:val="00A20B41"/>
    <w:rsid w:val="00A21B3C"/>
    <w:rsid w:val="00A221A7"/>
    <w:rsid w:val="00A22A22"/>
    <w:rsid w:val="00A23761"/>
    <w:rsid w:val="00A23FB4"/>
    <w:rsid w:val="00A2558D"/>
    <w:rsid w:val="00A3028A"/>
    <w:rsid w:val="00A32DB9"/>
    <w:rsid w:val="00A33865"/>
    <w:rsid w:val="00A423E5"/>
    <w:rsid w:val="00A42DAC"/>
    <w:rsid w:val="00A5072F"/>
    <w:rsid w:val="00A551C5"/>
    <w:rsid w:val="00A56C35"/>
    <w:rsid w:val="00A607A2"/>
    <w:rsid w:val="00A626BF"/>
    <w:rsid w:val="00A639A6"/>
    <w:rsid w:val="00A639E0"/>
    <w:rsid w:val="00A65BB4"/>
    <w:rsid w:val="00A7060D"/>
    <w:rsid w:val="00A722F5"/>
    <w:rsid w:val="00A83F91"/>
    <w:rsid w:val="00A86718"/>
    <w:rsid w:val="00A8698A"/>
    <w:rsid w:val="00A869D1"/>
    <w:rsid w:val="00A9459E"/>
    <w:rsid w:val="00A94A34"/>
    <w:rsid w:val="00A953F4"/>
    <w:rsid w:val="00A9666B"/>
    <w:rsid w:val="00A96697"/>
    <w:rsid w:val="00A972FF"/>
    <w:rsid w:val="00AA0E6C"/>
    <w:rsid w:val="00AA115A"/>
    <w:rsid w:val="00AA3F58"/>
    <w:rsid w:val="00AA4D4E"/>
    <w:rsid w:val="00AA5293"/>
    <w:rsid w:val="00AA52A9"/>
    <w:rsid w:val="00AB5C53"/>
    <w:rsid w:val="00AB64BF"/>
    <w:rsid w:val="00AB68BC"/>
    <w:rsid w:val="00AB6916"/>
    <w:rsid w:val="00AE065B"/>
    <w:rsid w:val="00AE1AD3"/>
    <w:rsid w:val="00AE2D1F"/>
    <w:rsid w:val="00AF09BE"/>
    <w:rsid w:val="00AF324D"/>
    <w:rsid w:val="00AF3A96"/>
    <w:rsid w:val="00AF4BC6"/>
    <w:rsid w:val="00AF50CE"/>
    <w:rsid w:val="00AF5B23"/>
    <w:rsid w:val="00AF6E5D"/>
    <w:rsid w:val="00B009CE"/>
    <w:rsid w:val="00B015E2"/>
    <w:rsid w:val="00B04FEC"/>
    <w:rsid w:val="00B06CB3"/>
    <w:rsid w:val="00B121FD"/>
    <w:rsid w:val="00B125B0"/>
    <w:rsid w:val="00B1319B"/>
    <w:rsid w:val="00B21324"/>
    <w:rsid w:val="00B24B0E"/>
    <w:rsid w:val="00B27AC5"/>
    <w:rsid w:val="00B30F34"/>
    <w:rsid w:val="00B312A4"/>
    <w:rsid w:val="00B34773"/>
    <w:rsid w:val="00B40FF1"/>
    <w:rsid w:val="00B4191B"/>
    <w:rsid w:val="00B43D79"/>
    <w:rsid w:val="00B441E0"/>
    <w:rsid w:val="00B47675"/>
    <w:rsid w:val="00B5169A"/>
    <w:rsid w:val="00B54BFE"/>
    <w:rsid w:val="00B55367"/>
    <w:rsid w:val="00B55FCE"/>
    <w:rsid w:val="00B56873"/>
    <w:rsid w:val="00B6075E"/>
    <w:rsid w:val="00B62139"/>
    <w:rsid w:val="00B67E52"/>
    <w:rsid w:val="00B72F66"/>
    <w:rsid w:val="00B741AA"/>
    <w:rsid w:val="00B75A1B"/>
    <w:rsid w:val="00B8051E"/>
    <w:rsid w:val="00B818CC"/>
    <w:rsid w:val="00B8450C"/>
    <w:rsid w:val="00B87F3F"/>
    <w:rsid w:val="00B9713F"/>
    <w:rsid w:val="00B97D43"/>
    <w:rsid w:val="00BA7F8F"/>
    <w:rsid w:val="00BB189E"/>
    <w:rsid w:val="00BB257F"/>
    <w:rsid w:val="00BB4415"/>
    <w:rsid w:val="00BB6FEC"/>
    <w:rsid w:val="00BC41E8"/>
    <w:rsid w:val="00BD0360"/>
    <w:rsid w:val="00BD50B6"/>
    <w:rsid w:val="00BD64A7"/>
    <w:rsid w:val="00BD6AEF"/>
    <w:rsid w:val="00BE3DDA"/>
    <w:rsid w:val="00BE410C"/>
    <w:rsid w:val="00BE6946"/>
    <w:rsid w:val="00BF44A2"/>
    <w:rsid w:val="00C03985"/>
    <w:rsid w:val="00C043B7"/>
    <w:rsid w:val="00C2196C"/>
    <w:rsid w:val="00C24A4C"/>
    <w:rsid w:val="00C314EE"/>
    <w:rsid w:val="00C333FF"/>
    <w:rsid w:val="00C35CD5"/>
    <w:rsid w:val="00C35E32"/>
    <w:rsid w:val="00C44A10"/>
    <w:rsid w:val="00C46E6A"/>
    <w:rsid w:val="00C51C8C"/>
    <w:rsid w:val="00C55ACA"/>
    <w:rsid w:val="00C5670D"/>
    <w:rsid w:val="00C579A9"/>
    <w:rsid w:val="00C60F0A"/>
    <w:rsid w:val="00C612F9"/>
    <w:rsid w:val="00C6142C"/>
    <w:rsid w:val="00C63535"/>
    <w:rsid w:val="00C63745"/>
    <w:rsid w:val="00C65354"/>
    <w:rsid w:val="00C656F3"/>
    <w:rsid w:val="00C65EB6"/>
    <w:rsid w:val="00C72D17"/>
    <w:rsid w:val="00C73B94"/>
    <w:rsid w:val="00C76663"/>
    <w:rsid w:val="00C8003B"/>
    <w:rsid w:val="00C823B0"/>
    <w:rsid w:val="00C83FAD"/>
    <w:rsid w:val="00C93263"/>
    <w:rsid w:val="00C96B30"/>
    <w:rsid w:val="00CA41B8"/>
    <w:rsid w:val="00CA6072"/>
    <w:rsid w:val="00CA700C"/>
    <w:rsid w:val="00CA723B"/>
    <w:rsid w:val="00CB1D51"/>
    <w:rsid w:val="00CB2C30"/>
    <w:rsid w:val="00CB70E5"/>
    <w:rsid w:val="00CC1C93"/>
    <w:rsid w:val="00CC23AB"/>
    <w:rsid w:val="00CC2C52"/>
    <w:rsid w:val="00CC5FAC"/>
    <w:rsid w:val="00CC60D7"/>
    <w:rsid w:val="00CD073C"/>
    <w:rsid w:val="00CD3910"/>
    <w:rsid w:val="00CD7E17"/>
    <w:rsid w:val="00CE1408"/>
    <w:rsid w:val="00CE1A04"/>
    <w:rsid w:val="00CE3A4C"/>
    <w:rsid w:val="00CE4C91"/>
    <w:rsid w:val="00CF4F69"/>
    <w:rsid w:val="00CF5CE9"/>
    <w:rsid w:val="00CF5E0F"/>
    <w:rsid w:val="00CF699C"/>
    <w:rsid w:val="00D054BC"/>
    <w:rsid w:val="00D063DA"/>
    <w:rsid w:val="00D06678"/>
    <w:rsid w:val="00D15EC5"/>
    <w:rsid w:val="00D16A0A"/>
    <w:rsid w:val="00D2033F"/>
    <w:rsid w:val="00D21B87"/>
    <w:rsid w:val="00D21BED"/>
    <w:rsid w:val="00D2602C"/>
    <w:rsid w:val="00D30A56"/>
    <w:rsid w:val="00D31ED6"/>
    <w:rsid w:val="00D403FA"/>
    <w:rsid w:val="00D41AE4"/>
    <w:rsid w:val="00D43DAD"/>
    <w:rsid w:val="00D46E0B"/>
    <w:rsid w:val="00D50101"/>
    <w:rsid w:val="00D50182"/>
    <w:rsid w:val="00D566F3"/>
    <w:rsid w:val="00D601E7"/>
    <w:rsid w:val="00D63E35"/>
    <w:rsid w:val="00D67409"/>
    <w:rsid w:val="00D73A62"/>
    <w:rsid w:val="00D766A3"/>
    <w:rsid w:val="00D80A2A"/>
    <w:rsid w:val="00D818FA"/>
    <w:rsid w:val="00D83C5E"/>
    <w:rsid w:val="00D83E7E"/>
    <w:rsid w:val="00D86378"/>
    <w:rsid w:val="00D871F8"/>
    <w:rsid w:val="00D96C54"/>
    <w:rsid w:val="00D96D07"/>
    <w:rsid w:val="00DA5D25"/>
    <w:rsid w:val="00DB00F5"/>
    <w:rsid w:val="00DB551C"/>
    <w:rsid w:val="00DC0619"/>
    <w:rsid w:val="00DC2527"/>
    <w:rsid w:val="00DC43F9"/>
    <w:rsid w:val="00DC675D"/>
    <w:rsid w:val="00DC6B73"/>
    <w:rsid w:val="00DC6E8F"/>
    <w:rsid w:val="00DD05E5"/>
    <w:rsid w:val="00DD2345"/>
    <w:rsid w:val="00DD38C5"/>
    <w:rsid w:val="00DD58B0"/>
    <w:rsid w:val="00DD5A2A"/>
    <w:rsid w:val="00DD5A53"/>
    <w:rsid w:val="00DD5D2A"/>
    <w:rsid w:val="00DD61FA"/>
    <w:rsid w:val="00DE05D3"/>
    <w:rsid w:val="00DE6B05"/>
    <w:rsid w:val="00DE7920"/>
    <w:rsid w:val="00DE7B21"/>
    <w:rsid w:val="00DF23AD"/>
    <w:rsid w:val="00DF505D"/>
    <w:rsid w:val="00DF7EBD"/>
    <w:rsid w:val="00E007F4"/>
    <w:rsid w:val="00E0197E"/>
    <w:rsid w:val="00E023CE"/>
    <w:rsid w:val="00E038BD"/>
    <w:rsid w:val="00E04E7F"/>
    <w:rsid w:val="00E10E39"/>
    <w:rsid w:val="00E10EE1"/>
    <w:rsid w:val="00E12023"/>
    <w:rsid w:val="00E139C4"/>
    <w:rsid w:val="00E1706C"/>
    <w:rsid w:val="00E20CE2"/>
    <w:rsid w:val="00E2128F"/>
    <w:rsid w:val="00E24921"/>
    <w:rsid w:val="00E37130"/>
    <w:rsid w:val="00E41640"/>
    <w:rsid w:val="00E4208A"/>
    <w:rsid w:val="00E510C4"/>
    <w:rsid w:val="00E532CF"/>
    <w:rsid w:val="00E53ACB"/>
    <w:rsid w:val="00E54463"/>
    <w:rsid w:val="00E5465E"/>
    <w:rsid w:val="00E54B8E"/>
    <w:rsid w:val="00E600C2"/>
    <w:rsid w:val="00E6393D"/>
    <w:rsid w:val="00E64A10"/>
    <w:rsid w:val="00E64F9D"/>
    <w:rsid w:val="00E666DE"/>
    <w:rsid w:val="00E6679D"/>
    <w:rsid w:val="00E70296"/>
    <w:rsid w:val="00E7127F"/>
    <w:rsid w:val="00E723C2"/>
    <w:rsid w:val="00E73194"/>
    <w:rsid w:val="00E73BA7"/>
    <w:rsid w:val="00E75D41"/>
    <w:rsid w:val="00E76694"/>
    <w:rsid w:val="00E77A39"/>
    <w:rsid w:val="00E81E7F"/>
    <w:rsid w:val="00E83FE4"/>
    <w:rsid w:val="00E85CD4"/>
    <w:rsid w:val="00E8706F"/>
    <w:rsid w:val="00E91114"/>
    <w:rsid w:val="00E915F2"/>
    <w:rsid w:val="00E922AD"/>
    <w:rsid w:val="00E92DAA"/>
    <w:rsid w:val="00E95744"/>
    <w:rsid w:val="00E971B6"/>
    <w:rsid w:val="00EA096B"/>
    <w:rsid w:val="00EA1E21"/>
    <w:rsid w:val="00EA61BE"/>
    <w:rsid w:val="00EB15B6"/>
    <w:rsid w:val="00EB3D62"/>
    <w:rsid w:val="00EB61BF"/>
    <w:rsid w:val="00EC090F"/>
    <w:rsid w:val="00EC4ECD"/>
    <w:rsid w:val="00EC61D3"/>
    <w:rsid w:val="00ED0799"/>
    <w:rsid w:val="00ED1B1E"/>
    <w:rsid w:val="00ED7592"/>
    <w:rsid w:val="00ED76A0"/>
    <w:rsid w:val="00EE14F6"/>
    <w:rsid w:val="00EE1988"/>
    <w:rsid w:val="00EE1D02"/>
    <w:rsid w:val="00EE1E49"/>
    <w:rsid w:val="00EE22D1"/>
    <w:rsid w:val="00EE7EB3"/>
    <w:rsid w:val="00EF006C"/>
    <w:rsid w:val="00EF33D8"/>
    <w:rsid w:val="00EF3782"/>
    <w:rsid w:val="00F025CA"/>
    <w:rsid w:val="00F0276F"/>
    <w:rsid w:val="00F02FCC"/>
    <w:rsid w:val="00F102E0"/>
    <w:rsid w:val="00F1044A"/>
    <w:rsid w:val="00F114CA"/>
    <w:rsid w:val="00F14ED0"/>
    <w:rsid w:val="00F15ADC"/>
    <w:rsid w:val="00F1758D"/>
    <w:rsid w:val="00F2129E"/>
    <w:rsid w:val="00F233D4"/>
    <w:rsid w:val="00F25542"/>
    <w:rsid w:val="00F312EF"/>
    <w:rsid w:val="00F331E7"/>
    <w:rsid w:val="00F343E4"/>
    <w:rsid w:val="00F34BC4"/>
    <w:rsid w:val="00F37393"/>
    <w:rsid w:val="00F40517"/>
    <w:rsid w:val="00F41600"/>
    <w:rsid w:val="00F418C1"/>
    <w:rsid w:val="00F42799"/>
    <w:rsid w:val="00F44C00"/>
    <w:rsid w:val="00F54426"/>
    <w:rsid w:val="00F5609F"/>
    <w:rsid w:val="00F603BB"/>
    <w:rsid w:val="00F623EB"/>
    <w:rsid w:val="00F71F22"/>
    <w:rsid w:val="00F71F85"/>
    <w:rsid w:val="00F7433E"/>
    <w:rsid w:val="00F8100A"/>
    <w:rsid w:val="00F81E9A"/>
    <w:rsid w:val="00F83ACE"/>
    <w:rsid w:val="00F85517"/>
    <w:rsid w:val="00F86787"/>
    <w:rsid w:val="00F868BC"/>
    <w:rsid w:val="00F90BBB"/>
    <w:rsid w:val="00F9536E"/>
    <w:rsid w:val="00F97990"/>
    <w:rsid w:val="00FA32E9"/>
    <w:rsid w:val="00FA4293"/>
    <w:rsid w:val="00FA7FE6"/>
    <w:rsid w:val="00FB18F9"/>
    <w:rsid w:val="00FB27CB"/>
    <w:rsid w:val="00FB39C7"/>
    <w:rsid w:val="00FB7AC5"/>
    <w:rsid w:val="00FC3577"/>
    <w:rsid w:val="00FC5D2F"/>
    <w:rsid w:val="00FC6C95"/>
    <w:rsid w:val="00FC77D7"/>
    <w:rsid w:val="00FD0938"/>
    <w:rsid w:val="00FD5FB7"/>
    <w:rsid w:val="00FD68D8"/>
    <w:rsid w:val="00FE1039"/>
    <w:rsid w:val="00FE2133"/>
    <w:rsid w:val="00FE5FFA"/>
    <w:rsid w:val="00FF34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180217"/>
  <w15:chartTrackingRefBased/>
  <w15:docId w15:val="{16D381E0-A101-4371-A263-6329A3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Bullet" w:qFormat="1"/>
    <w:lsdException w:name="List Number" w:qFormat="1"/>
    <w:lsdException w:name="Title" w:uiPriority="10"/>
    <w:lsdException w:name="Subtitle" w:uiPriority="11"/>
    <w:lsdException w:name="Hyperlink" w:uiPriority="99"/>
    <w:lsdException w:name="FollowedHyperlink" w:uiPriority="99"/>
    <w:lsdException w:name="Strong" w:uiPriority="22"/>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742BF1"/>
  </w:style>
  <w:style w:type="paragraph" w:styleId="Nadpis1">
    <w:name w:val="heading 1"/>
    <w:basedOn w:val="ZPNadpis1"/>
    <w:next w:val="Odstavec1"/>
    <w:link w:val="Nadpis1Char"/>
    <w:uiPriority w:val="9"/>
    <w:qFormat/>
    <w:rsid w:val="00AB64BF"/>
    <w:pPr>
      <w:pageBreakBefore w:val="0"/>
      <w:numPr>
        <w:numId w:val="13"/>
      </w:numPr>
      <w:ind w:left="357" w:hanging="357"/>
    </w:pPr>
  </w:style>
  <w:style w:type="paragraph" w:styleId="Nadpis2">
    <w:name w:val="heading 2"/>
    <w:basedOn w:val="ZPNadpis2"/>
    <w:next w:val="Odstavec1"/>
    <w:link w:val="Nadpis2Char"/>
    <w:uiPriority w:val="1"/>
    <w:qFormat/>
    <w:rsid w:val="0006632C"/>
    <w:pPr>
      <w:numPr>
        <w:ilvl w:val="1"/>
        <w:numId w:val="13"/>
      </w:numPr>
    </w:pPr>
    <w:rPr>
      <w:bCs w:val="0"/>
      <w:iCs/>
    </w:rPr>
  </w:style>
  <w:style w:type="paragraph" w:styleId="Nadpis3">
    <w:name w:val="heading 3"/>
    <w:basedOn w:val="ZPNadpis3"/>
    <w:next w:val="Odstavec1"/>
    <w:link w:val="Nadpis3Char"/>
    <w:uiPriority w:val="9"/>
    <w:qFormat/>
    <w:rsid w:val="0006632C"/>
    <w:pPr>
      <w:numPr>
        <w:ilvl w:val="2"/>
        <w:numId w:val="13"/>
      </w:numPr>
    </w:pPr>
  </w:style>
  <w:style w:type="paragraph" w:styleId="Nadpis4">
    <w:name w:val="heading 4"/>
    <w:basedOn w:val="Normln"/>
    <w:next w:val="Normln"/>
    <w:link w:val="Nadpis4Char"/>
    <w:uiPriority w:val="9"/>
    <w:unhideWhenUsed/>
    <w:rsid w:val="00743F57"/>
    <w:pPr>
      <w:keepNext/>
      <w:spacing w:before="240" w:after="60"/>
      <w:outlineLvl w:val="3"/>
    </w:pPr>
    <w:rPr>
      <w:rFonts w:ascii="Calibri" w:hAnsi="Calibri"/>
      <w:b/>
      <w:bCs/>
      <w:sz w:val="28"/>
      <w:szCs w:val="28"/>
    </w:rPr>
  </w:style>
  <w:style w:type="paragraph" w:styleId="Nadpis5">
    <w:name w:val="heading 5"/>
    <w:basedOn w:val="Nadpis3"/>
    <w:next w:val="Normln"/>
    <w:link w:val="Nadpis5Char"/>
    <w:uiPriority w:val="9"/>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743F57"/>
    <w:rPr>
      <w:rFonts w:ascii="Calibri" w:eastAsia="Times New Roman" w:hAnsi="Calibri" w:cs="Times New Roman"/>
      <w:b/>
      <w:bCs/>
      <w:sz w:val="28"/>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Dalodstavce">
    <w:name w:val="Další odstavce"/>
    <w:basedOn w:val="ZPZklad"/>
    <w:link w:val="DalodstavceChar"/>
    <w:uiPriority w:val="10"/>
    <w:qFormat/>
    <w:rsid w:val="00EE7EB3"/>
    <w:pPr>
      <w:spacing w:line="360" w:lineRule="auto"/>
      <w:ind w:firstLine="482"/>
    </w:pPr>
    <w:rPr>
      <w:rFonts w:ascii="Times New Roman" w:hAnsi="Times New Roman"/>
    </w:rPr>
  </w:style>
  <w:style w:type="character" w:customStyle="1" w:styleId="DalodstavceChar">
    <w:name w:val="Další odstavce Char"/>
    <w:basedOn w:val="ZPZkladChar"/>
    <w:link w:val="Dalodstavce"/>
    <w:uiPriority w:val="10"/>
    <w:rsid w:val="00EE7EB3"/>
    <w:rPr>
      <w:rFonts w:ascii="Times New Roman" w:hAnsi="Times New Roman"/>
      <w:sz w:val="24"/>
      <w:szCs w:val="24"/>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Nadpis1vodn">
    <w:name w:val="ZP Nadpis 1 úvodní"/>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Vetsodrkami">
    <w:name w:val="ZP: Výčet s odrážkami"/>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rsid w:val="00E73194"/>
    <w:pPr>
      <w:ind w:left="300" w:hanging="300"/>
      <w:jc w:val="left"/>
    </w:pPr>
    <w:rPr>
      <w:sz w:val="20"/>
      <w:szCs w:val="20"/>
    </w:rPr>
  </w:style>
  <w:style w:type="character" w:styleId="Znakapoznpodarou">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A86718"/>
    <w:pPr>
      <w:ind w:left="720"/>
    </w:pPr>
    <w:rPr>
      <w:sz w:val="20"/>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Obsah10"/>
    <w:uiPriority w:val="39"/>
    <w:rsid w:val="00D06678"/>
  </w:style>
  <w:style w:type="paragraph" w:customStyle="1" w:styleId="Obsah10">
    <w:name w:val="Obsah 10"/>
    <w:basedOn w:val="Obsah1"/>
    <w:rsid w:val="00D06678"/>
    <w:pPr>
      <w:tabs>
        <w:tab w:val="clear" w:pos="480"/>
        <w:tab w:val="left" w:pos="851"/>
      </w:tabs>
      <w:spacing w:before="120" w:after="0"/>
    </w:pPr>
    <w:rPr>
      <w:b w:val="0"/>
    </w:r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slovnkapitol">
    <w:name w:val="Číslování kapitol"/>
    <w:uiPriority w:val="99"/>
    <w:rsid w:val="0006632C"/>
    <w:pPr>
      <w:numPr>
        <w:numId w:val="5"/>
      </w:numPr>
    </w:pPr>
  </w:style>
  <w:style w:type="table" w:styleId="Mkatabulky">
    <w:name w:val="Table Grid"/>
    <w:basedOn w:val="Normlntabulka"/>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DF505D"/>
    <w:pPr>
      <w:numPr>
        <w:numId w:val="3"/>
      </w:numPr>
      <w:spacing w:before="60"/>
      <w:jc w:val="left"/>
    </w:p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Ploha1">
    <w:name w:val="Příloha 1"/>
    <w:basedOn w:val="ZPNadpis1"/>
    <w:next w:val="ZPZklad"/>
    <w:link w:val="Ploha1Char"/>
    <w:uiPriority w:val="49"/>
    <w:qFormat/>
    <w:rsid w:val="00F102E0"/>
    <w:pPr>
      <w:numPr>
        <w:numId w:val="6"/>
      </w:numPr>
      <w:ind w:left="360"/>
    </w:pPr>
  </w:style>
  <w:style w:type="paragraph" w:customStyle="1" w:styleId="Ploha2">
    <w:name w:val="Příloha 2"/>
    <w:basedOn w:val="ZPNadpis2"/>
    <w:next w:val="ZPZklad"/>
    <w:link w:val="Ploha2Char"/>
    <w:uiPriority w:val="50"/>
    <w:qFormat/>
    <w:rsid w:val="00845927"/>
    <w:pPr>
      <w:numPr>
        <w:ilvl w:val="1"/>
        <w:numId w:val="6"/>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ZPOddlovaseznam">
    <w:name w:val="ZP: Oddělovač seznamů"/>
    <w:basedOn w:val="ZPZklad"/>
    <w:uiPriority w:val="32"/>
    <w:qFormat/>
    <w:rsid w:val="007C050F"/>
    <w:pPr>
      <w:spacing w:line="140" w:lineRule="exact"/>
    </w:p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Ploha1Char">
    <w:name w:val="Příloha 1 Char"/>
    <w:basedOn w:val="Standardnpsmoodstavce"/>
    <w:link w:val="Ploha1"/>
    <w:uiPriority w:val="49"/>
    <w:rsid w:val="000D7A70"/>
    <w:rPr>
      <w:rFonts w:ascii="Arial" w:hAnsi="Arial" w:cs="Arial"/>
      <w:b/>
      <w:bCs/>
      <w:color w:val="0000DC"/>
      <w:sz w:val="34"/>
      <w:szCs w:val="40"/>
    </w:rPr>
  </w:style>
  <w:style w:type="numbering" w:customStyle="1" w:styleId="slovnploh">
    <w:name w:val="Číslování příloh"/>
    <w:uiPriority w:val="99"/>
    <w:rsid w:val="00F102E0"/>
    <w:pPr>
      <w:numPr>
        <w:numId w:val="6"/>
      </w:numPr>
    </w:pPr>
  </w:style>
  <w:style w:type="character" w:customStyle="1" w:styleId="TextpoznpodarouChar">
    <w:name w:val="Text pozn. pod čarou Char"/>
    <w:link w:val="Textpoznpodarou"/>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AB6916"/>
    <w:rPr>
      <w:rFonts w:ascii="Arial" w:hAnsi="Arial"/>
      <w:b/>
      <w:bCs/>
      <w:color w:val="0000DC"/>
      <w:sz w:val="24"/>
      <w:szCs w:val="24"/>
      <w:lang w:eastAsia="sk-SK"/>
    </w:rPr>
  </w:style>
  <w:style w:type="character" w:customStyle="1" w:styleId="Nadpis8Char">
    <w:name w:val="Nadpis 8 Char"/>
    <w:link w:val="Nadpis8"/>
    <w:uiPriority w:val="9"/>
    <w:rsid w:val="00AB6916"/>
    <w:rPr>
      <w:rFonts w:ascii="Arial" w:hAnsi="Arial"/>
      <w:b/>
      <w:color w:val="0000DC"/>
      <w:sz w:val="24"/>
      <w:szCs w:val="24"/>
      <w:lang w:eastAsia="sk-SK"/>
    </w:rPr>
  </w:style>
  <w:style w:type="character" w:customStyle="1" w:styleId="Ploha2Char">
    <w:name w:val="Příloha 2 Char"/>
    <w:basedOn w:val="Standardnpsmoodstavce"/>
    <w:link w:val="Ploha2"/>
    <w:uiPriority w:val="50"/>
    <w:rsid w:val="000D7A70"/>
    <w:rPr>
      <w:rFonts w:ascii="Arial" w:hAnsi="Arial" w:cs="Arial"/>
      <w:bCs/>
      <w:color w:val="0000DC"/>
      <w:sz w:val="28"/>
      <w:szCs w:val="28"/>
    </w:rPr>
  </w:style>
  <w:style w:type="character" w:customStyle="1" w:styleId="Nadpis1Char">
    <w:name w:val="Nadpis 1 Char"/>
    <w:link w:val="Nadpis1"/>
    <w:uiPriority w:val="9"/>
    <w:rsid w:val="00AB64BF"/>
    <w:rPr>
      <w:rFonts w:ascii="Arial" w:hAnsi="Arial" w:cs="Arial"/>
      <w:b/>
      <w:bCs/>
      <w:color w:val="0000DC"/>
      <w:sz w:val="34"/>
      <w:szCs w:val="40"/>
    </w:rPr>
  </w:style>
  <w:style w:type="character" w:customStyle="1" w:styleId="Nadpis2Char">
    <w:name w:val="Nadpis 2 Char"/>
    <w:link w:val="Nadpis2"/>
    <w:uiPriority w:val="1"/>
    <w:rsid w:val="00742BF1"/>
    <w:rPr>
      <w:rFonts w:ascii="Arial" w:hAnsi="Arial" w:cs="Arial"/>
      <w:iCs/>
      <w:color w:val="0000DC"/>
      <w:sz w:val="28"/>
      <w:szCs w:val="28"/>
    </w:rPr>
  </w:style>
  <w:style w:type="character" w:customStyle="1" w:styleId="Nadpis3Char">
    <w:name w:val="Nadpis 3 Char"/>
    <w:link w:val="Nadpis3"/>
    <w:uiPriority w:val="9"/>
    <w:rsid w:val="00F114CA"/>
    <w:rPr>
      <w:rFonts w:ascii="Arial" w:hAnsi="Arial" w:cs="Arial"/>
      <w:b/>
      <w:bCs/>
      <w:color w:val="0000DC"/>
      <w:sz w:val="24"/>
      <w:szCs w:val="24"/>
    </w:rPr>
  </w:style>
  <w:style w:type="paragraph" w:styleId="Nadpisobsahu">
    <w:name w:val="TOC Heading"/>
    <w:basedOn w:val="Nadpis1"/>
    <w:next w:val="Normln"/>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rsid w:val="00AB6916"/>
    <w:rPr>
      <w:b/>
      <w:bCs/>
    </w:rPr>
  </w:style>
  <w:style w:type="paragraph" w:styleId="Nzev">
    <w:name w:val="Title"/>
    <w:basedOn w:val="Nadpis1"/>
    <w:next w:val="Normln"/>
    <w:link w:val="NzevChar"/>
    <w:uiPriority w:val="10"/>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Odstavec1"/>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b/>
      <w:lang w:val="sk-SK" w:eastAsia="sk-SK"/>
    </w:rPr>
  </w:style>
  <w:style w:type="paragraph" w:customStyle="1" w:styleId="Podtitul">
    <w:name w:val="Podtitul"/>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szCs w:val="24"/>
      <w:lang w:eastAsia="sk-SK"/>
    </w:rPr>
  </w:style>
  <w:style w:type="paragraph" w:customStyle="1" w:styleId="ZPCitacezkona">
    <w:name w:val="ZP: Citace zákona"/>
    <w:basedOn w:val="ZPZklad"/>
    <w:rsid w:val="00A8698A"/>
    <w:rPr>
      <w:i/>
    </w:rPr>
  </w:style>
  <w:style w:type="paragraph" w:customStyle="1" w:styleId="Nadpis10">
    <w:name w:val="Nadpis 1*"/>
    <w:basedOn w:val="ZPNadpis1"/>
    <w:next w:val="Odstavec1"/>
    <w:uiPriority w:val="39"/>
    <w:qFormat/>
    <w:rsid w:val="004A72B1"/>
    <w:pPr>
      <w:pageBreakBefore w:val="0"/>
    </w:pPr>
  </w:style>
  <w:style w:type="paragraph" w:customStyle="1" w:styleId="Nadpis20">
    <w:name w:val="Nadpis 2*"/>
    <w:basedOn w:val="ZPNadpis2"/>
    <w:next w:val="Odstavec1"/>
    <w:uiPriority w:val="40"/>
    <w:qFormat/>
    <w:rsid w:val="008A7F29"/>
  </w:style>
  <w:style w:type="paragraph" w:customStyle="1" w:styleId="Nadpis30">
    <w:name w:val="Nadpis 3*"/>
    <w:basedOn w:val="ZPNadpis3"/>
    <w:next w:val="Odstavec1"/>
    <w:uiPriority w:val="41"/>
    <w:qFormat/>
    <w:rsid w:val="00F114CA"/>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8B1BE6"/>
  </w:style>
  <w:style w:type="character" w:styleId="Hypertextovodkaz">
    <w:name w:val="Hyperlink"/>
    <w:basedOn w:val="Standardnpsmoodstavce"/>
    <w:uiPriority w:val="99"/>
    <w:unhideWhenUsed/>
    <w:rsid w:val="008B1BE6"/>
    <w:rPr>
      <w:color w:val="0563C1" w:themeColor="hyperlink"/>
      <w:u w:val="single"/>
    </w:rPr>
  </w:style>
  <w:style w:type="paragraph" w:customStyle="1" w:styleId="Obrzek">
    <w:name w:val="Obrázek"/>
    <w:basedOn w:val="ZPZklad"/>
    <w:rsid w:val="003E7C04"/>
    <w:pPr>
      <w:keepNext/>
      <w:spacing w:before="240" w:line="281" w:lineRule="auto"/>
      <w:jc w:val="center"/>
    </w:pPr>
  </w:style>
  <w:style w:type="paragraph" w:customStyle="1" w:styleId="Odstavec1">
    <w:name w:val="Odstavec 1"/>
    <w:basedOn w:val="ZPZklad"/>
    <w:next w:val="Dalodstavce"/>
    <w:link w:val="Odstavec1Char"/>
    <w:uiPriority w:val="9"/>
    <w:qFormat/>
    <w:rsid w:val="00EE7EB3"/>
    <w:pPr>
      <w:spacing w:line="360" w:lineRule="auto"/>
    </w:pPr>
    <w:rPr>
      <w:rFonts w:ascii="Times New Roman" w:hAnsi="Times New Roman"/>
    </w:rPr>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Odstavec1"/>
    <w:link w:val="CittChar"/>
    <w:uiPriority w:val="19"/>
    <w:qFormat/>
    <w:rsid w:val="007D341B"/>
    <w:pPr>
      <w:spacing w:before="240" w:after="240"/>
      <w:ind w:left="960" w:right="960"/>
      <w:contextualSpacing/>
    </w:pPr>
    <w:rPr>
      <w:i/>
    </w:rPr>
  </w:style>
  <w:style w:type="character" w:customStyle="1" w:styleId="CittChar">
    <w:name w:val="Citát Char"/>
    <w:basedOn w:val="Standardnpsmoodstavce"/>
    <w:link w:val="Citt"/>
    <w:uiPriority w:val="19"/>
    <w:rsid w:val="001B43CD"/>
    <w:rPr>
      <w:rFonts w:ascii="Cambria" w:hAnsi="Cambria"/>
      <w:i/>
      <w:sz w:val="24"/>
      <w:szCs w:val="24"/>
    </w:rPr>
  </w:style>
  <w:style w:type="paragraph" w:customStyle="1" w:styleId="Citt-pokraovn">
    <w:name w:val="Citát - pokračování"/>
    <w:basedOn w:val="Citt"/>
    <w:uiPriority w:val="21"/>
    <w:qFormat/>
    <w:rsid w:val="00E64A10"/>
    <w:pPr>
      <w:spacing w:before="0"/>
      <w:ind w:left="958" w:right="958" w:firstLine="482"/>
    </w:pPr>
  </w:style>
  <w:style w:type="table" w:customStyle="1" w:styleId="ZPTabulka">
    <w:name w:val="ZP Tabulka"/>
    <w:basedOn w:val="Normlntabulka"/>
    <w:uiPriority w:val="99"/>
    <w:rsid w:val="00837662"/>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val="0"/>
      </w:rPr>
      <w:tbl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insideH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t"/>
    <w:next w:val="Citt-pokraovn"/>
    <w:link w:val="Citt-zatekChar"/>
    <w:uiPriority w:val="20"/>
    <w:qFormat/>
    <w:rsid w:val="00E64A10"/>
    <w:pPr>
      <w:spacing w:after="0"/>
      <w:ind w:left="958" w:right="958"/>
    </w:pPr>
  </w:style>
  <w:style w:type="character" w:customStyle="1" w:styleId="Citt-zatekChar">
    <w:name w:val="Citát - začátek Char"/>
    <w:basedOn w:val="CittChar"/>
    <w:link w:val="Citt-zatek"/>
    <w:uiPriority w:val="20"/>
    <w:rsid w:val="001B43CD"/>
    <w:rPr>
      <w:rFonts w:ascii="Cambria" w:hAnsi="Cambria"/>
      <w:i/>
      <w:sz w:val="24"/>
      <w:szCs w:val="24"/>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34"/>
    <w:qFormat/>
    <w:rsid w:val="00DD5A53"/>
    <w:pPr>
      <w:ind w:left="720"/>
      <w:contextualSpacing/>
    </w:pPr>
  </w:style>
  <w:style w:type="paragraph" w:styleId="slovanseznam">
    <w:name w:val="List Number"/>
    <w:basedOn w:val="ZPZklad"/>
    <w:uiPriority w:val="29"/>
    <w:qFormat/>
    <w:rsid w:val="00033D24"/>
    <w:pPr>
      <w:numPr>
        <w:numId w:val="7"/>
      </w:numPr>
      <w:spacing w:before="120" w:after="120"/>
      <w:ind w:left="544" w:hanging="62"/>
      <w:contextualSpacing/>
    </w:pPr>
  </w:style>
  <w:style w:type="paragraph" w:styleId="slovanseznam2">
    <w:name w:val="List Number 2"/>
    <w:basedOn w:val="Normln"/>
    <w:rsid w:val="00DD5A53"/>
    <w:pPr>
      <w:numPr>
        <w:numId w:val="8"/>
      </w:numPr>
      <w:contextualSpacing/>
    </w:pPr>
  </w:style>
  <w:style w:type="paragraph" w:styleId="slovanseznam3">
    <w:name w:val="List Number 3"/>
    <w:basedOn w:val="Normln"/>
    <w:rsid w:val="00DD5A53"/>
    <w:pPr>
      <w:numPr>
        <w:numId w:val="9"/>
      </w:numPr>
      <w:contextualSpacing/>
    </w:pPr>
  </w:style>
  <w:style w:type="paragraph" w:styleId="slovanseznam4">
    <w:name w:val="List Number 4"/>
    <w:basedOn w:val="Normln"/>
    <w:rsid w:val="00DD5A53"/>
    <w:pPr>
      <w:numPr>
        <w:numId w:val="10"/>
      </w:numPr>
      <w:contextualSpacing/>
    </w:pPr>
  </w:style>
  <w:style w:type="paragraph" w:styleId="slovanseznam5">
    <w:name w:val="List Number 5"/>
    <w:basedOn w:val="Normln"/>
    <w:rsid w:val="00DD5A53"/>
    <w:pPr>
      <w:numPr>
        <w:numId w:val="11"/>
      </w:numPr>
      <w:contextualSpacing/>
    </w:pPr>
  </w:style>
  <w:style w:type="paragraph" w:styleId="Seznamsodrkami">
    <w:name w:val="List Bullet"/>
    <w:basedOn w:val="ZPZklad"/>
    <w:uiPriority w:val="31"/>
    <w:qFormat/>
    <w:rsid w:val="00161E5E"/>
    <w:pPr>
      <w:numPr>
        <w:numId w:val="12"/>
      </w:numPr>
      <w:ind w:hanging="256"/>
      <w:contextualSpacing/>
    </w:p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30"/>
    <w:qFormat/>
    <w:rsid w:val="007677DD"/>
    <w:pPr>
      <w:ind w:left="540" w:firstLine="480"/>
    </w:p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434981"/>
    <w:pPr>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Pklad-nadpis">
    <w:name w:val="Příklad - nadpis"/>
    <w:basedOn w:val="Odstavec1"/>
    <w:next w:val="Pklad-text"/>
    <w:link w:val="Pklad-nadpisChar"/>
    <w:uiPriority w:val="69"/>
    <w:qFormat/>
    <w:rsid w:val="004C3A23"/>
    <w:pPr>
      <w:keepNext/>
      <w:spacing w:before="240"/>
    </w:pPr>
    <w:rPr>
      <w:rFonts w:ascii="Arial" w:hAnsi="Arial" w:cs="Arial"/>
      <w:color w:val="0000DC"/>
    </w:rPr>
  </w:style>
  <w:style w:type="paragraph" w:customStyle="1" w:styleId="Pklad-text">
    <w:name w:val="Příklad - text"/>
    <w:basedOn w:val="Odstavec1"/>
    <w:link w:val="Pklad-textChar"/>
    <w:uiPriority w:val="70"/>
    <w:qFormat/>
    <w:rsid w:val="00033D24"/>
    <w:pPr>
      <w:ind w:left="480"/>
    </w:pPr>
  </w:style>
  <w:style w:type="character" w:customStyle="1" w:styleId="Odstavec1Char">
    <w:name w:val="Odstavec 1 Char"/>
    <w:basedOn w:val="ZPZkladChar"/>
    <w:link w:val="Odstavec1"/>
    <w:uiPriority w:val="9"/>
    <w:rsid w:val="00EE7EB3"/>
    <w:rPr>
      <w:rFonts w:ascii="Times New Roman" w:hAnsi="Times New Roman"/>
      <w:sz w:val="24"/>
      <w:szCs w:val="24"/>
    </w:rPr>
  </w:style>
  <w:style w:type="character" w:customStyle="1" w:styleId="Pklad-nadpisChar">
    <w:name w:val="Příklad - nadpis Char"/>
    <w:basedOn w:val="Odstavec1Char"/>
    <w:link w:val="Pklad-nadpis"/>
    <w:uiPriority w:val="69"/>
    <w:rsid w:val="001B43CD"/>
    <w:rPr>
      <w:rFonts w:ascii="Arial" w:hAnsi="Arial" w:cs="Arial"/>
      <w:color w:val="0000DC"/>
      <w:sz w:val="24"/>
      <w:szCs w:val="24"/>
    </w:rPr>
  </w:style>
  <w:style w:type="paragraph" w:styleId="Bibliografie">
    <w:name w:val="Bibliography"/>
    <w:basedOn w:val="Odstavec1"/>
    <w:next w:val="Normln"/>
    <w:uiPriority w:val="37"/>
    <w:unhideWhenUsed/>
    <w:rsid w:val="00115804"/>
    <w:pPr>
      <w:tabs>
        <w:tab w:val="left" w:pos="384"/>
      </w:tabs>
      <w:spacing w:after="240" w:line="240" w:lineRule="atLeast"/>
      <w:ind w:left="384" w:hanging="384"/>
    </w:pPr>
  </w:style>
  <w:style w:type="character" w:customStyle="1" w:styleId="Pklad-textChar">
    <w:name w:val="Příklad - text Char"/>
    <w:basedOn w:val="Odstavec1Char"/>
    <w:link w:val="Pklad-text"/>
    <w:uiPriority w:val="70"/>
    <w:rsid w:val="001B43CD"/>
    <w:rPr>
      <w:rFonts w:ascii="Cambria" w:hAnsi="Cambria"/>
      <w:sz w:val="24"/>
      <w:szCs w:val="24"/>
    </w:rPr>
  </w:style>
  <w:style w:type="numbering" w:customStyle="1" w:styleId="Vcerovovseznam">
    <w:name w:val="Víceúrovňový seznam"/>
    <w:uiPriority w:val="99"/>
    <w:rsid w:val="0086068B"/>
    <w:pPr>
      <w:numPr>
        <w:numId w:val="14"/>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sid w:val="002E2753"/>
    <w:rPr>
      <w:lang w:val="en-GB"/>
    </w:rPr>
  </w:style>
  <w:style w:type="paragraph" w:customStyle="1" w:styleId="Odstavec1EN">
    <w:name w:val="Odstavec 1 EN"/>
    <w:basedOn w:val="Odstavec1"/>
    <w:next w:val="DalodstavceEN"/>
    <w:rsid w:val="002E2753"/>
    <w:rPr>
      <w:lang w:val="en-GB"/>
    </w:rPr>
  </w:style>
  <w:style w:type="paragraph" w:customStyle="1" w:styleId="Titulektabulky">
    <w:name w:val="Titulek tabulky"/>
    <w:basedOn w:val="Titulek"/>
    <w:rsid w:val="00953CD9"/>
    <w:pPr>
      <w:keepNext/>
      <w:spacing w:before="240"/>
    </w:pPr>
  </w:style>
  <w:style w:type="paragraph" w:customStyle="1" w:styleId="Popisobrzku">
    <w:name w:val="Popis obrázku"/>
    <w:basedOn w:val="Odstavec1"/>
    <w:rsid w:val="00655A3C"/>
    <w:pPr>
      <w:spacing w:after="240" w:line="260" w:lineRule="atLeast"/>
    </w:pPr>
    <w:rPr>
      <w:sz w:val="20"/>
      <w:szCs w:val="20"/>
      <w:lang w:eastAsia="sk-SK"/>
    </w:rPr>
  </w:style>
  <w:style w:type="paragraph" w:customStyle="1" w:styleId="Titulekpedpopisem">
    <w:name w:val="Titulek před popisem"/>
    <w:basedOn w:val="Titulek"/>
    <w:rsid w:val="00F97990"/>
    <w:pPr>
      <w:keepNext/>
      <w:spacing w:after="0"/>
    </w:pPr>
  </w:style>
  <w:style w:type="paragraph" w:customStyle="1" w:styleId="7C5D38C841C7463A9DD7C17FE250AFA711">
    <w:name w:val="7C5D38C841C7463A9DD7C17FE250AFA711"/>
    <w:rsid w:val="00DD38C5"/>
    <w:pPr>
      <w:keepNext/>
      <w:keepLines/>
      <w:pageBreakBefore/>
      <w:numPr>
        <w:numId w:val="23"/>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DD38C5"/>
    <w:pPr>
      <w:keepNext/>
      <w:keepLines/>
      <w:numPr>
        <w:ilvl w:val="1"/>
        <w:numId w:val="23"/>
      </w:numPr>
      <w:tabs>
        <w:tab w:val="clear" w:pos="1440"/>
      </w:tabs>
      <w:suppressAutoHyphens/>
      <w:spacing w:before="460" w:after="300" w:line="360" w:lineRule="exact"/>
      <w:ind w:left="720"/>
      <w:outlineLvl w:val="1"/>
    </w:pPr>
    <w:rPr>
      <w:rFonts w:ascii="Arial" w:hAnsi="Arial" w:cs="Arial"/>
      <w:iCs/>
      <w:color w:val="0000DC"/>
      <w:sz w:val="28"/>
      <w:szCs w:val="28"/>
    </w:rPr>
  </w:style>
  <w:style w:type="paragraph" w:styleId="Bezmezer">
    <w:name w:val="No Spacing"/>
    <w:uiPriority w:val="1"/>
    <w:rsid w:val="00EE7EB3"/>
  </w:style>
  <w:style w:type="character" w:styleId="Odkaznakoment">
    <w:name w:val="annotation reference"/>
    <w:basedOn w:val="Standardnpsmoodstavce"/>
    <w:uiPriority w:val="99"/>
    <w:unhideWhenUsed/>
    <w:rsid w:val="00EE7EB3"/>
    <w:rPr>
      <w:sz w:val="16"/>
      <w:szCs w:val="16"/>
    </w:rPr>
  </w:style>
  <w:style w:type="paragraph" w:styleId="Textkomente">
    <w:name w:val="annotation text"/>
    <w:basedOn w:val="Normln"/>
    <w:link w:val="TextkomenteChar"/>
    <w:uiPriority w:val="99"/>
    <w:unhideWhenUsed/>
    <w:rsid w:val="00EE7EB3"/>
    <w:pPr>
      <w:spacing w:after="200"/>
    </w:pPr>
    <w:rPr>
      <w:rFonts w:asciiTheme="minorHAnsi" w:eastAsiaTheme="minorHAnsi" w:hAnsiTheme="minorHAnsi" w:cstheme="minorBidi"/>
      <w:sz w:val="20"/>
      <w:szCs w:val="20"/>
      <w:lang w:val="en-GB" w:eastAsia="en-US"/>
    </w:rPr>
  </w:style>
  <w:style w:type="character" w:customStyle="1" w:styleId="TextkomenteChar">
    <w:name w:val="Text komentáře Char"/>
    <w:basedOn w:val="Standardnpsmoodstavce"/>
    <w:link w:val="Textkomente"/>
    <w:uiPriority w:val="99"/>
    <w:rsid w:val="00EE7EB3"/>
    <w:rPr>
      <w:rFonts w:asciiTheme="minorHAnsi" w:eastAsiaTheme="minorHAnsi" w:hAnsiTheme="minorHAnsi" w:cstheme="minorBidi"/>
      <w:sz w:val="20"/>
      <w:szCs w:val="20"/>
      <w:lang w:val="en-GB" w:eastAsia="en-US"/>
    </w:rPr>
  </w:style>
  <w:style w:type="table" w:styleId="Tabulkasmkou2zvraznn3">
    <w:name w:val="Grid Table 2 Accent 3"/>
    <w:basedOn w:val="Normlntabulka"/>
    <w:uiPriority w:val="47"/>
    <w:locked/>
    <w:rsid w:val="00EE7EB3"/>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Barevntabulkaseznamu6zvraznn3">
    <w:name w:val="List Table 6 Colorful Accent 3"/>
    <w:basedOn w:val="Normlntabulka"/>
    <w:uiPriority w:val="51"/>
    <w:rsid w:val="00EE7EB3"/>
    <w:rPr>
      <w:rFonts w:asciiTheme="minorHAnsi" w:eastAsiaTheme="minorHAnsi" w:hAnsiTheme="minorHAnsi" w:cstheme="minorBidi"/>
      <w:color w:val="7B7B7B" w:themeColor="accent3" w:themeShade="BF"/>
      <w:sz w:val="22"/>
      <w:szCs w:val="22"/>
      <w:lang w:val="en-GB"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edmtkomente">
    <w:name w:val="annotation subject"/>
    <w:basedOn w:val="Textkomente"/>
    <w:next w:val="Textkomente"/>
    <w:link w:val="PedmtkomenteChar"/>
    <w:uiPriority w:val="99"/>
    <w:semiHidden/>
    <w:unhideWhenUsed/>
    <w:rsid w:val="00EE7EB3"/>
    <w:pPr>
      <w:spacing w:after="0"/>
    </w:pPr>
    <w:rPr>
      <w:rFonts w:ascii="Cambria" w:eastAsia="Times New Roman" w:hAnsi="Cambria" w:cs="Times New Roman"/>
      <w:b/>
      <w:bCs/>
      <w:lang w:val="cs-CZ" w:eastAsia="cs-CZ"/>
    </w:rPr>
  </w:style>
  <w:style w:type="character" w:customStyle="1" w:styleId="PedmtkomenteChar">
    <w:name w:val="Předmět komentáře Char"/>
    <w:basedOn w:val="TextkomenteChar"/>
    <w:link w:val="Pedmtkomente"/>
    <w:uiPriority w:val="99"/>
    <w:semiHidden/>
    <w:rsid w:val="00EE7EB3"/>
    <w:rPr>
      <w:rFonts w:asciiTheme="minorHAnsi" w:eastAsiaTheme="minorHAnsi" w:hAnsiTheme="minorHAnsi" w:cstheme="minorBidi"/>
      <w:b/>
      <w:bCs/>
      <w:sz w:val="20"/>
      <w:szCs w:val="20"/>
      <w:lang w:val="en-GB" w:eastAsia="en-US"/>
    </w:rPr>
  </w:style>
  <w:style w:type="table" w:styleId="Tabulkasmkou4zvraznn3">
    <w:name w:val="Grid Table 4 Accent 3"/>
    <w:basedOn w:val="Normlntabulka"/>
    <w:uiPriority w:val="49"/>
    <w:locked/>
    <w:rsid w:val="00EE7EB3"/>
    <w:rPr>
      <w:rFonts w:asciiTheme="minorHAnsi" w:eastAsiaTheme="minorHAnsi" w:hAnsiTheme="minorHAnsi" w:cstheme="minorBidi"/>
      <w:sz w:val="22"/>
      <w:szCs w:val="22"/>
      <w:lang w:val="en-GB"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evyeenzmnka">
    <w:name w:val="Unresolved Mention"/>
    <w:basedOn w:val="Standardnpsmoodstavce"/>
    <w:uiPriority w:val="99"/>
    <w:semiHidden/>
    <w:unhideWhenUsed/>
    <w:rsid w:val="00EE7EB3"/>
    <w:rPr>
      <w:color w:val="605E5C"/>
      <w:shd w:val="clear" w:color="auto" w:fill="E1DFDD"/>
    </w:rPr>
  </w:style>
  <w:style w:type="table" w:customStyle="1" w:styleId="Tabulkasmkou4zvraznn31">
    <w:name w:val="Tabulka s mřížkou 4 – zvýraznění 31"/>
    <w:basedOn w:val="Normlntabulka"/>
    <w:next w:val="Tabulkasmkou4zvraznn3"/>
    <w:uiPriority w:val="49"/>
    <w:rsid w:val="00EE7EB3"/>
    <w:rPr>
      <w:rFonts w:asciiTheme="minorHAnsi" w:eastAsiaTheme="minorHAnsi" w:hAnsiTheme="minorHAnsi" w:cstheme="minorBidi"/>
      <w:sz w:val="22"/>
      <w:szCs w:val="22"/>
      <w:lang w:val="en-GB"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2ff">
    <w:name w:val="Styl2ff"/>
    <w:basedOn w:val="Nadpis3"/>
    <w:link w:val="Styl2ffChar"/>
    <w:qFormat/>
    <w:rsid w:val="00F233D4"/>
    <w:pPr>
      <w:numPr>
        <w:ilvl w:val="3"/>
      </w:numPr>
      <w:ind w:left="709" w:hanging="709"/>
    </w:pPr>
    <w:rPr>
      <w:lang w:val="en-GB"/>
    </w:rPr>
  </w:style>
  <w:style w:type="character" w:customStyle="1" w:styleId="Styl2ffChar">
    <w:name w:val="Styl2ff Char"/>
    <w:basedOn w:val="Nadpis3Char"/>
    <w:link w:val="Styl2ff"/>
    <w:rsid w:val="00F233D4"/>
    <w:rPr>
      <w:rFonts w:ascii="Arial" w:hAnsi="Arial" w:cs="Arial"/>
      <w:b/>
      <w:bCs/>
      <w:color w:val="0000DC"/>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4.JPG"/><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6.gi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image" Target="media/image5.gif"/><Relationship Id="rId35" Type="http://schemas.openxmlformats.org/officeDocument/2006/relationships/image" Target="media/image10.png"/><Relationship Id="rId43"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JPG"/><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aine\Desktop\5.%20ro&#269;n&#237;k\Diplomka\A%20diplomka\&#352;ablona%20z&#225;v&#283;re&#269;n&#233;%20pr&#225;ce\sablonaDP_-_MUNI_-_SC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223F13ED43349BA9E8FFBC75F516302"/>
        <w:category>
          <w:name w:val="Obecné"/>
          <w:gallery w:val="placeholder"/>
        </w:category>
        <w:types>
          <w:type w:val="bbPlcHdr"/>
        </w:types>
        <w:behaviors>
          <w:behavior w:val="content"/>
        </w:behaviors>
        <w:guid w:val="{55017FC2-27CA-4AEB-A310-44AAFC66BE7D}"/>
      </w:docPartPr>
      <w:docPartBody>
        <w:p w:rsidR="006844FB" w:rsidRDefault="006844FB">
          <w:pPr>
            <w:pStyle w:val="A223F13ED43349BA9E8FFBC75F516302"/>
          </w:pPr>
          <w:r w:rsidRPr="006174FE">
            <w:rPr>
              <w:rStyle w:val="Zstupntext"/>
            </w:rPr>
            <w:t>Zvolte položku.</w:t>
          </w:r>
        </w:p>
      </w:docPartBody>
    </w:docPart>
    <w:docPart>
      <w:docPartPr>
        <w:name w:val="C9C5D857FA604480B51C624C21CA8E2A"/>
        <w:category>
          <w:name w:val="Obecné"/>
          <w:gallery w:val="placeholder"/>
        </w:category>
        <w:types>
          <w:type w:val="bbPlcHdr"/>
        </w:types>
        <w:behaviors>
          <w:behavior w:val="content"/>
        </w:behaviors>
        <w:guid w:val="{353AB580-3E54-4128-AD1D-DDF4DFFA4832}"/>
      </w:docPartPr>
      <w:docPartBody>
        <w:p w:rsidR="006844FB" w:rsidRDefault="006844FB">
          <w:pPr>
            <w:pStyle w:val="C9C5D857FA604480B51C624C21CA8E2A"/>
          </w:pPr>
          <w:r w:rsidRPr="001133CC">
            <w:rPr>
              <w:rStyle w:val="Zstupntext"/>
            </w:rPr>
            <w:t>[Autor]</w:t>
          </w:r>
        </w:p>
      </w:docPartBody>
    </w:docPart>
    <w:docPart>
      <w:docPartPr>
        <w:name w:val="2BABCA033EBC4976AE636FB63700FA9C"/>
        <w:category>
          <w:name w:val="Obecné"/>
          <w:gallery w:val="placeholder"/>
        </w:category>
        <w:types>
          <w:type w:val="bbPlcHdr"/>
        </w:types>
        <w:behaviors>
          <w:behavior w:val="content"/>
        </w:behaviors>
        <w:guid w:val="{E729B9C4-AD61-424F-83DE-7F3FF1C39FBE}"/>
      </w:docPartPr>
      <w:docPartBody>
        <w:p w:rsidR="006844FB" w:rsidRDefault="006844FB">
          <w:pPr>
            <w:pStyle w:val="2BABCA033EBC4976AE636FB63700FA9C"/>
          </w:pPr>
          <w:r>
            <w:rPr>
              <w:rStyle w:val="Zstupntext"/>
            </w:rPr>
            <w:t>Rok odevzdání práce</w:t>
          </w:r>
          <w:r w:rsidRPr="0025703C">
            <w:rPr>
              <w:rStyle w:val="Zstupntext"/>
            </w:rPr>
            <w:t>.</w:t>
          </w:r>
        </w:p>
      </w:docPartBody>
    </w:docPart>
    <w:docPart>
      <w:docPartPr>
        <w:name w:val="5976A0EA76D249BA85291D7C9AD32714"/>
        <w:category>
          <w:name w:val="Obecné"/>
          <w:gallery w:val="placeholder"/>
        </w:category>
        <w:types>
          <w:type w:val="bbPlcHdr"/>
        </w:types>
        <w:behaviors>
          <w:behavior w:val="content"/>
        </w:behaviors>
        <w:guid w:val="{135D9FF6-7771-4F2A-800D-56947F073B70}"/>
      </w:docPartPr>
      <w:docPartBody>
        <w:p w:rsidR="006844FB" w:rsidRDefault="006844FB">
          <w:pPr>
            <w:pStyle w:val="5976A0EA76D249BA85291D7C9AD32714"/>
          </w:pPr>
          <w:r w:rsidRPr="00060E55">
            <w:rPr>
              <w:rStyle w:val="Zstupntext"/>
            </w:rPr>
            <w:t>[Autor]</w:t>
          </w:r>
        </w:p>
      </w:docPartBody>
    </w:docPart>
    <w:docPart>
      <w:docPartPr>
        <w:name w:val="2A6DBBF301DD4EDF9C625AE38E95E5AD"/>
        <w:category>
          <w:name w:val="Obecné"/>
          <w:gallery w:val="placeholder"/>
        </w:category>
        <w:types>
          <w:type w:val="bbPlcHdr"/>
        </w:types>
        <w:behaviors>
          <w:behavior w:val="content"/>
        </w:behaviors>
        <w:guid w:val="{7F1A27D8-6443-4825-9B19-C8BD04FF64AA}"/>
      </w:docPartPr>
      <w:docPartBody>
        <w:p w:rsidR="006844FB" w:rsidRDefault="006844FB">
          <w:pPr>
            <w:pStyle w:val="2A6DBBF301DD4EDF9C625AE38E95E5AD"/>
          </w:pPr>
          <w:r w:rsidRPr="00060E55">
            <w:rPr>
              <w:rStyle w:val="Zstupntext"/>
            </w:rPr>
            <w:t>[Název]</w:t>
          </w:r>
        </w:p>
      </w:docPartBody>
    </w:docPart>
    <w:docPart>
      <w:docPartPr>
        <w:name w:val="D8EC7FDA97A744A2A0E92B3B31C56358"/>
        <w:category>
          <w:name w:val="Obecné"/>
          <w:gallery w:val="placeholder"/>
        </w:category>
        <w:types>
          <w:type w:val="bbPlcHdr"/>
        </w:types>
        <w:behaviors>
          <w:behavior w:val="content"/>
        </w:behaviors>
        <w:guid w:val="{D9D1FAF7-5467-4C0B-9660-C86EAE16FEC1}"/>
      </w:docPartPr>
      <w:docPartBody>
        <w:p w:rsidR="006844FB" w:rsidRDefault="006844FB">
          <w:pPr>
            <w:pStyle w:val="D8EC7FDA97A744A2A0E92B3B31C56358"/>
          </w:pPr>
          <w:r w:rsidRPr="00746487">
            <w:rPr>
              <w:rStyle w:val="Zstupntext"/>
            </w:rPr>
            <w:t>[Nadřízený]</w:t>
          </w:r>
        </w:p>
      </w:docPartBody>
    </w:docPart>
    <w:docPart>
      <w:docPartPr>
        <w:name w:val="3DE0A0F29902430BB2EEE7B113DC314C"/>
        <w:category>
          <w:name w:val="Obecné"/>
          <w:gallery w:val="placeholder"/>
        </w:category>
        <w:types>
          <w:type w:val="bbPlcHdr"/>
        </w:types>
        <w:behaviors>
          <w:behavior w:val="content"/>
        </w:behaviors>
        <w:guid w:val="{17D590D4-B66C-4360-869B-8EB754822F07}"/>
      </w:docPartPr>
      <w:docPartBody>
        <w:p w:rsidR="006844FB" w:rsidRDefault="006844FB">
          <w:pPr>
            <w:pStyle w:val="3DE0A0F29902430BB2EEE7B113DC314C"/>
          </w:pPr>
          <w:r w:rsidRPr="00746487">
            <w:rPr>
              <w:rStyle w:val="Zstupntext"/>
            </w:rPr>
            <w:t>[Napište 5–10 klíčových slov v češtině. Stejný seznam musí být vložen do archívu závěrečných pracích v informačním systému MU.]</w:t>
          </w:r>
        </w:p>
      </w:docPartBody>
    </w:docPart>
    <w:docPart>
      <w:docPartPr>
        <w:name w:val="9733C22C4319423DB584C863368ADC13"/>
        <w:category>
          <w:name w:val="Obecné"/>
          <w:gallery w:val="placeholder"/>
        </w:category>
        <w:types>
          <w:type w:val="bbPlcHdr"/>
        </w:types>
        <w:behaviors>
          <w:behavior w:val="content"/>
        </w:behaviors>
        <w:guid w:val="{7EA1683F-C7EF-4079-B1AD-884B9D269CA1}"/>
      </w:docPartPr>
      <w:docPartBody>
        <w:p w:rsidR="006844FB" w:rsidRDefault="006844FB">
          <w:pPr>
            <w:pStyle w:val="9733C22C4319423DB584C863368ADC13"/>
          </w:pPr>
          <w:r w:rsidRPr="00060E55">
            <w:rPr>
              <w:rStyle w:val="Zstupntext"/>
            </w:rPr>
            <w:t>[Autor]</w:t>
          </w:r>
        </w:p>
      </w:docPartBody>
    </w:docPart>
    <w:docPart>
      <w:docPartPr>
        <w:name w:val="DB2D242449CD474DA5E9CBAA23E1BF7D"/>
        <w:category>
          <w:name w:val="Obecné"/>
          <w:gallery w:val="placeholder"/>
        </w:category>
        <w:types>
          <w:type w:val="bbPlcHdr"/>
        </w:types>
        <w:behaviors>
          <w:behavior w:val="content"/>
        </w:behaviors>
        <w:guid w:val="{95752BE4-66B7-4EC3-AD8A-69C8AC648EA9}"/>
      </w:docPartPr>
      <w:docPartBody>
        <w:p w:rsidR="006844FB" w:rsidRDefault="006844FB">
          <w:pPr>
            <w:pStyle w:val="DB2D242449CD474DA5E9CBAA23E1BF7D"/>
          </w:pPr>
          <w:r w:rsidRPr="00820631">
            <w:rPr>
              <w:rStyle w:val="Zstupntext"/>
            </w:rPr>
            <w:t>[Vyberte anglický název katedry nebo ústavu]</w:t>
          </w:r>
        </w:p>
      </w:docPartBody>
    </w:docPart>
    <w:docPart>
      <w:docPartPr>
        <w:name w:val="AA7036C89E584EDEACF67CABE6DD328D"/>
        <w:category>
          <w:name w:val="Obecné"/>
          <w:gallery w:val="placeholder"/>
        </w:category>
        <w:types>
          <w:type w:val="bbPlcHdr"/>
        </w:types>
        <w:behaviors>
          <w:behavior w:val="content"/>
        </w:behaviors>
        <w:guid w:val="{DF71EADC-7025-4FA4-AFFD-0C1E5A30E356}"/>
      </w:docPartPr>
      <w:docPartBody>
        <w:p w:rsidR="006844FB" w:rsidRDefault="006844FB">
          <w:pPr>
            <w:pStyle w:val="AA7036C89E584EDEACF67CABE6DD328D"/>
          </w:pPr>
          <w:r w:rsidRPr="00746487">
            <w:rPr>
              <w:rStyle w:val="Zstupntext"/>
            </w:rPr>
            <w:t>[Klepněte a napište název práce v angličtině]</w:t>
          </w:r>
        </w:p>
      </w:docPartBody>
    </w:docPart>
    <w:docPart>
      <w:docPartPr>
        <w:name w:val="878A577C026E4BF9A0E2629DD6CA92A5"/>
        <w:category>
          <w:name w:val="Obecné"/>
          <w:gallery w:val="placeholder"/>
        </w:category>
        <w:types>
          <w:type w:val="bbPlcHdr"/>
        </w:types>
        <w:behaviors>
          <w:behavior w:val="content"/>
        </w:behaviors>
        <w:guid w:val="{68CF48BE-08FF-453C-9401-690C72CD5EFB}"/>
      </w:docPartPr>
      <w:docPartBody>
        <w:p w:rsidR="006844FB" w:rsidRDefault="006844FB">
          <w:pPr>
            <w:pStyle w:val="878A577C026E4BF9A0E2629DD6CA92A5"/>
          </w:pPr>
          <w:r w:rsidRPr="00820631">
            <w:rPr>
              <w:rStyle w:val="Zstupntext"/>
            </w:rPr>
            <w:t>Vyberte anglický název oboru</w:t>
          </w:r>
        </w:p>
      </w:docPartBody>
    </w:docPart>
    <w:docPart>
      <w:docPartPr>
        <w:name w:val="C8B5BE22735E483BA870DDA671DDD908"/>
        <w:category>
          <w:name w:val="Obecné"/>
          <w:gallery w:val="placeholder"/>
        </w:category>
        <w:types>
          <w:type w:val="bbPlcHdr"/>
        </w:types>
        <w:behaviors>
          <w:behavior w:val="content"/>
        </w:behaviors>
        <w:guid w:val="{85A5947A-7A0C-4AC5-AA5B-A65433539689}"/>
      </w:docPartPr>
      <w:docPartBody>
        <w:p w:rsidR="006844FB" w:rsidRDefault="006844FB">
          <w:pPr>
            <w:pStyle w:val="C8B5BE22735E483BA870DDA671DDD908"/>
          </w:pPr>
          <w:r w:rsidRPr="00746487">
            <w:rPr>
              <w:rStyle w:val="Zstupntext"/>
            </w:rPr>
            <w:t>[Nadřízený]</w:t>
          </w:r>
        </w:p>
      </w:docPartBody>
    </w:docPart>
    <w:docPart>
      <w:docPartPr>
        <w:name w:val="799A47CB4E004C598F32D76AEBA1101F"/>
        <w:category>
          <w:name w:val="Obecné"/>
          <w:gallery w:val="placeholder"/>
        </w:category>
        <w:types>
          <w:type w:val="bbPlcHdr"/>
        </w:types>
        <w:behaviors>
          <w:behavior w:val="content"/>
        </w:behaviors>
        <w:guid w:val="{BD163616-7305-44B7-9A45-C65437D81789}"/>
      </w:docPartPr>
      <w:docPartBody>
        <w:p w:rsidR="006844FB" w:rsidRDefault="006844FB">
          <w:pPr>
            <w:pStyle w:val="799A47CB4E004C598F32D76AEBA1101F"/>
          </w:pPr>
          <w:r w:rsidRPr="00746487">
            <w:rPr>
              <w:rStyle w:val="Zstupntext"/>
            </w:rPr>
            <w:t>[Napište 5–10 klíčových slov v angličtině. Stejný seznam musí být vložen do archívu závěrečných pracích v informačním systému MU.]</w:t>
          </w:r>
        </w:p>
      </w:docPartBody>
    </w:docPart>
    <w:docPart>
      <w:docPartPr>
        <w:name w:val="B766FDCA3C4440718CFDCF288D2CB068"/>
        <w:category>
          <w:name w:val="Obecné"/>
          <w:gallery w:val="placeholder"/>
        </w:category>
        <w:types>
          <w:type w:val="bbPlcHdr"/>
        </w:types>
        <w:behaviors>
          <w:behavior w:val="content"/>
        </w:behaviors>
        <w:guid w:val="{308F37E5-1442-459F-8EEA-882E5D0BC003}"/>
      </w:docPartPr>
      <w:docPartBody>
        <w:p w:rsidR="006844FB" w:rsidRDefault="006844FB">
          <w:pPr>
            <w:pStyle w:val="B766FDCA3C4440718CFDCF288D2CB068"/>
          </w:pPr>
          <w:r>
            <w:rPr>
              <w:rStyle w:val="Zstupntext"/>
              <w:lang w:val="en-US"/>
            </w:rPr>
            <w:t>[vyberte druh p</w:t>
          </w:r>
          <w:r>
            <w:rPr>
              <w:rStyle w:val="Zstupntext"/>
              <w:lang w:val="en-029"/>
            </w:rPr>
            <w:t>r</w:t>
          </w:r>
          <w:r>
            <w:rPr>
              <w:rStyle w:val="Zstupntext"/>
            </w:rPr>
            <w:t>áce</w:t>
          </w:r>
          <w:r>
            <w:rPr>
              <w:rStyle w:val="Zstupntext"/>
              <w:lang w:val="en-US"/>
            </w:rPr>
            <w:t>]</w:t>
          </w:r>
        </w:p>
      </w:docPartBody>
    </w:docPart>
    <w:docPart>
      <w:docPartPr>
        <w:name w:val="DA517E6BB8224F4E98B98096BF6269FC"/>
        <w:category>
          <w:name w:val="Obecné"/>
          <w:gallery w:val="placeholder"/>
        </w:category>
        <w:types>
          <w:type w:val="bbPlcHdr"/>
        </w:types>
        <w:behaviors>
          <w:behavior w:val="content"/>
        </w:behaviors>
        <w:guid w:val="{EE4DD1F7-D8E3-4C4A-AB43-2D2EEBAA53F0}"/>
      </w:docPartPr>
      <w:docPartBody>
        <w:p w:rsidR="006844FB" w:rsidRDefault="006844FB">
          <w:pPr>
            <w:pStyle w:val="DA517E6BB8224F4E98B98096BF6269FC"/>
          </w:pPr>
          <w:r>
            <w:rPr>
              <w:rStyle w:val="Zstupntext"/>
            </w:rPr>
            <w:t>[Vyberte podle pohlaví]</w:t>
          </w:r>
        </w:p>
      </w:docPartBody>
    </w:docPart>
    <w:docPart>
      <w:docPartPr>
        <w:name w:val="28A32A8F17474875AC4DD41AD3F85C9E"/>
        <w:category>
          <w:name w:val="Obecné"/>
          <w:gallery w:val="placeholder"/>
        </w:category>
        <w:types>
          <w:type w:val="bbPlcHdr"/>
        </w:types>
        <w:behaviors>
          <w:behavior w:val="content"/>
        </w:behaviors>
        <w:guid w:val="{C515E5F7-134D-4BCA-9A05-CC9039A9F18D}"/>
      </w:docPartPr>
      <w:docPartBody>
        <w:p w:rsidR="006844FB" w:rsidRDefault="006844FB">
          <w:pPr>
            <w:pStyle w:val="28A32A8F17474875AC4DD41AD3F85C9E"/>
          </w:pPr>
          <w:r w:rsidRPr="0001165A">
            <w:rPr>
              <w:rStyle w:val="Zstupntext"/>
            </w:rPr>
            <w:t>Klikněte nebo klepněte sem a zadejte datum.</w:t>
          </w:r>
        </w:p>
      </w:docPartBody>
    </w:docPart>
    <w:docPart>
      <w:docPartPr>
        <w:name w:val="FCE8EDCCB8E34006894E869FC3FDC457"/>
        <w:category>
          <w:name w:val="Obecné"/>
          <w:gallery w:val="placeholder"/>
        </w:category>
        <w:types>
          <w:type w:val="bbPlcHdr"/>
        </w:types>
        <w:behaviors>
          <w:behavior w:val="content"/>
        </w:behaviors>
        <w:guid w:val="{6832B0F5-F817-4197-A894-28BEA9FB265A}"/>
      </w:docPartPr>
      <w:docPartBody>
        <w:p w:rsidR="006844FB" w:rsidRDefault="006844FB" w:rsidP="006844FB">
          <w:pPr>
            <w:pStyle w:val="FCE8EDCCB8E34006894E869FC3FDC457"/>
          </w:pPr>
          <w:r w:rsidRPr="00943580">
            <w:rPr>
              <w:rStyle w:val="Zstupntext"/>
            </w:rPr>
            <w:t>[Autor]</w:t>
          </w:r>
        </w:p>
      </w:docPartBody>
    </w:docPart>
    <w:docPart>
      <w:docPartPr>
        <w:name w:val="D4279C96394E419EAC3DF4BA3D226311"/>
        <w:category>
          <w:name w:val="Obecné"/>
          <w:gallery w:val="placeholder"/>
        </w:category>
        <w:types>
          <w:type w:val="bbPlcHdr"/>
        </w:types>
        <w:behaviors>
          <w:behavior w:val="content"/>
        </w:behaviors>
        <w:guid w:val="{731CB524-2B1F-4115-BC04-EDAE4367AEEF}"/>
      </w:docPartPr>
      <w:docPartBody>
        <w:p w:rsidR="006844FB" w:rsidRDefault="006844FB" w:rsidP="006844FB">
          <w:pPr>
            <w:pStyle w:val="D4279C96394E419EAC3DF4BA3D226311"/>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A487628AB0674E51AD6138EC7EA6751E"/>
        <w:category>
          <w:name w:val="Obecné"/>
          <w:gallery w:val="placeholder"/>
        </w:category>
        <w:types>
          <w:type w:val="bbPlcHdr"/>
        </w:types>
        <w:behaviors>
          <w:behavior w:val="content"/>
        </w:behaviors>
        <w:guid w:val="{FAFBA11E-E767-4571-8D00-33046962D9E1}"/>
      </w:docPartPr>
      <w:docPartBody>
        <w:p w:rsidR="006844FB" w:rsidRDefault="006844FB" w:rsidP="006844FB">
          <w:pPr>
            <w:pStyle w:val="A487628AB0674E51AD6138EC7EA6751E"/>
          </w:pPr>
          <w:r w:rsidRPr="00746487">
            <w:rPr>
              <w:rStyle w:val="Zstupntext"/>
            </w:rPr>
            <w:t>[Heslo]</w:t>
          </w:r>
        </w:p>
      </w:docPartBody>
    </w:docPart>
    <w:docPart>
      <w:docPartPr>
        <w:name w:val="81C5A504ADA3401E80BF9D3AE8D3503E"/>
        <w:category>
          <w:name w:val="Obecné"/>
          <w:gallery w:val="placeholder"/>
        </w:category>
        <w:types>
          <w:type w:val="bbPlcHdr"/>
        </w:types>
        <w:behaviors>
          <w:behavior w:val="content"/>
        </w:behaviors>
        <w:guid w:val="{7EC58810-2F88-4F3C-AC5C-5A02BAB2410A}"/>
      </w:docPartPr>
      <w:docPartBody>
        <w:p w:rsidR="006844FB" w:rsidRDefault="006844FB" w:rsidP="006844FB">
          <w:pPr>
            <w:pStyle w:val="81C5A504ADA3401E80BF9D3AE8D3503E"/>
          </w:pPr>
          <w:r w:rsidRPr="00746487">
            <w:rPr>
              <w:rStyle w:val="Zstupntext"/>
            </w:rPr>
            <w:t>[Definice]</w:t>
          </w:r>
        </w:p>
      </w:docPartBody>
    </w:docPart>
    <w:docPart>
      <w:docPartPr>
        <w:name w:val="8D06B903461947EC8E9AEBD0F037384C"/>
        <w:category>
          <w:name w:val="Obecné"/>
          <w:gallery w:val="placeholder"/>
        </w:category>
        <w:types>
          <w:type w:val="bbPlcHdr"/>
        </w:types>
        <w:behaviors>
          <w:behavior w:val="content"/>
        </w:behaviors>
        <w:guid w:val="{F4FB2D0C-8E93-42F8-A3FA-7B0C49736E15}"/>
      </w:docPartPr>
      <w:docPartBody>
        <w:p w:rsidR="006844FB" w:rsidRDefault="006844FB" w:rsidP="006844FB">
          <w:pPr>
            <w:pStyle w:val="8D06B903461947EC8E9AEBD0F037384C"/>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1B331759F774F399F3F6FACFDB1063D"/>
        <w:category>
          <w:name w:val="Obecné"/>
          <w:gallery w:val="placeholder"/>
        </w:category>
        <w:types>
          <w:type w:val="bbPlcHdr"/>
        </w:types>
        <w:behaviors>
          <w:behavior w:val="content"/>
        </w:behaviors>
        <w:guid w:val="{F8DE7DE0-D9D7-4882-A073-A57E5F06818B}"/>
      </w:docPartPr>
      <w:docPartBody>
        <w:p w:rsidR="006844FB" w:rsidRDefault="006844FB" w:rsidP="006844FB">
          <w:pPr>
            <w:pStyle w:val="11B331759F774F399F3F6FACFDB1063D"/>
          </w:pPr>
          <w:r w:rsidRPr="00746487">
            <w:rPr>
              <w:rStyle w:val="Zstupntext"/>
            </w:rPr>
            <w:t>[Heslo]</w:t>
          </w:r>
        </w:p>
      </w:docPartBody>
    </w:docPart>
    <w:docPart>
      <w:docPartPr>
        <w:name w:val="995F41D179A64D20A84BD9E06819CFBD"/>
        <w:category>
          <w:name w:val="Obecné"/>
          <w:gallery w:val="placeholder"/>
        </w:category>
        <w:types>
          <w:type w:val="bbPlcHdr"/>
        </w:types>
        <w:behaviors>
          <w:behavior w:val="content"/>
        </w:behaviors>
        <w:guid w:val="{D29F6DD1-0341-4418-BFC6-D5D28E0262BC}"/>
      </w:docPartPr>
      <w:docPartBody>
        <w:p w:rsidR="006844FB" w:rsidRDefault="006844FB" w:rsidP="006844FB">
          <w:pPr>
            <w:pStyle w:val="995F41D179A64D20A84BD9E06819CFBD"/>
          </w:pPr>
          <w:r w:rsidRPr="00746487">
            <w:rPr>
              <w:rStyle w:val="Zstupntext"/>
            </w:rPr>
            <w:t>[Definice]</w:t>
          </w:r>
        </w:p>
      </w:docPartBody>
    </w:docPart>
    <w:docPart>
      <w:docPartPr>
        <w:name w:val="49B38108EAB5452EAD28C073F9F0B979"/>
        <w:category>
          <w:name w:val="Obecné"/>
          <w:gallery w:val="placeholder"/>
        </w:category>
        <w:types>
          <w:type w:val="bbPlcHdr"/>
        </w:types>
        <w:behaviors>
          <w:behavior w:val="content"/>
        </w:behaviors>
        <w:guid w:val="{43D54EB4-3F35-4BA4-8C2D-858507A909C4}"/>
      </w:docPartPr>
      <w:docPartBody>
        <w:p w:rsidR="006844FB" w:rsidRDefault="006844FB" w:rsidP="006844FB">
          <w:pPr>
            <w:pStyle w:val="49B38108EAB5452EAD28C073F9F0B979"/>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8EC2E1C0ABB64036B7AE687617A3975C"/>
        <w:category>
          <w:name w:val="Obecné"/>
          <w:gallery w:val="placeholder"/>
        </w:category>
        <w:types>
          <w:type w:val="bbPlcHdr"/>
        </w:types>
        <w:behaviors>
          <w:behavior w:val="content"/>
        </w:behaviors>
        <w:guid w:val="{C9F5EF33-4FDD-49C4-BBAC-3F4EA647B2E1}"/>
      </w:docPartPr>
      <w:docPartBody>
        <w:p w:rsidR="006844FB" w:rsidRDefault="006844FB" w:rsidP="006844FB">
          <w:pPr>
            <w:pStyle w:val="8EC2E1C0ABB64036B7AE687617A3975C"/>
          </w:pPr>
          <w:r w:rsidRPr="00746487">
            <w:rPr>
              <w:rStyle w:val="Zstupntext"/>
            </w:rPr>
            <w:t>[Heslo]</w:t>
          </w:r>
        </w:p>
      </w:docPartBody>
    </w:docPart>
    <w:docPart>
      <w:docPartPr>
        <w:name w:val="776954E07323422CB9E5FBDB9F72DBC6"/>
        <w:category>
          <w:name w:val="Obecné"/>
          <w:gallery w:val="placeholder"/>
        </w:category>
        <w:types>
          <w:type w:val="bbPlcHdr"/>
        </w:types>
        <w:behaviors>
          <w:behavior w:val="content"/>
        </w:behaviors>
        <w:guid w:val="{D0764210-3DF5-40F2-B502-C6D5499BE136}"/>
      </w:docPartPr>
      <w:docPartBody>
        <w:p w:rsidR="006844FB" w:rsidRDefault="006844FB" w:rsidP="006844FB">
          <w:pPr>
            <w:pStyle w:val="776954E07323422CB9E5FBDB9F72DBC6"/>
          </w:pPr>
          <w:r w:rsidRPr="00746487">
            <w:rPr>
              <w:rStyle w:val="Zstupntext"/>
            </w:rPr>
            <w:t>[Definice]</w:t>
          </w:r>
        </w:p>
      </w:docPartBody>
    </w:docPart>
    <w:docPart>
      <w:docPartPr>
        <w:name w:val="874DC2ADF84D44CFBE912C06C01D133A"/>
        <w:category>
          <w:name w:val="Obecné"/>
          <w:gallery w:val="placeholder"/>
        </w:category>
        <w:types>
          <w:type w:val="bbPlcHdr"/>
        </w:types>
        <w:behaviors>
          <w:behavior w:val="content"/>
        </w:behaviors>
        <w:guid w:val="{C37CF79E-CBC4-446C-83FC-3117E574DB9C}"/>
      </w:docPartPr>
      <w:docPartBody>
        <w:p w:rsidR="006844FB" w:rsidRDefault="006844FB" w:rsidP="006844FB">
          <w:pPr>
            <w:pStyle w:val="874DC2ADF84D44CFBE912C06C01D133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8C5BA4ED408C429087621BE395068ED1"/>
        <w:category>
          <w:name w:val="Obecné"/>
          <w:gallery w:val="placeholder"/>
        </w:category>
        <w:types>
          <w:type w:val="bbPlcHdr"/>
        </w:types>
        <w:behaviors>
          <w:behavior w:val="content"/>
        </w:behaviors>
        <w:guid w:val="{881C243A-E359-45D3-86B5-BECEE792ED20}"/>
      </w:docPartPr>
      <w:docPartBody>
        <w:p w:rsidR="006844FB" w:rsidRDefault="006844FB" w:rsidP="006844FB">
          <w:pPr>
            <w:pStyle w:val="8C5BA4ED408C429087621BE395068ED1"/>
          </w:pPr>
          <w:r w:rsidRPr="00746487">
            <w:rPr>
              <w:rStyle w:val="Zstupntext"/>
            </w:rPr>
            <w:t>[Heslo]</w:t>
          </w:r>
        </w:p>
      </w:docPartBody>
    </w:docPart>
    <w:docPart>
      <w:docPartPr>
        <w:name w:val="5AFB4DD6F6B3430B9FA62B5639792232"/>
        <w:category>
          <w:name w:val="Obecné"/>
          <w:gallery w:val="placeholder"/>
        </w:category>
        <w:types>
          <w:type w:val="bbPlcHdr"/>
        </w:types>
        <w:behaviors>
          <w:behavior w:val="content"/>
        </w:behaviors>
        <w:guid w:val="{6FFF3985-AD07-442E-8EDD-4E668457971F}"/>
      </w:docPartPr>
      <w:docPartBody>
        <w:p w:rsidR="006844FB" w:rsidRDefault="006844FB" w:rsidP="006844FB">
          <w:pPr>
            <w:pStyle w:val="5AFB4DD6F6B3430B9FA62B5639792232"/>
          </w:pPr>
          <w:r w:rsidRPr="00746487">
            <w:rPr>
              <w:rStyle w:val="Zstupntext"/>
            </w:rPr>
            <w:t>[Definice]</w:t>
          </w:r>
        </w:p>
      </w:docPartBody>
    </w:docPart>
    <w:docPart>
      <w:docPartPr>
        <w:name w:val="86C88003E0A34B878AA3F3B1CD730865"/>
        <w:category>
          <w:name w:val="Obecné"/>
          <w:gallery w:val="placeholder"/>
        </w:category>
        <w:types>
          <w:type w:val="bbPlcHdr"/>
        </w:types>
        <w:behaviors>
          <w:behavior w:val="content"/>
        </w:behaviors>
        <w:guid w:val="{20F8D48D-DBE5-48A4-BC29-50D4E2051FA7}"/>
      </w:docPartPr>
      <w:docPartBody>
        <w:p w:rsidR="006844FB" w:rsidRDefault="006844FB" w:rsidP="006844FB">
          <w:pPr>
            <w:pStyle w:val="86C88003E0A34B878AA3F3B1CD73086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8CFC112B48C74901B535C83B403E35DD"/>
        <w:category>
          <w:name w:val="Obecné"/>
          <w:gallery w:val="placeholder"/>
        </w:category>
        <w:types>
          <w:type w:val="bbPlcHdr"/>
        </w:types>
        <w:behaviors>
          <w:behavior w:val="content"/>
        </w:behaviors>
        <w:guid w:val="{43EC199B-719F-4461-943F-81BB8528CD8C}"/>
      </w:docPartPr>
      <w:docPartBody>
        <w:p w:rsidR="006844FB" w:rsidRDefault="006844FB" w:rsidP="006844FB">
          <w:pPr>
            <w:pStyle w:val="8CFC112B48C74901B535C83B403E35DD"/>
          </w:pPr>
          <w:r w:rsidRPr="00746487">
            <w:rPr>
              <w:rStyle w:val="Zstupntext"/>
            </w:rPr>
            <w:t>[Heslo]</w:t>
          </w:r>
        </w:p>
      </w:docPartBody>
    </w:docPart>
    <w:docPart>
      <w:docPartPr>
        <w:name w:val="3EBC703E07F246DE9703A84B7834F85C"/>
        <w:category>
          <w:name w:val="Obecné"/>
          <w:gallery w:val="placeholder"/>
        </w:category>
        <w:types>
          <w:type w:val="bbPlcHdr"/>
        </w:types>
        <w:behaviors>
          <w:behavior w:val="content"/>
        </w:behaviors>
        <w:guid w:val="{D7DA4E96-EE82-487E-9C0A-96FB444CE214}"/>
      </w:docPartPr>
      <w:docPartBody>
        <w:p w:rsidR="006844FB" w:rsidRDefault="006844FB" w:rsidP="006844FB">
          <w:pPr>
            <w:pStyle w:val="3EBC703E07F246DE9703A84B7834F85C"/>
          </w:pPr>
          <w:r w:rsidRPr="00746487">
            <w:rPr>
              <w:rStyle w:val="Zstupntext"/>
            </w:rPr>
            <w:t>[Definice]</w:t>
          </w:r>
        </w:p>
      </w:docPartBody>
    </w:docPart>
    <w:docPart>
      <w:docPartPr>
        <w:name w:val="B8D6B01DD769439EA303B0C2B66E02C9"/>
        <w:category>
          <w:name w:val="Obecné"/>
          <w:gallery w:val="placeholder"/>
        </w:category>
        <w:types>
          <w:type w:val="bbPlcHdr"/>
        </w:types>
        <w:behaviors>
          <w:behavior w:val="content"/>
        </w:behaviors>
        <w:guid w:val="{CFA1B8E0-EEFB-4835-AC70-DCB0CC45417D}"/>
      </w:docPartPr>
      <w:docPartBody>
        <w:p w:rsidR="006844FB" w:rsidRDefault="006844FB" w:rsidP="006844FB">
          <w:pPr>
            <w:pStyle w:val="B8D6B01DD769439EA303B0C2B66E02C9"/>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01730199B13A4E0BABD0067233FE74B6"/>
        <w:category>
          <w:name w:val="Obecné"/>
          <w:gallery w:val="placeholder"/>
        </w:category>
        <w:types>
          <w:type w:val="bbPlcHdr"/>
        </w:types>
        <w:behaviors>
          <w:behavior w:val="content"/>
        </w:behaviors>
        <w:guid w:val="{202676A1-3F8D-4079-AFCD-D85DAEA0D056}"/>
      </w:docPartPr>
      <w:docPartBody>
        <w:p w:rsidR="006844FB" w:rsidRDefault="006844FB" w:rsidP="006844FB">
          <w:pPr>
            <w:pStyle w:val="01730199B13A4E0BABD0067233FE74B6"/>
          </w:pPr>
          <w:r w:rsidRPr="00746487">
            <w:rPr>
              <w:rStyle w:val="Zstupntext"/>
            </w:rPr>
            <w:t>[Heslo]</w:t>
          </w:r>
        </w:p>
      </w:docPartBody>
    </w:docPart>
    <w:docPart>
      <w:docPartPr>
        <w:name w:val="61CE9AB15C74435E95132B1963EA5F0D"/>
        <w:category>
          <w:name w:val="Obecné"/>
          <w:gallery w:val="placeholder"/>
        </w:category>
        <w:types>
          <w:type w:val="bbPlcHdr"/>
        </w:types>
        <w:behaviors>
          <w:behavior w:val="content"/>
        </w:behaviors>
        <w:guid w:val="{4DE40891-0E8B-46E9-B766-978FE0192774}"/>
      </w:docPartPr>
      <w:docPartBody>
        <w:p w:rsidR="006844FB" w:rsidRDefault="006844FB" w:rsidP="006844FB">
          <w:pPr>
            <w:pStyle w:val="61CE9AB15C74435E95132B1963EA5F0D"/>
          </w:pPr>
          <w:r w:rsidRPr="00746487">
            <w:rPr>
              <w:rStyle w:val="Zstupntext"/>
            </w:rPr>
            <w:t>[Definice]</w:t>
          </w:r>
        </w:p>
      </w:docPartBody>
    </w:docPart>
    <w:docPart>
      <w:docPartPr>
        <w:name w:val="24AB25D6684F4973B3A4B36AC30ABCCC"/>
        <w:category>
          <w:name w:val="Obecné"/>
          <w:gallery w:val="placeholder"/>
        </w:category>
        <w:types>
          <w:type w:val="bbPlcHdr"/>
        </w:types>
        <w:behaviors>
          <w:behavior w:val="content"/>
        </w:behaviors>
        <w:guid w:val="{5318B7FD-9B18-428B-B32D-13317AD0E034}"/>
      </w:docPartPr>
      <w:docPartBody>
        <w:p w:rsidR="006844FB" w:rsidRDefault="006844FB" w:rsidP="006844FB">
          <w:pPr>
            <w:pStyle w:val="24AB25D6684F4973B3A4B36AC30ABCCC"/>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CE7DF823A47466EA3F226EEFCE51327"/>
        <w:category>
          <w:name w:val="Obecné"/>
          <w:gallery w:val="placeholder"/>
        </w:category>
        <w:types>
          <w:type w:val="bbPlcHdr"/>
        </w:types>
        <w:behaviors>
          <w:behavior w:val="content"/>
        </w:behaviors>
        <w:guid w:val="{E07012D4-70F9-4C1B-8F93-9FEE4B80B5EF}"/>
      </w:docPartPr>
      <w:docPartBody>
        <w:p w:rsidR="006844FB" w:rsidRDefault="006844FB" w:rsidP="006844FB">
          <w:pPr>
            <w:pStyle w:val="4CE7DF823A47466EA3F226EEFCE51327"/>
          </w:pPr>
          <w:r w:rsidRPr="00746487">
            <w:rPr>
              <w:rStyle w:val="Zstupntext"/>
            </w:rPr>
            <w:t>[Heslo]</w:t>
          </w:r>
        </w:p>
      </w:docPartBody>
    </w:docPart>
    <w:docPart>
      <w:docPartPr>
        <w:name w:val="9E86F4650E70420B9AE9D3B931C0DF25"/>
        <w:category>
          <w:name w:val="Obecné"/>
          <w:gallery w:val="placeholder"/>
        </w:category>
        <w:types>
          <w:type w:val="bbPlcHdr"/>
        </w:types>
        <w:behaviors>
          <w:behavior w:val="content"/>
        </w:behaviors>
        <w:guid w:val="{3FE6F10A-5394-4BAE-9A86-6D958613083D}"/>
      </w:docPartPr>
      <w:docPartBody>
        <w:p w:rsidR="006844FB" w:rsidRDefault="006844FB" w:rsidP="006844FB">
          <w:pPr>
            <w:pStyle w:val="9E86F4650E70420B9AE9D3B931C0DF25"/>
          </w:pPr>
          <w:r w:rsidRPr="00746487">
            <w:rPr>
              <w:rStyle w:val="Zstupntext"/>
            </w:rPr>
            <w:t>[Definice]</w:t>
          </w:r>
        </w:p>
      </w:docPartBody>
    </w:docPart>
    <w:docPart>
      <w:docPartPr>
        <w:name w:val="C10F15BD9B0043C99B1CA116C77BC8D7"/>
        <w:category>
          <w:name w:val="Obecné"/>
          <w:gallery w:val="placeholder"/>
        </w:category>
        <w:types>
          <w:type w:val="bbPlcHdr"/>
        </w:types>
        <w:behaviors>
          <w:behavior w:val="content"/>
        </w:behaviors>
        <w:guid w:val="{4249D01C-44FD-4E47-8357-1C28C2EB714B}"/>
      </w:docPartPr>
      <w:docPartBody>
        <w:p w:rsidR="006844FB" w:rsidRDefault="006844FB" w:rsidP="006844FB">
          <w:pPr>
            <w:pStyle w:val="C10F15BD9B0043C99B1CA116C77BC8D7"/>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5EB6E5EEFCD4241A8B0B5BFBDB9B4D0"/>
        <w:category>
          <w:name w:val="Obecné"/>
          <w:gallery w:val="placeholder"/>
        </w:category>
        <w:types>
          <w:type w:val="bbPlcHdr"/>
        </w:types>
        <w:behaviors>
          <w:behavior w:val="content"/>
        </w:behaviors>
        <w:guid w:val="{35CF1845-4BC8-4123-BC5E-58316CA09F19}"/>
      </w:docPartPr>
      <w:docPartBody>
        <w:p w:rsidR="006844FB" w:rsidRDefault="006844FB" w:rsidP="006844FB">
          <w:pPr>
            <w:pStyle w:val="E5EB6E5EEFCD4241A8B0B5BFBDB9B4D0"/>
          </w:pPr>
          <w:r w:rsidRPr="00746487">
            <w:rPr>
              <w:rStyle w:val="Zstupntext"/>
            </w:rPr>
            <w:t>[Heslo]</w:t>
          </w:r>
        </w:p>
      </w:docPartBody>
    </w:docPart>
    <w:docPart>
      <w:docPartPr>
        <w:name w:val="F02F8FFF755E4F57B8887DFF165302D9"/>
        <w:category>
          <w:name w:val="Obecné"/>
          <w:gallery w:val="placeholder"/>
        </w:category>
        <w:types>
          <w:type w:val="bbPlcHdr"/>
        </w:types>
        <w:behaviors>
          <w:behavior w:val="content"/>
        </w:behaviors>
        <w:guid w:val="{88C7BC16-96EB-4FD7-997C-29434C37C164}"/>
      </w:docPartPr>
      <w:docPartBody>
        <w:p w:rsidR="006844FB" w:rsidRDefault="006844FB" w:rsidP="006844FB">
          <w:pPr>
            <w:pStyle w:val="F02F8FFF755E4F57B8887DFF165302D9"/>
          </w:pPr>
          <w:r w:rsidRPr="00746487">
            <w:rPr>
              <w:rStyle w:val="Zstupntext"/>
            </w:rPr>
            <w:t>[Definice]</w:t>
          </w:r>
        </w:p>
      </w:docPartBody>
    </w:docPart>
    <w:docPart>
      <w:docPartPr>
        <w:name w:val="8E02F691FB7841DFBCB9F697001B3FBB"/>
        <w:category>
          <w:name w:val="Obecné"/>
          <w:gallery w:val="placeholder"/>
        </w:category>
        <w:types>
          <w:type w:val="bbPlcHdr"/>
        </w:types>
        <w:behaviors>
          <w:behavior w:val="content"/>
        </w:behaviors>
        <w:guid w:val="{5F871CCC-4972-4610-A9CF-84B8A356790F}"/>
      </w:docPartPr>
      <w:docPartBody>
        <w:p w:rsidR="006844FB" w:rsidRDefault="006844FB" w:rsidP="006844FB">
          <w:pPr>
            <w:pStyle w:val="8E02F691FB7841DFBCB9F697001B3FBB"/>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F71E1A458CFC420E868A35AA5D50B89A"/>
        <w:category>
          <w:name w:val="Obecné"/>
          <w:gallery w:val="placeholder"/>
        </w:category>
        <w:types>
          <w:type w:val="bbPlcHdr"/>
        </w:types>
        <w:behaviors>
          <w:behavior w:val="content"/>
        </w:behaviors>
        <w:guid w:val="{B0C1C96D-B5F6-48B5-8EA2-677E2B16A35C}"/>
      </w:docPartPr>
      <w:docPartBody>
        <w:p w:rsidR="006844FB" w:rsidRDefault="006844FB" w:rsidP="006844FB">
          <w:pPr>
            <w:pStyle w:val="F71E1A458CFC420E868A35AA5D50B89A"/>
          </w:pPr>
          <w:r w:rsidRPr="00746487">
            <w:rPr>
              <w:rStyle w:val="Zstupntext"/>
            </w:rPr>
            <w:t>[Heslo]</w:t>
          </w:r>
        </w:p>
      </w:docPartBody>
    </w:docPart>
    <w:docPart>
      <w:docPartPr>
        <w:name w:val="43A481DDA0D74ABF974DB068B4F1CFCD"/>
        <w:category>
          <w:name w:val="Obecné"/>
          <w:gallery w:val="placeholder"/>
        </w:category>
        <w:types>
          <w:type w:val="bbPlcHdr"/>
        </w:types>
        <w:behaviors>
          <w:behavior w:val="content"/>
        </w:behaviors>
        <w:guid w:val="{DE6D37A3-9A95-42CA-908D-64DBA8AB68BC}"/>
      </w:docPartPr>
      <w:docPartBody>
        <w:p w:rsidR="006844FB" w:rsidRDefault="006844FB" w:rsidP="006844FB">
          <w:pPr>
            <w:pStyle w:val="43A481DDA0D74ABF974DB068B4F1CFCD"/>
          </w:pPr>
          <w:r w:rsidRPr="00746487">
            <w:rPr>
              <w:rStyle w:val="Zstupntext"/>
            </w:rPr>
            <w:t>[Definice]</w:t>
          </w:r>
        </w:p>
      </w:docPartBody>
    </w:docPart>
    <w:docPart>
      <w:docPartPr>
        <w:name w:val="8B9063F55270474E8653F7F18D1CBE60"/>
        <w:category>
          <w:name w:val="Obecné"/>
          <w:gallery w:val="placeholder"/>
        </w:category>
        <w:types>
          <w:type w:val="bbPlcHdr"/>
        </w:types>
        <w:behaviors>
          <w:behavior w:val="content"/>
        </w:behaviors>
        <w:guid w:val="{78199996-37D7-4480-ADBD-A27C8CF26323}"/>
      </w:docPartPr>
      <w:docPartBody>
        <w:p w:rsidR="006844FB" w:rsidRDefault="006844FB" w:rsidP="006844FB">
          <w:pPr>
            <w:pStyle w:val="8B9063F55270474E8653F7F18D1CBE60"/>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56DD3DB8184447CDA0C8CDE0E78BA92A"/>
        <w:category>
          <w:name w:val="Obecné"/>
          <w:gallery w:val="placeholder"/>
        </w:category>
        <w:types>
          <w:type w:val="bbPlcHdr"/>
        </w:types>
        <w:behaviors>
          <w:behavior w:val="content"/>
        </w:behaviors>
        <w:guid w:val="{00B3F80C-4F5B-416F-B95D-CF76F39C82B5}"/>
      </w:docPartPr>
      <w:docPartBody>
        <w:p w:rsidR="006844FB" w:rsidRDefault="006844FB" w:rsidP="006844FB">
          <w:pPr>
            <w:pStyle w:val="56DD3DB8184447CDA0C8CDE0E78BA92A"/>
          </w:pPr>
          <w:r w:rsidRPr="00746487">
            <w:rPr>
              <w:rStyle w:val="Zstupntext"/>
            </w:rPr>
            <w:t>[Heslo]</w:t>
          </w:r>
        </w:p>
      </w:docPartBody>
    </w:docPart>
    <w:docPart>
      <w:docPartPr>
        <w:name w:val="D5C0622C2EE945A78DB62477A697F719"/>
        <w:category>
          <w:name w:val="Obecné"/>
          <w:gallery w:val="placeholder"/>
        </w:category>
        <w:types>
          <w:type w:val="bbPlcHdr"/>
        </w:types>
        <w:behaviors>
          <w:behavior w:val="content"/>
        </w:behaviors>
        <w:guid w:val="{A804359F-D412-47FD-B207-F0FE4095AE25}"/>
      </w:docPartPr>
      <w:docPartBody>
        <w:p w:rsidR="006844FB" w:rsidRDefault="006844FB" w:rsidP="006844FB">
          <w:pPr>
            <w:pStyle w:val="D5C0622C2EE945A78DB62477A697F719"/>
          </w:pPr>
          <w:r w:rsidRPr="00746487">
            <w:rPr>
              <w:rStyle w:val="Zstupntext"/>
            </w:rPr>
            <w:t>[Definice]</w:t>
          </w:r>
        </w:p>
      </w:docPartBody>
    </w:docPart>
    <w:docPart>
      <w:docPartPr>
        <w:name w:val="E67C229683134BF98382EA1EBBC24DB6"/>
        <w:category>
          <w:name w:val="Obecné"/>
          <w:gallery w:val="placeholder"/>
        </w:category>
        <w:types>
          <w:type w:val="bbPlcHdr"/>
        </w:types>
        <w:behaviors>
          <w:behavior w:val="content"/>
        </w:behaviors>
        <w:guid w:val="{EC3EEB33-84BE-4BF3-9989-D0B1D8D7DF99}"/>
      </w:docPartPr>
      <w:docPartBody>
        <w:p w:rsidR="006844FB" w:rsidRDefault="006844FB" w:rsidP="006844FB">
          <w:pPr>
            <w:pStyle w:val="E67C229683134BF98382EA1EBBC24DB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D30F0D4D4D54E548B904442324DE381"/>
        <w:category>
          <w:name w:val="Obecné"/>
          <w:gallery w:val="placeholder"/>
        </w:category>
        <w:types>
          <w:type w:val="bbPlcHdr"/>
        </w:types>
        <w:behaviors>
          <w:behavior w:val="content"/>
        </w:behaviors>
        <w:guid w:val="{6BC9DE54-A3BC-43DB-9E24-C375A2758B3A}"/>
      </w:docPartPr>
      <w:docPartBody>
        <w:p w:rsidR="006844FB" w:rsidRDefault="006844FB" w:rsidP="006844FB">
          <w:pPr>
            <w:pStyle w:val="ED30F0D4D4D54E548B904442324DE381"/>
          </w:pPr>
          <w:r w:rsidRPr="00746487">
            <w:rPr>
              <w:rStyle w:val="Zstupntext"/>
            </w:rPr>
            <w:t>[Heslo]</w:t>
          </w:r>
        </w:p>
      </w:docPartBody>
    </w:docPart>
    <w:docPart>
      <w:docPartPr>
        <w:name w:val="320D59D8A87642D99DA60F223735B2EE"/>
        <w:category>
          <w:name w:val="Obecné"/>
          <w:gallery w:val="placeholder"/>
        </w:category>
        <w:types>
          <w:type w:val="bbPlcHdr"/>
        </w:types>
        <w:behaviors>
          <w:behavior w:val="content"/>
        </w:behaviors>
        <w:guid w:val="{3FAC1C4C-1338-4071-BAB3-B7D31B170580}"/>
      </w:docPartPr>
      <w:docPartBody>
        <w:p w:rsidR="006844FB" w:rsidRDefault="006844FB" w:rsidP="006844FB">
          <w:pPr>
            <w:pStyle w:val="320D59D8A87642D99DA60F223735B2EE"/>
          </w:pPr>
          <w:r w:rsidRPr="00746487">
            <w:rPr>
              <w:rStyle w:val="Zstupntext"/>
            </w:rPr>
            <w:t>[Definice]</w:t>
          </w:r>
        </w:p>
      </w:docPartBody>
    </w:docPart>
    <w:docPart>
      <w:docPartPr>
        <w:name w:val="F147E57C9AA0464B9B1A82727B43B631"/>
        <w:category>
          <w:name w:val="Obecné"/>
          <w:gallery w:val="placeholder"/>
        </w:category>
        <w:types>
          <w:type w:val="bbPlcHdr"/>
        </w:types>
        <w:behaviors>
          <w:behavior w:val="content"/>
        </w:behaviors>
        <w:guid w:val="{31B06DA1-CCD8-47F3-990F-0E83A0969B6B}"/>
      </w:docPartPr>
      <w:docPartBody>
        <w:p w:rsidR="006844FB" w:rsidRDefault="006844FB" w:rsidP="006844FB">
          <w:pPr>
            <w:pStyle w:val="F147E57C9AA0464B9B1A82727B43B631"/>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426D922293C4B3A929A84569A667C85"/>
        <w:category>
          <w:name w:val="Obecné"/>
          <w:gallery w:val="placeholder"/>
        </w:category>
        <w:types>
          <w:type w:val="bbPlcHdr"/>
        </w:types>
        <w:behaviors>
          <w:behavior w:val="content"/>
        </w:behaviors>
        <w:guid w:val="{1C6C0484-C673-4C8C-8D95-7232EBCDB988}"/>
      </w:docPartPr>
      <w:docPartBody>
        <w:p w:rsidR="006844FB" w:rsidRDefault="006844FB" w:rsidP="006844FB">
          <w:pPr>
            <w:pStyle w:val="7426D922293C4B3A929A84569A667C85"/>
          </w:pPr>
          <w:r w:rsidRPr="00746487">
            <w:rPr>
              <w:rStyle w:val="Zstupntext"/>
            </w:rPr>
            <w:t>[Heslo]</w:t>
          </w:r>
        </w:p>
      </w:docPartBody>
    </w:docPart>
    <w:docPart>
      <w:docPartPr>
        <w:name w:val="CEA2FC5570494E68889203CD2FDE8F01"/>
        <w:category>
          <w:name w:val="Obecné"/>
          <w:gallery w:val="placeholder"/>
        </w:category>
        <w:types>
          <w:type w:val="bbPlcHdr"/>
        </w:types>
        <w:behaviors>
          <w:behavior w:val="content"/>
        </w:behaviors>
        <w:guid w:val="{0A0F9647-8713-4CB3-A401-AD8D1CB858F8}"/>
      </w:docPartPr>
      <w:docPartBody>
        <w:p w:rsidR="006844FB" w:rsidRDefault="006844FB" w:rsidP="006844FB">
          <w:pPr>
            <w:pStyle w:val="CEA2FC5570494E68889203CD2FDE8F01"/>
          </w:pPr>
          <w:r w:rsidRPr="00746487">
            <w:rPr>
              <w:rStyle w:val="Zstupntext"/>
            </w:rPr>
            <w:t>[Definice]</w:t>
          </w:r>
        </w:p>
      </w:docPartBody>
    </w:docPart>
    <w:docPart>
      <w:docPartPr>
        <w:name w:val="FFAE2E68C47C4338BB1C41DEBAA50762"/>
        <w:category>
          <w:name w:val="Obecné"/>
          <w:gallery w:val="placeholder"/>
        </w:category>
        <w:types>
          <w:type w:val="bbPlcHdr"/>
        </w:types>
        <w:behaviors>
          <w:behavior w:val="content"/>
        </w:behaviors>
        <w:guid w:val="{B8766B4C-EB38-4630-9E51-3CC1CAF4D59D}"/>
      </w:docPartPr>
      <w:docPartBody>
        <w:p w:rsidR="006844FB" w:rsidRDefault="006844FB" w:rsidP="006844FB">
          <w:pPr>
            <w:pStyle w:val="FFAE2E68C47C4338BB1C41DEBAA5076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EBB4DA864E94AA68B4C3B7974DABF7B"/>
        <w:category>
          <w:name w:val="Obecné"/>
          <w:gallery w:val="placeholder"/>
        </w:category>
        <w:types>
          <w:type w:val="bbPlcHdr"/>
        </w:types>
        <w:behaviors>
          <w:behavior w:val="content"/>
        </w:behaviors>
        <w:guid w:val="{8BB24079-C2AC-4E7F-AC87-3854B81D19E8}"/>
      </w:docPartPr>
      <w:docPartBody>
        <w:p w:rsidR="006844FB" w:rsidRDefault="006844FB" w:rsidP="006844FB">
          <w:pPr>
            <w:pStyle w:val="9EBB4DA864E94AA68B4C3B7974DABF7B"/>
          </w:pPr>
          <w:r w:rsidRPr="00746487">
            <w:rPr>
              <w:rStyle w:val="Zstupntext"/>
            </w:rPr>
            <w:t>[Heslo]</w:t>
          </w:r>
        </w:p>
      </w:docPartBody>
    </w:docPart>
    <w:docPart>
      <w:docPartPr>
        <w:name w:val="6E5494C36B60406F9CA20D0DA70E043B"/>
        <w:category>
          <w:name w:val="Obecné"/>
          <w:gallery w:val="placeholder"/>
        </w:category>
        <w:types>
          <w:type w:val="bbPlcHdr"/>
        </w:types>
        <w:behaviors>
          <w:behavior w:val="content"/>
        </w:behaviors>
        <w:guid w:val="{9FEE48A0-7BED-4FBB-B7D8-3BCC377EFCF1}"/>
      </w:docPartPr>
      <w:docPartBody>
        <w:p w:rsidR="006844FB" w:rsidRDefault="006844FB" w:rsidP="006844FB">
          <w:pPr>
            <w:pStyle w:val="6E5494C36B60406F9CA20D0DA70E043B"/>
          </w:pPr>
          <w:r w:rsidRPr="00746487">
            <w:rPr>
              <w:rStyle w:val="Zstupntext"/>
            </w:rPr>
            <w:t>[Definice]</w:t>
          </w:r>
        </w:p>
      </w:docPartBody>
    </w:docPart>
    <w:docPart>
      <w:docPartPr>
        <w:name w:val="B7FD289EBA1F41F5818B2CEBF8121493"/>
        <w:category>
          <w:name w:val="Obecné"/>
          <w:gallery w:val="placeholder"/>
        </w:category>
        <w:types>
          <w:type w:val="bbPlcHdr"/>
        </w:types>
        <w:behaviors>
          <w:behavior w:val="content"/>
        </w:behaviors>
        <w:guid w:val="{3710ADF7-AE4F-40AD-9002-D106FC612B32}"/>
      </w:docPartPr>
      <w:docPartBody>
        <w:p w:rsidR="006844FB" w:rsidRDefault="006844FB" w:rsidP="006844FB">
          <w:pPr>
            <w:pStyle w:val="B7FD289EBA1F41F5818B2CEBF8121493"/>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76C9129BCAF4B7E8E7396185856D22B"/>
        <w:category>
          <w:name w:val="Obecné"/>
          <w:gallery w:val="placeholder"/>
        </w:category>
        <w:types>
          <w:type w:val="bbPlcHdr"/>
        </w:types>
        <w:behaviors>
          <w:behavior w:val="content"/>
        </w:behaviors>
        <w:guid w:val="{FA38081F-8E2A-42D4-B305-10BFFC1E4A53}"/>
      </w:docPartPr>
      <w:docPartBody>
        <w:p w:rsidR="006844FB" w:rsidRDefault="006844FB" w:rsidP="006844FB">
          <w:pPr>
            <w:pStyle w:val="276C9129BCAF4B7E8E7396185856D22B"/>
          </w:pPr>
          <w:r w:rsidRPr="00746487">
            <w:rPr>
              <w:rStyle w:val="Zstupntext"/>
            </w:rPr>
            <w:t>[Heslo]</w:t>
          </w:r>
        </w:p>
      </w:docPartBody>
    </w:docPart>
    <w:docPart>
      <w:docPartPr>
        <w:name w:val="694844CF97214148BA35EB5D842EE061"/>
        <w:category>
          <w:name w:val="Obecné"/>
          <w:gallery w:val="placeholder"/>
        </w:category>
        <w:types>
          <w:type w:val="bbPlcHdr"/>
        </w:types>
        <w:behaviors>
          <w:behavior w:val="content"/>
        </w:behaviors>
        <w:guid w:val="{381F7E86-4F28-450A-B392-C4CECD30F05F}"/>
      </w:docPartPr>
      <w:docPartBody>
        <w:p w:rsidR="006844FB" w:rsidRDefault="006844FB" w:rsidP="006844FB">
          <w:pPr>
            <w:pStyle w:val="694844CF97214148BA35EB5D842EE061"/>
          </w:pPr>
          <w:r w:rsidRPr="00746487">
            <w:rPr>
              <w:rStyle w:val="Zstupntext"/>
            </w:rPr>
            <w:t>[Definice]</w:t>
          </w:r>
        </w:p>
      </w:docPartBody>
    </w:docPart>
    <w:docPart>
      <w:docPartPr>
        <w:name w:val="8432369E77994334926C3D7D1B880EB8"/>
        <w:category>
          <w:name w:val="Obecné"/>
          <w:gallery w:val="placeholder"/>
        </w:category>
        <w:types>
          <w:type w:val="bbPlcHdr"/>
        </w:types>
        <w:behaviors>
          <w:behavior w:val="content"/>
        </w:behaviors>
        <w:guid w:val="{1EB26273-6E7C-4645-9699-29D86E2F925E}"/>
      </w:docPartPr>
      <w:docPartBody>
        <w:p w:rsidR="006844FB" w:rsidRDefault="006844FB" w:rsidP="006844FB">
          <w:pPr>
            <w:pStyle w:val="8432369E77994334926C3D7D1B880EB8"/>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A874422633A4130879712CE3F2BC74B"/>
        <w:category>
          <w:name w:val="Obecné"/>
          <w:gallery w:val="placeholder"/>
        </w:category>
        <w:types>
          <w:type w:val="bbPlcHdr"/>
        </w:types>
        <w:behaviors>
          <w:behavior w:val="content"/>
        </w:behaviors>
        <w:guid w:val="{00BAF950-5387-454F-A58B-66E149F6BB63}"/>
      </w:docPartPr>
      <w:docPartBody>
        <w:p w:rsidR="006844FB" w:rsidRDefault="006844FB" w:rsidP="006844FB">
          <w:pPr>
            <w:pStyle w:val="7A874422633A4130879712CE3F2BC74B"/>
          </w:pPr>
          <w:r w:rsidRPr="00746487">
            <w:rPr>
              <w:rStyle w:val="Zstupntext"/>
            </w:rPr>
            <w:t>[Heslo]</w:t>
          </w:r>
        </w:p>
      </w:docPartBody>
    </w:docPart>
    <w:docPart>
      <w:docPartPr>
        <w:name w:val="BCD43E1555EC427FA86E65B69C842A86"/>
        <w:category>
          <w:name w:val="Obecné"/>
          <w:gallery w:val="placeholder"/>
        </w:category>
        <w:types>
          <w:type w:val="bbPlcHdr"/>
        </w:types>
        <w:behaviors>
          <w:behavior w:val="content"/>
        </w:behaviors>
        <w:guid w:val="{F48FDA44-8893-457F-86A0-C2FFF1114621}"/>
      </w:docPartPr>
      <w:docPartBody>
        <w:p w:rsidR="006844FB" w:rsidRDefault="006844FB" w:rsidP="006844FB">
          <w:pPr>
            <w:pStyle w:val="BCD43E1555EC427FA86E65B69C842A86"/>
          </w:pPr>
          <w:r w:rsidRPr="00746487">
            <w:rPr>
              <w:rStyle w:val="Zstupntext"/>
            </w:rPr>
            <w:t>[Definice]</w:t>
          </w:r>
        </w:p>
      </w:docPartBody>
    </w:docPart>
    <w:docPart>
      <w:docPartPr>
        <w:name w:val="161011FA21334E9D89688CEF02901E72"/>
        <w:category>
          <w:name w:val="Obecné"/>
          <w:gallery w:val="placeholder"/>
        </w:category>
        <w:types>
          <w:type w:val="bbPlcHdr"/>
        </w:types>
        <w:behaviors>
          <w:behavior w:val="content"/>
        </w:behaviors>
        <w:guid w:val="{74A4048F-7588-4354-B318-F9EFDFD47C28}"/>
      </w:docPartPr>
      <w:docPartBody>
        <w:p w:rsidR="006844FB" w:rsidRDefault="006844FB" w:rsidP="006844FB">
          <w:pPr>
            <w:pStyle w:val="161011FA21334E9D89688CEF02901E7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5977433F4524975A773B5F4C1C3FFBA"/>
        <w:category>
          <w:name w:val="Obecné"/>
          <w:gallery w:val="placeholder"/>
        </w:category>
        <w:types>
          <w:type w:val="bbPlcHdr"/>
        </w:types>
        <w:behaviors>
          <w:behavior w:val="content"/>
        </w:behaviors>
        <w:guid w:val="{3947A366-E512-48DD-8C41-E741B4D2A213}"/>
      </w:docPartPr>
      <w:docPartBody>
        <w:p w:rsidR="006844FB" w:rsidRDefault="006844FB" w:rsidP="006844FB">
          <w:pPr>
            <w:pStyle w:val="C5977433F4524975A773B5F4C1C3FFBA"/>
          </w:pPr>
          <w:r w:rsidRPr="00746487">
            <w:rPr>
              <w:rStyle w:val="Zstupntext"/>
            </w:rPr>
            <w:t>[Heslo]</w:t>
          </w:r>
        </w:p>
      </w:docPartBody>
    </w:docPart>
    <w:docPart>
      <w:docPartPr>
        <w:name w:val="55FAEB7372074B068396936284D2860D"/>
        <w:category>
          <w:name w:val="Obecné"/>
          <w:gallery w:val="placeholder"/>
        </w:category>
        <w:types>
          <w:type w:val="bbPlcHdr"/>
        </w:types>
        <w:behaviors>
          <w:behavior w:val="content"/>
        </w:behaviors>
        <w:guid w:val="{E8E039CB-BAC7-4D44-9291-B2CACACCD715}"/>
      </w:docPartPr>
      <w:docPartBody>
        <w:p w:rsidR="006844FB" w:rsidRDefault="006844FB" w:rsidP="006844FB">
          <w:pPr>
            <w:pStyle w:val="55FAEB7372074B068396936284D2860D"/>
          </w:pPr>
          <w:r w:rsidRPr="00746487">
            <w:rPr>
              <w:rStyle w:val="Zstupntext"/>
            </w:rPr>
            <w:t>[Definice]</w:t>
          </w:r>
        </w:p>
      </w:docPartBody>
    </w:docPart>
    <w:docPart>
      <w:docPartPr>
        <w:name w:val="EA5F1299B1144E59B706ACD742731FA9"/>
        <w:category>
          <w:name w:val="Obecné"/>
          <w:gallery w:val="placeholder"/>
        </w:category>
        <w:types>
          <w:type w:val="bbPlcHdr"/>
        </w:types>
        <w:behaviors>
          <w:behavior w:val="content"/>
        </w:behaviors>
        <w:guid w:val="{0E503F05-B595-4B4F-A3C1-9EC07CD3EC5D}"/>
      </w:docPartPr>
      <w:docPartBody>
        <w:p w:rsidR="006844FB" w:rsidRDefault="006844FB" w:rsidP="006844FB">
          <w:pPr>
            <w:pStyle w:val="EA5F1299B1144E59B706ACD742731FA9"/>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0A3BB91023E433097950D5AA9CA1C9E"/>
        <w:category>
          <w:name w:val="Obecné"/>
          <w:gallery w:val="placeholder"/>
        </w:category>
        <w:types>
          <w:type w:val="bbPlcHdr"/>
        </w:types>
        <w:behaviors>
          <w:behavior w:val="content"/>
        </w:behaviors>
        <w:guid w:val="{77650350-5637-47F9-B659-4BCC9A0BD7F2}"/>
      </w:docPartPr>
      <w:docPartBody>
        <w:p w:rsidR="006844FB" w:rsidRDefault="006844FB" w:rsidP="006844FB">
          <w:pPr>
            <w:pStyle w:val="C0A3BB91023E433097950D5AA9CA1C9E"/>
          </w:pPr>
          <w:r w:rsidRPr="00746487">
            <w:rPr>
              <w:rStyle w:val="Zstupntext"/>
            </w:rPr>
            <w:t>[Heslo]</w:t>
          </w:r>
        </w:p>
      </w:docPartBody>
    </w:docPart>
    <w:docPart>
      <w:docPartPr>
        <w:name w:val="8C575D665C304D74BBBE5F5DF9D71866"/>
        <w:category>
          <w:name w:val="Obecné"/>
          <w:gallery w:val="placeholder"/>
        </w:category>
        <w:types>
          <w:type w:val="bbPlcHdr"/>
        </w:types>
        <w:behaviors>
          <w:behavior w:val="content"/>
        </w:behaviors>
        <w:guid w:val="{7C68A2A7-2848-4EB1-8E01-C763E9904AA6}"/>
      </w:docPartPr>
      <w:docPartBody>
        <w:p w:rsidR="006844FB" w:rsidRDefault="006844FB" w:rsidP="006844FB">
          <w:pPr>
            <w:pStyle w:val="8C575D665C304D74BBBE5F5DF9D71866"/>
          </w:pPr>
          <w:r w:rsidRPr="00746487">
            <w:rPr>
              <w:rStyle w:val="Zstupntext"/>
            </w:rPr>
            <w:t>[Definice]</w:t>
          </w:r>
        </w:p>
      </w:docPartBody>
    </w:docPart>
    <w:docPart>
      <w:docPartPr>
        <w:name w:val="08E9F3990E6749358E7EA2A2CA5B68BA"/>
        <w:category>
          <w:name w:val="Obecné"/>
          <w:gallery w:val="placeholder"/>
        </w:category>
        <w:types>
          <w:type w:val="bbPlcHdr"/>
        </w:types>
        <w:behaviors>
          <w:behavior w:val="content"/>
        </w:behaviors>
        <w:guid w:val="{51DC7E8E-3462-476B-B05A-47554D2D41D1}"/>
      </w:docPartPr>
      <w:docPartBody>
        <w:p w:rsidR="006844FB" w:rsidRDefault="006844FB" w:rsidP="006844FB">
          <w:pPr>
            <w:pStyle w:val="08E9F3990E6749358E7EA2A2CA5B68B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AC9DADFE797D4ED68DFD1EB6396B7DAB"/>
        <w:category>
          <w:name w:val="Obecné"/>
          <w:gallery w:val="placeholder"/>
        </w:category>
        <w:types>
          <w:type w:val="bbPlcHdr"/>
        </w:types>
        <w:behaviors>
          <w:behavior w:val="content"/>
        </w:behaviors>
        <w:guid w:val="{33FECCE7-776E-47F2-A941-A24F71E71056}"/>
      </w:docPartPr>
      <w:docPartBody>
        <w:p w:rsidR="006844FB" w:rsidRDefault="006844FB" w:rsidP="006844FB">
          <w:pPr>
            <w:pStyle w:val="AC9DADFE797D4ED68DFD1EB6396B7DAB"/>
          </w:pPr>
          <w:r w:rsidRPr="00746487">
            <w:rPr>
              <w:rStyle w:val="Zstupntext"/>
            </w:rPr>
            <w:t>[Heslo]</w:t>
          </w:r>
        </w:p>
      </w:docPartBody>
    </w:docPart>
    <w:docPart>
      <w:docPartPr>
        <w:name w:val="56BE887D1DD24BC49F84FEF00A499256"/>
        <w:category>
          <w:name w:val="Obecné"/>
          <w:gallery w:val="placeholder"/>
        </w:category>
        <w:types>
          <w:type w:val="bbPlcHdr"/>
        </w:types>
        <w:behaviors>
          <w:behavior w:val="content"/>
        </w:behaviors>
        <w:guid w:val="{5C16F5E1-9463-4125-A45C-5D4A97BF5DBB}"/>
      </w:docPartPr>
      <w:docPartBody>
        <w:p w:rsidR="006844FB" w:rsidRDefault="006844FB" w:rsidP="006844FB">
          <w:pPr>
            <w:pStyle w:val="56BE887D1DD24BC49F84FEF00A499256"/>
          </w:pPr>
          <w:r w:rsidRPr="00746487">
            <w:rPr>
              <w:rStyle w:val="Zstupntext"/>
            </w:rPr>
            <w:t>[Definice]</w:t>
          </w:r>
        </w:p>
      </w:docPartBody>
    </w:docPart>
    <w:docPart>
      <w:docPartPr>
        <w:name w:val="E1BBAD3B13DD4579996F737D7EC8519D"/>
        <w:category>
          <w:name w:val="Obecné"/>
          <w:gallery w:val="placeholder"/>
        </w:category>
        <w:types>
          <w:type w:val="bbPlcHdr"/>
        </w:types>
        <w:behaviors>
          <w:behavior w:val="content"/>
        </w:behaviors>
        <w:guid w:val="{43B60AA6-5A6F-464E-81B4-6487EDAF44A6}"/>
      </w:docPartPr>
      <w:docPartBody>
        <w:p w:rsidR="006844FB" w:rsidRDefault="006844FB" w:rsidP="006844FB">
          <w:pPr>
            <w:pStyle w:val="E1BBAD3B13DD4579996F737D7EC8519D"/>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126ECE3567240DAA24217A88D902AB2"/>
        <w:category>
          <w:name w:val="Obecné"/>
          <w:gallery w:val="placeholder"/>
        </w:category>
        <w:types>
          <w:type w:val="bbPlcHdr"/>
        </w:types>
        <w:behaviors>
          <w:behavior w:val="content"/>
        </w:behaviors>
        <w:guid w:val="{4A94C9BF-178C-4236-8AA7-B87525E2E882}"/>
      </w:docPartPr>
      <w:docPartBody>
        <w:p w:rsidR="006844FB" w:rsidRDefault="006844FB" w:rsidP="006844FB">
          <w:pPr>
            <w:pStyle w:val="7126ECE3567240DAA24217A88D902AB2"/>
          </w:pPr>
          <w:r w:rsidRPr="00746487">
            <w:rPr>
              <w:rStyle w:val="Zstupntext"/>
            </w:rPr>
            <w:t>[Heslo]</w:t>
          </w:r>
        </w:p>
      </w:docPartBody>
    </w:docPart>
    <w:docPart>
      <w:docPartPr>
        <w:name w:val="2A67B9E6B78B46F4A385A1971699AF4B"/>
        <w:category>
          <w:name w:val="Obecné"/>
          <w:gallery w:val="placeholder"/>
        </w:category>
        <w:types>
          <w:type w:val="bbPlcHdr"/>
        </w:types>
        <w:behaviors>
          <w:behavior w:val="content"/>
        </w:behaviors>
        <w:guid w:val="{CF460582-ED4B-41D6-9D8E-FBDEBFA12DA3}"/>
      </w:docPartPr>
      <w:docPartBody>
        <w:p w:rsidR="006844FB" w:rsidRDefault="006844FB" w:rsidP="006844FB">
          <w:pPr>
            <w:pStyle w:val="2A67B9E6B78B46F4A385A1971699AF4B"/>
          </w:pPr>
          <w:r w:rsidRPr="00746487">
            <w:rPr>
              <w:rStyle w:val="Zstupntext"/>
            </w:rPr>
            <w:t>[Definice]</w:t>
          </w:r>
        </w:p>
      </w:docPartBody>
    </w:docPart>
    <w:docPart>
      <w:docPartPr>
        <w:name w:val="DAE77D581451474B86B95E8283265AAC"/>
        <w:category>
          <w:name w:val="Obecné"/>
          <w:gallery w:val="placeholder"/>
        </w:category>
        <w:types>
          <w:type w:val="bbPlcHdr"/>
        </w:types>
        <w:behaviors>
          <w:behavior w:val="content"/>
        </w:behaviors>
        <w:guid w:val="{856F6F36-E692-4C6D-A630-E7E29439E202}"/>
      </w:docPartPr>
      <w:docPartBody>
        <w:p w:rsidR="006844FB" w:rsidRDefault="006844FB" w:rsidP="006844FB">
          <w:pPr>
            <w:pStyle w:val="DAE77D581451474B86B95E8283265AAC"/>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0637EC9924B40629F536119F4901C3B"/>
        <w:category>
          <w:name w:val="Obecné"/>
          <w:gallery w:val="placeholder"/>
        </w:category>
        <w:types>
          <w:type w:val="bbPlcHdr"/>
        </w:types>
        <w:behaviors>
          <w:behavior w:val="content"/>
        </w:behaviors>
        <w:guid w:val="{AAF8DA84-68EA-4FB7-9FEB-77AB3A74BD87}"/>
      </w:docPartPr>
      <w:docPartBody>
        <w:p w:rsidR="006844FB" w:rsidRDefault="006844FB" w:rsidP="006844FB">
          <w:pPr>
            <w:pStyle w:val="E0637EC9924B40629F536119F4901C3B"/>
          </w:pPr>
          <w:r w:rsidRPr="00746487">
            <w:rPr>
              <w:rStyle w:val="Zstupntext"/>
            </w:rPr>
            <w:t>[Heslo]</w:t>
          </w:r>
        </w:p>
      </w:docPartBody>
    </w:docPart>
    <w:docPart>
      <w:docPartPr>
        <w:name w:val="13A064253C334E3E9135C75B862E2F6D"/>
        <w:category>
          <w:name w:val="Obecné"/>
          <w:gallery w:val="placeholder"/>
        </w:category>
        <w:types>
          <w:type w:val="bbPlcHdr"/>
        </w:types>
        <w:behaviors>
          <w:behavior w:val="content"/>
        </w:behaviors>
        <w:guid w:val="{7ED39123-A559-4997-AD5A-E0100105DF17}"/>
      </w:docPartPr>
      <w:docPartBody>
        <w:p w:rsidR="006844FB" w:rsidRDefault="006844FB" w:rsidP="006844FB">
          <w:pPr>
            <w:pStyle w:val="13A064253C334E3E9135C75B862E2F6D"/>
          </w:pPr>
          <w:r w:rsidRPr="00746487">
            <w:rPr>
              <w:rStyle w:val="Zstupntext"/>
            </w:rPr>
            <w:t>[Definice]</w:t>
          </w:r>
        </w:p>
      </w:docPartBody>
    </w:docPart>
    <w:docPart>
      <w:docPartPr>
        <w:name w:val="7D4CEC970AE9475098C6996C7EA91D9A"/>
        <w:category>
          <w:name w:val="Obecné"/>
          <w:gallery w:val="placeholder"/>
        </w:category>
        <w:types>
          <w:type w:val="bbPlcHdr"/>
        </w:types>
        <w:behaviors>
          <w:behavior w:val="content"/>
        </w:behaviors>
        <w:guid w:val="{F095037B-D29F-4874-B763-87EB5505E760}"/>
      </w:docPartPr>
      <w:docPartBody>
        <w:p w:rsidR="006844FB" w:rsidRDefault="006844FB" w:rsidP="006844FB">
          <w:pPr>
            <w:pStyle w:val="7D4CEC970AE9475098C6996C7EA91D9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B8CEEE499064FDB8216DFF027B9DF27"/>
        <w:category>
          <w:name w:val="Obecné"/>
          <w:gallery w:val="placeholder"/>
        </w:category>
        <w:types>
          <w:type w:val="bbPlcHdr"/>
        </w:types>
        <w:behaviors>
          <w:behavior w:val="content"/>
        </w:behaviors>
        <w:guid w:val="{822DCD70-A58D-4F8F-A288-4D98DC0D22D9}"/>
      </w:docPartPr>
      <w:docPartBody>
        <w:p w:rsidR="006844FB" w:rsidRDefault="006844FB" w:rsidP="006844FB">
          <w:pPr>
            <w:pStyle w:val="2B8CEEE499064FDB8216DFF027B9DF27"/>
          </w:pPr>
          <w:r w:rsidRPr="00746487">
            <w:rPr>
              <w:rStyle w:val="Zstupntext"/>
            </w:rPr>
            <w:t>[Heslo]</w:t>
          </w:r>
        </w:p>
      </w:docPartBody>
    </w:docPart>
    <w:docPart>
      <w:docPartPr>
        <w:name w:val="A1448E55470D49E18E41DF2394E9A2AE"/>
        <w:category>
          <w:name w:val="Obecné"/>
          <w:gallery w:val="placeholder"/>
        </w:category>
        <w:types>
          <w:type w:val="bbPlcHdr"/>
        </w:types>
        <w:behaviors>
          <w:behavior w:val="content"/>
        </w:behaviors>
        <w:guid w:val="{D9142F53-DAC6-4E3E-8F72-A9D981D2483D}"/>
      </w:docPartPr>
      <w:docPartBody>
        <w:p w:rsidR="006844FB" w:rsidRDefault="006844FB" w:rsidP="006844FB">
          <w:pPr>
            <w:pStyle w:val="A1448E55470D49E18E41DF2394E9A2AE"/>
          </w:pPr>
          <w:r w:rsidRPr="00746487">
            <w:rPr>
              <w:rStyle w:val="Zstupntext"/>
            </w:rPr>
            <w:t>[Definice]</w:t>
          </w:r>
        </w:p>
      </w:docPartBody>
    </w:docPart>
    <w:docPart>
      <w:docPartPr>
        <w:name w:val="DEAA656AA0E7489F8D99AC80F7C8F2A5"/>
        <w:category>
          <w:name w:val="Obecné"/>
          <w:gallery w:val="placeholder"/>
        </w:category>
        <w:types>
          <w:type w:val="bbPlcHdr"/>
        </w:types>
        <w:behaviors>
          <w:behavior w:val="content"/>
        </w:behaviors>
        <w:guid w:val="{43768F3E-EE69-4294-BB95-DB6511D8471A}"/>
      </w:docPartPr>
      <w:docPartBody>
        <w:p w:rsidR="006844FB" w:rsidRDefault="006844FB" w:rsidP="006844FB">
          <w:pPr>
            <w:pStyle w:val="DEAA656AA0E7489F8D99AC80F7C8F2A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A996885A30724B7BB4955A5A9B2EC841"/>
        <w:category>
          <w:name w:val="Obecné"/>
          <w:gallery w:val="placeholder"/>
        </w:category>
        <w:types>
          <w:type w:val="bbPlcHdr"/>
        </w:types>
        <w:behaviors>
          <w:behavior w:val="content"/>
        </w:behaviors>
        <w:guid w:val="{A158AFB6-C336-4D5E-ABDD-43334166F080}"/>
      </w:docPartPr>
      <w:docPartBody>
        <w:p w:rsidR="006844FB" w:rsidRDefault="006844FB" w:rsidP="006844FB">
          <w:pPr>
            <w:pStyle w:val="A996885A30724B7BB4955A5A9B2EC841"/>
          </w:pPr>
          <w:r w:rsidRPr="00746487">
            <w:rPr>
              <w:rStyle w:val="Zstupntext"/>
            </w:rPr>
            <w:t>[Heslo]</w:t>
          </w:r>
        </w:p>
      </w:docPartBody>
    </w:docPart>
    <w:docPart>
      <w:docPartPr>
        <w:name w:val="F1844BA8CC7E46698A933AD69A053B27"/>
        <w:category>
          <w:name w:val="Obecné"/>
          <w:gallery w:val="placeholder"/>
        </w:category>
        <w:types>
          <w:type w:val="bbPlcHdr"/>
        </w:types>
        <w:behaviors>
          <w:behavior w:val="content"/>
        </w:behaviors>
        <w:guid w:val="{1FD06F19-EDBB-4157-BA3A-02AD125E256C}"/>
      </w:docPartPr>
      <w:docPartBody>
        <w:p w:rsidR="006844FB" w:rsidRDefault="006844FB" w:rsidP="006844FB">
          <w:pPr>
            <w:pStyle w:val="F1844BA8CC7E46698A933AD69A053B27"/>
          </w:pPr>
          <w:r w:rsidRPr="00746487">
            <w:rPr>
              <w:rStyle w:val="Zstupntext"/>
            </w:rPr>
            <w:t>[Definice]</w:t>
          </w:r>
        </w:p>
      </w:docPartBody>
    </w:docPart>
    <w:docPart>
      <w:docPartPr>
        <w:name w:val="A73A3DBF22AC4774853EFB5A11FB88E0"/>
        <w:category>
          <w:name w:val="Obecné"/>
          <w:gallery w:val="placeholder"/>
        </w:category>
        <w:types>
          <w:type w:val="bbPlcHdr"/>
        </w:types>
        <w:behaviors>
          <w:behavior w:val="content"/>
        </w:behaviors>
        <w:guid w:val="{825565BF-11BC-491A-B798-29C401B00F2B}"/>
      </w:docPartPr>
      <w:docPartBody>
        <w:p w:rsidR="006844FB" w:rsidRDefault="006844FB" w:rsidP="006844FB">
          <w:pPr>
            <w:pStyle w:val="A73A3DBF22AC4774853EFB5A11FB88E0"/>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A803F6F162F4E0B88B6833711FD0C43"/>
        <w:category>
          <w:name w:val="Obecné"/>
          <w:gallery w:val="placeholder"/>
        </w:category>
        <w:types>
          <w:type w:val="bbPlcHdr"/>
        </w:types>
        <w:behaviors>
          <w:behavior w:val="content"/>
        </w:behaviors>
        <w:guid w:val="{FBF27706-3D82-4B2F-AEE1-28BF8CDFCDA8}"/>
      </w:docPartPr>
      <w:docPartBody>
        <w:p w:rsidR="006844FB" w:rsidRDefault="006844FB" w:rsidP="006844FB">
          <w:pPr>
            <w:pStyle w:val="EA803F6F162F4E0B88B6833711FD0C43"/>
          </w:pPr>
          <w:r w:rsidRPr="00746487">
            <w:rPr>
              <w:rStyle w:val="Zstupntext"/>
            </w:rPr>
            <w:t>[Heslo]</w:t>
          </w:r>
        </w:p>
      </w:docPartBody>
    </w:docPart>
    <w:docPart>
      <w:docPartPr>
        <w:name w:val="6FF6ED437745400C9FCA3D2D363ED120"/>
        <w:category>
          <w:name w:val="Obecné"/>
          <w:gallery w:val="placeholder"/>
        </w:category>
        <w:types>
          <w:type w:val="bbPlcHdr"/>
        </w:types>
        <w:behaviors>
          <w:behavior w:val="content"/>
        </w:behaviors>
        <w:guid w:val="{636D3A62-B00B-484B-9D84-119EFEE32FD0}"/>
      </w:docPartPr>
      <w:docPartBody>
        <w:p w:rsidR="006844FB" w:rsidRDefault="006844FB" w:rsidP="006844FB">
          <w:pPr>
            <w:pStyle w:val="6FF6ED437745400C9FCA3D2D363ED120"/>
          </w:pPr>
          <w:r w:rsidRPr="00746487">
            <w:rPr>
              <w:rStyle w:val="Zstupntext"/>
            </w:rPr>
            <w:t>[Definice]</w:t>
          </w:r>
        </w:p>
      </w:docPartBody>
    </w:docPart>
    <w:docPart>
      <w:docPartPr>
        <w:name w:val="F337F1D13CB5430DA74D765B758E50BC"/>
        <w:category>
          <w:name w:val="Obecné"/>
          <w:gallery w:val="placeholder"/>
        </w:category>
        <w:types>
          <w:type w:val="bbPlcHdr"/>
        </w:types>
        <w:behaviors>
          <w:behavior w:val="content"/>
        </w:behaviors>
        <w:guid w:val="{C433F1D3-CEF3-464C-8D2E-D8D7B5617312}"/>
      </w:docPartPr>
      <w:docPartBody>
        <w:p w:rsidR="006844FB" w:rsidRDefault="006844FB" w:rsidP="006844FB">
          <w:pPr>
            <w:pStyle w:val="F337F1D13CB5430DA74D765B758E50BC"/>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92E05344FA84B9FA379BDA262B23C87"/>
        <w:category>
          <w:name w:val="Obecné"/>
          <w:gallery w:val="placeholder"/>
        </w:category>
        <w:types>
          <w:type w:val="bbPlcHdr"/>
        </w:types>
        <w:behaviors>
          <w:behavior w:val="content"/>
        </w:behaviors>
        <w:guid w:val="{9296F75F-9A53-4076-8738-482E64667AF5}"/>
      </w:docPartPr>
      <w:docPartBody>
        <w:p w:rsidR="006844FB" w:rsidRDefault="006844FB" w:rsidP="006844FB">
          <w:pPr>
            <w:pStyle w:val="E92E05344FA84B9FA379BDA262B23C87"/>
          </w:pPr>
          <w:r w:rsidRPr="00746487">
            <w:rPr>
              <w:rStyle w:val="Zstupntext"/>
            </w:rPr>
            <w:t>[Heslo]</w:t>
          </w:r>
        </w:p>
      </w:docPartBody>
    </w:docPart>
    <w:docPart>
      <w:docPartPr>
        <w:name w:val="B8050DDB9796409CA16DDDF857FD8A79"/>
        <w:category>
          <w:name w:val="Obecné"/>
          <w:gallery w:val="placeholder"/>
        </w:category>
        <w:types>
          <w:type w:val="bbPlcHdr"/>
        </w:types>
        <w:behaviors>
          <w:behavior w:val="content"/>
        </w:behaviors>
        <w:guid w:val="{EC9292BA-B247-412B-B58F-833599478BED}"/>
      </w:docPartPr>
      <w:docPartBody>
        <w:p w:rsidR="006844FB" w:rsidRDefault="006844FB" w:rsidP="006844FB">
          <w:pPr>
            <w:pStyle w:val="B8050DDB9796409CA16DDDF857FD8A79"/>
          </w:pPr>
          <w:r w:rsidRPr="00746487">
            <w:rPr>
              <w:rStyle w:val="Zstupntext"/>
            </w:rPr>
            <w:t>[Definice]</w:t>
          </w:r>
        </w:p>
      </w:docPartBody>
    </w:docPart>
    <w:docPart>
      <w:docPartPr>
        <w:name w:val="1C5F18DA0BB04006A27AFB761F30B476"/>
        <w:category>
          <w:name w:val="Obecné"/>
          <w:gallery w:val="placeholder"/>
        </w:category>
        <w:types>
          <w:type w:val="bbPlcHdr"/>
        </w:types>
        <w:behaviors>
          <w:behavior w:val="content"/>
        </w:behaviors>
        <w:guid w:val="{0D322F81-32A5-4738-8105-BA5884627148}"/>
      </w:docPartPr>
      <w:docPartBody>
        <w:p w:rsidR="006844FB" w:rsidRDefault="006844FB" w:rsidP="006844FB">
          <w:pPr>
            <w:pStyle w:val="1C5F18DA0BB04006A27AFB761F30B47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DB80E5128D64AAA9C239374357FC3F1"/>
        <w:category>
          <w:name w:val="Obecné"/>
          <w:gallery w:val="placeholder"/>
        </w:category>
        <w:types>
          <w:type w:val="bbPlcHdr"/>
        </w:types>
        <w:behaviors>
          <w:behavior w:val="content"/>
        </w:behaviors>
        <w:guid w:val="{7E58667E-827F-41C1-9C52-FBFCE68BB005}"/>
      </w:docPartPr>
      <w:docPartBody>
        <w:p w:rsidR="006844FB" w:rsidRDefault="006844FB" w:rsidP="006844FB">
          <w:pPr>
            <w:pStyle w:val="4DB80E5128D64AAA9C239374357FC3F1"/>
          </w:pPr>
          <w:r w:rsidRPr="00746487">
            <w:rPr>
              <w:rStyle w:val="Zstupntext"/>
            </w:rPr>
            <w:t>[Heslo]</w:t>
          </w:r>
        </w:p>
      </w:docPartBody>
    </w:docPart>
    <w:docPart>
      <w:docPartPr>
        <w:name w:val="C6753C4339ED4120B36021755EDEF036"/>
        <w:category>
          <w:name w:val="Obecné"/>
          <w:gallery w:val="placeholder"/>
        </w:category>
        <w:types>
          <w:type w:val="bbPlcHdr"/>
        </w:types>
        <w:behaviors>
          <w:behavior w:val="content"/>
        </w:behaviors>
        <w:guid w:val="{B48863C1-B309-487F-8587-7F957A665AC9}"/>
      </w:docPartPr>
      <w:docPartBody>
        <w:p w:rsidR="006844FB" w:rsidRDefault="006844FB" w:rsidP="006844FB">
          <w:pPr>
            <w:pStyle w:val="C6753C4339ED4120B36021755EDEF036"/>
          </w:pPr>
          <w:r w:rsidRPr="00746487">
            <w:rPr>
              <w:rStyle w:val="Zstupntext"/>
            </w:rPr>
            <w:t>[Definice]</w:t>
          </w:r>
        </w:p>
      </w:docPartBody>
    </w:docPart>
    <w:docPart>
      <w:docPartPr>
        <w:name w:val="3BD2BA3D46FE4EC99C8AA4A3DEBD245C"/>
        <w:category>
          <w:name w:val="Obecné"/>
          <w:gallery w:val="placeholder"/>
        </w:category>
        <w:types>
          <w:type w:val="bbPlcHdr"/>
        </w:types>
        <w:behaviors>
          <w:behavior w:val="content"/>
        </w:behaviors>
        <w:guid w:val="{E2FDB4C2-898C-4C9D-984D-A3C935EE10B2}"/>
      </w:docPartPr>
      <w:docPartBody>
        <w:p w:rsidR="006844FB" w:rsidRDefault="006844FB" w:rsidP="006844FB">
          <w:pPr>
            <w:pStyle w:val="3BD2BA3D46FE4EC99C8AA4A3DEBD245C"/>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886671DA80E457D9B580093033B0601"/>
        <w:category>
          <w:name w:val="Obecné"/>
          <w:gallery w:val="placeholder"/>
        </w:category>
        <w:types>
          <w:type w:val="bbPlcHdr"/>
        </w:types>
        <w:behaviors>
          <w:behavior w:val="content"/>
        </w:behaviors>
        <w:guid w:val="{02AB1342-A96A-4EDA-BB90-D8A759FC10B7}"/>
      </w:docPartPr>
      <w:docPartBody>
        <w:p w:rsidR="006844FB" w:rsidRDefault="006844FB" w:rsidP="006844FB">
          <w:pPr>
            <w:pStyle w:val="7886671DA80E457D9B580093033B0601"/>
          </w:pPr>
          <w:r w:rsidRPr="00746487">
            <w:rPr>
              <w:rStyle w:val="Zstupntext"/>
            </w:rPr>
            <w:t>[Heslo]</w:t>
          </w:r>
        </w:p>
      </w:docPartBody>
    </w:docPart>
    <w:docPart>
      <w:docPartPr>
        <w:name w:val="87D41A4C3C424F9DA041F393AE20FDB3"/>
        <w:category>
          <w:name w:val="Obecné"/>
          <w:gallery w:val="placeholder"/>
        </w:category>
        <w:types>
          <w:type w:val="bbPlcHdr"/>
        </w:types>
        <w:behaviors>
          <w:behavior w:val="content"/>
        </w:behaviors>
        <w:guid w:val="{42B01C83-BFDC-4A70-80F6-CF2810681551}"/>
      </w:docPartPr>
      <w:docPartBody>
        <w:p w:rsidR="006844FB" w:rsidRDefault="006844FB" w:rsidP="006844FB">
          <w:pPr>
            <w:pStyle w:val="87D41A4C3C424F9DA041F393AE20FDB3"/>
          </w:pPr>
          <w:r w:rsidRPr="00746487">
            <w:rPr>
              <w:rStyle w:val="Zstupntext"/>
            </w:rPr>
            <w:t>[Definice]</w:t>
          </w:r>
        </w:p>
      </w:docPartBody>
    </w:docPart>
    <w:docPart>
      <w:docPartPr>
        <w:name w:val="01115A53875044E087D9ADD195674B86"/>
        <w:category>
          <w:name w:val="Obecné"/>
          <w:gallery w:val="placeholder"/>
        </w:category>
        <w:types>
          <w:type w:val="bbPlcHdr"/>
        </w:types>
        <w:behaviors>
          <w:behavior w:val="content"/>
        </w:behaviors>
        <w:guid w:val="{04972B47-9CFD-48F7-8A0A-BA6EFDD8370C}"/>
      </w:docPartPr>
      <w:docPartBody>
        <w:p w:rsidR="006844FB" w:rsidRDefault="006844FB" w:rsidP="006844FB">
          <w:pPr>
            <w:pStyle w:val="01115A53875044E087D9ADD195674B8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6A0D692B735546C3ADF8CB4F9BE60E00"/>
        <w:category>
          <w:name w:val="Obecné"/>
          <w:gallery w:val="placeholder"/>
        </w:category>
        <w:types>
          <w:type w:val="bbPlcHdr"/>
        </w:types>
        <w:behaviors>
          <w:behavior w:val="content"/>
        </w:behaviors>
        <w:guid w:val="{71D98CED-E299-43A4-8864-21E5BA6527E9}"/>
      </w:docPartPr>
      <w:docPartBody>
        <w:p w:rsidR="006844FB" w:rsidRDefault="006844FB" w:rsidP="006844FB">
          <w:pPr>
            <w:pStyle w:val="6A0D692B735546C3ADF8CB4F9BE60E00"/>
          </w:pPr>
          <w:r w:rsidRPr="00746487">
            <w:rPr>
              <w:rStyle w:val="Zstupntext"/>
            </w:rPr>
            <w:t>[Heslo]</w:t>
          </w:r>
        </w:p>
      </w:docPartBody>
    </w:docPart>
    <w:docPart>
      <w:docPartPr>
        <w:name w:val="212DE73902F74C78A114026A8AC5DDD3"/>
        <w:category>
          <w:name w:val="Obecné"/>
          <w:gallery w:val="placeholder"/>
        </w:category>
        <w:types>
          <w:type w:val="bbPlcHdr"/>
        </w:types>
        <w:behaviors>
          <w:behavior w:val="content"/>
        </w:behaviors>
        <w:guid w:val="{990B9CF3-7EEE-469F-B1B4-448DF1C63479}"/>
      </w:docPartPr>
      <w:docPartBody>
        <w:p w:rsidR="006844FB" w:rsidRDefault="006844FB" w:rsidP="006844FB">
          <w:pPr>
            <w:pStyle w:val="212DE73902F74C78A114026A8AC5DDD3"/>
          </w:pPr>
          <w:r w:rsidRPr="00746487">
            <w:rPr>
              <w:rStyle w:val="Zstupntext"/>
            </w:rPr>
            <w:t>[Definice]</w:t>
          </w:r>
        </w:p>
      </w:docPartBody>
    </w:docPart>
    <w:docPart>
      <w:docPartPr>
        <w:name w:val="9B60B73A2BC1445AABAF40623F737A36"/>
        <w:category>
          <w:name w:val="Obecné"/>
          <w:gallery w:val="placeholder"/>
        </w:category>
        <w:types>
          <w:type w:val="bbPlcHdr"/>
        </w:types>
        <w:behaviors>
          <w:behavior w:val="content"/>
        </w:behaviors>
        <w:guid w:val="{2562C4ED-696B-4F49-99D3-1C4BE689850C}"/>
      </w:docPartPr>
      <w:docPartBody>
        <w:p w:rsidR="006844FB" w:rsidRDefault="006844FB" w:rsidP="006844FB">
          <w:pPr>
            <w:pStyle w:val="9B60B73A2BC1445AABAF40623F737A3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DC1AF5B7A174B2790415A8DCA0AD3EB"/>
        <w:category>
          <w:name w:val="Obecné"/>
          <w:gallery w:val="placeholder"/>
        </w:category>
        <w:types>
          <w:type w:val="bbPlcHdr"/>
        </w:types>
        <w:behaviors>
          <w:behavior w:val="content"/>
        </w:behaviors>
        <w:guid w:val="{21FCEFE8-3CDF-4BE4-B4EA-FC9981B6237B}"/>
      </w:docPartPr>
      <w:docPartBody>
        <w:p w:rsidR="006844FB" w:rsidRDefault="006844FB" w:rsidP="006844FB">
          <w:pPr>
            <w:pStyle w:val="CDC1AF5B7A174B2790415A8DCA0AD3EB"/>
          </w:pPr>
          <w:r w:rsidRPr="00746487">
            <w:rPr>
              <w:rStyle w:val="Zstupntext"/>
            </w:rPr>
            <w:t>[Heslo]</w:t>
          </w:r>
        </w:p>
      </w:docPartBody>
    </w:docPart>
    <w:docPart>
      <w:docPartPr>
        <w:name w:val="A604B478E3F242FE9BEBC3A4D9A132FF"/>
        <w:category>
          <w:name w:val="Obecné"/>
          <w:gallery w:val="placeholder"/>
        </w:category>
        <w:types>
          <w:type w:val="bbPlcHdr"/>
        </w:types>
        <w:behaviors>
          <w:behavior w:val="content"/>
        </w:behaviors>
        <w:guid w:val="{0F635D4F-1A0D-4BD4-BA4F-67CEB3669C89}"/>
      </w:docPartPr>
      <w:docPartBody>
        <w:p w:rsidR="006844FB" w:rsidRDefault="006844FB" w:rsidP="006844FB">
          <w:pPr>
            <w:pStyle w:val="A604B478E3F242FE9BEBC3A4D9A132FF"/>
          </w:pPr>
          <w:r w:rsidRPr="00746487">
            <w:rPr>
              <w:rStyle w:val="Zstupntext"/>
            </w:rPr>
            <w:t>[Definice]</w:t>
          </w:r>
        </w:p>
      </w:docPartBody>
    </w:docPart>
    <w:docPart>
      <w:docPartPr>
        <w:name w:val="A061DA1E0038473FBD5844B82030ABE2"/>
        <w:category>
          <w:name w:val="Obecné"/>
          <w:gallery w:val="placeholder"/>
        </w:category>
        <w:types>
          <w:type w:val="bbPlcHdr"/>
        </w:types>
        <w:behaviors>
          <w:behavior w:val="content"/>
        </w:behaviors>
        <w:guid w:val="{3B11A4CB-85CA-4DE3-9A27-B6C62AA1E3C8}"/>
      </w:docPartPr>
      <w:docPartBody>
        <w:p w:rsidR="006844FB" w:rsidRDefault="006844FB" w:rsidP="006844FB">
          <w:pPr>
            <w:pStyle w:val="A061DA1E0038473FBD5844B82030ABE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89D836279C4D4F8F97B710CE16FAAF07"/>
        <w:category>
          <w:name w:val="Obecné"/>
          <w:gallery w:val="placeholder"/>
        </w:category>
        <w:types>
          <w:type w:val="bbPlcHdr"/>
        </w:types>
        <w:behaviors>
          <w:behavior w:val="content"/>
        </w:behaviors>
        <w:guid w:val="{17F34637-DEFF-4A71-98F9-DE3BA8450B9F}"/>
      </w:docPartPr>
      <w:docPartBody>
        <w:p w:rsidR="006844FB" w:rsidRDefault="006844FB" w:rsidP="006844FB">
          <w:pPr>
            <w:pStyle w:val="89D836279C4D4F8F97B710CE16FAAF07"/>
          </w:pPr>
          <w:r w:rsidRPr="00746487">
            <w:rPr>
              <w:rStyle w:val="Zstupntext"/>
            </w:rPr>
            <w:t>[Heslo]</w:t>
          </w:r>
        </w:p>
      </w:docPartBody>
    </w:docPart>
    <w:docPart>
      <w:docPartPr>
        <w:name w:val="52B3DD55E1D4495CA2234570B3C684A1"/>
        <w:category>
          <w:name w:val="Obecné"/>
          <w:gallery w:val="placeholder"/>
        </w:category>
        <w:types>
          <w:type w:val="bbPlcHdr"/>
        </w:types>
        <w:behaviors>
          <w:behavior w:val="content"/>
        </w:behaviors>
        <w:guid w:val="{0FF1CC2A-5196-4AB2-829A-9C34EB72D37E}"/>
      </w:docPartPr>
      <w:docPartBody>
        <w:p w:rsidR="006844FB" w:rsidRDefault="006844FB" w:rsidP="006844FB">
          <w:pPr>
            <w:pStyle w:val="52B3DD55E1D4495CA2234570B3C684A1"/>
          </w:pPr>
          <w:r w:rsidRPr="00746487">
            <w:rPr>
              <w:rStyle w:val="Zstupntext"/>
            </w:rPr>
            <w:t>[Definice]</w:t>
          </w:r>
        </w:p>
      </w:docPartBody>
    </w:docPart>
    <w:docPart>
      <w:docPartPr>
        <w:name w:val="8D127C4B25AC4C8A851E63461186884A"/>
        <w:category>
          <w:name w:val="Obecné"/>
          <w:gallery w:val="placeholder"/>
        </w:category>
        <w:types>
          <w:type w:val="bbPlcHdr"/>
        </w:types>
        <w:behaviors>
          <w:behavior w:val="content"/>
        </w:behaviors>
        <w:guid w:val="{37E48F08-2304-450F-A124-E324FFE74095}"/>
      </w:docPartPr>
      <w:docPartBody>
        <w:p w:rsidR="006844FB" w:rsidRDefault="006844FB" w:rsidP="006844FB">
          <w:pPr>
            <w:pStyle w:val="8D127C4B25AC4C8A851E63461186884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216325D5CF342DDB81C87479A3EAAD4"/>
        <w:category>
          <w:name w:val="Obecné"/>
          <w:gallery w:val="placeholder"/>
        </w:category>
        <w:types>
          <w:type w:val="bbPlcHdr"/>
        </w:types>
        <w:behaviors>
          <w:behavior w:val="content"/>
        </w:behaviors>
        <w:guid w:val="{5A6A6F4F-735D-48F2-A04E-5C97CE2206EA}"/>
      </w:docPartPr>
      <w:docPartBody>
        <w:p w:rsidR="006844FB" w:rsidRDefault="006844FB" w:rsidP="006844FB">
          <w:pPr>
            <w:pStyle w:val="1216325D5CF342DDB81C87479A3EAAD4"/>
          </w:pPr>
          <w:r w:rsidRPr="00746487">
            <w:rPr>
              <w:rStyle w:val="Zstupntext"/>
            </w:rPr>
            <w:t>[Heslo]</w:t>
          </w:r>
        </w:p>
      </w:docPartBody>
    </w:docPart>
    <w:docPart>
      <w:docPartPr>
        <w:name w:val="E44CCA4DD72A4244BD5B664E9CBF110F"/>
        <w:category>
          <w:name w:val="Obecné"/>
          <w:gallery w:val="placeholder"/>
        </w:category>
        <w:types>
          <w:type w:val="bbPlcHdr"/>
        </w:types>
        <w:behaviors>
          <w:behavior w:val="content"/>
        </w:behaviors>
        <w:guid w:val="{D615C340-D240-4E6A-8926-7C535DDF6686}"/>
      </w:docPartPr>
      <w:docPartBody>
        <w:p w:rsidR="006844FB" w:rsidRDefault="006844FB" w:rsidP="006844FB">
          <w:pPr>
            <w:pStyle w:val="E44CCA4DD72A4244BD5B664E9CBF110F"/>
          </w:pPr>
          <w:r w:rsidRPr="00746487">
            <w:rPr>
              <w:rStyle w:val="Zstupntext"/>
            </w:rPr>
            <w:t>[Definice]</w:t>
          </w:r>
        </w:p>
      </w:docPartBody>
    </w:docPart>
    <w:docPart>
      <w:docPartPr>
        <w:name w:val="D0BCC1DD653E40CEAD7E1053AA277A61"/>
        <w:category>
          <w:name w:val="Obecné"/>
          <w:gallery w:val="placeholder"/>
        </w:category>
        <w:types>
          <w:type w:val="bbPlcHdr"/>
        </w:types>
        <w:behaviors>
          <w:behavior w:val="content"/>
        </w:behaviors>
        <w:guid w:val="{6F9482AC-0F4A-465B-9483-F619791ABC31}"/>
      </w:docPartPr>
      <w:docPartBody>
        <w:p w:rsidR="006844FB" w:rsidRDefault="006844FB" w:rsidP="006844FB">
          <w:pPr>
            <w:pStyle w:val="D0BCC1DD653E40CEAD7E1053AA277A61"/>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34A4BE268AD4A87900FBA8B1AAEFE8B"/>
        <w:category>
          <w:name w:val="Obecné"/>
          <w:gallery w:val="placeholder"/>
        </w:category>
        <w:types>
          <w:type w:val="bbPlcHdr"/>
        </w:types>
        <w:behaviors>
          <w:behavior w:val="content"/>
        </w:behaviors>
        <w:guid w:val="{06C1002F-7439-42B4-89C2-3BF8433329C3}"/>
      </w:docPartPr>
      <w:docPartBody>
        <w:p w:rsidR="006844FB" w:rsidRDefault="006844FB" w:rsidP="006844FB">
          <w:pPr>
            <w:pStyle w:val="934A4BE268AD4A87900FBA8B1AAEFE8B"/>
          </w:pPr>
          <w:r w:rsidRPr="00746487">
            <w:rPr>
              <w:rStyle w:val="Zstupntext"/>
            </w:rPr>
            <w:t>[Heslo]</w:t>
          </w:r>
        </w:p>
      </w:docPartBody>
    </w:docPart>
    <w:docPart>
      <w:docPartPr>
        <w:name w:val="CE1E6D0691504C579FF556D9C1F53703"/>
        <w:category>
          <w:name w:val="Obecné"/>
          <w:gallery w:val="placeholder"/>
        </w:category>
        <w:types>
          <w:type w:val="bbPlcHdr"/>
        </w:types>
        <w:behaviors>
          <w:behavior w:val="content"/>
        </w:behaviors>
        <w:guid w:val="{3C1EC6E5-4B81-4DD0-A2D5-937F0FE70250}"/>
      </w:docPartPr>
      <w:docPartBody>
        <w:p w:rsidR="006844FB" w:rsidRDefault="006844FB" w:rsidP="006844FB">
          <w:pPr>
            <w:pStyle w:val="CE1E6D0691504C579FF556D9C1F53703"/>
          </w:pPr>
          <w:r w:rsidRPr="00746487">
            <w:rPr>
              <w:rStyle w:val="Zstupntext"/>
            </w:rPr>
            <w:t>[Definice]</w:t>
          </w:r>
        </w:p>
      </w:docPartBody>
    </w:docPart>
    <w:docPart>
      <w:docPartPr>
        <w:name w:val="8569AD829A114C86BF40F4439E8FBD24"/>
        <w:category>
          <w:name w:val="Obecné"/>
          <w:gallery w:val="placeholder"/>
        </w:category>
        <w:types>
          <w:type w:val="bbPlcHdr"/>
        </w:types>
        <w:behaviors>
          <w:behavior w:val="content"/>
        </w:behaviors>
        <w:guid w:val="{9D3FA7C0-048E-445D-B763-A83F5C4944BB}"/>
      </w:docPartPr>
      <w:docPartBody>
        <w:p w:rsidR="006844FB" w:rsidRDefault="006844FB" w:rsidP="006844FB">
          <w:pPr>
            <w:pStyle w:val="8569AD829A114C86BF40F4439E8FBD24"/>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06737D3D77DD43E38DBCF6C559185ED9"/>
        <w:category>
          <w:name w:val="Obecné"/>
          <w:gallery w:val="placeholder"/>
        </w:category>
        <w:types>
          <w:type w:val="bbPlcHdr"/>
        </w:types>
        <w:behaviors>
          <w:behavior w:val="content"/>
        </w:behaviors>
        <w:guid w:val="{2124ECCA-49BD-4B8D-B32C-9C3D9134597F}"/>
      </w:docPartPr>
      <w:docPartBody>
        <w:p w:rsidR="006844FB" w:rsidRDefault="006844FB" w:rsidP="006844FB">
          <w:pPr>
            <w:pStyle w:val="06737D3D77DD43E38DBCF6C559185ED9"/>
          </w:pPr>
          <w:r w:rsidRPr="00746487">
            <w:rPr>
              <w:rStyle w:val="Zstupntext"/>
            </w:rPr>
            <w:t>[Heslo]</w:t>
          </w:r>
        </w:p>
      </w:docPartBody>
    </w:docPart>
    <w:docPart>
      <w:docPartPr>
        <w:name w:val="7E583652643E4743B085C30923229564"/>
        <w:category>
          <w:name w:val="Obecné"/>
          <w:gallery w:val="placeholder"/>
        </w:category>
        <w:types>
          <w:type w:val="bbPlcHdr"/>
        </w:types>
        <w:behaviors>
          <w:behavior w:val="content"/>
        </w:behaviors>
        <w:guid w:val="{CE638740-FECE-441D-A0B5-4E5D7B06633E}"/>
      </w:docPartPr>
      <w:docPartBody>
        <w:p w:rsidR="006844FB" w:rsidRDefault="006844FB" w:rsidP="006844FB">
          <w:pPr>
            <w:pStyle w:val="7E583652643E4743B085C30923229564"/>
          </w:pPr>
          <w:r w:rsidRPr="00746487">
            <w:rPr>
              <w:rStyle w:val="Zstupntext"/>
            </w:rPr>
            <w:t>[Definice]</w:t>
          </w:r>
        </w:p>
      </w:docPartBody>
    </w:docPart>
    <w:docPart>
      <w:docPartPr>
        <w:name w:val="597AECE206C949959A32A3E8E28A08D9"/>
        <w:category>
          <w:name w:val="Obecné"/>
          <w:gallery w:val="placeholder"/>
        </w:category>
        <w:types>
          <w:type w:val="bbPlcHdr"/>
        </w:types>
        <w:behaviors>
          <w:behavior w:val="content"/>
        </w:behaviors>
        <w:guid w:val="{5564DA47-9D8C-4C00-AD8D-2F8281C141C6}"/>
      </w:docPartPr>
      <w:docPartBody>
        <w:p w:rsidR="006844FB" w:rsidRDefault="006844FB" w:rsidP="006844FB">
          <w:pPr>
            <w:pStyle w:val="597AECE206C949959A32A3E8E28A08D9"/>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E95C3AD90824CC88CAB2082974B1788"/>
        <w:category>
          <w:name w:val="Obecné"/>
          <w:gallery w:val="placeholder"/>
        </w:category>
        <w:types>
          <w:type w:val="bbPlcHdr"/>
        </w:types>
        <w:behaviors>
          <w:behavior w:val="content"/>
        </w:behaviors>
        <w:guid w:val="{405E43BB-9C93-43EA-883D-A3F135C2BAA2}"/>
      </w:docPartPr>
      <w:docPartBody>
        <w:p w:rsidR="006844FB" w:rsidRDefault="006844FB" w:rsidP="006844FB">
          <w:pPr>
            <w:pStyle w:val="DE95C3AD90824CC88CAB2082974B1788"/>
          </w:pPr>
          <w:r w:rsidRPr="00746487">
            <w:rPr>
              <w:rStyle w:val="Zstupntext"/>
            </w:rPr>
            <w:t>[Heslo]</w:t>
          </w:r>
        </w:p>
      </w:docPartBody>
    </w:docPart>
    <w:docPart>
      <w:docPartPr>
        <w:name w:val="D746F899DB664913A77AF18D5EE866B1"/>
        <w:category>
          <w:name w:val="Obecné"/>
          <w:gallery w:val="placeholder"/>
        </w:category>
        <w:types>
          <w:type w:val="bbPlcHdr"/>
        </w:types>
        <w:behaviors>
          <w:behavior w:val="content"/>
        </w:behaviors>
        <w:guid w:val="{49F94BC9-F28E-4930-93EC-FDD8E0263012}"/>
      </w:docPartPr>
      <w:docPartBody>
        <w:p w:rsidR="006844FB" w:rsidRDefault="006844FB" w:rsidP="006844FB">
          <w:pPr>
            <w:pStyle w:val="D746F899DB664913A77AF18D5EE866B1"/>
          </w:pPr>
          <w:r w:rsidRPr="00746487">
            <w:rPr>
              <w:rStyle w:val="Zstupntext"/>
            </w:rPr>
            <w:t>[Definice]</w:t>
          </w:r>
        </w:p>
      </w:docPartBody>
    </w:docPart>
    <w:docPart>
      <w:docPartPr>
        <w:name w:val="B1FC369EFAB34397B459FA07AF33DAF9"/>
        <w:category>
          <w:name w:val="Obecné"/>
          <w:gallery w:val="placeholder"/>
        </w:category>
        <w:types>
          <w:type w:val="bbPlcHdr"/>
        </w:types>
        <w:behaviors>
          <w:behavior w:val="content"/>
        </w:behaviors>
        <w:guid w:val="{67D47CE0-B80C-412B-BCDB-1DCB04A04CDC}"/>
      </w:docPartPr>
      <w:docPartBody>
        <w:p w:rsidR="006844FB" w:rsidRDefault="006844FB" w:rsidP="006844FB">
          <w:pPr>
            <w:pStyle w:val="B1FC369EFAB34397B459FA07AF33DAF9"/>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E56E44C0D604B88842204BA147A715F"/>
        <w:category>
          <w:name w:val="Obecné"/>
          <w:gallery w:val="placeholder"/>
        </w:category>
        <w:types>
          <w:type w:val="bbPlcHdr"/>
        </w:types>
        <w:behaviors>
          <w:behavior w:val="content"/>
        </w:behaviors>
        <w:guid w:val="{671F5FA5-D77C-4060-85C5-E8F2A45ED078}"/>
      </w:docPartPr>
      <w:docPartBody>
        <w:p w:rsidR="006844FB" w:rsidRDefault="006844FB" w:rsidP="006844FB">
          <w:pPr>
            <w:pStyle w:val="9E56E44C0D604B88842204BA147A715F"/>
          </w:pPr>
          <w:r w:rsidRPr="00746487">
            <w:rPr>
              <w:rStyle w:val="Zstupntext"/>
            </w:rPr>
            <w:t>[Heslo]</w:t>
          </w:r>
        </w:p>
      </w:docPartBody>
    </w:docPart>
    <w:docPart>
      <w:docPartPr>
        <w:name w:val="629C398BDB2744338735747046CAA0A4"/>
        <w:category>
          <w:name w:val="Obecné"/>
          <w:gallery w:val="placeholder"/>
        </w:category>
        <w:types>
          <w:type w:val="bbPlcHdr"/>
        </w:types>
        <w:behaviors>
          <w:behavior w:val="content"/>
        </w:behaviors>
        <w:guid w:val="{7C279B29-9ADB-4012-BE44-52832F0679AB}"/>
      </w:docPartPr>
      <w:docPartBody>
        <w:p w:rsidR="006844FB" w:rsidRDefault="006844FB" w:rsidP="006844FB">
          <w:pPr>
            <w:pStyle w:val="629C398BDB2744338735747046CAA0A4"/>
          </w:pPr>
          <w:r w:rsidRPr="00746487">
            <w:rPr>
              <w:rStyle w:val="Zstupntext"/>
            </w:rPr>
            <w:t>[Definice]</w:t>
          </w:r>
        </w:p>
      </w:docPartBody>
    </w:docPart>
    <w:docPart>
      <w:docPartPr>
        <w:name w:val="FC7723AF8E234771BF9A0566D4837D2A"/>
        <w:category>
          <w:name w:val="Obecné"/>
          <w:gallery w:val="placeholder"/>
        </w:category>
        <w:types>
          <w:type w:val="bbPlcHdr"/>
        </w:types>
        <w:behaviors>
          <w:behavior w:val="content"/>
        </w:behaviors>
        <w:guid w:val="{18A8A9B5-AD97-4D9F-A9EF-8B2C661CCD63}"/>
      </w:docPartPr>
      <w:docPartBody>
        <w:p w:rsidR="006844FB" w:rsidRDefault="006844FB" w:rsidP="006844FB">
          <w:pPr>
            <w:pStyle w:val="FC7723AF8E234771BF9A0566D4837D2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18BAB1518964DB08FA4014E89CC80E3"/>
        <w:category>
          <w:name w:val="Obecné"/>
          <w:gallery w:val="placeholder"/>
        </w:category>
        <w:types>
          <w:type w:val="bbPlcHdr"/>
        </w:types>
        <w:behaviors>
          <w:behavior w:val="content"/>
        </w:behaviors>
        <w:guid w:val="{15960F14-5CE1-46D1-8035-EFB3A4DF09C2}"/>
      </w:docPartPr>
      <w:docPartBody>
        <w:p w:rsidR="006844FB" w:rsidRDefault="006844FB" w:rsidP="006844FB">
          <w:pPr>
            <w:pStyle w:val="D18BAB1518964DB08FA4014E89CC80E3"/>
          </w:pPr>
          <w:r w:rsidRPr="00746487">
            <w:rPr>
              <w:rStyle w:val="Zstupntext"/>
            </w:rPr>
            <w:t>[Heslo]</w:t>
          </w:r>
        </w:p>
      </w:docPartBody>
    </w:docPart>
    <w:docPart>
      <w:docPartPr>
        <w:name w:val="3D28ECD6E0844373A2CA7DE78B8239EA"/>
        <w:category>
          <w:name w:val="Obecné"/>
          <w:gallery w:val="placeholder"/>
        </w:category>
        <w:types>
          <w:type w:val="bbPlcHdr"/>
        </w:types>
        <w:behaviors>
          <w:behavior w:val="content"/>
        </w:behaviors>
        <w:guid w:val="{D07C3A78-D727-4C9C-8AB0-2B1BAD97F0F2}"/>
      </w:docPartPr>
      <w:docPartBody>
        <w:p w:rsidR="006844FB" w:rsidRDefault="006844FB" w:rsidP="006844FB">
          <w:pPr>
            <w:pStyle w:val="3D28ECD6E0844373A2CA7DE78B8239EA"/>
          </w:pPr>
          <w:r w:rsidRPr="00746487">
            <w:rPr>
              <w:rStyle w:val="Zstupntext"/>
            </w:rPr>
            <w:t>[Definice]</w:t>
          </w:r>
        </w:p>
      </w:docPartBody>
    </w:docPart>
    <w:docPart>
      <w:docPartPr>
        <w:name w:val="DF6B3F3230D44AEFBBA92A9F266C511D"/>
        <w:category>
          <w:name w:val="Obecné"/>
          <w:gallery w:val="placeholder"/>
        </w:category>
        <w:types>
          <w:type w:val="bbPlcHdr"/>
        </w:types>
        <w:behaviors>
          <w:behavior w:val="content"/>
        </w:behaviors>
        <w:guid w:val="{25C61A3E-AED7-464B-AF68-804C63BFA796}"/>
      </w:docPartPr>
      <w:docPartBody>
        <w:p w:rsidR="006844FB" w:rsidRDefault="006844FB" w:rsidP="006844FB">
          <w:pPr>
            <w:pStyle w:val="DF6B3F3230D44AEFBBA92A9F266C511D"/>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E997EC6A6A6412D8A71B79C9FAC9451"/>
        <w:category>
          <w:name w:val="Obecné"/>
          <w:gallery w:val="placeholder"/>
        </w:category>
        <w:types>
          <w:type w:val="bbPlcHdr"/>
        </w:types>
        <w:behaviors>
          <w:behavior w:val="content"/>
        </w:behaviors>
        <w:guid w:val="{11602E5F-EF44-44E5-A458-FDE11C530B7A}"/>
      </w:docPartPr>
      <w:docPartBody>
        <w:p w:rsidR="006844FB" w:rsidRDefault="006844FB" w:rsidP="006844FB">
          <w:pPr>
            <w:pStyle w:val="2E997EC6A6A6412D8A71B79C9FAC9451"/>
          </w:pPr>
          <w:r w:rsidRPr="00746487">
            <w:rPr>
              <w:rStyle w:val="Zstupntext"/>
            </w:rPr>
            <w:t>[Heslo]</w:t>
          </w:r>
        </w:p>
      </w:docPartBody>
    </w:docPart>
    <w:docPart>
      <w:docPartPr>
        <w:name w:val="CE9A94E5A06845BF94EAC9FC3E30A5ED"/>
        <w:category>
          <w:name w:val="Obecné"/>
          <w:gallery w:val="placeholder"/>
        </w:category>
        <w:types>
          <w:type w:val="bbPlcHdr"/>
        </w:types>
        <w:behaviors>
          <w:behavior w:val="content"/>
        </w:behaviors>
        <w:guid w:val="{B73D6225-D70B-45C3-B0ED-2973CB4CC199}"/>
      </w:docPartPr>
      <w:docPartBody>
        <w:p w:rsidR="006844FB" w:rsidRDefault="006844FB" w:rsidP="006844FB">
          <w:pPr>
            <w:pStyle w:val="CE9A94E5A06845BF94EAC9FC3E30A5ED"/>
          </w:pPr>
          <w:r w:rsidRPr="00746487">
            <w:rPr>
              <w:rStyle w:val="Zstupntext"/>
            </w:rPr>
            <w:t>[Definice]</w:t>
          </w:r>
        </w:p>
      </w:docPartBody>
    </w:docPart>
    <w:docPart>
      <w:docPartPr>
        <w:name w:val="6DDCED0062024C6B88189855E748A6A0"/>
        <w:category>
          <w:name w:val="Obecné"/>
          <w:gallery w:val="placeholder"/>
        </w:category>
        <w:types>
          <w:type w:val="bbPlcHdr"/>
        </w:types>
        <w:behaviors>
          <w:behavior w:val="content"/>
        </w:behaviors>
        <w:guid w:val="{5BA1C419-E293-4C45-BAFC-6AE8BBC7E187}"/>
      </w:docPartPr>
      <w:docPartBody>
        <w:p w:rsidR="006844FB" w:rsidRDefault="006844FB" w:rsidP="006844FB">
          <w:pPr>
            <w:pStyle w:val="6DDCED0062024C6B88189855E748A6A0"/>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B30334F6B184E5095B1CF3D43122396"/>
        <w:category>
          <w:name w:val="Obecné"/>
          <w:gallery w:val="placeholder"/>
        </w:category>
        <w:types>
          <w:type w:val="bbPlcHdr"/>
        </w:types>
        <w:behaviors>
          <w:behavior w:val="content"/>
        </w:behaviors>
        <w:guid w:val="{9FB2BAD0-CA01-422D-B020-5AEBC55BC1F4}"/>
      </w:docPartPr>
      <w:docPartBody>
        <w:p w:rsidR="006844FB" w:rsidRDefault="006844FB" w:rsidP="006844FB">
          <w:pPr>
            <w:pStyle w:val="2B30334F6B184E5095B1CF3D43122396"/>
          </w:pPr>
          <w:r w:rsidRPr="00746487">
            <w:rPr>
              <w:rStyle w:val="Zstupntext"/>
            </w:rPr>
            <w:t>[Heslo]</w:t>
          </w:r>
        </w:p>
      </w:docPartBody>
    </w:docPart>
    <w:docPart>
      <w:docPartPr>
        <w:name w:val="C2D16EFF9C1743D78E5E3308AC9215A2"/>
        <w:category>
          <w:name w:val="Obecné"/>
          <w:gallery w:val="placeholder"/>
        </w:category>
        <w:types>
          <w:type w:val="bbPlcHdr"/>
        </w:types>
        <w:behaviors>
          <w:behavior w:val="content"/>
        </w:behaviors>
        <w:guid w:val="{A3574EE1-70A2-4D98-8941-EF5A3F99E4C4}"/>
      </w:docPartPr>
      <w:docPartBody>
        <w:p w:rsidR="006844FB" w:rsidRDefault="006844FB" w:rsidP="006844FB">
          <w:pPr>
            <w:pStyle w:val="C2D16EFF9C1743D78E5E3308AC9215A2"/>
          </w:pPr>
          <w:r w:rsidRPr="00746487">
            <w:rPr>
              <w:rStyle w:val="Zstupntext"/>
            </w:rPr>
            <w:t>[Definice]</w:t>
          </w:r>
        </w:p>
      </w:docPartBody>
    </w:docPart>
    <w:docPart>
      <w:docPartPr>
        <w:name w:val="4B31460F3C0B4229A5D47DD33C2ECA69"/>
        <w:category>
          <w:name w:val="Obecné"/>
          <w:gallery w:val="placeholder"/>
        </w:category>
        <w:types>
          <w:type w:val="bbPlcHdr"/>
        </w:types>
        <w:behaviors>
          <w:behavior w:val="content"/>
        </w:behaviors>
        <w:guid w:val="{5406AF21-AF91-47E1-9BA4-28842B3B8C1F}"/>
      </w:docPartPr>
      <w:docPartBody>
        <w:p w:rsidR="006844FB" w:rsidRDefault="006844FB" w:rsidP="006844FB">
          <w:pPr>
            <w:pStyle w:val="4B31460F3C0B4229A5D47DD33C2ECA69"/>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667D6C635E6E4CFD9D6D12AD2C81856F"/>
        <w:category>
          <w:name w:val="Obecné"/>
          <w:gallery w:val="placeholder"/>
        </w:category>
        <w:types>
          <w:type w:val="bbPlcHdr"/>
        </w:types>
        <w:behaviors>
          <w:behavior w:val="content"/>
        </w:behaviors>
        <w:guid w:val="{467543A2-A014-42DB-8555-C3C995A7B232}"/>
      </w:docPartPr>
      <w:docPartBody>
        <w:p w:rsidR="006844FB" w:rsidRDefault="006844FB" w:rsidP="006844FB">
          <w:pPr>
            <w:pStyle w:val="667D6C635E6E4CFD9D6D12AD2C81856F"/>
          </w:pPr>
          <w:r w:rsidRPr="00746487">
            <w:rPr>
              <w:rStyle w:val="Zstupntext"/>
            </w:rPr>
            <w:t>[Heslo]</w:t>
          </w:r>
        </w:p>
      </w:docPartBody>
    </w:docPart>
    <w:docPart>
      <w:docPartPr>
        <w:name w:val="8E3C3AC9E1DE4428B8765011CCACACF8"/>
        <w:category>
          <w:name w:val="Obecné"/>
          <w:gallery w:val="placeholder"/>
        </w:category>
        <w:types>
          <w:type w:val="bbPlcHdr"/>
        </w:types>
        <w:behaviors>
          <w:behavior w:val="content"/>
        </w:behaviors>
        <w:guid w:val="{6B09D871-242F-4BF7-B808-A7A9C0AA4F4F}"/>
      </w:docPartPr>
      <w:docPartBody>
        <w:p w:rsidR="006844FB" w:rsidRDefault="006844FB" w:rsidP="006844FB">
          <w:pPr>
            <w:pStyle w:val="8E3C3AC9E1DE4428B8765011CCACACF8"/>
          </w:pPr>
          <w:r w:rsidRPr="00746487">
            <w:rPr>
              <w:rStyle w:val="Zstupntext"/>
            </w:rPr>
            <w:t>[Definice]</w:t>
          </w:r>
        </w:p>
      </w:docPartBody>
    </w:docPart>
    <w:docPart>
      <w:docPartPr>
        <w:name w:val="381CA339D2E14249A2A33AE85709725F"/>
        <w:category>
          <w:name w:val="Obecné"/>
          <w:gallery w:val="placeholder"/>
        </w:category>
        <w:types>
          <w:type w:val="bbPlcHdr"/>
        </w:types>
        <w:behaviors>
          <w:behavior w:val="content"/>
        </w:behaviors>
        <w:guid w:val="{CDBAE9E5-CC59-46BF-BC28-815F686741E5}"/>
      </w:docPartPr>
      <w:docPartBody>
        <w:p w:rsidR="006844FB" w:rsidRDefault="006844FB" w:rsidP="006844FB">
          <w:pPr>
            <w:pStyle w:val="381CA339D2E14249A2A33AE85709725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514BFD07E8E4B67884C49F79E115A1D"/>
        <w:category>
          <w:name w:val="Obecné"/>
          <w:gallery w:val="placeholder"/>
        </w:category>
        <w:types>
          <w:type w:val="bbPlcHdr"/>
        </w:types>
        <w:behaviors>
          <w:behavior w:val="content"/>
        </w:behaviors>
        <w:guid w:val="{7F7D31AC-8068-4BFC-8CB2-2B1552703194}"/>
      </w:docPartPr>
      <w:docPartBody>
        <w:p w:rsidR="006844FB" w:rsidRDefault="006844FB" w:rsidP="006844FB">
          <w:pPr>
            <w:pStyle w:val="D514BFD07E8E4B67884C49F79E115A1D"/>
          </w:pPr>
          <w:r w:rsidRPr="00746487">
            <w:rPr>
              <w:rStyle w:val="Zstupntext"/>
            </w:rPr>
            <w:t>[Heslo]</w:t>
          </w:r>
        </w:p>
      </w:docPartBody>
    </w:docPart>
    <w:docPart>
      <w:docPartPr>
        <w:name w:val="AC4A87CE0B084075B7ED831C0331D875"/>
        <w:category>
          <w:name w:val="Obecné"/>
          <w:gallery w:val="placeholder"/>
        </w:category>
        <w:types>
          <w:type w:val="bbPlcHdr"/>
        </w:types>
        <w:behaviors>
          <w:behavior w:val="content"/>
        </w:behaviors>
        <w:guid w:val="{098B08D8-16A9-4454-A433-7662538EE662}"/>
      </w:docPartPr>
      <w:docPartBody>
        <w:p w:rsidR="006844FB" w:rsidRDefault="006844FB" w:rsidP="006844FB">
          <w:pPr>
            <w:pStyle w:val="AC4A87CE0B084075B7ED831C0331D875"/>
          </w:pPr>
          <w:r w:rsidRPr="00746487">
            <w:rPr>
              <w:rStyle w:val="Zstupntext"/>
            </w:rPr>
            <w:t>[Definice]</w:t>
          </w:r>
        </w:p>
      </w:docPartBody>
    </w:docPart>
    <w:docPart>
      <w:docPartPr>
        <w:name w:val="DB7C1BCE11654F0C95DFEA9619A1F90E"/>
        <w:category>
          <w:name w:val="Obecné"/>
          <w:gallery w:val="placeholder"/>
        </w:category>
        <w:types>
          <w:type w:val="bbPlcHdr"/>
        </w:types>
        <w:behaviors>
          <w:behavior w:val="content"/>
        </w:behaviors>
        <w:guid w:val="{E3373EFE-50F5-4E08-BD38-88247AFBEBA2}"/>
      </w:docPartPr>
      <w:docPartBody>
        <w:p w:rsidR="006844FB" w:rsidRDefault="006844FB" w:rsidP="006844FB">
          <w:pPr>
            <w:pStyle w:val="DB7C1BCE11654F0C95DFEA9619A1F90E"/>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2D01B8C1E5243B488B6EB60AF09B6F8"/>
        <w:category>
          <w:name w:val="Obecné"/>
          <w:gallery w:val="placeholder"/>
        </w:category>
        <w:types>
          <w:type w:val="bbPlcHdr"/>
        </w:types>
        <w:behaviors>
          <w:behavior w:val="content"/>
        </w:behaviors>
        <w:guid w:val="{7C635C71-5D43-4FA0-907B-3E375675FEB8}"/>
      </w:docPartPr>
      <w:docPartBody>
        <w:p w:rsidR="006844FB" w:rsidRDefault="006844FB" w:rsidP="006844FB">
          <w:pPr>
            <w:pStyle w:val="12D01B8C1E5243B488B6EB60AF09B6F8"/>
          </w:pPr>
          <w:r w:rsidRPr="00746487">
            <w:rPr>
              <w:rStyle w:val="Zstupntext"/>
            </w:rPr>
            <w:t>[Heslo]</w:t>
          </w:r>
        </w:p>
      </w:docPartBody>
    </w:docPart>
    <w:docPart>
      <w:docPartPr>
        <w:name w:val="AA6D94338FA24B09BBD91779279BB268"/>
        <w:category>
          <w:name w:val="Obecné"/>
          <w:gallery w:val="placeholder"/>
        </w:category>
        <w:types>
          <w:type w:val="bbPlcHdr"/>
        </w:types>
        <w:behaviors>
          <w:behavior w:val="content"/>
        </w:behaviors>
        <w:guid w:val="{2EF7D0E9-F511-4F1A-9E77-C861A4F6FEB7}"/>
      </w:docPartPr>
      <w:docPartBody>
        <w:p w:rsidR="006844FB" w:rsidRDefault="006844FB" w:rsidP="006844FB">
          <w:pPr>
            <w:pStyle w:val="AA6D94338FA24B09BBD91779279BB268"/>
          </w:pPr>
          <w:r w:rsidRPr="00746487">
            <w:rPr>
              <w:rStyle w:val="Zstupntext"/>
            </w:rPr>
            <w:t>[Definice]</w:t>
          </w:r>
        </w:p>
      </w:docPartBody>
    </w:docPart>
    <w:docPart>
      <w:docPartPr>
        <w:name w:val="11CF64579AA7468A95549FE61E8FDD3E"/>
        <w:category>
          <w:name w:val="Obecné"/>
          <w:gallery w:val="placeholder"/>
        </w:category>
        <w:types>
          <w:type w:val="bbPlcHdr"/>
        </w:types>
        <w:behaviors>
          <w:behavior w:val="content"/>
        </w:behaviors>
        <w:guid w:val="{BCC94692-06B1-4D50-8358-FA98FEB039C8}"/>
      </w:docPartPr>
      <w:docPartBody>
        <w:p w:rsidR="006844FB" w:rsidRDefault="006844FB" w:rsidP="006844FB">
          <w:pPr>
            <w:pStyle w:val="11CF64579AA7468A95549FE61E8FDD3E"/>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0B5D8112F0C4AD2BEC338AD04EA0C83"/>
        <w:category>
          <w:name w:val="Obecné"/>
          <w:gallery w:val="placeholder"/>
        </w:category>
        <w:types>
          <w:type w:val="bbPlcHdr"/>
        </w:types>
        <w:behaviors>
          <w:behavior w:val="content"/>
        </w:behaviors>
        <w:guid w:val="{F3F944D1-848F-4FCA-84BB-E1CA07DE6683}"/>
      </w:docPartPr>
      <w:docPartBody>
        <w:p w:rsidR="006844FB" w:rsidRDefault="006844FB" w:rsidP="006844FB">
          <w:pPr>
            <w:pStyle w:val="C0B5D8112F0C4AD2BEC338AD04EA0C83"/>
          </w:pPr>
          <w:r w:rsidRPr="00746487">
            <w:rPr>
              <w:rStyle w:val="Zstupntext"/>
            </w:rPr>
            <w:t>[Heslo]</w:t>
          </w:r>
        </w:p>
      </w:docPartBody>
    </w:docPart>
    <w:docPart>
      <w:docPartPr>
        <w:name w:val="EEC34EDFFA674FA7A9950EFECA22AA57"/>
        <w:category>
          <w:name w:val="Obecné"/>
          <w:gallery w:val="placeholder"/>
        </w:category>
        <w:types>
          <w:type w:val="bbPlcHdr"/>
        </w:types>
        <w:behaviors>
          <w:behavior w:val="content"/>
        </w:behaviors>
        <w:guid w:val="{2EBA603A-547F-4779-85E6-7396876602D7}"/>
      </w:docPartPr>
      <w:docPartBody>
        <w:p w:rsidR="006844FB" w:rsidRDefault="006844FB" w:rsidP="006844FB">
          <w:pPr>
            <w:pStyle w:val="EEC34EDFFA674FA7A9950EFECA22AA57"/>
          </w:pPr>
          <w:r w:rsidRPr="00746487">
            <w:rPr>
              <w:rStyle w:val="Zstupntext"/>
            </w:rPr>
            <w:t>[Definice]</w:t>
          </w:r>
        </w:p>
      </w:docPartBody>
    </w:docPart>
    <w:docPart>
      <w:docPartPr>
        <w:name w:val="BA5AD7576CA349B1ABD24243465EC737"/>
        <w:category>
          <w:name w:val="Obecné"/>
          <w:gallery w:val="placeholder"/>
        </w:category>
        <w:types>
          <w:type w:val="bbPlcHdr"/>
        </w:types>
        <w:behaviors>
          <w:behavior w:val="content"/>
        </w:behaviors>
        <w:guid w:val="{1C112224-9695-40AF-B7B5-2CDA5B08C108}"/>
      </w:docPartPr>
      <w:docPartBody>
        <w:p w:rsidR="006844FB" w:rsidRDefault="006844FB" w:rsidP="006844FB">
          <w:pPr>
            <w:pStyle w:val="BA5AD7576CA349B1ABD24243465EC737"/>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94D5C9D026049B5B34AA2AA4134E359"/>
        <w:category>
          <w:name w:val="Obecné"/>
          <w:gallery w:val="placeholder"/>
        </w:category>
        <w:types>
          <w:type w:val="bbPlcHdr"/>
        </w:types>
        <w:behaviors>
          <w:behavior w:val="content"/>
        </w:behaviors>
        <w:guid w:val="{E18EDA60-6845-40CB-BDC3-7E11DD04BC51}"/>
      </w:docPartPr>
      <w:docPartBody>
        <w:p w:rsidR="006844FB" w:rsidRDefault="006844FB" w:rsidP="006844FB">
          <w:pPr>
            <w:pStyle w:val="E94D5C9D026049B5B34AA2AA4134E359"/>
          </w:pPr>
          <w:r w:rsidRPr="00746487">
            <w:rPr>
              <w:rStyle w:val="Zstupntext"/>
            </w:rPr>
            <w:t>[Heslo]</w:t>
          </w:r>
        </w:p>
      </w:docPartBody>
    </w:docPart>
    <w:docPart>
      <w:docPartPr>
        <w:name w:val="D1A7B89553EB429E9068DA9FB635AFE0"/>
        <w:category>
          <w:name w:val="Obecné"/>
          <w:gallery w:val="placeholder"/>
        </w:category>
        <w:types>
          <w:type w:val="bbPlcHdr"/>
        </w:types>
        <w:behaviors>
          <w:behavior w:val="content"/>
        </w:behaviors>
        <w:guid w:val="{F5B2BA46-4F38-455B-B35C-672270596871}"/>
      </w:docPartPr>
      <w:docPartBody>
        <w:p w:rsidR="006844FB" w:rsidRDefault="006844FB" w:rsidP="006844FB">
          <w:pPr>
            <w:pStyle w:val="D1A7B89553EB429E9068DA9FB635AFE0"/>
          </w:pPr>
          <w:r w:rsidRPr="00746487">
            <w:rPr>
              <w:rStyle w:val="Zstupntext"/>
            </w:rPr>
            <w:t>[Definice]</w:t>
          </w:r>
        </w:p>
      </w:docPartBody>
    </w:docPart>
    <w:docPart>
      <w:docPartPr>
        <w:name w:val="F45EF6EF474346A4A3F8FA458696900B"/>
        <w:category>
          <w:name w:val="Obecné"/>
          <w:gallery w:val="placeholder"/>
        </w:category>
        <w:types>
          <w:type w:val="bbPlcHdr"/>
        </w:types>
        <w:behaviors>
          <w:behavior w:val="content"/>
        </w:behaviors>
        <w:guid w:val="{85626F9F-F418-482F-86F8-5B67B49B8827}"/>
      </w:docPartPr>
      <w:docPartBody>
        <w:p w:rsidR="006844FB" w:rsidRDefault="006844FB" w:rsidP="006844FB">
          <w:pPr>
            <w:pStyle w:val="F45EF6EF474346A4A3F8FA458696900B"/>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7D9A105AEAB468CB76FE7F6D489CF0C"/>
        <w:category>
          <w:name w:val="Obecné"/>
          <w:gallery w:val="placeholder"/>
        </w:category>
        <w:types>
          <w:type w:val="bbPlcHdr"/>
        </w:types>
        <w:behaviors>
          <w:behavior w:val="content"/>
        </w:behaviors>
        <w:guid w:val="{E0DCB966-8A4C-4AC1-A0F5-7DD21D8E4E6F}"/>
      </w:docPartPr>
      <w:docPartBody>
        <w:p w:rsidR="006844FB" w:rsidRDefault="006844FB" w:rsidP="006844FB">
          <w:pPr>
            <w:pStyle w:val="E7D9A105AEAB468CB76FE7F6D489CF0C"/>
          </w:pPr>
          <w:r w:rsidRPr="00746487">
            <w:rPr>
              <w:rStyle w:val="Zstupntext"/>
            </w:rPr>
            <w:t>[Heslo]</w:t>
          </w:r>
        </w:p>
      </w:docPartBody>
    </w:docPart>
    <w:docPart>
      <w:docPartPr>
        <w:name w:val="C7265CC5049141769E0158EBA0954D30"/>
        <w:category>
          <w:name w:val="Obecné"/>
          <w:gallery w:val="placeholder"/>
        </w:category>
        <w:types>
          <w:type w:val="bbPlcHdr"/>
        </w:types>
        <w:behaviors>
          <w:behavior w:val="content"/>
        </w:behaviors>
        <w:guid w:val="{0B18CB2D-F7B0-47B4-929E-9BDF438B1F72}"/>
      </w:docPartPr>
      <w:docPartBody>
        <w:p w:rsidR="006844FB" w:rsidRDefault="006844FB" w:rsidP="006844FB">
          <w:pPr>
            <w:pStyle w:val="C7265CC5049141769E0158EBA0954D30"/>
          </w:pPr>
          <w:r w:rsidRPr="00746487">
            <w:rPr>
              <w:rStyle w:val="Zstupntext"/>
            </w:rPr>
            <w:t>[Definice]</w:t>
          </w:r>
        </w:p>
      </w:docPartBody>
    </w:docPart>
    <w:docPart>
      <w:docPartPr>
        <w:name w:val="116815C021B745058360B7C260977F60"/>
        <w:category>
          <w:name w:val="Obecné"/>
          <w:gallery w:val="placeholder"/>
        </w:category>
        <w:types>
          <w:type w:val="bbPlcHdr"/>
        </w:types>
        <w:behaviors>
          <w:behavior w:val="content"/>
        </w:behaviors>
        <w:guid w:val="{E8E6996D-B734-4259-8145-5A10FB2D40A6}"/>
      </w:docPartPr>
      <w:docPartBody>
        <w:p w:rsidR="006844FB" w:rsidRDefault="006844FB" w:rsidP="006844FB">
          <w:pPr>
            <w:pStyle w:val="116815C021B745058360B7C260977F60"/>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08FFCD1A61F423899F7BC617D6905E8"/>
        <w:category>
          <w:name w:val="Obecné"/>
          <w:gallery w:val="placeholder"/>
        </w:category>
        <w:types>
          <w:type w:val="bbPlcHdr"/>
        </w:types>
        <w:behaviors>
          <w:behavior w:val="content"/>
        </w:behaviors>
        <w:guid w:val="{6CF4166E-7E3C-4F1F-9845-3F994D14CE22}"/>
      </w:docPartPr>
      <w:docPartBody>
        <w:p w:rsidR="006844FB" w:rsidRDefault="006844FB" w:rsidP="006844FB">
          <w:pPr>
            <w:pStyle w:val="208FFCD1A61F423899F7BC617D6905E8"/>
          </w:pPr>
          <w:r w:rsidRPr="00746487">
            <w:rPr>
              <w:rStyle w:val="Zstupntext"/>
            </w:rPr>
            <w:t>[Heslo]</w:t>
          </w:r>
        </w:p>
      </w:docPartBody>
    </w:docPart>
    <w:docPart>
      <w:docPartPr>
        <w:name w:val="A50828C7F6B54C9782E986B59A53A39C"/>
        <w:category>
          <w:name w:val="Obecné"/>
          <w:gallery w:val="placeholder"/>
        </w:category>
        <w:types>
          <w:type w:val="bbPlcHdr"/>
        </w:types>
        <w:behaviors>
          <w:behavior w:val="content"/>
        </w:behaviors>
        <w:guid w:val="{E30BC71B-C9D2-4C18-9C09-0622D5494687}"/>
      </w:docPartPr>
      <w:docPartBody>
        <w:p w:rsidR="006844FB" w:rsidRDefault="006844FB" w:rsidP="006844FB">
          <w:pPr>
            <w:pStyle w:val="A50828C7F6B54C9782E986B59A53A39C"/>
          </w:pPr>
          <w:r w:rsidRPr="00746487">
            <w:rPr>
              <w:rStyle w:val="Zstupntext"/>
            </w:rPr>
            <w:t>[Definice]</w:t>
          </w:r>
        </w:p>
      </w:docPartBody>
    </w:docPart>
    <w:docPart>
      <w:docPartPr>
        <w:name w:val="35704929065644C1B2C992E725E4B96F"/>
        <w:category>
          <w:name w:val="Obecné"/>
          <w:gallery w:val="placeholder"/>
        </w:category>
        <w:types>
          <w:type w:val="bbPlcHdr"/>
        </w:types>
        <w:behaviors>
          <w:behavior w:val="content"/>
        </w:behaviors>
        <w:guid w:val="{50A53977-D39E-4F20-A407-8C9DAC401CE1}"/>
      </w:docPartPr>
      <w:docPartBody>
        <w:p w:rsidR="006844FB" w:rsidRDefault="006844FB" w:rsidP="006844FB">
          <w:pPr>
            <w:pStyle w:val="35704929065644C1B2C992E725E4B96F"/>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844895D80319436A95DDF8309F8C30F2"/>
        <w:category>
          <w:name w:val="Obecné"/>
          <w:gallery w:val="placeholder"/>
        </w:category>
        <w:types>
          <w:type w:val="bbPlcHdr"/>
        </w:types>
        <w:behaviors>
          <w:behavior w:val="content"/>
        </w:behaviors>
        <w:guid w:val="{72050830-EAA6-48CF-87B7-ACB907CB77C3}"/>
      </w:docPartPr>
      <w:docPartBody>
        <w:p w:rsidR="006844FB" w:rsidRDefault="006844FB" w:rsidP="006844FB">
          <w:pPr>
            <w:pStyle w:val="844895D80319436A95DDF8309F8C30F2"/>
          </w:pPr>
          <w:r w:rsidRPr="00746487">
            <w:rPr>
              <w:rStyle w:val="Zstupntext"/>
            </w:rPr>
            <w:t>[Heslo]</w:t>
          </w:r>
        </w:p>
      </w:docPartBody>
    </w:docPart>
    <w:docPart>
      <w:docPartPr>
        <w:name w:val="C6D9EF3FCC96494AAB05F7E3AD86C84C"/>
        <w:category>
          <w:name w:val="Obecné"/>
          <w:gallery w:val="placeholder"/>
        </w:category>
        <w:types>
          <w:type w:val="bbPlcHdr"/>
        </w:types>
        <w:behaviors>
          <w:behavior w:val="content"/>
        </w:behaviors>
        <w:guid w:val="{D3031947-D615-4114-8310-DE4A29716122}"/>
      </w:docPartPr>
      <w:docPartBody>
        <w:p w:rsidR="006844FB" w:rsidRDefault="006844FB" w:rsidP="006844FB">
          <w:pPr>
            <w:pStyle w:val="C6D9EF3FCC96494AAB05F7E3AD86C84C"/>
          </w:pPr>
          <w:r w:rsidRPr="00746487">
            <w:rPr>
              <w:rStyle w:val="Zstupntext"/>
            </w:rPr>
            <w:t>[Definice]</w:t>
          </w:r>
        </w:p>
      </w:docPartBody>
    </w:docPart>
    <w:docPart>
      <w:docPartPr>
        <w:name w:val="8B3A6E61379D489C9157772F8282CE60"/>
        <w:category>
          <w:name w:val="Obecné"/>
          <w:gallery w:val="placeholder"/>
        </w:category>
        <w:types>
          <w:type w:val="bbPlcHdr"/>
        </w:types>
        <w:behaviors>
          <w:behavior w:val="content"/>
        </w:behaviors>
        <w:guid w:val="{F89E6B3D-535F-48CB-9E10-2287A08911E4}"/>
      </w:docPartPr>
      <w:docPartBody>
        <w:p w:rsidR="006844FB" w:rsidRDefault="006844FB" w:rsidP="006844FB">
          <w:pPr>
            <w:pStyle w:val="8B3A6E61379D489C9157772F8282CE60"/>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27FCAEFD4764CD4AC022880219FDEA3"/>
        <w:category>
          <w:name w:val="Obecné"/>
          <w:gallery w:val="placeholder"/>
        </w:category>
        <w:types>
          <w:type w:val="bbPlcHdr"/>
        </w:types>
        <w:behaviors>
          <w:behavior w:val="content"/>
        </w:behaviors>
        <w:guid w:val="{A16EB745-7173-4E09-BB5D-3AB18C203514}"/>
      </w:docPartPr>
      <w:docPartBody>
        <w:p w:rsidR="006844FB" w:rsidRDefault="006844FB" w:rsidP="006844FB">
          <w:pPr>
            <w:pStyle w:val="927FCAEFD4764CD4AC022880219FDEA3"/>
          </w:pPr>
          <w:r w:rsidRPr="00746487">
            <w:rPr>
              <w:rStyle w:val="Zstupntext"/>
            </w:rPr>
            <w:t>[Heslo]</w:t>
          </w:r>
        </w:p>
      </w:docPartBody>
    </w:docPart>
    <w:docPart>
      <w:docPartPr>
        <w:name w:val="EB268F062C41444C9097A6F5E7A4C1F2"/>
        <w:category>
          <w:name w:val="Obecné"/>
          <w:gallery w:val="placeholder"/>
        </w:category>
        <w:types>
          <w:type w:val="bbPlcHdr"/>
        </w:types>
        <w:behaviors>
          <w:behavior w:val="content"/>
        </w:behaviors>
        <w:guid w:val="{4DECFCB6-A045-4001-8CB9-3F62AA6809E5}"/>
      </w:docPartPr>
      <w:docPartBody>
        <w:p w:rsidR="006844FB" w:rsidRDefault="006844FB" w:rsidP="006844FB">
          <w:pPr>
            <w:pStyle w:val="EB268F062C41444C9097A6F5E7A4C1F2"/>
          </w:pPr>
          <w:r w:rsidRPr="00746487">
            <w:rPr>
              <w:rStyle w:val="Zstupntext"/>
            </w:rPr>
            <w:t>[Definice]</w:t>
          </w:r>
        </w:p>
      </w:docPartBody>
    </w:docPart>
    <w:docPart>
      <w:docPartPr>
        <w:name w:val="666E90BF83EA4EC2907363E3C70E6CEA"/>
        <w:category>
          <w:name w:val="Obecné"/>
          <w:gallery w:val="placeholder"/>
        </w:category>
        <w:types>
          <w:type w:val="bbPlcHdr"/>
        </w:types>
        <w:behaviors>
          <w:behavior w:val="content"/>
        </w:behaviors>
        <w:guid w:val="{633F7442-07C7-4FE8-A0D7-37F959CE8408}"/>
      </w:docPartPr>
      <w:docPartBody>
        <w:p w:rsidR="006844FB" w:rsidRDefault="006844FB" w:rsidP="006844FB">
          <w:pPr>
            <w:pStyle w:val="666E90BF83EA4EC2907363E3C70E6CE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36A2C2421F2483DA486601116A84B95"/>
        <w:category>
          <w:name w:val="Obecné"/>
          <w:gallery w:val="placeholder"/>
        </w:category>
        <w:types>
          <w:type w:val="bbPlcHdr"/>
        </w:types>
        <w:behaviors>
          <w:behavior w:val="content"/>
        </w:behaviors>
        <w:guid w:val="{D9ADB2B0-A70E-40DB-9AE7-D61F3DBC3CBF}"/>
      </w:docPartPr>
      <w:docPartBody>
        <w:p w:rsidR="006844FB" w:rsidRDefault="006844FB" w:rsidP="006844FB">
          <w:pPr>
            <w:pStyle w:val="936A2C2421F2483DA486601116A84B95"/>
          </w:pPr>
          <w:r w:rsidRPr="00746487">
            <w:rPr>
              <w:rStyle w:val="Zstupntext"/>
            </w:rPr>
            <w:t>[Heslo]</w:t>
          </w:r>
        </w:p>
      </w:docPartBody>
    </w:docPart>
    <w:docPart>
      <w:docPartPr>
        <w:name w:val="72DF5A8985D4445CB730837D9530CFCC"/>
        <w:category>
          <w:name w:val="Obecné"/>
          <w:gallery w:val="placeholder"/>
        </w:category>
        <w:types>
          <w:type w:val="bbPlcHdr"/>
        </w:types>
        <w:behaviors>
          <w:behavior w:val="content"/>
        </w:behaviors>
        <w:guid w:val="{9B2560B2-8D19-4FEE-BC84-C41B82F561A5}"/>
      </w:docPartPr>
      <w:docPartBody>
        <w:p w:rsidR="006844FB" w:rsidRDefault="006844FB" w:rsidP="006844FB">
          <w:pPr>
            <w:pStyle w:val="72DF5A8985D4445CB730837D9530CFCC"/>
          </w:pPr>
          <w:r w:rsidRPr="00746487">
            <w:rPr>
              <w:rStyle w:val="Zstupntext"/>
            </w:rPr>
            <w:t>[Definice]</w:t>
          </w:r>
        </w:p>
      </w:docPartBody>
    </w:docPart>
    <w:docPart>
      <w:docPartPr>
        <w:name w:val="6E3DF1538A1E42ECAF37C1DD09A81327"/>
        <w:category>
          <w:name w:val="Obecné"/>
          <w:gallery w:val="placeholder"/>
        </w:category>
        <w:types>
          <w:type w:val="bbPlcHdr"/>
        </w:types>
        <w:behaviors>
          <w:behavior w:val="content"/>
        </w:behaviors>
        <w:guid w:val="{1E18BEBF-A849-4FF5-B897-C70667E56E65}"/>
      </w:docPartPr>
      <w:docPartBody>
        <w:p w:rsidR="006844FB" w:rsidRDefault="006844FB" w:rsidP="006844FB">
          <w:pPr>
            <w:pStyle w:val="6E3DF1538A1E42ECAF37C1DD09A81327"/>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F12F8CC927FB4DCABED16766D6354FEC"/>
        <w:category>
          <w:name w:val="Obecné"/>
          <w:gallery w:val="placeholder"/>
        </w:category>
        <w:types>
          <w:type w:val="bbPlcHdr"/>
        </w:types>
        <w:behaviors>
          <w:behavior w:val="content"/>
        </w:behaviors>
        <w:guid w:val="{A65EBE49-46A3-4AE8-940F-319BD1306E4F}"/>
      </w:docPartPr>
      <w:docPartBody>
        <w:p w:rsidR="006844FB" w:rsidRDefault="006844FB" w:rsidP="006844FB">
          <w:pPr>
            <w:pStyle w:val="F12F8CC927FB4DCABED16766D6354FEC"/>
          </w:pPr>
          <w:r w:rsidRPr="00746487">
            <w:rPr>
              <w:rStyle w:val="Zstupntext"/>
            </w:rPr>
            <w:t>[Heslo]</w:t>
          </w:r>
        </w:p>
      </w:docPartBody>
    </w:docPart>
    <w:docPart>
      <w:docPartPr>
        <w:name w:val="834C9196BF2245CFAA54FBCDC84253F6"/>
        <w:category>
          <w:name w:val="Obecné"/>
          <w:gallery w:val="placeholder"/>
        </w:category>
        <w:types>
          <w:type w:val="bbPlcHdr"/>
        </w:types>
        <w:behaviors>
          <w:behavior w:val="content"/>
        </w:behaviors>
        <w:guid w:val="{29A94D5F-484C-4181-921D-BC8F0F6BD532}"/>
      </w:docPartPr>
      <w:docPartBody>
        <w:p w:rsidR="006844FB" w:rsidRDefault="006844FB" w:rsidP="006844FB">
          <w:pPr>
            <w:pStyle w:val="834C9196BF2245CFAA54FBCDC84253F6"/>
          </w:pPr>
          <w:r w:rsidRPr="00746487">
            <w:rPr>
              <w:rStyle w:val="Zstupntext"/>
            </w:rPr>
            <w:t>[Definice]</w:t>
          </w:r>
        </w:p>
      </w:docPartBody>
    </w:docPart>
    <w:docPart>
      <w:docPartPr>
        <w:name w:val="6A6B5C4CA3F94D9A90ACDCBEE87D3071"/>
        <w:category>
          <w:name w:val="Obecné"/>
          <w:gallery w:val="placeholder"/>
        </w:category>
        <w:types>
          <w:type w:val="bbPlcHdr"/>
        </w:types>
        <w:behaviors>
          <w:behavior w:val="content"/>
        </w:behaviors>
        <w:guid w:val="{D444ECB5-31C8-4A18-AABA-BF250D40BC64}"/>
      </w:docPartPr>
      <w:docPartBody>
        <w:p w:rsidR="006844FB" w:rsidRDefault="006844FB" w:rsidP="006844FB">
          <w:pPr>
            <w:pStyle w:val="6A6B5C4CA3F94D9A90ACDCBEE87D3071"/>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5F0F028E4A6A47959F1BCA654FD45F7F"/>
        <w:category>
          <w:name w:val="Obecné"/>
          <w:gallery w:val="placeholder"/>
        </w:category>
        <w:types>
          <w:type w:val="bbPlcHdr"/>
        </w:types>
        <w:behaviors>
          <w:behavior w:val="content"/>
        </w:behaviors>
        <w:guid w:val="{51198CB8-D22F-4447-B965-944EFE66B3D3}"/>
      </w:docPartPr>
      <w:docPartBody>
        <w:p w:rsidR="006844FB" w:rsidRDefault="006844FB" w:rsidP="006844FB">
          <w:pPr>
            <w:pStyle w:val="5F0F028E4A6A47959F1BCA654FD45F7F"/>
          </w:pPr>
          <w:r w:rsidRPr="00746487">
            <w:rPr>
              <w:rStyle w:val="Zstupntext"/>
            </w:rPr>
            <w:t>[Heslo]</w:t>
          </w:r>
        </w:p>
      </w:docPartBody>
    </w:docPart>
    <w:docPart>
      <w:docPartPr>
        <w:name w:val="808B88789CAB4C9EA1C84F2EDBB2516D"/>
        <w:category>
          <w:name w:val="Obecné"/>
          <w:gallery w:val="placeholder"/>
        </w:category>
        <w:types>
          <w:type w:val="bbPlcHdr"/>
        </w:types>
        <w:behaviors>
          <w:behavior w:val="content"/>
        </w:behaviors>
        <w:guid w:val="{696A6231-0F8C-42A1-B25A-FA6003224C5C}"/>
      </w:docPartPr>
      <w:docPartBody>
        <w:p w:rsidR="006844FB" w:rsidRDefault="006844FB" w:rsidP="006844FB">
          <w:pPr>
            <w:pStyle w:val="808B88789CAB4C9EA1C84F2EDBB2516D"/>
          </w:pPr>
          <w:r w:rsidRPr="00746487">
            <w:rPr>
              <w:rStyle w:val="Zstupntext"/>
            </w:rPr>
            <w:t>[Definice]</w:t>
          </w:r>
        </w:p>
      </w:docPartBody>
    </w:docPart>
    <w:docPart>
      <w:docPartPr>
        <w:name w:val="13D48316AB1F401087D78A14C8782FE0"/>
        <w:category>
          <w:name w:val="Obecné"/>
          <w:gallery w:val="placeholder"/>
        </w:category>
        <w:types>
          <w:type w:val="bbPlcHdr"/>
        </w:types>
        <w:behaviors>
          <w:behavior w:val="content"/>
        </w:behaviors>
        <w:guid w:val="{7DD7FF1A-5690-410C-8094-322041F667E7}"/>
      </w:docPartPr>
      <w:docPartBody>
        <w:p w:rsidR="006844FB" w:rsidRDefault="006844FB" w:rsidP="006844FB">
          <w:pPr>
            <w:pStyle w:val="13D48316AB1F401087D78A14C8782FE0"/>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8C0DFB347DE248E9B3CC6800079AF5AE"/>
        <w:category>
          <w:name w:val="Obecné"/>
          <w:gallery w:val="placeholder"/>
        </w:category>
        <w:types>
          <w:type w:val="bbPlcHdr"/>
        </w:types>
        <w:behaviors>
          <w:behavior w:val="content"/>
        </w:behaviors>
        <w:guid w:val="{635601E7-7F9F-4047-B34E-C27C7D9CC485}"/>
      </w:docPartPr>
      <w:docPartBody>
        <w:p w:rsidR="006844FB" w:rsidRDefault="006844FB" w:rsidP="006844FB">
          <w:pPr>
            <w:pStyle w:val="8C0DFB347DE248E9B3CC6800079AF5AE"/>
          </w:pPr>
          <w:r w:rsidRPr="00746487">
            <w:rPr>
              <w:rStyle w:val="Zstupntext"/>
            </w:rPr>
            <w:t>[Heslo]</w:t>
          </w:r>
        </w:p>
      </w:docPartBody>
    </w:docPart>
    <w:docPart>
      <w:docPartPr>
        <w:name w:val="6F0E2FA2D159449B894788C84C7109F7"/>
        <w:category>
          <w:name w:val="Obecné"/>
          <w:gallery w:val="placeholder"/>
        </w:category>
        <w:types>
          <w:type w:val="bbPlcHdr"/>
        </w:types>
        <w:behaviors>
          <w:behavior w:val="content"/>
        </w:behaviors>
        <w:guid w:val="{A1A79E6F-7BEB-497D-A385-A693B984E79D}"/>
      </w:docPartPr>
      <w:docPartBody>
        <w:p w:rsidR="006844FB" w:rsidRDefault="006844FB" w:rsidP="006844FB">
          <w:pPr>
            <w:pStyle w:val="6F0E2FA2D159449B894788C84C7109F7"/>
          </w:pPr>
          <w:r w:rsidRPr="00746487">
            <w:rPr>
              <w:rStyle w:val="Zstupntext"/>
            </w:rPr>
            <w:t>[Definice]</w:t>
          </w:r>
        </w:p>
      </w:docPartBody>
    </w:docPart>
    <w:docPart>
      <w:docPartPr>
        <w:name w:val="B25C5587A32F4EA887CDFCE08ADDA3B4"/>
        <w:category>
          <w:name w:val="Obecné"/>
          <w:gallery w:val="placeholder"/>
        </w:category>
        <w:types>
          <w:type w:val="bbPlcHdr"/>
        </w:types>
        <w:behaviors>
          <w:behavior w:val="content"/>
        </w:behaviors>
        <w:guid w:val="{11543F49-89CC-4EA7-BCA0-E7C3797B9DCF}"/>
      </w:docPartPr>
      <w:docPartBody>
        <w:p w:rsidR="006844FB" w:rsidRDefault="006844FB" w:rsidP="006844FB">
          <w:pPr>
            <w:pStyle w:val="B25C5587A32F4EA887CDFCE08ADDA3B4"/>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CF44DE0931A404B854057519CA01B04"/>
        <w:category>
          <w:name w:val="Obecné"/>
          <w:gallery w:val="placeholder"/>
        </w:category>
        <w:types>
          <w:type w:val="bbPlcHdr"/>
        </w:types>
        <w:behaviors>
          <w:behavior w:val="content"/>
        </w:behaviors>
        <w:guid w:val="{3667D393-5962-448C-935A-E0BB2766F2F1}"/>
      </w:docPartPr>
      <w:docPartBody>
        <w:p w:rsidR="006844FB" w:rsidRDefault="006844FB" w:rsidP="006844FB">
          <w:pPr>
            <w:pStyle w:val="CCF44DE0931A404B854057519CA01B04"/>
          </w:pPr>
          <w:r w:rsidRPr="00746487">
            <w:rPr>
              <w:rStyle w:val="Zstupntext"/>
            </w:rPr>
            <w:t>[Heslo]</w:t>
          </w:r>
        </w:p>
      </w:docPartBody>
    </w:docPart>
    <w:docPart>
      <w:docPartPr>
        <w:name w:val="675AA5091AB64C05A09A5BF1707F1C7A"/>
        <w:category>
          <w:name w:val="Obecné"/>
          <w:gallery w:val="placeholder"/>
        </w:category>
        <w:types>
          <w:type w:val="bbPlcHdr"/>
        </w:types>
        <w:behaviors>
          <w:behavior w:val="content"/>
        </w:behaviors>
        <w:guid w:val="{8B11626D-5817-48A4-BE7C-B3D7E93D77EA}"/>
      </w:docPartPr>
      <w:docPartBody>
        <w:p w:rsidR="006844FB" w:rsidRDefault="006844FB" w:rsidP="006844FB">
          <w:pPr>
            <w:pStyle w:val="675AA5091AB64C05A09A5BF1707F1C7A"/>
          </w:pPr>
          <w:r w:rsidRPr="00746487">
            <w:rPr>
              <w:rStyle w:val="Zstupntext"/>
            </w:rPr>
            <w:t>[Definice]</w:t>
          </w:r>
        </w:p>
      </w:docPartBody>
    </w:docPart>
    <w:docPart>
      <w:docPartPr>
        <w:name w:val="95EDDEB4A8A146E5AC5181C773DC4266"/>
        <w:category>
          <w:name w:val="Obecné"/>
          <w:gallery w:val="placeholder"/>
        </w:category>
        <w:types>
          <w:type w:val="bbPlcHdr"/>
        </w:types>
        <w:behaviors>
          <w:behavior w:val="content"/>
        </w:behaviors>
        <w:guid w:val="{89D3E17D-2B0F-455C-AC62-CC277E768F7A}"/>
      </w:docPartPr>
      <w:docPartBody>
        <w:p w:rsidR="006844FB" w:rsidRDefault="006844FB" w:rsidP="006844FB">
          <w:pPr>
            <w:pStyle w:val="95EDDEB4A8A146E5AC5181C773DC4266"/>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A4B69A8A233465E82975C265F4A96D7"/>
        <w:category>
          <w:name w:val="Obecné"/>
          <w:gallery w:val="placeholder"/>
        </w:category>
        <w:types>
          <w:type w:val="bbPlcHdr"/>
        </w:types>
        <w:behaviors>
          <w:behavior w:val="content"/>
        </w:behaviors>
        <w:guid w:val="{194122DB-0CBD-4CB5-A09A-C13E99957F5C}"/>
      </w:docPartPr>
      <w:docPartBody>
        <w:p w:rsidR="006844FB" w:rsidRDefault="006844FB" w:rsidP="006844FB">
          <w:pPr>
            <w:pStyle w:val="DA4B69A8A233465E82975C265F4A96D7"/>
          </w:pPr>
          <w:r w:rsidRPr="00746487">
            <w:rPr>
              <w:rStyle w:val="Zstupntext"/>
            </w:rPr>
            <w:t>[Heslo]</w:t>
          </w:r>
        </w:p>
      </w:docPartBody>
    </w:docPart>
    <w:docPart>
      <w:docPartPr>
        <w:name w:val="8160003BC03B48CE8E6C0ECAC78E6A44"/>
        <w:category>
          <w:name w:val="Obecné"/>
          <w:gallery w:val="placeholder"/>
        </w:category>
        <w:types>
          <w:type w:val="bbPlcHdr"/>
        </w:types>
        <w:behaviors>
          <w:behavior w:val="content"/>
        </w:behaviors>
        <w:guid w:val="{0AC1F946-F945-40D9-9C3F-C2E33B68AF77}"/>
      </w:docPartPr>
      <w:docPartBody>
        <w:p w:rsidR="006844FB" w:rsidRDefault="006844FB" w:rsidP="006844FB">
          <w:pPr>
            <w:pStyle w:val="8160003BC03B48CE8E6C0ECAC78E6A44"/>
          </w:pPr>
          <w:r w:rsidRPr="00746487">
            <w:rPr>
              <w:rStyle w:val="Zstupntext"/>
            </w:rPr>
            <w:t>[Definice]</w:t>
          </w:r>
        </w:p>
      </w:docPartBody>
    </w:docPart>
    <w:docPart>
      <w:docPartPr>
        <w:name w:val="82E1F52495F3409E82FE31D5DD8FD091"/>
        <w:category>
          <w:name w:val="Obecné"/>
          <w:gallery w:val="placeholder"/>
        </w:category>
        <w:types>
          <w:type w:val="bbPlcHdr"/>
        </w:types>
        <w:behaviors>
          <w:behavior w:val="content"/>
        </w:behaviors>
        <w:guid w:val="{8F807BB4-51F1-4962-A9D3-A15D0FB11ADE}"/>
      </w:docPartPr>
      <w:docPartBody>
        <w:p w:rsidR="006844FB" w:rsidRDefault="006844FB" w:rsidP="006844FB">
          <w:pPr>
            <w:pStyle w:val="82E1F52495F3409E82FE31D5DD8FD091"/>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02681EDEA84D46E1B8CF7CAC05D8BF26"/>
        <w:category>
          <w:name w:val="Obecné"/>
          <w:gallery w:val="placeholder"/>
        </w:category>
        <w:types>
          <w:type w:val="bbPlcHdr"/>
        </w:types>
        <w:behaviors>
          <w:behavior w:val="content"/>
        </w:behaviors>
        <w:guid w:val="{11F976C9-FAB3-478E-894E-E8981D51175E}"/>
      </w:docPartPr>
      <w:docPartBody>
        <w:p w:rsidR="006844FB" w:rsidRDefault="006844FB" w:rsidP="006844FB">
          <w:pPr>
            <w:pStyle w:val="02681EDEA84D46E1B8CF7CAC05D8BF26"/>
          </w:pPr>
          <w:r w:rsidRPr="00746487">
            <w:rPr>
              <w:rStyle w:val="Zstupntext"/>
            </w:rPr>
            <w:t>[Heslo]</w:t>
          </w:r>
        </w:p>
      </w:docPartBody>
    </w:docPart>
    <w:docPart>
      <w:docPartPr>
        <w:name w:val="A7CF6E27F1EF4AC5A62552F8DD4C6A0E"/>
        <w:category>
          <w:name w:val="Obecné"/>
          <w:gallery w:val="placeholder"/>
        </w:category>
        <w:types>
          <w:type w:val="bbPlcHdr"/>
        </w:types>
        <w:behaviors>
          <w:behavior w:val="content"/>
        </w:behaviors>
        <w:guid w:val="{250942C9-8664-4257-8779-D5A992229A54}"/>
      </w:docPartPr>
      <w:docPartBody>
        <w:p w:rsidR="006844FB" w:rsidRDefault="006844FB" w:rsidP="006844FB">
          <w:pPr>
            <w:pStyle w:val="A7CF6E27F1EF4AC5A62552F8DD4C6A0E"/>
          </w:pPr>
          <w:r w:rsidRPr="00746487">
            <w:rPr>
              <w:rStyle w:val="Zstupntext"/>
            </w:rPr>
            <w:t>[Definice]</w:t>
          </w:r>
        </w:p>
      </w:docPartBody>
    </w:docPart>
    <w:docPart>
      <w:docPartPr>
        <w:name w:val="F25F5D94891148D799C24289966C6902"/>
        <w:category>
          <w:name w:val="Obecné"/>
          <w:gallery w:val="placeholder"/>
        </w:category>
        <w:types>
          <w:type w:val="bbPlcHdr"/>
        </w:types>
        <w:behaviors>
          <w:behavior w:val="content"/>
        </w:behaviors>
        <w:guid w:val="{59EBB9BB-1DDD-4BEE-B8BD-98CC7E48D456}"/>
      </w:docPartPr>
      <w:docPartBody>
        <w:p w:rsidR="006844FB" w:rsidRDefault="006844FB" w:rsidP="006844FB">
          <w:pPr>
            <w:pStyle w:val="F25F5D94891148D799C24289966C690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38B0A964E784075B3139C4EF44458FB"/>
        <w:category>
          <w:name w:val="Obecné"/>
          <w:gallery w:val="placeholder"/>
        </w:category>
        <w:types>
          <w:type w:val="bbPlcHdr"/>
        </w:types>
        <w:behaviors>
          <w:behavior w:val="content"/>
        </w:behaviors>
        <w:guid w:val="{F7763CF7-89F7-4447-ABA0-08F2C89CBBA0}"/>
      </w:docPartPr>
      <w:docPartBody>
        <w:p w:rsidR="006844FB" w:rsidRDefault="006844FB" w:rsidP="006844FB">
          <w:pPr>
            <w:pStyle w:val="138B0A964E784075B3139C4EF44458FB"/>
          </w:pPr>
          <w:r w:rsidRPr="00746487">
            <w:rPr>
              <w:rStyle w:val="Zstupntext"/>
            </w:rPr>
            <w:t>[Heslo]</w:t>
          </w:r>
        </w:p>
      </w:docPartBody>
    </w:docPart>
    <w:docPart>
      <w:docPartPr>
        <w:name w:val="8881F31DB1DE4D238C17C56913CB0097"/>
        <w:category>
          <w:name w:val="Obecné"/>
          <w:gallery w:val="placeholder"/>
        </w:category>
        <w:types>
          <w:type w:val="bbPlcHdr"/>
        </w:types>
        <w:behaviors>
          <w:behavior w:val="content"/>
        </w:behaviors>
        <w:guid w:val="{B7E2CB77-7186-494C-A523-2A6ECBBDDEE6}"/>
      </w:docPartPr>
      <w:docPartBody>
        <w:p w:rsidR="006844FB" w:rsidRDefault="006844FB" w:rsidP="006844FB">
          <w:pPr>
            <w:pStyle w:val="8881F31DB1DE4D238C17C56913CB0097"/>
          </w:pPr>
          <w:r w:rsidRPr="00746487">
            <w:rPr>
              <w:rStyle w:val="Zstupntext"/>
            </w:rPr>
            <w:t>[Definice]</w:t>
          </w:r>
        </w:p>
      </w:docPartBody>
    </w:docPart>
    <w:docPart>
      <w:docPartPr>
        <w:name w:val="004156ED3D56400098F9F2105BF31D67"/>
        <w:category>
          <w:name w:val="Obecné"/>
          <w:gallery w:val="placeholder"/>
        </w:category>
        <w:types>
          <w:type w:val="bbPlcHdr"/>
        </w:types>
        <w:behaviors>
          <w:behavior w:val="content"/>
        </w:behaviors>
        <w:guid w:val="{A84E83AE-D8B4-437A-A11D-490F5C31FC65}"/>
      </w:docPartPr>
      <w:docPartBody>
        <w:p w:rsidR="006844FB" w:rsidRDefault="006844FB" w:rsidP="006844FB">
          <w:pPr>
            <w:pStyle w:val="004156ED3D56400098F9F2105BF31D67"/>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14CD6E678B04F5285DFA03B9B1D778C"/>
        <w:category>
          <w:name w:val="Obecné"/>
          <w:gallery w:val="placeholder"/>
        </w:category>
        <w:types>
          <w:type w:val="bbPlcHdr"/>
        </w:types>
        <w:behaviors>
          <w:behavior w:val="content"/>
        </w:behaviors>
        <w:guid w:val="{6B091711-68EB-41E8-9CC7-2D14250DF49D}"/>
      </w:docPartPr>
      <w:docPartBody>
        <w:p w:rsidR="006844FB" w:rsidRDefault="006844FB" w:rsidP="006844FB">
          <w:pPr>
            <w:pStyle w:val="C14CD6E678B04F5285DFA03B9B1D778C"/>
          </w:pPr>
          <w:r w:rsidRPr="00746487">
            <w:rPr>
              <w:rStyle w:val="Zstupntext"/>
            </w:rPr>
            <w:t>[Heslo]</w:t>
          </w:r>
        </w:p>
      </w:docPartBody>
    </w:docPart>
    <w:docPart>
      <w:docPartPr>
        <w:name w:val="5A705008C031456087AC4DA1FE9D8DDB"/>
        <w:category>
          <w:name w:val="Obecné"/>
          <w:gallery w:val="placeholder"/>
        </w:category>
        <w:types>
          <w:type w:val="bbPlcHdr"/>
        </w:types>
        <w:behaviors>
          <w:behavior w:val="content"/>
        </w:behaviors>
        <w:guid w:val="{894CC0BB-5C25-4ED7-A11C-734A3A663306}"/>
      </w:docPartPr>
      <w:docPartBody>
        <w:p w:rsidR="006844FB" w:rsidRDefault="006844FB" w:rsidP="006844FB">
          <w:pPr>
            <w:pStyle w:val="5A705008C031456087AC4DA1FE9D8DDB"/>
          </w:pPr>
          <w:r w:rsidRPr="00746487">
            <w:rPr>
              <w:rStyle w:val="Zstupntext"/>
            </w:rPr>
            <w:t>[Definice]</w:t>
          </w:r>
        </w:p>
      </w:docPartBody>
    </w:docPart>
    <w:docPart>
      <w:docPartPr>
        <w:name w:val="F1AF6ED70FE348998673A58BD7A43BE4"/>
        <w:category>
          <w:name w:val="Obecné"/>
          <w:gallery w:val="placeholder"/>
        </w:category>
        <w:types>
          <w:type w:val="bbPlcHdr"/>
        </w:types>
        <w:behaviors>
          <w:behavior w:val="content"/>
        </w:behaviors>
        <w:guid w:val="{81822EB2-19A0-4133-A827-D806892AE612}"/>
      </w:docPartPr>
      <w:docPartBody>
        <w:p w:rsidR="006844FB" w:rsidRDefault="006844FB" w:rsidP="006844FB">
          <w:pPr>
            <w:pStyle w:val="F1AF6ED70FE348998673A58BD7A43BE4"/>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F8D6101260034AE3BC5A63AAE4DF198B"/>
        <w:category>
          <w:name w:val="Obecné"/>
          <w:gallery w:val="placeholder"/>
        </w:category>
        <w:types>
          <w:type w:val="bbPlcHdr"/>
        </w:types>
        <w:behaviors>
          <w:behavior w:val="content"/>
        </w:behaviors>
        <w:guid w:val="{051A9EFF-BE7E-462D-8305-156697450B93}"/>
      </w:docPartPr>
      <w:docPartBody>
        <w:p w:rsidR="006844FB" w:rsidRDefault="006844FB" w:rsidP="006844FB">
          <w:pPr>
            <w:pStyle w:val="F8D6101260034AE3BC5A63AAE4DF198B"/>
          </w:pPr>
          <w:r w:rsidRPr="00746487">
            <w:rPr>
              <w:rStyle w:val="Zstupntext"/>
            </w:rPr>
            <w:t>[Heslo]</w:t>
          </w:r>
        </w:p>
      </w:docPartBody>
    </w:docPart>
    <w:docPart>
      <w:docPartPr>
        <w:name w:val="5E30496D1A3C4876BB17F7109CFD63CE"/>
        <w:category>
          <w:name w:val="Obecné"/>
          <w:gallery w:val="placeholder"/>
        </w:category>
        <w:types>
          <w:type w:val="bbPlcHdr"/>
        </w:types>
        <w:behaviors>
          <w:behavior w:val="content"/>
        </w:behaviors>
        <w:guid w:val="{C5257B42-E069-4D97-BAAC-C84585DC2595}"/>
      </w:docPartPr>
      <w:docPartBody>
        <w:p w:rsidR="006844FB" w:rsidRDefault="006844FB" w:rsidP="006844FB">
          <w:pPr>
            <w:pStyle w:val="5E30496D1A3C4876BB17F7109CFD63CE"/>
          </w:pPr>
          <w:r w:rsidRPr="00746487">
            <w:rPr>
              <w:rStyle w:val="Zstupntext"/>
            </w:rPr>
            <w:t>[Definice]</w:t>
          </w:r>
        </w:p>
      </w:docPartBody>
    </w:docPart>
    <w:docPart>
      <w:docPartPr>
        <w:name w:val="0F3509A3390C485BBE7ED5762CF61287"/>
        <w:category>
          <w:name w:val="Obecné"/>
          <w:gallery w:val="placeholder"/>
        </w:category>
        <w:types>
          <w:type w:val="bbPlcHdr"/>
        </w:types>
        <w:behaviors>
          <w:behavior w:val="content"/>
        </w:behaviors>
        <w:guid w:val="{CFCA58DC-A108-4095-BC2B-96C40C6B841B}"/>
      </w:docPartPr>
      <w:docPartBody>
        <w:p w:rsidR="006844FB" w:rsidRDefault="006844FB" w:rsidP="006844FB">
          <w:pPr>
            <w:pStyle w:val="0F3509A3390C485BBE7ED5762CF61287"/>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74D9C98B5B6406FA6D4D620087F7FDB"/>
        <w:category>
          <w:name w:val="Obecné"/>
          <w:gallery w:val="placeholder"/>
        </w:category>
        <w:types>
          <w:type w:val="bbPlcHdr"/>
        </w:types>
        <w:behaviors>
          <w:behavior w:val="content"/>
        </w:behaviors>
        <w:guid w:val="{79DA7533-9CCF-4D3D-92DE-7A8D13A4A044}"/>
      </w:docPartPr>
      <w:docPartBody>
        <w:p w:rsidR="006844FB" w:rsidRDefault="006844FB" w:rsidP="006844FB">
          <w:pPr>
            <w:pStyle w:val="474D9C98B5B6406FA6D4D620087F7FDB"/>
          </w:pPr>
          <w:r w:rsidRPr="00746487">
            <w:rPr>
              <w:rStyle w:val="Zstupntext"/>
            </w:rPr>
            <w:t>[Heslo]</w:t>
          </w:r>
        </w:p>
      </w:docPartBody>
    </w:docPart>
    <w:docPart>
      <w:docPartPr>
        <w:name w:val="D0EA7027A0434077A506E08A41BE047A"/>
        <w:category>
          <w:name w:val="Obecné"/>
          <w:gallery w:val="placeholder"/>
        </w:category>
        <w:types>
          <w:type w:val="bbPlcHdr"/>
        </w:types>
        <w:behaviors>
          <w:behavior w:val="content"/>
        </w:behaviors>
        <w:guid w:val="{220D92B5-F11D-433F-A75D-1E970299ADBB}"/>
      </w:docPartPr>
      <w:docPartBody>
        <w:p w:rsidR="006844FB" w:rsidRDefault="006844FB" w:rsidP="006844FB">
          <w:pPr>
            <w:pStyle w:val="D0EA7027A0434077A506E08A41BE047A"/>
          </w:pPr>
          <w:r w:rsidRPr="00746487">
            <w:rPr>
              <w:rStyle w:val="Zstupntext"/>
            </w:rPr>
            <w:t>[Definice]</w:t>
          </w:r>
        </w:p>
      </w:docPartBody>
    </w:docPart>
    <w:docPart>
      <w:docPartPr>
        <w:name w:val="5CFC07A750534236AED262BDDCA43495"/>
        <w:category>
          <w:name w:val="Obecné"/>
          <w:gallery w:val="placeholder"/>
        </w:category>
        <w:types>
          <w:type w:val="bbPlcHdr"/>
        </w:types>
        <w:behaviors>
          <w:behavior w:val="content"/>
        </w:behaviors>
        <w:guid w:val="{29A03521-11EB-4949-9319-A2A53450454E}"/>
      </w:docPartPr>
      <w:docPartBody>
        <w:p w:rsidR="006844FB" w:rsidRDefault="006844FB" w:rsidP="006844FB">
          <w:pPr>
            <w:pStyle w:val="5CFC07A750534236AED262BDDCA4349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B22E8D6ECC27466CBAE2E0E1C825E845"/>
        <w:category>
          <w:name w:val="Obecné"/>
          <w:gallery w:val="placeholder"/>
        </w:category>
        <w:types>
          <w:type w:val="bbPlcHdr"/>
        </w:types>
        <w:behaviors>
          <w:behavior w:val="content"/>
        </w:behaviors>
        <w:guid w:val="{5BAF4021-8076-4F91-BD0A-5E2F50A56D07}"/>
      </w:docPartPr>
      <w:docPartBody>
        <w:p w:rsidR="006844FB" w:rsidRDefault="006844FB" w:rsidP="006844FB">
          <w:pPr>
            <w:pStyle w:val="B22E8D6ECC27466CBAE2E0E1C825E845"/>
          </w:pPr>
          <w:r w:rsidRPr="00746487">
            <w:rPr>
              <w:rStyle w:val="Zstupntext"/>
            </w:rPr>
            <w:t>[Heslo]</w:t>
          </w:r>
        </w:p>
      </w:docPartBody>
    </w:docPart>
    <w:docPart>
      <w:docPartPr>
        <w:name w:val="DE78BC43681D47FF8A6A6D01A5ACFBE7"/>
        <w:category>
          <w:name w:val="Obecné"/>
          <w:gallery w:val="placeholder"/>
        </w:category>
        <w:types>
          <w:type w:val="bbPlcHdr"/>
        </w:types>
        <w:behaviors>
          <w:behavior w:val="content"/>
        </w:behaviors>
        <w:guid w:val="{70960B1F-326F-48BF-B3F6-0EFA1FF40897}"/>
      </w:docPartPr>
      <w:docPartBody>
        <w:p w:rsidR="006844FB" w:rsidRDefault="006844FB" w:rsidP="006844FB">
          <w:pPr>
            <w:pStyle w:val="DE78BC43681D47FF8A6A6D01A5ACFBE7"/>
          </w:pPr>
          <w:r w:rsidRPr="00746487">
            <w:rPr>
              <w:rStyle w:val="Zstupntext"/>
            </w:rPr>
            <w:t>[Definice]</w:t>
          </w:r>
        </w:p>
      </w:docPartBody>
    </w:docPart>
    <w:docPart>
      <w:docPartPr>
        <w:name w:val="F890D80246A4420A8C37B48104269D38"/>
        <w:category>
          <w:name w:val="Obecné"/>
          <w:gallery w:val="placeholder"/>
        </w:category>
        <w:types>
          <w:type w:val="bbPlcHdr"/>
        </w:types>
        <w:behaviors>
          <w:behavior w:val="content"/>
        </w:behaviors>
        <w:guid w:val="{F43EE0D8-81E4-4FF6-A34C-A6B773673E81}"/>
      </w:docPartPr>
      <w:docPartBody>
        <w:p w:rsidR="006844FB" w:rsidRDefault="006844FB" w:rsidP="006844FB">
          <w:pPr>
            <w:pStyle w:val="F890D80246A4420A8C37B48104269D38"/>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468A597B1064B4A944D770237EDA136"/>
        <w:category>
          <w:name w:val="Obecné"/>
          <w:gallery w:val="placeholder"/>
        </w:category>
        <w:types>
          <w:type w:val="bbPlcHdr"/>
        </w:types>
        <w:behaviors>
          <w:behavior w:val="content"/>
        </w:behaviors>
        <w:guid w:val="{105C1012-79F8-4781-8583-F0616F7EACD7}"/>
      </w:docPartPr>
      <w:docPartBody>
        <w:p w:rsidR="006844FB" w:rsidRDefault="006844FB" w:rsidP="006844FB">
          <w:pPr>
            <w:pStyle w:val="4468A597B1064B4A944D770237EDA136"/>
          </w:pPr>
          <w:r w:rsidRPr="00746487">
            <w:rPr>
              <w:rStyle w:val="Zstupntext"/>
            </w:rPr>
            <w:t>[Heslo]</w:t>
          </w:r>
        </w:p>
      </w:docPartBody>
    </w:docPart>
    <w:docPart>
      <w:docPartPr>
        <w:name w:val="3794E3B03194425D89FC2C5D09BDF978"/>
        <w:category>
          <w:name w:val="Obecné"/>
          <w:gallery w:val="placeholder"/>
        </w:category>
        <w:types>
          <w:type w:val="bbPlcHdr"/>
        </w:types>
        <w:behaviors>
          <w:behavior w:val="content"/>
        </w:behaviors>
        <w:guid w:val="{5AAB7F5D-1941-4391-947F-78ABECB2015A}"/>
      </w:docPartPr>
      <w:docPartBody>
        <w:p w:rsidR="006844FB" w:rsidRDefault="006844FB" w:rsidP="006844FB">
          <w:pPr>
            <w:pStyle w:val="3794E3B03194425D89FC2C5D09BDF978"/>
          </w:pPr>
          <w:r w:rsidRPr="00746487">
            <w:rPr>
              <w:rStyle w:val="Zstupntext"/>
            </w:rPr>
            <w:t>[Definice]</w:t>
          </w:r>
        </w:p>
      </w:docPartBody>
    </w:docPart>
    <w:docPart>
      <w:docPartPr>
        <w:name w:val="62258E0BE4C04EC98E10B98C4E919FE3"/>
        <w:category>
          <w:name w:val="Obecné"/>
          <w:gallery w:val="placeholder"/>
        </w:category>
        <w:types>
          <w:type w:val="bbPlcHdr"/>
        </w:types>
        <w:behaviors>
          <w:behavior w:val="content"/>
        </w:behaviors>
        <w:guid w:val="{59A82F51-898F-482A-9A3E-ED9A10B7959A}"/>
      </w:docPartPr>
      <w:docPartBody>
        <w:p w:rsidR="006844FB" w:rsidRDefault="006844FB" w:rsidP="006844FB">
          <w:pPr>
            <w:pStyle w:val="62258E0BE4C04EC98E10B98C4E919FE3"/>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64207F11EA4247949C28DB03B78E34B8"/>
        <w:category>
          <w:name w:val="Obecné"/>
          <w:gallery w:val="placeholder"/>
        </w:category>
        <w:types>
          <w:type w:val="bbPlcHdr"/>
        </w:types>
        <w:behaviors>
          <w:behavior w:val="content"/>
        </w:behaviors>
        <w:guid w:val="{F223BB29-3187-4DD2-8154-BAFCAD66309D}"/>
      </w:docPartPr>
      <w:docPartBody>
        <w:p w:rsidR="006844FB" w:rsidRDefault="006844FB" w:rsidP="006844FB">
          <w:pPr>
            <w:pStyle w:val="64207F11EA4247949C28DB03B78E34B8"/>
          </w:pPr>
          <w:r w:rsidRPr="00746487">
            <w:rPr>
              <w:rStyle w:val="Zstupntext"/>
            </w:rPr>
            <w:t>[Heslo]</w:t>
          </w:r>
        </w:p>
      </w:docPartBody>
    </w:docPart>
    <w:docPart>
      <w:docPartPr>
        <w:name w:val="B2547DA5FD0D419592B4F82B90F7743A"/>
        <w:category>
          <w:name w:val="Obecné"/>
          <w:gallery w:val="placeholder"/>
        </w:category>
        <w:types>
          <w:type w:val="bbPlcHdr"/>
        </w:types>
        <w:behaviors>
          <w:behavior w:val="content"/>
        </w:behaviors>
        <w:guid w:val="{D83958E2-889A-40DA-B460-FB4304C443EC}"/>
      </w:docPartPr>
      <w:docPartBody>
        <w:p w:rsidR="006844FB" w:rsidRDefault="006844FB" w:rsidP="006844FB">
          <w:pPr>
            <w:pStyle w:val="B2547DA5FD0D419592B4F82B90F7743A"/>
          </w:pPr>
          <w:r w:rsidRPr="00746487">
            <w:rPr>
              <w:rStyle w:val="Zstupntext"/>
            </w:rPr>
            <w:t>[Definice]</w:t>
          </w:r>
        </w:p>
      </w:docPartBody>
    </w:docPart>
    <w:docPart>
      <w:docPartPr>
        <w:name w:val="B820622160A846DE8177B684DFA86CE0"/>
        <w:category>
          <w:name w:val="Obecné"/>
          <w:gallery w:val="placeholder"/>
        </w:category>
        <w:types>
          <w:type w:val="bbPlcHdr"/>
        </w:types>
        <w:behaviors>
          <w:behavior w:val="content"/>
        </w:behaviors>
        <w:guid w:val="{FD8E2015-A635-4375-94A5-BA55B49D6367}"/>
      </w:docPartPr>
      <w:docPartBody>
        <w:p w:rsidR="006844FB" w:rsidRDefault="006844FB" w:rsidP="006844FB">
          <w:pPr>
            <w:pStyle w:val="B820622160A846DE8177B684DFA86CE0"/>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23D5163D7C0464A930ECCB5A500C1CC"/>
        <w:category>
          <w:name w:val="Obecné"/>
          <w:gallery w:val="placeholder"/>
        </w:category>
        <w:types>
          <w:type w:val="bbPlcHdr"/>
        </w:types>
        <w:behaviors>
          <w:behavior w:val="content"/>
        </w:behaviors>
        <w:guid w:val="{C5482F97-F2F1-4DE4-A7E9-14CD72A9D03C}"/>
      </w:docPartPr>
      <w:docPartBody>
        <w:p w:rsidR="006844FB" w:rsidRDefault="006844FB" w:rsidP="006844FB">
          <w:pPr>
            <w:pStyle w:val="723D5163D7C0464A930ECCB5A500C1CC"/>
          </w:pPr>
          <w:r w:rsidRPr="00746487">
            <w:rPr>
              <w:rStyle w:val="Zstupntext"/>
            </w:rPr>
            <w:t>[Heslo]</w:t>
          </w:r>
        </w:p>
      </w:docPartBody>
    </w:docPart>
    <w:docPart>
      <w:docPartPr>
        <w:name w:val="9FADA8916CA249B2B39836B62BAE7F5B"/>
        <w:category>
          <w:name w:val="Obecné"/>
          <w:gallery w:val="placeholder"/>
        </w:category>
        <w:types>
          <w:type w:val="bbPlcHdr"/>
        </w:types>
        <w:behaviors>
          <w:behavior w:val="content"/>
        </w:behaviors>
        <w:guid w:val="{B75CA425-A139-4F71-B51A-3371AEDB9136}"/>
      </w:docPartPr>
      <w:docPartBody>
        <w:p w:rsidR="006844FB" w:rsidRDefault="006844FB" w:rsidP="006844FB">
          <w:pPr>
            <w:pStyle w:val="9FADA8916CA249B2B39836B62BAE7F5B"/>
          </w:pPr>
          <w:r w:rsidRPr="00746487">
            <w:rPr>
              <w:rStyle w:val="Zstupntext"/>
            </w:rPr>
            <w:t>[Definice]</w:t>
          </w:r>
        </w:p>
      </w:docPartBody>
    </w:docPart>
    <w:docPart>
      <w:docPartPr>
        <w:name w:val="2C78F7312DA34842BD2DD6ADF30F1E23"/>
        <w:category>
          <w:name w:val="Obecné"/>
          <w:gallery w:val="placeholder"/>
        </w:category>
        <w:types>
          <w:type w:val="bbPlcHdr"/>
        </w:types>
        <w:behaviors>
          <w:behavior w:val="content"/>
        </w:behaviors>
        <w:guid w:val="{5C105AFE-CB19-4ED8-BF0B-D079CFA59F2E}"/>
      </w:docPartPr>
      <w:docPartBody>
        <w:p w:rsidR="006844FB" w:rsidRDefault="006844FB" w:rsidP="006844FB">
          <w:pPr>
            <w:pStyle w:val="2C78F7312DA34842BD2DD6ADF30F1E23"/>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A75403B03868475E9A8C11CF71B64F71"/>
        <w:category>
          <w:name w:val="Obecné"/>
          <w:gallery w:val="placeholder"/>
        </w:category>
        <w:types>
          <w:type w:val="bbPlcHdr"/>
        </w:types>
        <w:behaviors>
          <w:behavior w:val="content"/>
        </w:behaviors>
        <w:guid w:val="{13395174-0C76-48EF-987B-2386EF2E47A4}"/>
      </w:docPartPr>
      <w:docPartBody>
        <w:p w:rsidR="006844FB" w:rsidRDefault="006844FB" w:rsidP="006844FB">
          <w:pPr>
            <w:pStyle w:val="A75403B03868475E9A8C11CF71B64F71"/>
          </w:pPr>
          <w:r w:rsidRPr="00746487">
            <w:rPr>
              <w:rStyle w:val="Zstupntext"/>
            </w:rPr>
            <w:t>[Heslo]</w:t>
          </w:r>
        </w:p>
      </w:docPartBody>
    </w:docPart>
    <w:docPart>
      <w:docPartPr>
        <w:name w:val="B5CD8912DC6C442E90833E4D707928C1"/>
        <w:category>
          <w:name w:val="Obecné"/>
          <w:gallery w:val="placeholder"/>
        </w:category>
        <w:types>
          <w:type w:val="bbPlcHdr"/>
        </w:types>
        <w:behaviors>
          <w:behavior w:val="content"/>
        </w:behaviors>
        <w:guid w:val="{01449539-A753-4599-84A5-EE7328D4E5B3}"/>
      </w:docPartPr>
      <w:docPartBody>
        <w:p w:rsidR="006844FB" w:rsidRDefault="006844FB" w:rsidP="006844FB">
          <w:pPr>
            <w:pStyle w:val="B5CD8912DC6C442E90833E4D707928C1"/>
          </w:pPr>
          <w:r w:rsidRPr="00746487">
            <w:rPr>
              <w:rStyle w:val="Zstupntext"/>
            </w:rPr>
            <w:t>[Definice]</w:t>
          </w:r>
        </w:p>
      </w:docPartBody>
    </w:docPart>
    <w:docPart>
      <w:docPartPr>
        <w:name w:val="00423DCA956A479185752E1BD90235DA"/>
        <w:category>
          <w:name w:val="Obecné"/>
          <w:gallery w:val="placeholder"/>
        </w:category>
        <w:types>
          <w:type w:val="bbPlcHdr"/>
        </w:types>
        <w:behaviors>
          <w:behavior w:val="content"/>
        </w:behaviors>
        <w:guid w:val="{2FB32328-F760-48CD-93F6-856C7E24DC75}"/>
      </w:docPartPr>
      <w:docPartBody>
        <w:p w:rsidR="006844FB" w:rsidRDefault="006844FB" w:rsidP="006844FB">
          <w:pPr>
            <w:pStyle w:val="00423DCA956A479185752E1BD90235D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95E1E9EA28144D286C3CAE5E0EC97AD"/>
        <w:category>
          <w:name w:val="Obecné"/>
          <w:gallery w:val="placeholder"/>
        </w:category>
        <w:types>
          <w:type w:val="bbPlcHdr"/>
        </w:types>
        <w:behaviors>
          <w:behavior w:val="content"/>
        </w:behaviors>
        <w:guid w:val="{CD58B0B4-4A3B-4FBB-8FF5-C0F52E9B215E}"/>
      </w:docPartPr>
      <w:docPartBody>
        <w:p w:rsidR="006844FB" w:rsidRDefault="006844FB" w:rsidP="006844FB">
          <w:pPr>
            <w:pStyle w:val="E95E1E9EA28144D286C3CAE5E0EC97AD"/>
          </w:pPr>
          <w:r w:rsidRPr="00746487">
            <w:rPr>
              <w:rStyle w:val="Zstupntext"/>
            </w:rPr>
            <w:t>[Heslo]</w:t>
          </w:r>
        </w:p>
      </w:docPartBody>
    </w:docPart>
    <w:docPart>
      <w:docPartPr>
        <w:name w:val="BC238ECB475E4D60A75C477440C19479"/>
        <w:category>
          <w:name w:val="Obecné"/>
          <w:gallery w:val="placeholder"/>
        </w:category>
        <w:types>
          <w:type w:val="bbPlcHdr"/>
        </w:types>
        <w:behaviors>
          <w:behavior w:val="content"/>
        </w:behaviors>
        <w:guid w:val="{4714ABA0-3CAA-4E1F-8342-A3397839165B}"/>
      </w:docPartPr>
      <w:docPartBody>
        <w:p w:rsidR="006844FB" w:rsidRDefault="006844FB" w:rsidP="006844FB">
          <w:pPr>
            <w:pStyle w:val="BC238ECB475E4D60A75C477440C19479"/>
          </w:pPr>
          <w:r w:rsidRPr="00746487">
            <w:rPr>
              <w:rStyle w:val="Zstupntext"/>
            </w:rPr>
            <w:t>[Definice]</w:t>
          </w:r>
        </w:p>
      </w:docPartBody>
    </w:docPart>
    <w:docPart>
      <w:docPartPr>
        <w:name w:val="0307E029F985439AB0E96B8E6B8C4DBE"/>
        <w:category>
          <w:name w:val="Obecné"/>
          <w:gallery w:val="placeholder"/>
        </w:category>
        <w:types>
          <w:type w:val="bbPlcHdr"/>
        </w:types>
        <w:behaviors>
          <w:behavior w:val="content"/>
        </w:behaviors>
        <w:guid w:val="{FE669414-55CE-4D55-B98F-5AB1D7E3C452}"/>
      </w:docPartPr>
      <w:docPartBody>
        <w:p w:rsidR="006844FB" w:rsidRDefault="006844FB" w:rsidP="006844FB">
          <w:pPr>
            <w:pStyle w:val="0307E029F985439AB0E96B8E6B8C4DBE"/>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C99D4D03A4C41D884E99FF3B873C580"/>
        <w:category>
          <w:name w:val="Obecné"/>
          <w:gallery w:val="placeholder"/>
        </w:category>
        <w:types>
          <w:type w:val="bbPlcHdr"/>
        </w:types>
        <w:behaviors>
          <w:behavior w:val="content"/>
        </w:behaviors>
        <w:guid w:val="{37DF3385-F786-466C-881B-C041A9C3B43F}"/>
      </w:docPartPr>
      <w:docPartBody>
        <w:p w:rsidR="006844FB" w:rsidRDefault="006844FB" w:rsidP="006844FB">
          <w:pPr>
            <w:pStyle w:val="9C99D4D03A4C41D884E99FF3B873C580"/>
          </w:pPr>
          <w:r w:rsidRPr="00746487">
            <w:rPr>
              <w:rStyle w:val="Zstupntext"/>
            </w:rPr>
            <w:t>[Heslo]</w:t>
          </w:r>
        </w:p>
      </w:docPartBody>
    </w:docPart>
    <w:docPart>
      <w:docPartPr>
        <w:name w:val="C3232D4DDA554CD1B53EA78B2E8454B0"/>
        <w:category>
          <w:name w:val="Obecné"/>
          <w:gallery w:val="placeholder"/>
        </w:category>
        <w:types>
          <w:type w:val="bbPlcHdr"/>
        </w:types>
        <w:behaviors>
          <w:behavior w:val="content"/>
        </w:behaviors>
        <w:guid w:val="{EC1F26C1-095D-4DA9-A609-49C0B834B810}"/>
      </w:docPartPr>
      <w:docPartBody>
        <w:p w:rsidR="006844FB" w:rsidRDefault="006844FB" w:rsidP="006844FB">
          <w:pPr>
            <w:pStyle w:val="C3232D4DDA554CD1B53EA78B2E8454B0"/>
          </w:pPr>
          <w:r w:rsidRPr="00746487">
            <w:rPr>
              <w:rStyle w:val="Zstupntext"/>
            </w:rPr>
            <w:t>[Definice]</w:t>
          </w:r>
        </w:p>
      </w:docPartBody>
    </w:docPart>
    <w:docPart>
      <w:docPartPr>
        <w:name w:val="D28C6CB98970400496B86AA0B20244F8"/>
        <w:category>
          <w:name w:val="Obecné"/>
          <w:gallery w:val="placeholder"/>
        </w:category>
        <w:types>
          <w:type w:val="bbPlcHdr"/>
        </w:types>
        <w:behaviors>
          <w:behavior w:val="content"/>
        </w:behaviors>
        <w:guid w:val="{C1A8D258-019C-4643-AF12-E4BC3DCFD486}"/>
      </w:docPartPr>
      <w:docPartBody>
        <w:p w:rsidR="006844FB" w:rsidRDefault="006844FB" w:rsidP="006844FB">
          <w:pPr>
            <w:pStyle w:val="D28C6CB98970400496B86AA0B20244F8"/>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BFEDAAB539C442CFB6C6F720A2184091"/>
        <w:category>
          <w:name w:val="Obecné"/>
          <w:gallery w:val="placeholder"/>
        </w:category>
        <w:types>
          <w:type w:val="bbPlcHdr"/>
        </w:types>
        <w:behaviors>
          <w:behavior w:val="content"/>
        </w:behaviors>
        <w:guid w:val="{981B2520-5334-4C82-9094-A1F3D5392EC0}"/>
      </w:docPartPr>
      <w:docPartBody>
        <w:p w:rsidR="006844FB" w:rsidRDefault="006844FB" w:rsidP="006844FB">
          <w:pPr>
            <w:pStyle w:val="BFEDAAB539C442CFB6C6F720A2184091"/>
          </w:pPr>
          <w:r w:rsidRPr="00746487">
            <w:rPr>
              <w:rStyle w:val="Zstupntext"/>
            </w:rPr>
            <w:t>[Heslo]</w:t>
          </w:r>
        </w:p>
      </w:docPartBody>
    </w:docPart>
    <w:docPart>
      <w:docPartPr>
        <w:name w:val="199733DFC4C84EFB81AF4D04D55DB2C6"/>
        <w:category>
          <w:name w:val="Obecné"/>
          <w:gallery w:val="placeholder"/>
        </w:category>
        <w:types>
          <w:type w:val="bbPlcHdr"/>
        </w:types>
        <w:behaviors>
          <w:behavior w:val="content"/>
        </w:behaviors>
        <w:guid w:val="{DF784B21-6B6C-4373-864A-6BC23640363B}"/>
      </w:docPartPr>
      <w:docPartBody>
        <w:p w:rsidR="006844FB" w:rsidRDefault="006844FB" w:rsidP="006844FB">
          <w:pPr>
            <w:pStyle w:val="199733DFC4C84EFB81AF4D04D55DB2C6"/>
          </w:pPr>
          <w:r w:rsidRPr="00746487">
            <w:rPr>
              <w:rStyle w:val="Zstupntext"/>
            </w:rPr>
            <w:t>[Definice]</w:t>
          </w:r>
        </w:p>
      </w:docPartBody>
    </w:docPart>
    <w:docPart>
      <w:docPartPr>
        <w:name w:val="1062448F807543EF8CABBD7FFD44A815"/>
        <w:category>
          <w:name w:val="Obecné"/>
          <w:gallery w:val="placeholder"/>
        </w:category>
        <w:types>
          <w:type w:val="bbPlcHdr"/>
        </w:types>
        <w:behaviors>
          <w:behavior w:val="content"/>
        </w:behaviors>
        <w:guid w:val="{433CCEEA-3527-4FF3-AE8E-550196C808A3}"/>
      </w:docPartPr>
      <w:docPartBody>
        <w:p w:rsidR="006844FB" w:rsidRDefault="006844FB" w:rsidP="006844FB">
          <w:pPr>
            <w:pStyle w:val="1062448F807543EF8CABBD7FFD44A815"/>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9CE4F49074D34A308838B87582031A84"/>
        <w:category>
          <w:name w:val="Obecné"/>
          <w:gallery w:val="placeholder"/>
        </w:category>
        <w:types>
          <w:type w:val="bbPlcHdr"/>
        </w:types>
        <w:behaviors>
          <w:behavior w:val="content"/>
        </w:behaviors>
        <w:guid w:val="{350CDFE6-85B4-4828-AC67-E6C7A89D7599}"/>
      </w:docPartPr>
      <w:docPartBody>
        <w:p w:rsidR="006844FB" w:rsidRDefault="006844FB" w:rsidP="006844FB">
          <w:pPr>
            <w:pStyle w:val="9CE4F49074D34A308838B87582031A84"/>
          </w:pPr>
          <w:r w:rsidRPr="00746487">
            <w:rPr>
              <w:rStyle w:val="Zstupntext"/>
            </w:rPr>
            <w:t>[Heslo]</w:t>
          </w:r>
        </w:p>
      </w:docPartBody>
    </w:docPart>
    <w:docPart>
      <w:docPartPr>
        <w:name w:val="AED2AEED8C0E412DBCDF2E05B033976E"/>
        <w:category>
          <w:name w:val="Obecné"/>
          <w:gallery w:val="placeholder"/>
        </w:category>
        <w:types>
          <w:type w:val="bbPlcHdr"/>
        </w:types>
        <w:behaviors>
          <w:behavior w:val="content"/>
        </w:behaviors>
        <w:guid w:val="{E18944A9-9C62-43AD-BE06-BBEE00C7F5F6}"/>
      </w:docPartPr>
      <w:docPartBody>
        <w:p w:rsidR="006844FB" w:rsidRDefault="006844FB" w:rsidP="006844FB">
          <w:pPr>
            <w:pStyle w:val="AED2AEED8C0E412DBCDF2E05B033976E"/>
          </w:pPr>
          <w:r w:rsidRPr="00746487">
            <w:rPr>
              <w:rStyle w:val="Zstupntext"/>
            </w:rPr>
            <w:t>[Definice]</w:t>
          </w:r>
        </w:p>
      </w:docPartBody>
    </w:docPart>
    <w:docPart>
      <w:docPartPr>
        <w:name w:val="9D11E4006400494D9FC2DF3182222D78"/>
        <w:category>
          <w:name w:val="Obecné"/>
          <w:gallery w:val="placeholder"/>
        </w:category>
        <w:types>
          <w:type w:val="bbPlcHdr"/>
        </w:types>
        <w:behaviors>
          <w:behavior w:val="content"/>
        </w:behaviors>
        <w:guid w:val="{207A8EDC-411C-4439-83CE-8B89F2CA80C2}"/>
      </w:docPartPr>
      <w:docPartBody>
        <w:p w:rsidR="006844FB" w:rsidRDefault="006844FB" w:rsidP="006844FB">
          <w:pPr>
            <w:pStyle w:val="9D11E4006400494D9FC2DF3182222D78"/>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A53C30F38774BAC820D3F4159242011"/>
        <w:category>
          <w:name w:val="Obecné"/>
          <w:gallery w:val="placeholder"/>
        </w:category>
        <w:types>
          <w:type w:val="bbPlcHdr"/>
        </w:types>
        <w:behaviors>
          <w:behavior w:val="content"/>
        </w:behaviors>
        <w:guid w:val="{E869BF3D-EE36-4358-BF0C-DD02CA98B09A}"/>
      </w:docPartPr>
      <w:docPartBody>
        <w:p w:rsidR="006844FB" w:rsidRDefault="006844FB" w:rsidP="006844FB">
          <w:pPr>
            <w:pStyle w:val="EA53C30F38774BAC820D3F4159242011"/>
          </w:pPr>
          <w:r w:rsidRPr="00746487">
            <w:rPr>
              <w:rStyle w:val="Zstupntext"/>
            </w:rPr>
            <w:t>[Heslo]</w:t>
          </w:r>
        </w:p>
      </w:docPartBody>
    </w:docPart>
    <w:docPart>
      <w:docPartPr>
        <w:name w:val="C517FA01E71D46BB8EBF70B7A827B918"/>
        <w:category>
          <w:name w:val="Obecné"/>
          <w:gallery w:val="placeholder"/>
        </w:category>
        <w:types>
          <w:type w:val="bbPlcHdr"/>
        </w:types>
        <w:behaviors>
          <w:behavior w:val="content"/>
        </w:behaviors>
        <w:guid w:val="{74E15C67-524B-48B7-B15C-B7338E699AF5}"/>
      </w:docPartPr>
      <w:docPartBody>
        <w:p w:rsidR="006844FB" w:rsidRDefault="006844FB" w:rsidP="006844FB">
          <w:pPr>
            <w:pStyle w:val="C517FA01E71D46BB8EBF70B7A827B918"/>
          </w:pPr>
          <w:r w:rsidRPr="00746487">
            <w:rPr>
              <w:rStyle w:val="Zstupntext"/>
            </w:rPr>
            <w:t>[Definice]</w:t>
          </w:r>
        </w:p>
      </w:docPartBody>
    </w:docPart>
    <w:docPart>
      <w:docPartPr>
        <w:name w:val="42314FFE38174F72818A49B9CB4A8E6C"/>
        <w:category>
          <w:name w:val="Obecné"/>
          <w:gallery w:val="placeholder"/>
        </w:category>
        <w:types>
          <w:type w:val="bbPlcHdr"/>
        </w:types>
        <w:behaviors>
          <w:behavior w:val="content"/>
        </w:behaviors>
        <w:guid w:val="{313D488D-4818-4DA7-BEE3-E29635CCB364}"/>
      </w:docPartPr>
      <w:docPartBody>
        <w:p w:rsidR="006844FB" w:rsidRDefault="006844FB" w:rsidP="006844FB">
          <w:pPr>
            <w:pStyle w:val="42314FFE38174F72818A49B9CB4A8E6C"/>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B89B63F41A54F61A47B4D5EECB50EBE"/>
        <w:category>
          <w:name w:val="Obecné"/>
          <w:gallery w:val="placeholder"/>
        </w:category>
        <w:types>
          <w:type w:val="bbPlcHdr"/>
        </w:types>
        <w:behaviors>
          <w:behavior w:val="content"/>
        </w:behaviors>
        <w:guid w:val="{8DBC4FDD-999B-4A43-B928-75D3255FAF2C}"/>
      </w:docPartPr>
      <w:docPartBody>
        <w:p w:rsidR="006844FB" w:rsidRDefault="006844FB" w:rsidP="006844FB">
          <w:pPr>
            <w:pStyle w:val="EB89B63F41A54F61A47B4D5EECB50EBE"/>
          </w:pPr>
          <w:r w:rsidRPr="00746487">
            <w:rPr>
              <w:rStyle w:val="Zstupntext"/>
            </w:rPr>
            <w:t>[Heslo]</w:t>
          </w:r>
        </w:p>
      </w:docPartBody>
    </w:docPart>
    <w:docPart>
      <w:docPartPr>
        <w:name w:val="749C95A751BA43098B1122D0CF04280C"/>
        <w:category>
          <w:name w:val="Obecné"/>
          <w:gallery w:val="placeholder"/>
        </w:category>
        <w:types>
          <w:type w:val="bbPlcHdr"/>
        </w:types>
        <w:behaviors>
          <w:behavior w:val="content"/>
        </w:behaviors>
        <w:guid w:val="{F2589BA9-E813-45BC-924E-C958BD740EB1}"/>
      </w:docPartPr>
      <w:docPartBody>
        <w:p w:rsidR="006844FB" w:rsidRDefault="006844FB" w:rsidP="006844FB">
          <w:pPr>
            <w:pStyle w:val="749C95A751BA43098B1122D0CF04280C"/>
          </w:pPr>
          <w:r w:rsidRPr="00746487">
            <w:rPr>
              <w:rStyle w:val="Zstupntext"/>
            </w:rPr>
            <w:t>[Definice]</w:t>
          </w:r>
        </w:p>
      </w:docPartBody>
    </w:docPart>
    <w:docPart>
      <w:docPartPr>
        <w:name w:val="DFA975BD0D08471EBEEE9F68FD08C1CB"/>
        <w:category>
          <w:name w:val="Obecné"/>
          <w:gallery w:val="placeholder"/>
        </w:category>
        <w:types>
          <w:type w:val="bbPlcHdr"/>
        </w:types>
        <w:behaviors>
          <w:behavior w:val="content"/>
        </w:behaviors>
        <w:guid w:val="{FD336D2F-1221-4DEF-A9D4-4DF0D998A73F}"/>
      </w:docPartPr>
      <w:docPartBody>
        <w:p w:rsidR="006844FB" w:rsidRDefault="006844FB" w:rsidP="006844FB">
          <w:pPr>
            <w:pStyle w:val="DFA975BD0D08471EBEEE9F68FD08C1CB"/>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142EC234E94F4557ABDB7842D48F62CF"/>
        <w:category>
          <w:name w:val="Obecné"/>
          <w:gallery w:val="placeholder"/>
        </w:category>
        <w:types>
          <w:type w:val="bbPlcHdr"/>
        </w:types>
        <w:behaviors>
          <w:behavior w:val="content"/>
        </w:behaviors>
        <w:guid w:val="{21FEB8B9-F121-404B-A4C5-20A6B21BB080}"/>
      </w:docPartPr>
      <w:docPartBody>
        <w:p w:rsidR="006844FB" w:rsidRDefault="006844FB" w:rsidP="006844FB">
          <w:pPr>
            <w:pStyle w:val="142EC234E94F4557ABDB7842D48F62CF"/>
          </w:pPr>
          <w:r w:rsidRPr="00746487">
            <w:rPr>
              <w:rStyle w:val="Zstupntext"/>
            </w:rPr>
            <w:t>[Heslo]</w:t>
          </w:r>
        </w:p>
      </w:docPartBody>
    </w:docPart>
    <w:docPart>
      <w:docPartPr>
        <w:name w:val="B70C0E4164B24980AF19D5B7F8ADFBA7"/>
        <w:category>
          <w:name w:val="Obecné"/>
          <w:gallery w:val="placeholder"/>
        </w:category>
        <w:types>
          <w:type w:val="bbPlcHdr"/>
        </w:types>
        <w:behaviors>
          <w:behavior w:val="content"/>
        </w:behaviors>
        <w:guid w:val="{C9016239-120C-475C-8F90-B6F7FC717FB5}"/>
      </w:docPartPr>
      <w:docPartBody>
        <w:p w:rsidR="006844FB" w:rsidRDefault="006844FB" w:rsidP="006844FB">
          <w:pPr>
            <w:pStyle w:val="B70C0E4164B24980AF19D5B7F8ADFBA7"/>
          </w:pPr>
          <w:r w:rsidRPr="00746487">
            <w:rPr>
              <w:rStyle w:val="Zstupntext"/>
            </w:rPr>
            <w:t>[Definice]</w:t>
          </w:r>
        </w:p>
      </w:docPartBody>
    </w:docPart>
    <w:docPart>
      <w:docPartPr>
        <w:name w:val="9AF3A2CEAAF7484184714137D6FDEDCC"/>
        <w:category>
          <w:name w:val="Obecné"/>
          <w:gallery w:val="placeholder"/>
        </w:category>
        <w:types>
          <w:type w:val="bbPlcHdr"/>
        </w:types>
        <w:behaviors>
          <w:behavior w:val="content"/>
        </w:behaviors>
        <w:guid w:val="{A1F4AE42-A682-481E-B86C-F18E6F7B36EA}"/>
      </w:docPartPr>
      <w:docPartBody>
        <w:p w:rsidR="006844FB" w:rsidRDefault="006844FB" w:rsidP="006844FB">
          <w:pPr>
            <w:pStyle w:val="9AF3A2CEAAF7484184714137D6FDEDCC"/>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254DF4CE14446C8BE4EFDA7E848F6C3"/>
        <w:category>
          <w:name w:val="Obecné"/>
          <w:gallery w:val="placeholder"/>
        </w:category>
        <w:types>
          <w:type w:val="bbPlcHdr"/>
        </w:types>
        <w:behaviors>
          <w:behavior w:val="content"/>
        </w:behaviors>
        <w:guid w:val="{1795DFC9-1208-4371-98F5-150DBA1D5A36}"/>
      </w:docPartPr>
      <w:docPartBody>
        <w:p w:rsidR="006844FB" w:rsidRDefault="006844FB" w:rsidP="006844FB">
          <w:pPr>
            <w:pStyle w:val="E254DF4CE14446C8BE4EFDA7E848F6C3"/>
          </w:pPr>
          <w:r w:rsidRPr="00746487">
            <w:rPr>
              <w:rStyle w:val="Zstupntext"/>
            </w:rPr>
            <w:t>[Heslo]</w:t>
          </w:r>
        </w:p>
      </w:docPartBody>
    </w:docPart>
    <w:docPart>
      <w:docPartPr>
        <w:name w:val="A3578BD131A84B9488D3D73BFA3B1A7C"/>
        <w:category>
          <w:name w:val="Obecné"/>
          <w:gallery w:val="placeholder"/>
        </w:category>
        <w:types>
          <w:type w:val="bbPlcHdr"/>
        </w:types>
        <w:behaviors>
          <w:behavior w:val="content"/>
        </w:behaviors>
        <w:guid w:val="{FBD15A61-0BD5-492A-8F80-5DFDF141A666}"/>
      </w:docPartPr>
      <w:docPartBody>
        <w:p w:rsidR="006844FB" w:rsidRDefault="006844FB" w:rsidP="006844FB">
          <w:pPr>
            <w:pStyle w:val="A3578BD131A84B9488D3D73BFA3B1A7C"/>
          </w:pPr>
          <w:r w:rsidRPr="00746487">
            <w:rPr>
              <w:rStyle w:val="Zstupntext"/>
            </w:rPr>
            <w:t>[Definice]</w:t>
          </w:r>
        </w:p>
      </w:docPartBody>
    </w:docPart>
    <w:docPart>
      <w:docPartPr>
        <w:name w:val="4F124B2F503E496C9922AA755B646323"/>
        <w:category>
          <w:name w:val="Obecné"/>
          <w:gallery w:val="placeholder"/>
        </w:category>
        <w:types>
          <w:type w:val="bbPlcHdr"/>
        </w:types>
        <w:behaviors>
          <w:behavior w:val="content"/>
        </w:behaviors>
        <w:guid w:val="{810E433A-E52B-425C-9481-717C58D56F26}"/>
      </w:docPartPr>
      <w:docPartBody>
        <w:p w:rsidR="006844FB" w:rsidRDefault="006844FB" w:rsidP="006844FB">
          <w:pPr>
            <w:pStyle w:val="4F124B2F503E496C9922AA755B646323"/>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C33B65C4DDC245149AE156740059234E"/>
        <w:category>
          <w:name w:val="Obecné"/>
          <w:gallery w:val="placeholder"/>
        </w:category>
        <w:types>
          <w:type w:val="bbPlcHdr"/>
        </w:types>
        <w:behaviors>
          <w:behavior w:val="content"/>
        </w:behaviors>
        <w:guid w:val="{777E6F67-9F65-4A54-B477-3B3332CEA78A}"/>
      </w:docPartPr>
      <w:docPartBody>
        <w:p w:rsidR="006844FB" w:rsidRDefault="006844FB" w:rsidP="006844FB">
          <w:pPr>
            <w:pStyle w:val="C33B65C4DDC245149AE156740059234E"/>
          </w:pPr>
          <w:r w:rsidRPr="00746487">
            <w:rPr>
              <w:rStyle w:val="Zstupntext"/>
            </w:rPr>
            <w:t>[Heslo]</w:t>
          </w:r>
        </w:p>
      </w:docPartBody>
    </w:docPart>
    <w:docPart>
      <w:docPartPr>
        <w:name w:val="0E641DFFDEBF4C838F34751FDA5A6A8A"/>
        <w:category>
          <w:name w:val="Obecné"/>
          <w:gallery w:val="placeholder"/>
        </w:category>
        <w:types>
          <w:type w:val="bbPlcHdr"/>
        </w:types>
        <w:behaviors>
          <w:behavior w:val="content"/>
        </w:behaviors>
        <w:guid w:val="{8A5ED2AD-F2D7-4AA5-B573-3777A81CFC3C}"/>
      </w:docPartPr>
      <w:docPartBody>
        <w:p w:rsidR="006844FB" w:rsidRDefault="006844FB" w:rsidP="006844FB">
          <w:pPr>
            <w:pStyle w:val="0E641DFFDEBF4C838F34751FDA5A6A8A"/>
          </w:pPr>
          <w:r w:rsidRPr="00746487">
            <w:rPr>
              <w:rStyle w:val="Zstupntext"/>
            </w:rPr>
            <w:t>[Definice]</w:t>
          </w:r>
        </w:p>
      </w:docPartBody>
    </w:docPart>
    <w:docPart>
      <w:docPartPr>
        <w:name w:val="D88B9DB9BA894FBCB8F8FD4D7F81C173"/>
        <w:category>
          <w:name w:val="Obecné"/>
          <w:gallery w:val="placeholder"/>
        </w:category>
        <w:types>
          <w:type w:val="bbPlcHdr"/>
        </w:types>
        <w:behaviors>
          <w:behavior w:val="content"/>
        </w:behaviors>
        <w:guid w:val="{78A8D59A-4F83-4A96-85AD-469A1BD25DA6}"/>
      </w:docPartPr>
      <w:docPartBody>
        <w:p w:rsidR="006844FB" w:rsidRDefault="006844FB" w:rsidP="006844FB">
          <w:pPr>
            <w:pStyle w:val="D88B9DB9BA894FBCB8F8FD4D7F81C173"/>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DEB0D935CF8048B08D59C3A48E0206D7"/>
        <w:category>
          <w:name w:val="Obecné"/>
          <w:gallery w:val="placeholder"/>
        </w:category>
        <w:types>
          <w:type w:val="bbPlcHdr"/>
        </w:types>
        <w:behaviors>
          <w:behavior w:val="content"/>
        </w:behaviors>
        <w:guid w:val="{B25A7F70-8A25-410C-A884-4C7E933C60F1}"/>
      </w:docPartPr>
      <w:docPartBody>
        <w:p w:rsidR="006844FB" w:rsidRDefault="006844FB" w:rsidP="006844FB">
          <w:pPr>
            <w:pStyle w:val="DEB0D935CF8048B08D59C3A48E0206D7"/>
          </w:pPr>
          <w:r w:rsidRPr="00746487">
            <w:rPr>
              <w:rStyle w:val="Zstupntext"/>
            </w:rPr>
            <w:t>[Heslo]</w:t>
          </w:r>
        </w:p>
      </w:docPartBody>
    </w:docPart>
    <w:docPart>
      <w:docPartPr>
        <w:name w:val="8FEADF61227644D0A37CC73F88474670"/>
        <w:category>
          <w:name w:val="Obecné"/>
          <w:gallery w:val="placeholder"/>
        </w:category>
        <w:types>
          <w:type w:val="bbPlcHdr"/>
        </w:types>
        <w:behaviors>
          <w:behavior w:val="content"/>
        </w:behaviors>
        <w:guid w:val="{FEFB15DB-2439-4C90-AA10-67724D32CEF5}"/>
      </w:docPartPr>
      <w:docPartBody>
        <w:p w:rsidR="006844FB" w:rsidRDefault="006844FB" w:rsidP="006844FB">
          <w:pPr>
            <w:pStyle w:val="8FEADF61227644D0A37CC73F88474670"/>
          </w:pPr>
          <w:r w:rsidRPr="00746487">
            <w:rPr>
              <w:rStyle w:val="Zstupntext"/>
            </w:rPr>
            <w:t>[Definice]</w:t>
          </w:r>
        </w:p>
      </w:docPartBody>
    </w:docPart>
    <w:docPart>
      <w:docPartPr>
        <w:name w:val="1C949DD9C6344BB1BAD350EAE4D6AF7E"/>
        <w:category>
          <w:name w:val="Obecné"/>
          <w:gallery w:val="placeholder"/>
        </w:category>
        <w:types>
          <w:type w:val="bbPlcHdr"/>
        </w:types>
        <w:behaviors>
          <w:behavior w:val="content"/>
        </w:behaviors>
        <w:guid w:val="{D9D2BD51-A054-4101-8617-5BD09352552B}"/>
      </w:docPartPr>
      <w:docPartBody>
        <w:p w:rsidR="006844FB" w:rsidRDefault="006844FB" w:rsidP="006844FB">
          <w:pPr>
            <w:pStyle w:val="1C949DD9C6344BB1BAD350EAE4D6AF7E"/>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7AE964AF92143F5A75D147113848869"/>
        <w:category>
          <w:name w:val="Obecné"/>
          <w:gallery w:val="placeholder"/>
        </w:category>
        <w:types>
          <w:type w:val="bbPlcHdr"/>
        </w:types>
        <w:behaviors>
          <w:behavior w:val="content"/>
        </w:behaviors>
        <w:guid w:val="{F653C820-9F70-4C1B-A2F3-598BE88BFECB}"/>
      </w:docPartPr>
      <w:docPartBody>
        <w:p w:rsidR="006844FB" w:rsidRDefault="006844FB" w:rsidP="006844FB">
          <w:pPr>
            <w:pStyle w:val="E7AE964AF92143F5A75D147113848869"/>
          </w:pPr>
          <w:r w:rsidRPr="00746487">
            <w:rPr>
              <w:rStyle w:val="Zstupntext"/>
            </w:rPr>
            <w:t>[Heslo]</w:t>
          </w:r>
        </w:p>
      </w:docPartBody>
    </w:docPart>
    <w:docPart>
      <w:docPartPr>
        <w:name w:val="E97CC45E9B5F4F04A323EA9A62AF5E5E"/>
        <w:category>
          <w:name w:val="Obecné"/>
          <w:gallery w:val="placeholder"/>
        </w:category>
        <w:types>
          <w:type w:val="bbPlcHdr"/>
        </w:types>
        <w:behaviors>
          <w:behavior w:val="content"/>
        </w:behaviors>
        <w:guid w:val="{02042EBF-F35A-4F03-B1B3-26C853CA06CC}"/>
      </w:docPartPr>
      <w:docPartBody>
        <w:p w:rsidR="006844FB" w:rsidRDefault="006844FB" w:rsidP="006844FB">
          <w:pPr>
            <w:pStyle w:val="E97CC45E9B5F4F04A323EA9A62AF5E5E"/>
          </w:pPr>
          <w:r w:rsidRPr="00746487">
            <w:rPr>
              <w:rStyle w:val="Zstupntext"/>
            </w:rPr>
            <w:t>[Definice]</w:t>
          </w:r>
        </w:p>
      </w:docPartBody>
    </w:docPart>
    <w:docPart>
      <w:docPartPr>
        <w:name w:val="18686B9B78CE476D92021B08287CF879"/>
        <w:category>
          <w:name w:val="Obecné"/>
          <w:gallery w:val="placeholder"/>
        </w:category>
        <w:types>
          <w:type w:val="bbPlcHdr"/>
        </w:types>
        <w:behaviors>
          <w:behavior w:val="content"/>
        </w:behaviors>
        <w:guid w:val="{F13654D9-1B63-4EB7-98E3-E07FDD9C007D}"/>
      </w:docPartPr>
      <w:docPartBody>
        <w:p w:rsidR="006844FB" w:rsidRDefault="006844FB" w:rsidP="006844FB">
          <w:pPr>
            <w:pStyle w:val="18686B9B78CE476D92021B08287CF879"/>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EDD97D10BC2943E6B7E3D60D695AC4CA"/>
        <w:category>
          <w:name w:val="Obecné"/>
          <w:gallery w:val="placeholder"/>
        </w:category>
        <w:types>
          <w:type w:val="bbPlcHdr"/>
        </w:types>
        <w:behaviors>
          <w:behavior w:val="content"/>
        </w:behaviors>
        <w:guid w:val="{22EF062A-9277-431F-B673-F5166E2F91E0}"/>
      </w:docPartPr>
      <w:docPartBody>
        <w:p w:rsidR="006844FB" w:rsidRDefault="006844FB" w:rsidP="006844FB">
          <w:pPr>
            <w:pStyle w:val="EDD97D10BC2943E6B7E3D60D695AC4CA"/>
          </w:pPr>
          <w:r w:rsidRPr="00746487">
            <w:rPr>
              <w:rStyle w:val="Zstupntext"/>
            </w:rPr>
            <w:t>[Heslo]</w:t>
          </w:r>
        </w:p>
      </w:docPartBody>
    </w:docPart>
    <w:docPart>
      <w:docPartPr>
        <w:name w:val="D6C70D90604847BA89DF4B74048195E4"/>
        <w:category>
          <w:name w:val="Obecné"/>
          <w:gallery w:val="placeholder"/>
        </w:category>
        <w:types>
          <w:type w:val="bbPlcHdr"/>
        </w:types>
        <w:behaviors>
          <w:behavior w:val="content"/>
        </w:behaviors>
        <w:guid w:val="{BE86F6E0-3411-4C61-A0C6-15C680274639}"/>
      </w:docPartPr>
      <w:docPartBody>
        <w:p w:rsidR="006844FB" w:rsidRDefault="006844FB" w:rsidP="006844FB">
          <w:pPr>
            <w:pStyle w:val="D6C70D90604847BA89DF4B74048195E4"/>
          </w:pPr>
          <w:r w:rsidRPr="00746487">
            <w:rPr>
              <w:rStyle w:val="Zstupntext"/>
            </w:rPr>
            <w:t>[Definice]</w:t>
          </w:r>
        </w:p>
      </w:docPartBody>
    </w:docPart>
    <w:docPart>
      <w:docPartPr>
        <w:name w:val="15B2549E8BD74CACBAEF40A0BB2CFB9B"/>
        <w:category>
          <w:name w:val="Obecné"/>
          <w:gallery w:val="placeholder"/>
        </w:category>
        <w:types>
          <w:type w:val="bbPlcHdr"/>
        </w:types>
        <w:behaviors>
          <w:behavior w:val="content"/>
        </w:behaviors>
        <w:guid w:val="{29C3A493-23FB-4F7B-8CED-C1DCBDC3730F}"/>
      </w:docPartPr>
      <w:docPartBody>
        <w:p w:rsidR="006844FB" w:rsidRDefault="006844FB" w:rsidP="006844FB">
          <w:pPr>
            <w:pStyle w:val="15B2549E8BD74CACBAEF40A0BB2CFB9B"/>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3BF4CDD5319045EBBAC725A566454717"/>
        <w:category>
          <w:name w:val="Obecné"/>
          <w:gallery w:val="placeholder"/>
        </w:category>
        <w:types>
          <w:type w:val="bbPlcHdr"/>
        </w:types>
        <w:behaviors>
          <w:behavior w:val="content"/>
        </w:behaviors>
        <w:guid w:val="{9031A81C-A755-40CE-8A9B-DF68604DA8BA}"/>
      </w:docPartPr>
      <w:docPartBody>
        <w:p w:rsidR="006844FB" w:rsidRDefault="006844FB" w:rsidP="006844FB">
          <w:pPr>
            <w:pStyle w:val="3BF4CDD5319045EBBAC725A566454717"/>
          </w:pPr>
          <w:r w:rsidRPr="00746487">
            <w:rPr>
              <w:rStyle w:val="Zstupntext"/>
            </w:rPr>
            <w:t>[Heslo]</w:t>
          </w:r>
        </w:p>
      </w:docPartBody>
    </w:docPart>
    <w:docPart>
      <w:docPartPr>
        <w:name w:val="2F84A49903B0475788D07BE9925F06B0"/>
        <w:category>
          <w:name w:val="Obecné"/>
          <w:gallery w:val="placeholder"/>
        </w:category>
        <w:types>
          <w:type w:val="bbPlcHdr"/>
        </w:types>
        <w:behaviors>
          <w:behavior w:val="content"/>
        </w:behaviors>
        <w:guid w:val="{9044E5CC-43C0-40C7-8A1D-014C3671826F}"/>
      </w:docPartPr>
      <w:docPartBody>
        <w:p w:rsidR="006844FB" w:rsidRDefault="006844FB" w:rsidP="006844FB">
          <w:pPr>
            <w:pStyle w:val="2F84A49903B0475788D07BE9925F06B0"/>
          </w:pPr>
          <w:r w:rsidRPr="00746487">
            <w:rPr>
              <w:rStyle w:val="Zstupntext"/>
            </w:rPr>
            <w:t>[Definice]</w:t>
          </w:r>
        </w:p>
      </w:docPartBody>
    </w:docPart>
    <w:docPart>
      <w:docPartPr>
        <w:name w:val="41CEC81C9AB44B0EA5A452C1F0C08EC3"/>
        <w:category>
          <w:name w:val="Obecné"/>
          <w:gallery w:val="placeholder"/>
        </w:category>
        <w:types>
          <w:type w:val="bbPlcHdr"/>
        </w:types>
        <w:behaviors>
          <w:behavior w:val="content"/>
        </w:behaviors>
        <w:guid w:val="{2DE20A0E-253F-40EF-8EE9-58943CB785D1}"/>
      </w:docPartPr>
      <w:docPartBody>
        <w:p w:rsidR="006844FB" w:rsidRDefault="006844FB" w:rsidP="006844FB">
          <w:pPr>
            <w:pStyle w:val="41CEC81C9AB44B0EA5A452C1F0C08EC3"/>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67CDD69804C047708E16AED9EB4D7EE4"/>
        <w:category>
          <w:name w:val="Obecné"/>
          <w:gallery w:val="placeholder"/>
        </w:category>
        <w:types>
          <w:type w:val="bbPlcHdr"/>
        </w:types>
        <w:behaviors>
          <w:behavior w:val="content"/>
        </w:behaviors>
        <w:guid w:val="{BBCAADBF-58CC-4C8D-A45C-1430DD2AE041}"/>
      </w:docPartPr>
      <w:docPartBody>
        <w:p w:rsidR="006844FB" w:rsidRDefault="006844FB" w:rsidP="006844FB">
          <w:pPr>
            <w:pStyle w:val="67CDD69804C047708E16AED9EB4D7EE4"/>
          </w:pPr>
          <w:r w:rsidRPr="00746487">
            <w:rPr>
              <w:rStyle w:val="Zstupntext"/>
            </w:rPr>
            <w:t>[Heslo]</w:t>
          </w:r>
        </w:p>
      </w:docPartBody>
    </w:docPart>
    <w:docPart>
      <w:docPartPr>
        <w:name w:val="B1FB1D985EA6471781F0B1C1D569F48F"/>
        <w:category>
          <w:name w:val="Obecné"/>
          <w:gallery w:val="placeholder"/>
        </w:category>
        <w:types>
          <w:type w:val="bbPlcHdr"/>
        </w:types>
        <w:behaviors>
          <w:behavior w:val="content"/>
        </w:behaviors>
        <w:guid w:val="{2152854A-6E6D-44A8-A958-92BAB5C21008}"/>
      </w:docPartPr>
      <w:docPartBody>
        <w:p w:rsidR="006844FB" w:rsidRDefault="006844FB" w:rsidP="006844FB">
          <w:pPr>
            <w:pStyle w:val="B1FB1D985EA6471781F0B1C1D569F48F"/>
          </w:pPr>
          <w:r w:rsidRPr="00746487">
            <w:rPr>
              <w:rStyle w:val="Zstupntext"/>
            </w:rPr>
            <w:t>[Definice]</w:t>
          </w:r>
        </w:p>
      </w:docPartBody>
    </w:docPart>
    <w:docPart>
      <w:docPartPr>
        <w:name w:val="B2D79ADF5B3247689991E95B63993ED2"/>
        <w:category>
          <w:name w:val="Obecné"/>
          <w:gallery w:val="placeholder"/>
        </w:category>
        <w:types>
          <w:type w:val="bbPlcHdr"/>
        </w:types>
        <w:behaviors>
          <w:behavior w:val="content"/>
        </w:behaviors>
        <w:guid w:val="{DB8C0F91-DA2B-44F0-830F-8A8D923BD99D}"/>
      </w:docPartPr>
      <w:docPartBody>
        <w:p w:rsidR="006844FB" w:rsidRDefault="006844FB" w:rsidP="006844FB">
          <w:pPr>
            <w:pStyle w:val="B2D79ADF5B3247689991E95B63993ED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FE1C6AA9525C43E5B9BBC40F1E7BD977"/>
        <w:category>
          <w:name w:val="Obecné"/>
          <w:gallery w:val="placeholder"/>
        </w:category>
        <w:types>
          <w:type w:val="bbPlcHdr"/>
        </w:types>
        <w:behaviors>
          <w:behavior w:val="content"/>
        </w:behaviors>
        <w:guid w:val="{91D4ADE9-106E-45D9-A272-0C2C782E67EC}"/>
      </w:docPartPr>
      <w:docPartBody>
        <w:p w:rsidR="006844FB" w:rsidRDefault="006844FB" w:rsidP="006844FB">
          <w:pPr>
            <w:pStyle w:val="FE1C6AA9525C43E5B9BBC40F1E7BD977"/>
          </w:pPr>
          <w:r w:rsidRPr="00746487">
            <w:rPr>
              <w:rStyle w:val="Zstupntext"/>
            </w:rPr>
            <w:t>[Heslo]</w:t>
          </w:r>
        </w:p>
      </w:docPartBody>
    </w:docPart>
    <w:docPart>
      <w:docPartPr>
        <w:name w:val="3FC8B8AF47F34681A3302FE3AE1869C1"/>
        <w:category>
          <w:name w:val="Obecné"/>
          <w:gallery w:val="placeholder"/>
        </w:category>
        <w:types>
          <w:type w:val="bbPlcHdr"/>
        </w:types>
        <w:behaviors>
          <w:behavior w:val="content"/>
        </w:behaviors>
        <w:guid w:val="{3ADC98BA-BAFD-44B4-8629-9569C8562285}"/>
      </w:docPartPr>
      <w:docPartBody>
        <w:p w:rsidR="006844FB" w:rsidRDefault="006844FB" w:rsidP="006844FB">
          <w:pPr>
            <w:pStyle w:val="3FC8B8AF47F34681A3302FE3AE1869C1"/>
          </w:pPr>
          <w:r w:rsidRPr="00746487">
            <w:rPr>
              <w:rStyle w:val="Zstupntext"/>
            </w:rPr>
            <w:t>[Definice]</w:t>
          </w:r>
        </w:p>
      </w:docPartBody>
    </w:docPart>
    <w:docPart>
      <w:docPartPr>
        <w:name w:val="2ACD2767E5FC4D1C9E950B7E885F49B4"/>
        <w:category>
          <w:name w:val="Obecné"/>
          <w:gallery w:val="placeholder"/>
        </w:category>
        <w:types>
          <w:type w:val="bbPlcHdr"/>
        </w:types>
        <w:behaviors>
          <w:behavior w:val="content"/>
        </w:behaviors>
        <w:guid w:val="{ACFF8868-E9D8-4B74-B166-38E77FD6CCED}"/>
      </w:docPartPr>
      <w:docPartBody>
        <w:p w:rsidR="006844FB" w:rsidRDefault="006844FB" w:rsidP="006844FB">
          <w:pPr>
            <w:pStyle w:val="2ACD2767E5FC4D1C9E950B7E885F49B4"/>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6368E672A0DD45E285BDCCAA6FB317BB"/>
        <w:category>
          <w:name w:val="Obecné"/>
          <w:gallery w:val="placeholder"/>
        </w:category>
        <w:types>
          <w:type w:val="bbPlcHdr"/>
        </w:types>
        <w:behaviors>
          <w:behavior w:val="content"/>
        </w:behaviors>
        <w:guid w:val="{550C7827-A0E2-464E-A52D-2EFE0D31FDCA}"/>
      </w:docPartPr>
      <w:docPartBody>
        <w:p w:rsidR="006844FB" w:rsidRDefault="006844FB" w:rsidP="006844FB">
          <w:pPr>
            <w:pStyle w:val="6368E672A0DD45E285BDCCAA6FB317BB"/>
          </w:pPr>
          <w:r w:rsidRPr="00746487">
            <w:rPr>
              <w:rStyle w:val="Zstupntext"/>
            </w:rPr>
            <w:t>[Heslo]</w:t>
          </w:r>
        </w:p>
      </w:docPartBody>
    </w:docPart>
    <w:docPart>
      <w:docPartPr>
        <w:name w:val="56273C8C1C3945A494A8D893725ED9BF"/>
        <w:category>
          <w:name w:val="Obecné"/>
          <w:gallery w:val="placeholder"/>
        </w:category>
        <w:types>
          <w:type w:val="bbPlcHdr"/>
        </w:types>
        <w:behaviors>
          <w:behavior w:val="content"/>
        </w:behaviors>
        <w:guid w:val="{4BE6CCF0-2901-4B35-A9D6-931E8AB88012}"/>
      </w:docPartPr>
      <w:docPartBody>
        <w:p w:rsidR="006844FB" w:rsidRDefault="006844FB" w:rsidP="006844FB">
          <w:pPr>
            <w:pStyle w:val="56273C8C1C3945A494A8D893725ED9BF"/>
          </w:pPr>
          <w:r w:rsidRPr="00746487">
            <w:rPr>
              <w:rStyle w:val="Zstupntext"/>
            </w:rPr>
            <w:t>[Definice]</w:t>
          </w:r>
        </w:p>
      </w:docPartBody>
    </w:docPart>
    <w:docPart>
      <w:docPartPr>
        <w:name w:val="475F83B89651473DB7FFC66F800BAD28"/>
        <w:category>
          <w:name w:val="Obecné"/>
          <w:gallery w:val="placeholder"/>
        </w:category>
        <w:types>
          <w:type w:val="bbPlcHdr"/>
        </w:types>
        <w:behaviors>
          <w:behavior w:val="content"/>
        </w:behaviors>
        <w:guid w:val="{E9C1808E-9AE4-44F2-ACBA-34546829382B}"/>
      </w:docPartPr>
      <w:docPartBody>
        <w:p w:rsidR="006844FB" w:rsidRDefault="006844FB" w:rsidP="006844FB">
          <w:pPr>
            <w:pStyle w:val="475F83B89651473DB7FFC66F800BAD28"/>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CD3FAFD29C6465D810FE7C2F06830D5"/>
        <w:category>
          <w:name w:val="Obecné"/>
          <w:gallery w:val="placeholder"/>
        </w:category>
        <w:types>
          <w:type w:val="bbPlcHdr"/>
        </w:types>
        <w:behaviors>
          <w:behavior w:val="content"/>
        </w:behaviors>
        <w:guid w:val="{E501BF9E-8122-4A1C-AC1C-B77A16A6EBBF}"/>
      </w:docPartPr>
      <w:docPartBody>
        <w:p w:rsidR="006844FB" w:rsidRDefault="006844FB" w:rsidP="006844FB">
          <w:pPr>
            <w:pStyle w:val="2CD3FAFD29C6465D810FE7C2F06830D5"/>
          </w:pPr>
          <w:r w:rsidRPr="00746487">
            <w:rPr>
              <w:rStyle w:val="Zstupntext"/>
            </w:rPr>
            <w:t>[Heslo]</w:t>
          </w:r>
        </w:p>
      </w:docPartBody>
    </w:docPart>
    <w:docPart>
      <w:docPartPr>
        <w:name w:val="D3BCC7D00E6D433C97E1A44BB3AB4EE4"/>
        <w:category>
          <w:name w:val="Obecné"/>
          <w:gallery w:val="placeholder"/>
        </w:category>
        <w:types>
          <w:type w:val="bbPlcHdr"/>
        </w:types>
        <w:behaviors>
          <w:behavior w:val="content"/>
        </w:behaviors>
        <w:guid w:val="{DD0C6756-B967-4E5B-81F0-B118EA8C46CD}"/>
      </w:docPartPr>
      <w:docPartBody>
        <w:p w:rsidR="006844FB" w:rsidRDefault="006844FB" w:rsidP="006844FB">
          <w:pPr>
            <w:pStyle w:val="D3BCC7D00E6D433C97E1A44BB3AB4EE4"/>
          </w:pPr>
          <w:r w:rsidRPr="00746487">
            <w:rPr>
              <w:rStyle w:val="Zstupntext"/>
            </w:rPr>
            <w:t>[Definice]</w:t>
          </w:r>
        </w:p>
      </w:docPartBody>
    </w:docPart>
    <w:docPart>
      <w:docPartPr>
        <w:name w:val="F7E27AD184FA40E59F35755EAE01226D"/>
        <w:category>
          <w:name w:val="Obecné"/>
          <w:gallery w:val="placeholder"/>
        </w:category>
        <w:types>
          <w:type w:val="bbPlcHdr"/>
        </w:types>
        <w:behaviors>
          <w:behavior w:val="content"/>
        </w:behaviors>
        <w:guid w:val="{1ECED67E-2B23-4D11-9BF2-E76094B3DDF7}"/>
      </w:docPartPr>
      <w:docPartBody>
        <w:p w:rsidR="006844FB" w:rsidRDefault="006844FB" w:rsidP="006844FB">
          <w:pPr>
            <w:pStyle w:val="F7E27AD184FA40E59F35755EAE01226D"/>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A7FC1F47CBD742C297D6A0BDF61A22F7"/>
        <w:category>
          <w:name w:val="Obecné"/>
          <w:gallery w:val="placeholder"/>
        </w:category>
        <w:types>
          <w:type w:val="bbPlcHdr"/>
        </w:types>
        <w:behaviors>
          <w:behavior w:val="content"/>
        </w:behaviors>
        <w:guid w:val="{756296FA-DB05-494A-8451-04CC1E1FD562}"/>
      </w:docPartPr>
      <w:docPartBody>
        <w:p w:rsidR="006844FB" w:rsidRDefault="006844FB" w:rsidP="006844FB">
          <w:pPr>
            <w:pStyle w:val="A7FC1F47CBD742C297D6A0BDF61A22F7"/>
          </w:pPr>
          <w:r w:rsidRPr="00746487">
            <w:rPr>
              <w:rStyle w:val="Zstupntext"/>
            </w:rPr>
            <w:t>[Heslo]</w:t>
          </w:r>
        </w:p>
      </w:docPartBody>
    </w:docPart>
    <w:docPart>
      <w:docPartPr>
        <w:name w:val="22EFDC4D2D02458A932D60963DA7E05B"/>
        <w:category>
          <w:name w:val="Obecné"/>
          <w:gallery w:val="placeholder"/>
        </w:category>
        <w:types>
          <w:type w:val="bbPlcHdr"/>
        </w:types>
        <w:behaviors>
          <w:behavior w:val="content"/>
        </w:behaviors>
        <w:guid w:val="{0635B76D-2AFE-41DA-AA9B-EA68422E5986}"/>
      </w:docPartPr>
      <w:docPartBody>
        <w:p w:rsidR="006844FB" w:rsidRDefault="006844FB" w:rsidP="006844FB">
          <w:pPr>
            <w:pStyle w:val="22EFDC4D2D02458A932D60963DA7E05B"/>
          </w:pPr>
          <w:r w:rsidRPr="00746487">
            <w:rPr>
              <w:rStyle w:val="Zstupntext"/>
            </w:rPr>
            <w:t>[Definice]</w:t>
          </w:r>
        </w:p>
      </w:docPartBody>
    </w:docPart>
    <w:docPart>
      <w:docPartPr>
        <w:name w:val="2552DFD31B244BE9B523B5EE988D8F9B"/>
        <w:category>
          <w:name w:val="Obecné"/>
          <w:gallery w:val="placeholder"/>
        </w:category>
        <w:types>
          <w:type w:val="bbPlcHdr"/>
        </w:types>
        <w:behaviors>
          <w:behavior w:val="content"/>
        </w:behaviors>
        <w:guid w:val="{FF06B153-FAA8-4400-9ED6-1E252E7D9ECC}"/>
      </w:docPartPr>
      <w:docPartBody>
        <w:p w:rsidR="006844FB" w:rsidRDefault="006844FB" w:rsidP="006844FB">
          <w:pPr>
            <w:pStyle w:val="2552DFD31B244BE9B523B5EE988D8F9B"/>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18892C22F734BE286EDDDC65D01F6AA"/>
        <w:category>
          <w:name w:val="Obecné"/>
          <w:gallery w:val="placeholder"/>
        </w:category>
        <w:types>
          <w:type w:val="bbPlcHdr"/>
        </w:types>
        <w:behaviors>
          <w:behavior w:val="content"/>
        </w:behaviors>
        <w:guid w:val="{2912B62E-1BAB-4F42-BCAB-E21BFF4A9E58}"/>
      </w:docPartPr>
      <w:docPartBody>
        <w:p w:rsidR="006844FB" w:rsidRDefault="006844FB" w:rsidP="006844FB">
          <w:pPr>
            <w:pStyle w:val="418892C22F734BE286EDDDC65D01F6AA"/>
          </w:pPr>
          <w:r w:rsidRPr="00746487">
            <w:rPr>
              <w:rStyle w:val="Zstupntext"/>
            </w:rPr>
            <w:t>[Heslo]</w:t>
          </w:r>
        </w:p>
      </w:docPartBody>
    </w:docPart>
    <w:docPart>
      <w:docPartPr>
        <w:name w:val="5D67AAF588A04F6491160ADD875A34D4"/>
        <w:category>
          <w:name w:val="Obecné"/>
          <w:gallery w:val="placeholder"/>
        </w:category>
        <w:types>
          <w:type w:val="bbPlcHdr"/>
        </w:types>
        <w:behaviors>
          <w:behavior w:val="content"/>
        </w:behaviors>
        <w:guid w:val="{3DE3A854-E75E-4DD9-81DC-357D52D52B9B}"/>
      </w:docPartPr>
      <w:docPartBody>
        <w:p w:rsidR="006844FB" w:rsidRDefault="006844FB" w:rsidP="006844FB">
          <w:pPr>
            <w:pStyle w:val="5D67AAF588A04F6491160ADD875A34D4"/>
          </w:pPr>
          <w:r w:rsidRPr="00746487">
            <w:rPr>
              <w:rStyle w:val="Zstupntext"/>
            </w:rPr>
            <w:t>[Definice]</w:t>
          </w:r>
        </w:p>
      </w:docPartBody>
    </w:docPart>
    <w:docPart>
      <w:docPartPr>
        <w:name w:val="1DCEBAE010A449BAA100ACA3C3358632"/>
        <w:category>
          <w:name w:val="Obecné"/>
          <w:gallery w:val="placeholder"/>
        </w:category>
        <w:types>
          <w:type w:val="bbPlcHdr"/>
        </w:types>
        <w:behaviors>
          <w:behavior w:val="content"/>
        </w:behaviors>
        <w:guid w:val="{41D4A202-27B4-4C94-9957-419DCC3D9243}"/>
      </w:docPartPr>
      <w:docPartBody>
        <w:p w:rsidR="006844FB" w:rsidRDefault="006844FB" w:rsidP="006844FB">
          <w:pPr>
            <w:pStyle w:val="1DCEBAE010A449BAA100ACA3C3358632"/>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25FAFC61EF1340B2A87EF9DFA128C093"/>
        <w:category>
          <w:name w:val="Obecné"/>
          <w:gallery w:val="placeholder"/>
        </w:category>
        <w:types>
          <w:type w:val="bbPlcHdr"/>
        </w:types>
        <w:behaviors>
          <w:behavior w:val="content"/>
        </w:behaviors>
        <w:guid w:val="{7F9C39A9-ABD6-4598-8533-E2C54FE76325}"/>
      </w:docPartPr>
      <w:docPartBody>
        <w:p w:rsidR="006844FB" w:rsidRDefault="006844FB" w:rsidP="006844FB">
          <w:pPr>
            <w:pStyle w:val="25FAFC61EF1340B2A87EF9DFA128C093"/>
          </w:pPr>
          <w:r w:rsidRPr="00746487">
            <w:rPr>
              <w:rStyle w:val="Zstupntext"/>
            </w:rPr>
            <w:t>[Heslo]</w:t>
          </w:r>
        </w:p>
      </w:docPartBody>
    </w:docPart>
    <w:docPart>
      <w:docPartPr>
        <w:name w:val="756F031B13C24154A15CAE1603EC502F"/>
        <w:category>
          <w:name w:val="Obecné"/>
          <w:gallery w:val="placeholder"/>
        </w:category>
        <w:types>
          <w:type w:val="bbPlcHdr"/>
        </w:types>
        <w:behaviors>
          <w:behavior w:val="content"/>
        </w:behaviors>
        <w:guid w:val="{B86AB23E-F67B-44BD-AC49-20A848DC5935}"/>
      </w:docPartPr>
      <w:docPartBody>
        <w:p w:rsidR="006844FB" w:rsidRDefault="006844FB" w:rsidP="006844FB">
          <w:pPr>
            <w:pStyle w:val="756F031B13C24154A15CAE1603EC502F"/>
          </w:pPr>
          <w:r w:rsidRPr="00746487">
            <w:rPr>
              <w:rStyle w:val="Zstupntext"/>
            </w:rPr>
            <w:t>[Definice]</w:t>
          </w:r>
        </w:p>
      </w:docPartBody>
    </w:docPart>
    <w:docPart>
      <w:docPartPr>
        <w:name w:val="99DB6736DE7E4D9B964ACA1957AA0D82"/>
        <w:category>
          <w:name w:val="Obecné"/>
          <w:gallery w:val="placeholder"/>
        </w:category>
        <w:types>
          <w:type w:val="bbPlcHdr"/>
        </w:types>
        <w:behaviors>
          <w:behavior w:val="content"/>
        </w:behaviors>
        <w:guid w:val="{BC277497-98BD-41DC-91C0-2DA09344452F}"/>
      </w:docPartPr>
      <w:docPartBody>
        <w:p w:rsidR="002930E7" w:rsidRDefault="006844FB" w:rsidP="006844FB">
          <w:pPr>
            <w:pStyle w:val="99DB6736DE7E4D9B964ACA1957AA0D82"/>
          </w:pPr>
          <w:r>
            <w:rPr>
              <w:rStyle w:val="Zstupntext"/>
              <w:lang w:val="en-US"/>
            </w:rPr>
            <w:t>[</w:t>
          </w:r>
          <w:r>
            <w:rPr>
              <w:rStyle w:val="Zstupntext"/>
            </w:rPr>
            <w:t>Název podkapitoly]</w:t>
          </w:r>
        </w:p>
      </w:docPartBody>
    </w:docPart>
    <w:docPart>
      <w:docPartPr>
        <w:name w:val="F4C7290E7A8843D28B43B239EF7BF671"/>
        <w:category>
          <w:name w:val="Obecné"/>
          <w:gallery w:val="placeholder"/>
        </w:category>
        <w:types>
          <w:type w:val="bbPlcHdr"/>
        </w:types>
        <w:behaviors>
          <w:behavior w:val="content"/>
        </w:behaviors>
        <w:guid w:val="{0076A9D5-6740-4605-A8C3-2435D4527FDF}"/>
      </w:docPartPr>
      <w:docPartBody>
        <w:p w:rsidR="002930E7" w:rsidRDefault="002930E7" w:rsidP="002930E7">
          <w:pPr>
            <w:pStyle w:val="F4C7290E7A8843D28B43B239EF7BF671"/>
          </w:pPr>
          <w:r>
            <w:rPr>
              <w:rStyle w:val="Zstupntext"/>
            </w:rPr>
            <w:t>Rok odevzdání práce</w:t>
          </w:r>
          <w:r w:rsidRPr="0025703C">
            <w:rPr>
              <w:rStyle w:val="Zstupntext"/>
            </w:rPr>
            <w:t>.</w:t>
          </w:r>
        </w:p>
      </w:docPartBody>
    </w:docPart>
    <w:docPart>
      <w:docPartPr>
        <w:name w:val="18A56CB413B44A9D8F707E6D73101EC6"/>
        <w:category>
          <w:name w:val="Obecné"/>
          <w:gallery w:val="placeholder"/>
        </w:category>
        <w:types>
          <w:type w:val="bbPlcHdr"/>
        </w:types>
        <w:behaviors>
          <w:behavior w:val="content"/>
        </w:behaviors>
        <w:guid w:val="{05CB89E1-3D79-4EDD-B6A3-71B5638FABB5}"/>
      </w:docPartPr>
      <w:docPartBody>
        <w:p w:rsidR="002930E7" w:rsidRDefault="002930E7" w:rsidP="002930E7">
          <w:pPr>
            <w:pStyle w:val="18A56CB413B44A9D8F707E6D73101EC6"/>
          </w:pPr>
          <w:r>
            <w:rPr>
              <w:rStyle w:val="Zstupntext"/>
            </w:rPr>
            <w:t>Rok odevzdání práce</w:t>
          </w:r>
          <w:r w:rsidRPr="0025703C">
            <w:rPr>
              <w:rStyle w:val="Zstupn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4FB"/>
    <w:rsid w:val="002930E7"/>
    <w:rsid w:val="005C4173"/>
    <w:rsid w:val="00684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930E7"/>
    <w:rPr>
      <w:color w:val="808080"/>
    </w:rPr>
  </w:style>
  <w:style w:type="paragraph" w:customStyle="1" w:styleId="A223F13ED43349BA9E8FFBC75F516302">
    <w:name w:val="A223F13ED43349BA9E8FFBC75F516302"/>
  </w:style>
  <w:style w:type="paragraph" w:customStyle="1" w:styleId="C9C5D857FA604480B51C624C21CA8E2A">
    <w:name w:val="C9C5D857FA604480B51C624C21CA8E2A"/>
  </w:style>
  <w:style w:type="paragraph" w:customStyle="1" w:styleId="2BABCA033EBC4976AE636FB63700FA9C">
    <w:name w:val="2BABCA033EBC4976AE636FB63700FA9C"/>
  </w:style>
  <w:style w:type="paragraph" w:customStyle="1" w:styleId="DD3EAB6E8691438FB5B66B466816478F">
    <w:name w:val="DD3EAB6E8691438FB5B66B466816478F"/>
  </w:style>
  <w:style w:type="paragraph" w:customStyle="1" w:styleId="5976A0EA76D249BA85291D7C9AD32714">
    <w:name w:val="5976A0EA76D249BA85291D7C9AD32714"/>
  </w:style>
  <w:style w:type="paragraph" w:customStyle="1" w:styleId="DC19F86771BF4E22A56C41E9F09A7451">
    <w:name w:val="DC19F86771BF4E22A56C41E9F09A7451"/>
  </w:style>
  <w:style w:type="paragraph" w:customStyle="1" w:styleId="2A6DBBF301DD4EDF9C625AE38E95E5AD">
    <w:name w:val="2A6DBBF301DD4EDF9C625AE38E95E5AD"/>
  </w:style>
  <w:style w:type="paragraph" w:customStyle="1" w:styleId="8BDC3E247A414E2FB4019C4469DD4A06">
    <w:name w:val="8BDC3E247A414E2FB4019C4469DD4A06"/>
  </w:style>
  <w:style w:type="paragraph" w:customStyle="1" w:styleId="1E25BCB6532A498085A6206208298C27">
    <w:name w:val="1E25BCB6532A498085A6206208298C27"/>
  </w:style>
  <w:style w:type="paragraph" w:customStyle="1" w:styleId="D8EC7FDA97A744A2A0E92B3B31C56358">
    <w:name w:val="D8EC7FDA97A744A2A0E92B3B31C56358"/>
  </w:style>
  <w:style w:type="paragraph" w:customStyle="1" w:styleId="C363C717AD5D4B928584C9EEC4CD0236">
    <w:name w:val="C363C717AD5D4B928584C9EEC4CD0236"/>
  </w:style>
  <w:style w:type="paragraph" w:customStyle="1" w:styleId="3DE0A0F29902430BB2EEE7B113DC314C">
    <w:name w:val="3DE0A0F29902430BB2EEE7B113DC314C"/>
  </w:style>
  <w:style w:type="paragraph" w:customStyle="1" w:styleId="9733C22C4319423DB584C863368ADC13">
    <w:name w:val="9733C22C4319423DB584C863368ADC13"/>
  </w:style>
  <w:style w:type="paragraph" w:customStyle="1" w:styleId="DB2D242449CD474DA5E9CBAA23E1BF7D">
    <w:name w:val="DB2D242449CD474DA5E9CBAA23E1BF7D"/>
  </w:style>
  <w:style w:type="paragraph" w:customStyle="1" w:styleId="AA7036C89E584EDEACF67CABE6DD328D">
    <w:name w:val="AA7036C89E584EDEACF67CABE6DD328D"/>
  </w:style>
  <w:style w:type="paragraph" w:customStyle="1" w:styleId="2F1528D1D79C49E2AB4DCFD62553E982">
    <w:name w:val="2F1528D1D79C49E2AB4DCFD62553E982"/>
  </w:style>
  <w:style w:type="paragraph" w:customStyle="1" w:styleId="878A577C026E4BF9A0E2629DD6CA92A5">
    <w:name w:val="878A577C026E4BF9A0E2629DD6CA92A5"/>
  </w:style>
  <w:style w:type="paragraph" w:customStyle="1" w:styleId="C8B5BE22735E483BA870DDA671DDD908">
    <w:name w:val="C8B5BE22735E483BA870DDA671DDD908"/>
  </w:style>
  <w:style w:type="paragraph" w:customStyle="1" w:styleId="69ADCC61B11B44E78832D6B0110E8FB9">
    <w:name w:val="69ADCC61B11B44E78832D6B0110E8FB9"/>
  </w:style>
  <w:style w:type="paragraph" w:customStyle="1" w:styleId="799A47CB4E004C598F32D76AEBA1101F">
    <w:name w:val="799A47CB4E004C598F32D76AEBA1101F"/>
  </w:style>
  <w:style w:type="paragraph" w:customStyle="1" w:styleId="Odstavec1">
    <w:name w:val="Odstavec 1"/>
    <w:basedOn w:val="Normln"/>
    <w:next w:val="Normln"/>
    <w:link w:val="Odstavec1Char"/>
    <w:uiPriority w:val="9"/>
    <w:qFormat/>
    <w:pPr>
      <w:spacing w:after="0" w:line="300" w:lineRule="atLeast"/>
      <w:jc w:val="both"/>
    </w:pPr>
    <w:rPr>
      <w:rFonts w:ascii="Cambria" w:eastAsia="Times New Roman" w:hAnsi="Cambria" w:cs="Times New Roman"/>
      <w:sz w:val="24"/>
      <w:szCs w:val="24"/>
      <w:lang w:val="cs-CZ" w:eastAsia="cs-CZ"/>
    </w:rPr>
  </w:style>
  <w:style w:type="character" w:customStyle="1" w:styleId="Odstavec1Char">
    <w:name w:val="Odstavec 1 Char"/>
    <w:basedOn w:val="Standardnpsmoodstavce"/>
    <w:link w:val="Odstavec1"/>
    <w:uiPriority w:val="9"/>
    <w:rPr>
      <w:rFonts w:ascii="Cambria" w:eastAsia="Times New Roman" w:hAnsi="Cambria" w:cs="Times New Roman"/>
      <w:sz w:val="24"/>
      <w:szCs w:val="24"/>
      <w:lang w:val="cs-CZ" w:eastAsia="cs-CZ"/>
    </w:rPr>
  </w:style>
  <w:style w:type="paragraph" w:customStyle="1" w:styleId="E913C73DA0A7489F99B848B72D68D067">
    <w:name w:val="E913C73DA0A7489F99B848B72D68D067"/>
  </w:style>
  <w:style w:type="paragraph" w:customStyle="1" w:styleId="4F18C449FAB8473A84965D773F56287E">
    <w:name w:val="4F18C449FAB8473A84965D773F56287E"/>
  </w:style>
  <w:style w:type="paragraph" w:customStyle="1" w:styleId="B766FDCA3C4440718CFDCF288D2CB068">
    <w:name w:val="B766FDCA3C4440718CFDCF288D2CB068"/>
  </w:style>
  <w:style w:type="paragraph" w:customStyle="1" w:styleId="DA517E6BB8224F4E98B98096BF6269FC">
    <w:name w:val="DA517E6BB8224F4E98B98096BF6269FC"/>
  </w:style>
  <w:style w:type="paragraph" w:customStyle="1" w:styleId="28A32A8F17474875AC4DD41AD3F85C9E">
    <w:name w:val="28A32A8F17474875AC4DD41AD3F85C9E"/>
  </w:style>
  <w:style w:type="paragraph" w:customStyle="1" w:styleId="B0882061560A48538F14359D07D5C832">
    <w:name w:val="B0882061560A48538F14359D07D5C832"/>
  </w:style>
  <w:style w:type="paragraph" w:customStyle="1" w:styleId="D901D135520D40F4BB0CD7FE677D0395">
    <w:name w:val="D901D135520D40F4BB0CD7FE677D0395"/>
  </w:style>
  <w:style w:type="paragraph" w:customStyle="1" w:styleId="B2755164189B418A845E11EC30481F0F">
    <w:name w:val="B2755164189B418A845E11EC30481F0F"/>
  </w:style>
  <w:style w:type="paragraph" w:customStyle="1" w:styleId="D89A4DDE25974AEFBF9F5FB90C208E1F">
    <w:name w:val="D89A4DDE25974AEFBF9F5FB90C208E1F"/>
  </w:style>
  <w:style w:type="paragraph" w:customStyle="1" w:styleId="FC52DE9D15814D5AB777E3558F1356CA">
    <w:name w:val="FC52DE9D15814D5AB777E3558F1356CA"/>
  </w:style>
  <w:style w:type="paragraph" w:customStyle="1" w:styleId="AA8EBAFD81C344F1B691911DE07B24EB">
    <w:name w:val="AA8EBAFD81C344F1B691911DE07B24EB"/>
  </w:style>
  <w:style w:type="paragraph" w:customStyle="1" w:styleId="8409636B46F44B20A68E14E19BBCE7D2">
    <w:name w:val="8409636B46F44B20A68E14E19BBCE7D2"/>
  </w:style>
  <w:style w:type="paragraph" w:customStyle="1" w:styleId="A222C48E36754AC18BE31D6E3D6CF387">
    <w:name w:val="A222C48E36754AC18BE31D6E3D6CF387"/>
  </w:style>
  <w:style w:type="paragraph" w:customStyle="1" w:styleId="66E1FF5F58E24D68ADDF6C4C13EF8BA3">
    <w:name w:val="66E1FF5F58E24D68ADDF6C4C13EF8BA3"/>
  </w:style>
  <w:style w:type="paragraph" w:customStyle="1" w:styleId="29BC393BFFD24DCDAEAE33541A2DC773">
    <w:name w:val="29BC393BFFD24DCDAEAE33541A2DC773"/>
  </w:style>
  <w:style w:type="paragraph" w:customStyle="1" w:styleId="C9F8DCB9395840E094944EED8D96A80E">
    <w:name w:val="C9F8DCB9395840E094944EED8D96A80E"/>
  </w:style>
  <w:style w:type="paragraph" w:customStyle="1" w:styleId="DDC16C83E11E4378B8C3B2E1A3EA3C96">
    <w:name w:val="DDC16C83E11E4378B8C3B2E1A3EA3C96"/>
    <w:rsid w:val="006844FB"/>
  </w:style>
  <w:style w:type="paragraph" w:customStyle="1" w:styleId="83473DBCCC49424BB54ED61B5BE64A1E">
    <w:name w:val="83473DBCCC49424BB54ED61B5BE64A1E"/>
    <w:rsid w:val="006844FB"/>
  </w:style>
  <w:style w:type="paragraph" w:customStyle="1" w:styleId="965439A124044F5F98DFF796C153D7BA">
    <w:name w:val="965439A124044F5F98DFF796C153D7BA"/>
    <w:rsid w:val="006844FB"/>
  </w:style>
  <w:style w:type="paragraph" w:customStyle="1" w:styleId="49938D7A48DD4900963D712608811918">
    <w:name w:val="49938D7A48DD4900963D712608811918"/>
    <w:rsid w:val="006844FB"/>
  </w:style>
  <w:style w:type="paragraph" w:customStyle="1" w:styleId="FCE8EDCCB8E34006894E869FC3FDC457">
    <w:name w:val="FCE8EDCCB8E34006894E869FC3FDC457"/>
    <w:rsid w:val="006844FB"/>
  </w:style>
  <w:style w:type="paragraph" w:customStyle="1" w:styleId="D4279C96394E419EAC3DF4BA3D226311">
    <w:name w:val="D4279C96394E419EAC3DF4BA3D226311"/>
    <w:rsid w:val="006844FB"/>
  </w:style>
  <w:style w:type="paragraph" w:customStyle="1" w:styleId="A487628AB0674E51AD6138EC7EA6751E">
    <w:name w:val="A487628AB0674E51AD6138EC7EA6751E"/>
    <w:rsid w:val="006844FB"/>
  </w:style>
  <w:style w:type="paragraph" w:customStyle="1" w:styleId="81C5A504ADA3401E80BF9D3AE8D3503E">
    <w:name w:val="81C5A504ADA3401E80BF9D3AE8D3503E"/>
    <w:rsid w:val="006844FB"/>
  </w:style>
  <w:style w:type="paragraph" w:customStyle="1" w:styleId="8D06B903461947EC8E9AEBD0F037384C">
    <w:name w:val="8D06B903461947EC8E9AEBD0F037384C"/>
    <w:rsid w:val="006844FB"/>
  </w:style>
  <w:style w:type="paragraph" w:customStyle="1" w:styleId="11B331759F774F399F3F6FACFDB1063D">
    <w:name w:val="11B331759F774F399F3F6FACFDB1063D"/>
    <w:rsid w:val="006844FB"/>
  </w:style>
  <w:style w:type="paragraph" w:customStyle="1" w:styleId="995F41D179A64D20A84BD9E06819CFBD">
    <w:name w:val="995F41D179A64D20A84BD9E06819CFBD"/>
    <w:rsid w:val="006844FB"/>
  </w:style>
  <w:style w:type="paragraph" w:customStyle="1" w:styleId="49B38108EAB5452EAD28C073F9F0B979">
    <w:name w:val="49B38108EAB5452EAD28C073F9F0B979"/>
    <w:rsid w:val="006844FB"/>
  </w:style>
  <w:style w:type="paragraph" w:customStyle="1" w:styleId="8EC2E1C0ABB64036B7AE687617A3975C">
    <w:name w:val="8EC2E1C0ABB64036B7AE687617A3975C"/>
    <w:rsid w:val="006844FB"/>
  </w:style>
  <w:style w:type="paragraph" w:customStyle="1" w:styleId="776954E07323422CB9E5FBDB9F72DBC6">
    <w:name w:val="776954E07323422CB9E5FBDB9F72DBC6"/>
    <w:rsid w:val="006844FB"/>
  </w:style>
  <w:style w:type="paragraph" w:customStyle="1" w:styleId="874DC2ADF84D44CFBE912C06C01D133A">
    <w:name w:val="874DC2ADF84D44CFBE912C06C01D133A"/>
    <w:rsid w:val="006844FB"/>
  </w:style>
  <w:style w:type="paragraph" w:customStyle="1" w:styleId="8C5BA4ED408C429087621BE395068ED1">
    <w:name w:val="8C5BA4ED408C429087621BE395068ED1"/>
    <w:rsid w:val="006844FB"/>
  </w:style>
  <w:style w:type="paragraph" w:customStyle="1" w:styleId="5AFB4DD6F6B3430B9FA62B5639792232">
    <w:name w:val="5AFB4DD6F6B3430B9FA62B5639792232"/>
    <w:rsid w:val="006844FB"/>
  </w:style>
  <w:style w:type="paragraph" w:customStyle="1" w:styleId="86C88003E0A34B878AA3F3B1CD730865">
    <w:name w:val="86C88003E0A34B878AA3F3B1CD730865"/>
    <w:rsid w:val="006844FB"/>
  </w:style>
  <w:style w:type="paragraph" w:customStyle="1" w:styleId="8CFC112B48C74901B535C83B403E35DD">
    <w:name w:val="8CFC112B48C74901B535C83B403E35DD"/>
    <w:rsid w:val="006844FB"/>
  </w:style>
  <w:style w:type="paragraph" w:customStyle="1" w:styleId="3EBC703E07F246DE9703A84B7834F85C">
    <w:name w:val="3EBC703E07F246DE9703A84B7834F85C"/>
    <w:rsid w:val="006844FB"/>
  </w:style>
  <w:style w:type="paragraph" w:customStyle="1" w:styleId="B8D6B01DD769439EA303B0C2B66E02C9">
    <w:name w:val="B8D6B01DD769439EA303B0C2B66E02C9"/>
    <w:rsid w:val="006844FB"/>
  </w:style>
  <w:style w:type="paragraph" w:customStyle="1" w:styleId="01730199B13A4E0BABD0067233FE74B6">
    <w:name w:val="01730199B13A4E0BABD0067233FE74B6"/>
    <w:rsid w:val="006844FB"/>
  </w:style>
  <w:style w:type="paragraph" w:customStyle="1" w:styleId="61CE9AB15C74435E95132B1963EA5F0D">
    <w:name w:val="61CE9AB15C74435E95132B1963EA5F0D"/>
    <w:rsid w:val="006844FB"/>
  </w:style>
  <w:style w:type="paragraph" w:customStyle="1" w:styleId="24AB25D6684F4973B3A4B36AC30ABCCC">
    <w:name w:val="24AB25D6684F4973B3A4B36AC30ABCCC"/>
    <w:rsid w:val="006844FB"/>
  </w:style>
  <w:style w:type="paragraph" w:customStyle="1" w:styleId="4CE7DF823A47466EA3F226EEFCE51327">
    <w:name w:val="4CE7DF823A47466EA3F226EEFCE51327"/>
    <w:rsid w:val="006844FB"/>
  </w:style>
  <w:style w:type="paragraph" w:customStyle="1" w:styleId="9E86F4650E70420B9AE9D3B931C0DF25">
    <w:name w:val="9E86F4650E70420B9AE9D3B931C0DF25"/>
    <w:rsid w:val="006844FB"/>
  </w:style>
  <w:style w:type="paragraph" w:customStyle="1" w:styleId="C10F15BD9B0043C99B1CA116C77BC8D7">
    <w:name w:val="C10F15BD9B0043C99B1CA116C77BC8D7"/>
    <w:rsid w:val="006844FB"/>
  </w:style>
  <w:style w:type="paragraph" w:customStyle="1" w:styleId="E5EB6E5EEFCD4241A8B0B5BFBDB9B4D0">
    <w:name w:val="E5EB6E5EEFCD4241A8B0B5BFBDB9B4D0"/>
    <w:rsid w:val="006844FB"/>
  </w:style>
  <w:style w:type="paragraph" w:customStyle="1" w:styleId="F02F8FFF755E4F57B8887DFF165302D9">
    <w:name w:val="F02F8FFF755E4F57B8887DFF165302D9"/>
    <w:rsid w:val="006844FB"/>
  </w:style>
  <w:style w:type="paragraph" w:customStyle="1" w:styleId="8E02F691FB7841DFBCB9F697001B3FBB">
    <w:name w:val="8E02F691FB7841DFBCB9F697001B3FBB"/>
    <w:rsid w:val="006844FB"/>
  </w:style>
  <w:style w:type="paragraph" w:customStyle="1" w:styleId="F71E1A458CFC420E868A35AA5D50B89A">
    <w:name w:val="F71E1A458CFC420E868A35AA5D50B89A"/>
    <w:rsid w:val="006844FB"/>
  </w:style>
  <w:style w:type="paragraph" w:customStyle="1" w:styleId="43A481DDA0D74ABF974DB068B4F1CFCD">
    <w:name w:val="43A481DDA0D74ABF974DB068B4F1CFCD"/>
    <w:rsid w:val="006844FB"/>
  </w:style>
  <w:style w:type="paragraph" w:customStyle="1" w:styleId="8B9063F55270474E8653F7F18D1CBE60">
    <w:name w:val="8B9063F55270474E8653F7F18D1CBE60"/>
    <w:rsid w:val="006844FB"/>
  </w:style>
  <w:style w:type="paragraph" w:customStyle="1" w:styleId="56DD3DB8184447CDA0C8CDE0E78BA92A">
    <w:name w:val="56DD3DB8184447CDA0C8CDE0E78BA92A"/>
    <w:rsid w:val="006844FB"/>
  </w:style>
  <w:style w:type="paragraph" w:customStyle="1" w:styleId="D5C0622C2EE945A78DB62477A697F719">
    <w:name w:val="D5C0622C2EE945A78DB62477A697F719"/>
    <w:rsid w:val="006844FB"/>
  </w:style>
  <w:style w:type="paragraph" w:customStyle="1" w:styleId="E67C229683134BF98382EA1EBBC24DB6">
    <w:name w:val="E67C229683134BF98382EA1EBBC24DB6"/>
    <w:rsid w:val="006844FB"/>
  </w:style>
  <w:style w:type="paragraph" w:customStyle="1" w:styleId="ED30F0D4D4D54E548B904442324DE381">
    <w:name w:val="ED30F0D4D4D54E548B904442324DE381"/>
    <w:rsid w:val="006844FB"/>
  </w:style>
  <w:style w:type="paragraph" w:customStyle="1" w:styleId="320D59D8A87642D99DA60F223735B2EE">
    <w:name w:val="320D59D8A87642D99DA60F223735B2EE"/>
    <w:rsid w:val="006844FB"/>
  </w:style>
  <w:style w:type="paragraph" w:customStyle="1" w:styleId="F147E57C9AA0464B9B1A82727B43B631">
    <w:name w:val="F147E57C9AA0464B9B1A82727B43B631"/>
    <w:rsid w:val="006844FB"/>
  </w:style>
  <w:style w:type="paragraph" w:customStyle="1" w:styleId="7426D922293C4B3A929A84569A667C85">
    <w:name w:val="7426D922293C4B3A929A84569A667C85"/>
    <w:rsid w:val="006844FB"/>
  </w:style>
  <w:style w:type="paragraph" w:customStyle="1" w:styleId="CEA2FC5570494E68889203CD2FDE8F01">
    <w:name w:val="CEA2FC5570494E68889203CD2FDE8F01"/>
    <w:rsid w:val="006844FB"/>
  </w:style>
  <w:style w:type="paragraph" w:customStyle="1" w:styleId="FFAE2E68C47C4338BB1C41DEBAA50762">
    <w:name w:val="FFAE2E68C47C4338BB1C41DEBAA50762"/>
    <w:rsid w:val="006844FB"/>
  </w:style>
  <w:style w:type="paragraph" w:customStyle="1" w:styleId="9EBB4DA864E94AA68B4C3B7974DABF7B">
    <w:name w:val="9EBB4DA864E94AA68B4C3B7974DABF7B"/>
    <w:rsid w:val="006844FB"/>
  </w:style>
  <w:style w:type="paragraph" w:customStyle="1" w:styleId="6E5494C36B60406F9CA20D0DA70E043B">
    <w:name w:val="6E5494C36B60406F9CA20D0DA70E043B"/>
    <w:rsid w:val="006844FB"/>
  </w:style>
  <w:style w:type="paragraph" w:customStyle="1" w:styleId="B7FD289EBA1F41F5818B2CEBF8121493">
    <w:name w:val="B7FD289EBA1F41F5818B2CEBF8121493"/>
    <w:rsid w:val="006844FB"/>
  </w:style>
  <w:style w:type="paragraph" w:customStyle="1" w:styleId="276C9129BCAF4B7E8E7396185856D22B">
    <w:name w:val="276C9129BCAF4B7E8E7396185856D22B"/>
    <w:rsid w:val="006844FB"/>
  </w:style>
  <w:style w:type="paragraph" w:customStyle="1" w:styleId="694844CF97214148BA35EB5D842EE061">
    <w:name w:val="694844CF97214148BA35EB5D842EE061"/>
    <w:rsid w:val="006844FB"/>
  </w:style>
  <w:style w:type="paragraph" w:customStyle="1" w:styleId="8432369E77994334926C3D7D1B880EB8">
    <w:name w:val="8432369E77994334926C3D7D1B880EB8"/>
    <w:rsid w:val="006844FB"/>
  </w:style>
  <w:style w:type="paragraph" w:customStyle="1" w:styleId="7A874422633A4130879712CE3F2BC74B">
    <w:name w:val="7A874422633A4130879712CE3F2BC74B"/>
    <w:rsid w:val="006844FB"/>
  </w:style>
  <w:style w:type="paragraph" w:customStyle="1" w:styleId="BCD43E1555EC427FA86E65B69C842A86">
    <w:name w:val="BCD43E1555EC427FA86E65B69C842A86"/>
    <w:rsid w:val="006844FB"/>
  </w:style>
  <w:style w:type="paragraph" w:customStyle="1" w:styleId="161011FA21334E9D89688CEF02901E72">
    <w:name w:val="161011FA21334E9D89688CEF02901E72"/>
    <w:rsid w:val="006844FB"/>
  </w:style>
  <w:style w:type="paragraph" w:customStyle="1" w:styleId="C5977433F4524975A773B5F4C1C3FFBA">
    <w:name w:val="C5977433F4524975A773B5F4C1C3FFBA"/>
    <w:rsid w:val="006844FB"/>
  </w:style>
  <w:style w:type="paragraph" w:customStyle="1" w:styleId="55FAEB7372074B068396936284D2860D">
    <w:name w:val="55FAEB7372074B068396936284D2860D"/>
    <w:rsid w:val="006844FB"/>
  </w:style>
  <w:style w:type="paragraph" w:customStyle="1" w:styleId="EA5F1299B1144E59B706ACD742731FA9">
    <w:name w:val="EA5F1299B1144E59B706ACD742731FA9"/>
    <w:rsid w:val="006844FB"/>
  </w:style>
  <w:style w:type="paragraph" w:customStyle="1" w:styleId="C0A3BB91023E433097950D5AA9CA1C9E">
    <w:name w:val="C0A3BB91023E433097950D5AA9CA1C9E"/>
    <w:rsid w:val="006844FB"/>
  </w:style>
  <w:style w:type="paragraph" w:customStyle="1" w:styleId="8C575D665C304D74BBBE5F5DF9D71866">
    <w:name w:val="8C575D665C304D74BBBE5F5DF9D71866"/>
    <w:rsid w:val="006844FB"/>
  </w:style>
  <w:style w:type="paragraph" w:customStyle="1" w:styleId="08E9F3990E6749358E7EA2A2CA5B68BA">
    <w:name w:val="08E9F3990E6749358E7EA2A2CA5B68BA"/>
    <w:rsid w:val="006844FB"/>
  </w:style>
  <w:style w:type="paragraph" w:customStyle="1" w:styleId="AC9DADFE797D4ED68DFD1EB6396B7DAB">
    <w:name w:val="AC9DADFE797D4ED68DFD1EB6396B7DAB"/>
    <w:rsid w:val="006844FB"/>
  </w:style>
  <w:style w:type="paragraph" w:customStyle="1" w:styleId="56BE887D1DD24BC49F84FEF00A499256">
    <w:name w:val="56BE887D1DD24BC49F84FEF00A499256"/>
    <w:rsid w:val="006844FB"/>
  </w:style>
  <w:style w:type="paragraph" w:customStyle="1" w:styleId="E1BBAD3B13DD4579996F737D7EC8519D">
    <w:name w:val="E1BBAD3B13DD4579996F737D7EC8519D"/>
    <w:rsid w:val="006844FB"/>
  </w:style>
  <w:style w:type="paragraph" w:customStyle="1" w:styleId="7126ECE3567240DAA24217A88D902AB2">
    <w:name w:val="7126ECE3567240DAA24217A88D902AB2"/>
    <w:rsid w:val="006844FB"/>
  </w:style>
  <w:style w:type="paragraph" w:customStyle="1" w:styleId="2A67B9E6B78B46F4A385A1971699AF4B">
    <w:name w:val="2A67B9E6B78B46F4A385A1971699AF4B"/>
    <w:rsid w:val="006844FB"/>
  </w:style>
  <w:style w:type="paragraph" w:customStyle="1" w:styleId="DAE77D581451474B86B95E8283265AAC">
    <w:name w:val="DAE77D581451474B86B95E8283265AAC"/>
    <w:rsid w:val="006844FB"/>
  </w:style>
  <w:style w:type="paragraph" w:customStyle="1" w:styleId="E0637EC9924B40629F536119F4901C3B">
    <w:name w:val="E0637EC9924B40629F536119F4901C3B"/>
    <w:rsid w:val="006844FB"/>
  </w:style>
  <w:style w:type="paragraph" w:customStyle="1" w:styleId="13A064253C334E3E9135C75B862E2F6D">
    <w:name w:val="13A064253C334E3E9135C75B862E2F6D"/>
    <w:rsid w:val="006844FB"/>
  </w:style>
  <w:style w:type="paragraph" w:customStyle="1" w:styleId="7D4CEC970AE9475098C6996C7EA91D9A">
    <w:name w:val="7D4CEC970AE9475098C6996C7EA91D9A"/>
    <w:rsid w:val="006844FB"/>
  </w:style>
  <w:style w:type="paragraph" w:customStyle="1" w:styleId="2B8CEEE499064FDB8216DFF027B9DF27">
    <w:name w:val="2B8CEEE499064FDB8216DFF027B9DF27"/>
    <w:rsid w:val="006844FB"/>
  </w:style>
  <w:style w:type="paragraph" w:customStyle="1" w:styleId="A1448E55470D49E18E41DF2394E9A2AE">
    <w:name w:val="A1448E55470D49E18E41DF2394E9A2AE"/>
    <w:rsid w:val="006844FB"/>
  </w:style>
  <w:style w:type="paragraph" w:customStyle="1" w:styleId="DEAA656AA0E7489F8D99AC80F7C8F2A5">
    <w:name w:val="DEAA656AA0E7489F8D99AC80F7C8F2A5"/>
    <w:rsid w:val="006844FB"/>
  </w:style>
  <w:style w:type="paragraph" w:customStyle="1" w:styleId="A996885A30724B7BB4955A5A9B2EC841">
    <w:name w:val="A996885A30724B7BB4955A5A9B2EC841"/>
    <w:rsid w:val="006844FB"/>
  </w:style>
  <w:style w:type="paragraph" w:customStyle="1" w:styleId="F1844BA8CC7E46698A933AD69A053B27">
    <w:name w:val="F1844BA8CC7E46698A933AD69A053B27"/>
    <w:rsid w:val="006844FB"/>
  </w:style>
  <w:style w:type="paragraph" w:customStyle="1" w:styleId="A73A3DBF22AC4774853EFB5A11FB88E0">
    <w:name w:val="A73A3DBF22AC4774853EFB5A11FB88E0"/>
    <w:rsid w:val="006844FB"/>
  </w:style>
  <w:style w:type="paragraph" w:customStyle="1" w:styleId="EA803F6F162F4E0B88B6833711FD0C43">
    <w:name w:val="EA803F6F162F4E0B88B6833711FD0C43"/>
    <w:rsid w:val="006844FB"/>
  </w:style>
  <w:style w:type="paragraph" w:customStyle="1" w:styleId="6FF6ED437745400C9FCA3D2D363ED120">
    <w:name w:val="6FF6ED437745400C9FCA3D2D363ED120"/>
    <w:rsid w:val="006844FB"/>
  </w:style>
  <w:style w:type="paragraph" w:customStyle="1" w:styleId="F337F1D13CB5430DA74D765B758E50BC">
    <w:name w:val="F337F1D13CB5430DA74D765B758E50BC"/>
    <w:rsid w:val="006844FB"/>
  </w:style>
  <w:style w:type="paragraph" w:customStyle="1" w:styleId="E92E05344FA84B9FA379BDA262B23C87">
    <w:name w:val="E92E05344FA84B9FA379BDA262B23C87"/>
    <w:rsid w:val="006844FB"/>
  </w:style>
  <w:style w:type="paragraph" w:customStyle="1" w:styleId="B8050DDB9796409CA16DDDF857FD8A79">
    <w:name w:val="B8050DDB9796409CA16DDDF857FD8A79"/>
    <w:rsid w:val="006844FB"/>
  </w:style>
  <w:style w:type="paragraph" w:customStyle="1" w:styleId="1C5F18DA0BB04006A27AFB761F30B476">
    <w:name w:val="1C5F18DA0BB04006A27AFB761F30B476"/>
    <w:rsid w:val="006844FB"/>
  </w:style>
  <w:style w:type="paragraph" w:customStyle="1" w:styleId="4DB80E5128D64AAA9C239374357FC3F1">
    <w:name w:val="4DB80E5128D64AAA9C239374357FC3F1"/>
    <w:rsid w:val="006844FB"/>
  </w:style>
  <w:style w:type="paragraph" w:customStyle="1" w:styleId="C6753C4339ED4120B36021755EDEF036">
    <w:name w:val="C6753C4339ED4120B36021755EDEF036"/>
    <w:rsid w:val="006844FB"/>
  </w:style>
  <w:style w:type="paragraph" w:customStyle="1" w:styleId="3BD2BA3D46FE4EC99C8AA4A3DEBD245C">
    <w:name w:val="3BD2BA3D46FE4EC99C8AA4A3DEBD245C"/>
    <w:rsid w:val="006844FB"/>
  </w:style>
  <w:style w:type="paragraph" w:customStyle="1" w:styleId="7886671DA80E457D9B580093033B0601">
    <w:name w:val="7886671DA80E457D9B580093033B0601"/>
    <w:rsid w:val="006844FB"/>
  </w:style>
  <w:style w:type="paragraph" w:customStyle="1" w:styleId="87D41A4C3C424F9DA041F393AE20FDB3">
    <w:name w:val="87D41A4C3C424F9DA041F393AE20FDB3"/>
    <w:rsid w:val="006844FB"/>
  </w:style>
  <w:style w:type="paragraph" w:customStyle="1" w:styleId="01115A53875044E087D9ADD195674B86">
    <w:name w:val="01115A53875044E087D9ADD195674B86"/>
    <w:rsid w:val="006844FB"/>
  </w:style>
  <w:style w:type="paragraph" w:customStyle="1" w:styleId="6A0D692B735546C3ADF8CB4F9BE60E00">
    <w:name w:val="6A0D692B735546C3ADF8CB4F9BE60E00"/>
    <w:rsid w:val="006844FB"/>
  </w:style>
  <w:style w:type="paragraph" w:customStyle="1" w:styleId="212DE73902F74C78A114026A8AC5DDD3">
    <w:name w:val="212DE73902F74C78A114026A8AC5DDD3"/>
    <w:rsid w:val="006844FB"/>
  </w:style>
  <w:style w:type="paragraph" w:customStyle="1" w:styleId="9B60B73A2BC1445AABAF40623F737A36">
    <w:name w:val="9B60B73A2BC1445AABAF40623F737A36"/>
    <w:rsid w:val="006844FB"/>
  </w:style>
  <w:style w:type="paragraph" w:customStyle="1" w:styleId="CDC1AF5B7A174B2790415A8DCA0AD3EB">
    <w:name w:val="CDC1AF5B7A174B2790415A8DCA0AD3EB"/>
    <w:rsid w:val="006844FB"/>
  </w:style>
  <w:style w:type="paragraph" w:customStyle="1" w:styleId="A604B478E3F242FE9BEBC3A4D9A132FF">
    <w:name w:val="A604B478E3F242FE9BEBC3A4D9A132FF"/>
    <w:rsid w:val="006844FB"/>
  </w:style>
  <w:style w:type="paragraph" w:customStyle="1" w:styleId="A061DA1E0038473FBD5844B82030ABE2">
    <w:name w:val="A061DA1E0038473FBD5844B82030ABE2"/>
    <w:rsid w:val="006844FB"/>
  </w:style>
  <w:style w:type="paragraph" w:customStyle="1" w:styleId="89D836279C4D4F8F97B710CE16FAAF07">
    <w:name w:val="89D836279C4D4F8F97B710CE16FAAF07"/>
    <w:rsid w:val="006844FB"/>
  </w:style>
  <w:style w:type="paragraph" w:customStyle="1" w:styleId="52B3DD55E1D4495CA2234570B3C684A1">
    <w:name w:val="52B3DD55E1D4495CA2234570B3C684A1"/>
    <w:rsid w:val="006844FB"/>
  </w:style>
  <w:style w:type="paragraph" w:customStyle="1" w:styleId="8D127C4B25AC4C8A851E63461186884A">
    <w:name w:val="8D127C4B25AC4C8A851E63461186884A"/>
    <w:rsid w:val="006844FB"/>
  </w:style>
  <w:style w:type="paragraph" w:customStyle="1" w:styleId="1216325D5CF342DDB81C87479A3EAAD4">
    <w:name w:val="1216325D5CF342DDB81C87479A3EAAD4"/>
    <w:rsid w:val="006844FB"/>
  </w:style>
  <w:style w:type="paragraph" w:customStyle="1" w:styleId="E44CCA4DD72A4244BD5B664E9CBF110F">
    <w:name w:val="E44CCA4DD72A4244BD5B664E9CBF110F"/>
    <w:rsid w:val="006844FB"/>
  </w:style>
  <w:style w:type="paragraph" w:customStyle="1" w:styleId="D0BCC1DD653E40CEAD7E1053AA277A61">
    <w:name w:val="D0BCC1DD653E40CEAD7E1053AA277A61"/>
    <w:rsid w:val="006844FB"/>
  </w:style>
  <w:style w:type="paragraph" w:customStyle="1" w:styleId="934A4BE268AD4A87900FBA8B1AAEFE8B">
    <w:name w:val="934A4BE268AD4A87900FBA8B1AAEFE8B"/>
    <w:rsid w:val="006844FB"/>
  </w:style>
  <w:style w:type="paragraph" w:customStyle="1" w:styleId="CE1E6D0691504C579FF556D9C1F53703">
    <w:name w:val="CE1E6D0691504C579FF556D9C1F53703"/>
    <w:rsid w:val="006844FB"/>
  </w:style>
  <w:style w:type="paragraph" w:customStyle="1" w:styleId="8569AD829A114C86BF40F4439E8FBD24">
    <w:name w:val="8569AD829A114C86BF40F4439E8FBD24"/>
    <w:rsid w:val="006844FB"/>
  </w:style>
  <w:style w:type="paragraph" w:customStyle="1" w:styleId="06737D3D77DD43E38DBCF6C559185ED9">
    <w:name w:val="06737D3D77DD43E38DBCF6C559185ED9"/>
    <w:rsid w:val="006844FB"/>
  </w:style>
  <w:style w:type="paragraph" w:customStyle="1" w:styleId="7E583652643E4743B085C30923229564">
    <w:name w:val="7E583652643E4743B085C30923229564"/>
    <w:rsid w:val="006844FB"/>
  </w:style>
  <w:style w:type="paragraph" w:customStyle="1" w:styleId="597AECE206C949959A32A3E8E28A08D9">
    <w:name w:val="597AECE206C949959A32A3E8E28A08D9"/>
    <w:rsid w:val="006844FB"/>
  </w:style>
  <w:style w:type="paragraph" w:customStyle="1" w:styleId="DE95C3AD90824CC88CAB2082974B1788">
    <w:name w:val="DE95C3AD90824CC88CAB2082974B1788"/>
    <w:rsid w:val="006844FB"/>
  </w:style>
  <w:style w:type="paragraph" w:customStyle="1" w:styleId="D746F899DB664913A77AF18D5EE866B1">
    <w:name w:val="D746F899DB664913A77AF18D5EE866B1"/>
    <w:rsid w:val="006844FB"/>
  </w:style>
  <w:style w:type="paragraph" w:customStyle="1" w:styleId="B1FC369EFAB34397B459FA07AF33DAF9">
    <w:name w:val="B1FC369EFAB34397B459FA07AF33DAF9"/>
    <w:rsid w:val="006844FB"/>
  </w:style>
  <w:style w:type="paragraph" w:customStyle="1" w:styleId="9E56E44C0D604B88842204BA147A715F">
    <w:name w:val="9E56E44C0D604B88842204BA147A715F"/>
    <w:rsid w:val="006844FB"/>
  </w:style>
  <w:style w:type="paragraph" w:customStyle="1" w:styleId="629C398BDB2744338735747046CAA0A4">
    <w:name w:val="629C398BDB2744338735747046CAA0A4"/>
    <w:rsid w:val="006844FB"/>
  </w:style>
  <w:style w:type="paragraph" w:customStyle="1" w:styleId="FC7723AF8E234771BF9A0566D4837D2A">
    <w:name w:val="FC7723AF8E234771BF9A0566D4837D2A"/>
    <w:rsid w:val="006844FB"/>
  </w:style>
  <w:style w:type="paragraph" w:customStyle="1" w:styleId="D18BAB1518964DB08FA4014E89CC80E3">
    <w:name w:val="D18BAB1518964DB08FA4014E89CC80E3"/>
    <w:rsid w:val="006844FB"/>
  </w:style>
  <w:style w:type="paragraph" w:customStyle="1" w:styleId="3D28ECD6E0844373A2CA7DE78B8239EA">
    <w:name w:val="3D28ECD6E0844373A2CA7DE78B8239EA"/>
    <w:rsid w:val="006844FB"/>
  </w:style>
  <w:style w:type="paragraph" w:customStyle="1" w:styleId="DF6B3F3230D44AEFBBA92A9F266C511D">
    <w:name w:val="DF6B3F3230D44AEFBBA92A9F266C511D"/>
    <w:rsid w:val="006844FB"/>
  </w:style>
  <w:style w:type="paragraph" w:customStyle="1" w:styleId="2E997EC6A6A6412D8A71B79C9FAC9451">
    <w:name w:val="2E997EC6A6A6412D8A71B79C9FAC9451"/>
    <w:rsid w:val="006844FB"/>
  </w:style>
  <w:style w:type="paragraph" w:customStyle="1" w:styleId="CE9A94E5A06845BF94EAC9FC3E30A5ED">
    <w:name w:val="CE9A94E5A06845BF94EAC9FC3E30A5ED"/>
    <w:rsid w:val="006844FB"/>
  </w:style>
  <w:style w:type="paragraph" w:customStyle="1" w:styleId="6DDCED0062024C6B88189855E748A6A0">
    <w:name w:val="6DDCED0062024C6B88189855E748A6A0"/>
    <w:rsid w:val="006844FB"/>
  </w:style>
  <w:style w:type="paragraph" w:customStyle="1" w:styleId="2B30334F6B184E5095B1CF3D43122396">
    <w:name w:val="2B30334F6B184E5095B1CF3D43122396"/>
    <w:rsid w:val="006844FB"/>
  </w:style>
  <w:style w:type="paragraph" w:customStyle="1" w:styleId="C2D16EFF9C1743D78E5E3308AC9215A2">
    <w:name w:val="C2D16EFF9C1743D78E5E3308AC9215A2"/>
    <w:rsid w:val="006844FB"/>
  </w:style>
  <w:style w:type="paragraph" w:customStyle="1" w:styleId="4B31460F3C0B4229A5D47DD33C2ECA69">
    <w:name w:val="4B31460F3C0B4229A5D47DD33C2ECA69"/>
    <w:rsid w:val="006844FB"/>
  </w:style>
  <w:style w:type="paragraph" w:customStyle="1" w:styleId="667D6C635E6E4CFD9D6D12AD2C81856F">
    <w:name w:val="667D6C635E6E4CFD9D6D12AD2C81856F"/>
    <w:rsid w:val="006844FB"/>
  </w:style>
  <w:style w:type="paragraph" w:customStyle="1" w:styleId="8E3C3AC9E1DE4428B8765011CCACACF8">
    <w:name w:val="8E3C3AC9E1DE4428B8765011CCACACF8"/>
    <w:rsid w:val="006844FB"/>
  </w:style>
  <w:style w:type="paragraph" w:customStyle="1" w:styleId="381CA339D2E14249A2A33AE85709725F">
    <w:name w:val="381CA339D2E14249A2A33AE85709725F"/>
    <w:rsid w:val="006844FB"/>
  </w:style>
  <w:style w:type="paragraph" w:customStyle="1" w:styleId="D514BFD07E8E4B67884C49F79E115A1D">
    <w:name w:val="D514BFD07E8E4B67884C49F79E115A1D"/>
    <w:rsid w:val="006844FB"/>
  </w:style>
  <w:style w:type="paragraph" w:customStyle="1" w:styleId="AC4A87CE0B084075B7ED831C0331D875">
    <w:name w:val="AC4A87CE0B084075B7ED831C0331D875"/>
    <w:rsid w:val="006844FB"/>
  </w:style>
  <w:style w:type="paragraph" w:customStyle="1" w:styleId="DB7C1BCE11654F0C95DFEA9619A1F90E">
    <w:name w:val="DB7C1BCE11654F0C95DFEA9619A1F90E"/>
    <w:rsid w:val="006844FB"/>
  </w:style>
  <w:style w:type="paragraph" w:customStyle="1" w:styleId="12D01B8C1E5243B488B6EB60AF09B6F8">
    <w:name w:val="12D01B8C1E5243B488B6EB60AF09B6F8"/>
    <w:rsid w:val="006844FB"/>
  </w:style>
  <w:style w:type="paragraph" w:customStyle="1" w:styleId="AA6D94338FA24B09BBD91779279BB268">
    <w:name w:val="AA6D94338FA24B09BBD91779279BB268"/>
    <w:rsid w:val="006844FB"/>
  </w:style>
  <w:style w:type="paragraph" w:customStyle="1" w:styleId="11CF64579AA7468A95549FE61E8FDD3E">
    <w:name w:val="11CF64579AA7468A95549FE61E8FDD3E"/>
    <w:rsid w:val="006844FB"/>
  </w:style>
  <w:style w:type="paragraph" w:customStyle="1" w:styleId="C0B5D8112F0C4AD2BEC338AD04EA0C83">
    <w:name w:val="C0B5D8112F0C4AD2BEC338AD04EA0C83"/>
    <w:rsid w:val="006844FB"/>
  </w:style>
  <w:style w:type="paragraph" w:customStyle="1" w:styleId="EEC34EDFFA674FA7A9950EFECA22AA57">
    <w:name w:val="EEC34EDFFA674FA7A9950EFECA22AA57"/>
    <w:rsid w:val="006844FB"/>
  </w:style>
  <w:style w:type="paragraph" w:customStyle="1" w:styleId="BA5AD7576CA349B1ABD24243465EC737">
    <w:name w:val="BA5AD7576CA349B1ABD24243465EC737"/>
    <w:rsid w:val="006844FB"/>
  </w:style>
  <w:style w:type="paragraph" w:customStyle="1" w:styleId="E94D5C9D026049B5B34AA2AA4134E359">
    <w:name w:val="E94D5C9D026049B5B34AA2AA4134E359"/>
    <w:rsid w:val="006844FB"/>
  </w:style>
  <w:style w:type="paragraph" w:customStyle="1" w:styleId="D1A7B89553EB429E9068DA9FB635AFE0">
    <w:name w:val="D1A7B89553EB429E9068DA9FB635AFE0"/>
    <w:rsid w:val="006844FB"/>
  </w:style>
  <w:style w:type="paragraph" w:customStyle="1" w:styleId="F45EF6EF474346A4A3F8FA458696900B">
    <w:name w:val="F45EF6EF474346A4A3F8FA458696900B"/>
    <w:rsid w:val="006844FB"/>
  </w:style>
  <w:style w:type="paragraph" w:customStyle="1" w:styleId="E7D9A105AEAB468CB76FE7F6D489CF0C">
    <w:name w:val="E7D9A105AEAB468CB76FE7F6D489CF0C"/>
    <w:rsid w:val="006844FB"/>
  </w:style>
  <w:style w:type="paragraph" w:customStyle="1" w:styleId="C7265CC5049141769E0158EBA0954D30">
    <w:name w:val="C7265CC5049141769E0158EBA0954D30"/>
    <w:rsid w:val="006844FB"/>
  </w:style>
  <w:style w:type="paragraph" w:customStyle="1" w:styleId="116815C021B745058360B7C260977F60">
    <w:name w:val="116815C021B745058360B7C260977F60"/>
    <w:rsid w:val="006844FB"/>
  </w:style>
  <w:style w:type="paragraph" w:customStyle="1" w:styleId="208FFCD1A61F423899F7BC617D6905E8">
    <w:name w:val="208FFCD1A61F423899F7BC617D6905E8"/>
    <w:rsid w:val="006844FB"/>
  </w:style>
  <w:style w:type="paragraph" w:customStyle="1" w:styleId="A50828C7F6B54C9782E986B59A53A39C">
    <w:name w:val="A50828C7F6B54C9782E986B59A53A39C"/>
    <w:rsid w:val="006844FB"/>
  </w:style>
  <w:style w:type="paragraph" w:customStyle="1" w:styleId="35704929065644C1B2C992E725E4B96F">
    <w:name w:val="35704929065644C1B2C992E725E4B96F"/>
    <w:rsid w:val="006844FB"/>
  </w:style>
  <w:style w:type="paragraph" w:customStyle="1" w:styleId="844895D80319436A95DDF8309F8C30F2">
    <w:name w:val="844895D80319436A95DDF8309F8C30F2"/>
    <w:rsid w:val="006844FB"/>
  </w:style>
  <w:style w:type="paragraph" w:customStyle="1" w:styleId="C6D9EF3FCC96494AAB05F7E3AD86C84C">
    <w:name w:val="C6D9EF3FCC96494AAB05F7E3AD86C84C"/>
    <w:rsid w:val="006844FB"/>
  </w:style>
  <w:style w:type="paragraph" w:customStyle="1" w:styleId="8B3A6E61379D489C9157772F8282CE60">
    <w:name w:val="8B3A6E61379D489C9157772F8282CE60"/>
    <w:rsid w:val="006844FB"/>
  </w:style>
  <w:style w:type="paragraph" w:customStyle="1" w:styleId="927FCAEFD4764CD4AC022880219FDEA3">
    <w:name w:val="927FCAEFD4764CD4AC022880219FDEA3"/>
    <w:rsid w:val="006844FB"/>
  </w:style>
  <w:style w:type="paragraph" w:customStyle="1" w:styleId="EB268F062C41444C9097A6F5E7A4C1F2">
    <w:name w:val="EB268F062C41444C9097A6F5E7A4C1F2"/>
    <w:rsid w:val="006844FB"/>
  </w:style>
  <w:style w:type="paragraph" w:customStyle="1" w:styleId="666E90BF83EA4EC2907363E3C70E6CEA">
    <w:name w:val="666E90BF83EA4EC2907363E3C70E6CEA"/>
    <w:rsid w:val="006844FB"/>
  </w:style>
  <w:style w:type="paragraph" w:customStyle="1" w:styleId="936A2C2421F2483DA486601116A84B95">
    <w:name w:val="936A2C2421F2483DA486601116A84B95"/>
    <w:rsid w:val="006844FB"/>
  </w:style>
  <w:style w:type="paragraph" w:customStyle="1" w:styleId="72DF5A8985D4445CB730837D9530CFCC">
    <w:name w:val="72DF5A8985D4445CB730837D9530CFCC"/>
    <w:rsid w:val="006844FB"/>
  </w:style>
  <w:style w:type="paragraph" w:customStyle="1" w:styleId="6E3DF1538A1E42ECAF37C1DD09A81327">
    <w:name w:val="6E3DF1538A1E42ECAF37C1DD09A81327"/>
    <w:rsid w:val="006844FB"/>
  </w:style>
  <w:style w:type="paragraph" w:customStyle="1" w:styleId="F12F8CC927FB4DCABED16766D6354FEC">
    <w:name w:val="F12F8CC927FB4DCABED16766D6354FEC"/>
    <w:rsid w:val="006844FB"/>
  </w:style>
  <w:style w:type="paragraph" w:customStyle="1" w:styleId="834C9196BF2245CFAA54FBCDC84253F6">
    <w:name w:val="834C9196BF2245CFAA54FBCDC84253F6"/>
    <w:rsid w:val="006844FB"/>
  </w:style>
  <w:style w:type="paragraph" w:customStyle="1" w:styleId="6A6B5C4CA3F94D9A90ACDCBEE87D3071">
    <w:name w:val="6A6B5C4CA3F94D9A90ACDCBEE87D3071"/>
    <w:rsid w:val="006844FB"/>
  </w:style>
  <w:style w:type="paragraph" w:customStyle="1" w:styleId="5F0F028E4A6A47959F1BCA654FD45F7F">
    <w:name w:val="5F0F028E4A6A47959F1BCA654FD45F7F"/>
    <w:rsid w:val="006844FB"/>
  </w:style>
  <w:style w:type="paragraph" w:customStyle="1" w:styleId="808B88789CAB4C9EA1C84F2EDBB2516D">
    <w:name w:val="808B88789CAB4C9EA1C84F2EDBB2516D"/>
    <w:rsid w:val="006844FB"/>
  </w:style>
  <w:style w:type="paragraph" w:customStyle="1" w:styleId="13D48316AB1F401087D78A14C8782FE0">
    <w:name w:val="13D48316AB1F401087D78A14C8782FE0"/>
    <w:rsid w:val="006844FB"/>
  </w:style>
  <w:style w:type="paragraph" w:customStyle="1" w:styleId="8C0DFB347DE248E9B3CC6800079AF5AE">
    <w:name w:val="8C0DFB347DE248E9B3CC6800079AF5AE"/>
    <w:rsid w:val="006844FB"/>
  </w:style>
  <w:style w:type="paragraph" w:customStyle="1" w:styleId="6F0E2FA2D159449B894788C84C7109F7">
    <w:name w:val="6F0E2FA2D159449B894788C84C7109F7"/>
    <w:rsid w:val="006844FB"/>
  </w:style>
  <w:style w:type="paragraph" w:customStyle="1" w:styleId="B25C5587A32F4EA887CDFCE08ADDA3B4">
    <w:name w:val="B25C5587A32F4EA887CDFCE08ADDA3B4"/>
    <w:rsid w:val="006844FB"/>
  </w:style>
  <w:style w:type="paragraph" w:customStyle="1" w:styleId="CCF44DE0931A404B854057519CA01B04">
    <w:name w:val="CCF44DE0931A404B854057519CA01B04"/>
    <w:rsid w:val="006844FB"/>
  </w:style>
  <w:style w:type="paragraph" w:customStyle="1" w:styleId="675AA5091AB64C05A09A5BF1707F1C7A">
    <w:name w:val="675AA5091AB64C05A09A5BF1707F1C7A"/>
    <w:rsid w:val="006844FB"/>
  </w:style>
  <w:style w:type="paragraph" w:customStyle="1" w:styleId="95EDDEB4A8A146E5AC5181C773DC4266">
    <w:name w:val="95EDDEB4A8A146E5AC5181C773DC4266"/>
    <w:rsid w:val="006844FB"/>
  </w:style>
  <w:style w:type="paragraph" w:customStyle="1" w:styleId="DA4B69A8A233465E82975C265F4A96D7">
    <w:name w:val="DA4B69A8A233465E82975C265F4A96D7"/>
    <w:rsid w:val="006844FB"/>
  </w:style>
  <w:style w:type="paragraph" w:customStyle="1" w:styleId="8160003BC03B48CE8E6C0ECAC78E6A44">
    <w:name w:val="8160003BC03B48CE8E6C0ECAC78E6A44"/>
    <w:rsid w:val="006844FB"/>
  </w:style>
  <w:style w:type="paragraph" w:customStyle="1" w:styleId="82E1F52495F3409E82FE31D5DD8FD091">
    <w:name w:val="82E1F52495F3409E82FE31D5DD8FD091"/>
    <w:rsid w:val="006844FB"/>
  </w:style>
  <w:style w:type="paragraph" w:customStyle="1" w:styleId="02681EDEA84D46E1B8CF7CAC05D8BF26">
    <w:name w:val="02681EDEA84D46E1B8CF7CAC05D8BF26"/>
    <w:rsid w:val="006844FB"/>
  </w:style>
  <w:style w:type="paragraph" w:customStyle="1" w:styleId="A7CF6E27F1EF4AC5A62552F8DD4C6A0E">
    <w:name w:val="A7CF6E27F1EF4AC5A62552F8DD4C6A0E"/>
    <w:rsid w:val="006844FB"/>
  </w:style>
  <w:style w:type="paragraph" w:customStyle="1" w:styleId="F25F5D94891148D799C24289966C6902">
    <w:name w:val="F25F5D94891148D799C24289966C6902"/>
    <w:rsid w:val="006844FB"/>
  </w:style>
  <w:style w:type="paragraph" w:customStyle="1" w:styleId="138B0A964E784075B3139C4EF44458FB">
    <w:name w:val="138B0A964E784075B3139C4EF44458FB"/>
    <w:rsid w:val="006844FB"/>
  </w:style>
  <w:style w:type="paragraph" w:customStyle="1" w:styleId="8881F31DB1DE4D238C17C56913CB0097">
    <w:name w:val="8881F31DB1DE4D238C17C56913CB0097"/>
    <w:rsid w:val="006844FB"/>
  </w:style>
  <w:style w:type="paragraph" w:customStyle="1" w:styleId="004156ED3D56400098F9F2105BF31D67">
    <w:name w:val="004156ED3D56400098F9F2105BF31D67"/>
    <w:rsid w:val="006844FB"/>
  </w:style>
  <w:style w:type="paragraph" w:customStyle="1" w:styleId="C14CD6E678B04F5285DFA03B9B1D778C">
    <w:name w:val="C14CD6E678B04F5285DFA03B9B1D778C"/>
    <w:rsid w:val="006844FB"/>
  </w:style>
  <w:style w:type="paragraph" w:customStyle="1" w:styleId="5A705008C031456087AC4DA1FE9D8DDB">
    <w:name w:val="5A705008C031456087AC4DA1FE9D8DDB"/>
    <w:rsid w:val="006844FB"/>
  </w:style>
  <w:style w:type="paragraph" w:customStyle="1" w:styleId="F1AF6ED70FE348998673A58BD7A43BE4">
    <w:name w:val="F1AF6ED70FE348998673A58BD7A43BE4"/>
    <w:rsid w:val="006844FB"/>
  </w:style>
  <w:style w:type="paragraph" w:customStyle="1" w:styleId="F8D6101260034AE3BC5A63AAE4DF198B">
    <w:name w:val="F8D6101260034AE3BC5A63AAE4DF198B"/>
    <w:rsid w:val="006844FB"/>
  </w:style>
  <w:style w:type="paragraph" w:customStyle="1" w:styleId="5E30496D1A3C4876BB17F7109CFD63CE">
    <w:name w:val="5E30496D1A3C4876BB17F7109CFD63CE"/>
    <w:rsid w:val="006844FB"/>
  </w:style>
  <w:style w:type="paragraph" w:customStyle="1" w:styleId="0F3509A3390C485BBE7ED5762CF61287">
    <w:name w:val="0F3509A3390C485BBE7ED5762CF61287"/>
    <w:rsid w:val="006844FB"/>
  </w:style>
  <w:style w:type="paragraph" w:customStyle="1" w:styleId="474D9C98B5B6406FA6D4D620087F7FDB">
    <w:name w:val="474D9C98B5B6406FA6D4D620087F7FDB"/>
    <w:rsid w:val="006844FB"/>
  </w:style>
  <w:style w:type="paragraph" w:customStyle="1" w:styleId="D0EA7027A0434077A506E08A41BE047A">
    <w:name w:val="D0EA7027A0434077A506E08A41BE047A"/>
    <w:rsid w:val="006844FB"/>
  </w:style>
  <w:style w:type="paragraph" w:customStyle="1" w:styleId="5CFC07A750534236AED262BDDCA43495">
    <w:name w:val="5CFC07A750534236AED262BDDCA43495"/>
    <w:rsid w:val="006844FB"/>
  </w:style>
  <w:style w:type="paragraph" w:customStyle="1" w:styleId="B22E8D6ECC27466CBAE2E0E1C825E845">
    <w:name w:val="B22E8D6ECC27466CBAE2E0E1C825E845"/>
    <w:rsid w:val="006844FB"/>
  </w:style>
  <w:style w:type="paragraph" w:customStyle="1" w:styleId="DE78BC43681D47FF8A6A6D01A5ACFBE7">
    <w:name w:val="DE78BC43681D47FF8A6A6D01A5ACFBE7"/>
    <w:rsid w:val="006844FB"/>
  </w:style>
  <w:style w:type="paragraph" w:customStyle="1" w:styleId="F890D80246A4420A8C37B48104269D38">
    <w:name w:val="F890D80246A4420A8C37B48104269D38"/>
    <w:rsid w:val="006844FB"/>
  </w:style>
  <w:style w:type="paragraph" w:customStyle="1" w:styleId="4468A597B1064B4A944D770237EDA136">
    <w:name w:val="4468A597B1064B4A944D770237EDA136"/>
    <w:rsid w:val="006844FB"/>
  </w:style>
  <w:style w:type="paragraph" w:customStyle="1" w:styleId="3794E3B03194425D89FC2C5D09BDF978">
    <w:name w:val="3794E3B03194425D89FC2C5D09BDF978"/>
    <w:rsid w:val="006844FB"/>
  </w:style>
  <w:style w:type="paragraph" w:customStyle="1" w:styleId="62258E0BE4C04EC98E10B98C4E919FE3">
    <w:name w:val="62258E0BE4C04EC98E10B98C4E919FE3"/>
    <w:rsid w:val="006844FB"/>
  </w:style>
  <w:style w:type="paragraph" w:customStyle="1" w:styleId="64207F11EA4247949C28DB03B78E34B8">
    <w:name w:val="64207F11EA4247949C28DB03B78E34B8"/>
    <w:rsid w:val="006844FB"/>
  </w:style>
  <w:style w:type="paragraph" w:customStyle="1" w:styleId="B2547DA5FD0D419592B4F82B90F7743A">
    <w:name w:val="B2547DA5FD0D419592B4F82B90F7743A"/>
    <w:rsid w:val="006844FB"/>
  </w:style>
  <w:style w:type="paragraph" w:customStyle="1" w:styleId="B820622160A846DE8177B684DFA86CE0">
    <w:name w:val="B820622160A846DE8177B684DFA86CE0"/>
    <w:rsid w:val="006844FB"/>
  </w:style>
  <w:style w:type="paragraph" w:customStyle="1" w:styleId="723D5163D7C0464A930ECCB5A500C1CC">
    <w:name w:val="723D5163D7C0464A930ECCB5A500C1CC"/>
    <w:rsid w:val="006844FB"/>
  </w:style>
  <w:style w:type="paragraph" w:customStyle="1" w:styleId="9FADA8916CA249B2B39836B62BAE7F5B">
    <w:name w:val="9FADA8916CA249B2B39836B62BAE7F5B"/>
    <w:rsid w:val="006844FB"/>
  </w:style>
  <w:style w:type="paragraph" w:customStyle="1" w:styleId="2C78F7312DA34842BD2DD6ADF30F1E23">
    <w:name w:val="2C78F7312DA34842BD2DD6ADF30F1E23"/>
    <w:rsid w:val="006844FB"/>
  </w:style>
  <w:style w:type="paragraph" w:customStyle="1" w:styleId="A75403B03868475E9A8C11CF71B64F71">
    <w:name w:val="A75403B03868475E9A8C11CF71B64F71"/>
    <w:rsid w:val="006844FB"/>
  </w:style>
  <w:style w:type="paragraph" w:customStyle="1" w:styleId="B5CD8912DC6C442E90833E4D707928C1">
    <w:name w:val="B5CD8912DC6C442E90833E4D707928C1"/>
    <w:rsid w:val="006844FB"/>
  </w:style>
  <w:style w:type="paragraph" w:customStyle="1" w:styleId="00423DCA956A479185752E1BD90235DA">
    <w:name w:val="00423DCA956A479185752E1BD90235DA"/>
    <w:rsid w:val="006844FB"/>
  </w:style>
  <w:style w:type="paragraph" w:customStyle="1" w:styleId="E95E1E9EA28144D286C3CAE5E0EC97AD">
    <w:name w:val="E95E1E9EA28144D286C3CAE5E0EC97AD"/>
    <w:rsid w:val="006844FB"/>
  </w:style>
  <w:style w:type="paragraph" w:customStyle="1" w:styleId="BC238ECB475E4D60A75C477440C19479">
    <w:name w:val="BC238ECB475E4D60A75C477440C19479"/>
    <w:rsid w:val="006844FB"/>
  </w:style>
  <w:style w:type="paragraph" w:customStyle="1" w:styleId="0307E029F985439AB0E96B8E6B8C4DBE">
    <w:name w:val="0307E029F985439AB0E96B8E6B8C4DBE"/>
    <w:rsid w:val="006844FB"/>
  </w:style>
  <w:style w:type="paragraph" w:customStyle="1" w:styleId="9C99D4D03A4C41D884E99FF3B873C580">
    <w:name w:val="9C99D4D03A4C41D884E99FF3B873C580"/>
    <w:rsid w:val="006844FB"/>
  </w:style>
  <w:style w:type="paragraph" w:customStyle="1" w:styleId="C3232D4DDA554CD1B53EA78B2E8454B0">
    <w:name w:val="C3232D4DDA554CD1B53EA78B2E8454B0"/>
    <w:rsid w:val="006844FB"/>
  </w:style>
  <w:style w:type="paragraph" w:customStyle="1" w:styleId="D28C6CB98970400496B86AA0B20244F8">
    <w:name w:val="D28C6CB98970400496B86AA0B20244F8"/>
    <w:rsid w:val="006844FB"/>
  </w:style>
  <w:style w:type="paragraph" w:customStyle="1" w:styleId="BFEDAAB539C442CFB6C6F720A2184091">
    <w:name w:val="BFEDAAB539C442CFB6C6F720A2184091"/>
    <w:rsid w:val="006844FB"/>
  </w:style>
  <w:style w:type="paragraph" w:customStyle="1" w:styleId="199733DFC4C84EFB81AF4D04D55DB2C6">
    <w:name w:val="199733DFC4C84EFB81AF4D04D55DB2C6"/>
    <w:rsid w:val="006844FB"/>
  </w:style>
  <w:style w:type="paragraph" w:customStyle="1" w:styleId="1062448F807543EF8CABBD7FFD44A815">
    <w:name w:val="1062448F807543EF8CABBD7FFD44A815"/>
    <w:rsid w:val="006844FB"/>
  </w:style>
  <w:style w:type="paragraph" w:customStyle="1" w:styleId="9CE4F49074D34A308838B87582031A84">
    <w:name w:val="9CE4F49074D34A308838B87582031A84"/>
    <w:rsid w:val="006844FB"/>
  </w:style>
  <w:style w:type="paragraph" w:customStyle="1" w:styleId="AED2AEED8C0E412DBCDF2E05B033976E">
    <w:name w:val="AED2AEED8C0E412DBCDF2E05B033976E"/>
    <w:rsid w:val="006844FB"/>
  </w:style>
  <w:style w:type="paragraph" w:customStyle="1" w:styleId="9D11E4006400494D9FC2DF3182222D78">
    <w:name w:val="9D11E4006400494D9FC2DF3182222D78"/>
    <w:rsid w:val="006844FB"/>
  </w:style>
  <w:style w:type="paragraph" w:customStyle="1" w:styleId="EA53C30F38774BAC820D3F4159242011">
    <w:name w:val="EA53C30F38774BAC820D3F4159242011"/>
    <w:rsid w:val="006844FB"/>
  </w:style>
  <w:style w:type="paragraph" w:customStyle="1" w:styleId="C517FA01E71D46BB8EBF70B7A827B918">
    <w:name w:val="C517FA01E71D46BB8EBF70B7A827B918"/>
    <w:rsid w:val="006844FB"/>
  </w:style>
  <w:style w:type="paragraph" w:customStyle="1" w:styleId="42314FFE38174F72818A49B9CB4A8E6C">
    <w:name w:val="42314FFE38174F72818A49B9CB4A8E6C"/>
    <w:rsid w:val="006844FB"/>
  </w:style>
  <w:style w:type="paragraph" w:customStyle="1" w:styleId="EB89B63F41A54F61A47B4D5EECB50EBE">
    <w:name w:val="EB89B63F41A54F61A47B4D5EECB50EBE"/>
    <w:rsid w:val="006844FB"/>
  </w:style>
  <w:style w:type="paragraph" w:customStyle="1" w:styleId="749C95A751BA43098B1122D0CF04280C">
    <w:name w:val="749C95A751BA43098B1122D0CF04280C"/>
    <w:rsid w:val="006844FB"/>
  </w:style>
  <w:style w:type="paragraph" w:customStyle="1" w:styleId="DFA975BD0D08471EBEEE9F68FD08C1CB">
    <w:name w:val="DFA975BD0D08471EBEEE9F68FD08C1CB"/>
    <w:rsid w:val="006844FB"/>
  </w:style>
  <w:style w:type="paragraph" w:customStyle="1" w:styleId="142EC234E94F4557ABDB7842D48F62CF">
    <w:name w:val="142EC234E94F4557ABDB7842D48F62CF"/>
    <w:rsid w:val="006844FB"/>
  </w:style>
  <w:style w:type="paragraph" w:customStyle="1" w:styleId="B70C0E4164B24980AF19D5B7F8ADFBA7">
    <w:name w:val="B70C0E4164B24980AF19D5B7F8ADFBA7"/>
    <w:rsid w:val="006844FB"/>
  </w:style>
  <w:style w:type="paragraph" w:customStyle="1" w:styleId="9AF3A2CEAAF7484184714137D6FDEDCC">
    <w:name w:val="9AF3A2CEAAF7484184714137D6FDEDCC"/>
    <w:rsid w:val="006844FB"/>
  </w:style>
  <w:style w:type="paragraph" w:customStyle="1" w:styleId="E254DF4CE14446C8BE4EFDA7E848F6C3">
    <w:name w:val="E254DF4CE14446C8BE4EFDA7E848F6C3"/>
    <w:rsid w:val="006844FB"/>
  </w:style>
  <w:style w:type="paragraph" w:customStyle="1" w:styleId="A3578BD131A84B9488D3D73BFA3B1A7C">
    <w:name w:val="A3578BD131A84B9488D3D73BFA3B1A7C"/>
    <w:rsid w:val="006844FB"/>
  </w:style>
  <w:style w:type="paragraph" w:customStyle="1" w:styleId="4F124B2F503E496C9922AA755B646323">
    <w:name w:val="4F124B2F503E496C9922AA755B646323"/>
    <w:rsid w:val="006844FB"/>
  </w:style>
  <w:style w:type="paragraph" w:customStyle="1" w:styleId="C33B65C4DDC245149AE156740059234E">
    <w:name w:val="C33B65C4DDC245149AE156740059234E"/>
    <w:rsid w:val="006844FB"/>
  </w:style>
  <w:style w:type="paragraph" w:customStyle="1" w:styleId="0E641DFFDEBF4C838F34751FDA5A6A8A">
    <w:name w:val="0E641DFFDEBF4C838F34751FDA5A6A8A"/>
    <w:rsid w:val="006844FB"/>
  </w:style>
  <w:style w:type="paragraph" w:customStyle="1" w:styleId="D88B9DB9BA894FBCB8F8FD4D7F81C173">
    <w:name w:val="D88B9DB9BA894FBCB8F8FD4D7F81C173"/>
    <w:rsid w:val="006844FB"/>
  </w:style>
  <w:style w:type="paragraph" w:customStyle="1" w:styleId="DEB0D935CF8048B08D59C3A48E0206D7">
    <w:name w:val="DEB0D935CF8048B08D59C3A48E0206D7"/>
    <w:rsid w:val="006844FB"/>
  </w:style>
  <w:style w:type="paragraph" w:customStyle="1" w:styleId="8FEADF61227644D0A37CC73F88474670">
    <w:name w:val="8FEADF61227644D0A37CC73F88474670"/>
    <w:rsid w:val="006844FB"/>
  </w:style>
  <w:style w:type="paragraph" w:customStyle="1" w:styleId="1C949DD9C6344BB1BAD350EAE4D6AF7E">
    <w:name w:val="1C949DD9C6344BB1BAD350EAE4D6AF7E"/>
    <w:rsid w:val="006844FB"/>
  </w:style>
  <w:style w:type="paragraph" w:customStyle="1" w:styleId="E7AE964AF92143F5A75D147113848869">
    <w:name w:val="E7AE964AF92143F5A75D147113848869"/>
    <w:rsid w:val="006844FB"/>
  </w:style>
  <w:style w:type="paragraph" w:customStyle="1" w:styleId="E97CC45E9B5F4F04A323EA9A62AF5E5E">
    <w:name w:val="E97CC45E9B5F4F04A323EA9A62AF5E5E"/>
    <w:rsid w:val="006844FB"/>
  </w:style>
  <w:style w:type="paragraph" w:customStyle="1" w:styleId="18686B9B78CE476D92021B08287CF879">
    <w:name w:val="18686B9B78CE476D92021B08287CF879"/>
    <w:rsid w:val="006844FB"/>
  </w:style>
  <w:style w:type="paragraph" w:customStyle="1" w:styleId="EDD97D10BC2943E6B7E3D60D695AC4CA">
    <w:name w:val="EDD97D10BC2943E6B7E3D60D695AC4CA"/>
    <w:rsid w:val="006844FB"/>
  </w:style>
  <w:style w:type="paragraph" w:customStyle="1" w:styleId="D6C70D90604847BA89DF4B74048195E4">
    <w:name w:val="D6C70D90604847BA89DF4B74048195E4"/>
    <w:rsid w:val="006844FB"/>
  </w:style>
  <w:style w:type="paragraph" w:customStyle="1" w:styleId="15B2549E8BD74CACBAEF40A0BB2CFB9B">
    <w:name w:val="15B2549E8BD74CACBAEF40A0BB2CFB9B"/>
    <w:rsid w:val="006844FB"/>
  </w:style>
  <w:style w:type="paragraph" w:customStyle="1" w:styleId="3BF4CDD5319045EBBAC725A566454717">
    <w:name w:val="3BF4CDD5319045EBBAC725A566454717"/>
    <w:rsid w:val="006844FB"/>
  </w:style>
  <w:style w:type="paragraph" w:customStyle="1" w:styleId="2F84A49903B0475788D07BE9925F06B0">
    <w:name w:val="2F84A49903B0475788D07BE9925F06B0"/>
    <w:rsid w:val="006844FB"/>
  </w:style>
  <w:style w:type="paragraph" w:customStyle="1" w:styleId="41CEC81C9AB44B0EA5A452C1F0C08EC3">
    <w:name w:val="41CEC81C9AB44B0EA5A452C1F0C08EC3"/>
    <w:rsid w:val="006844FB"/>
  </w:style>
  <w:style w:type="paragraph" w:customStyle="1" w:styleId="67CDD69804C047708E16AED9EB4D7EE4">
    <w:name w:val="67CDD69804C047708E16AED9EB4D7EE4"/>
    <w:rsid w:val="006844FB"/>
  </w:style>
  <w:style w:type="paragraph" w:customStyle="1" w:styleId="B1FB1D985EA6471781F0B1C1D569F48F">
    <w:name w:val="B1FB1D985EA6471781F0B1C1D569F48F"/>
    <w:rsid w:val="006844FB"/>
  </w:style>
  <w:style w:type="paragraph" w:customStyle="1" w:styleId="B2D79ADF5B3247689991E95B63993ED2">
    <w:name w:val="B2D79ADF5B3247689991E95B63993ED2"/>
    <w:rsid w:val="006844FB"/>
  </w:style>
  <w:style w:type="paragraph" w:customStyle="1" w:styleId="FE1C6AA9525C43E5B9BBC40F1E7BD977">
    <w:name w:val="FE1C6AA9525C43E5B9BBC40F1E7BD977"/>
    <w:rsid w:val="006844FB"/>
  </w:style>
  <w:style w:type="paragraph" w:customStyle="1" w:styleId="3FC8B8AF47F34681A3302FE3AE1869C1">
    <w:name w:val="3FC8B8AF47F34681A3302FE3AE1869C1"/>
    <w:rsid w:val="006844FB"/>
  </w:style>
  <w:style w:type="paragraph" w:customStyle="1" w:styleId="2ACD2767E5FC4D1C9E950B7E885F49B4">
    <w:name w:val="2ACD2767E5FC4D1C9E950B7E885F49B4"/>
    <w:rsid w:val="006844FB"/>
  </w:style>
  <w:style w:type="paragraph" w:customStyle="1" w:styleId="6368E672A0DD45E285BDCCAA6FB317BB">
    <w:name w:val="6368E672A0DD45E285BDCCAA6FB317BB"/>
    <w:rsid w:val="006844FB"/>
  </w:style>
  <w:style w:type="paragraph" w:customStyle="1" w:styleId="56273C8C1C3945A494A8D893725ED9BF">
    <w:name w:val="56273C8C1C3945A494A8D893725ED9BF"/>
    <w:rsid w:val="006844FB"/>
  </w:style>
  <w:style w:type="paragraph" w:customStyle="1" w:styleId="475F83B89651473DB7FFC66F800BAD28">
    <w:name w:val="475F83B89651473DB7FFC66F800BAD28"/>
    <w:rsid w:val="006844FB"/>
  </w:style>
  <w:style w:type="paragraph" w:customStyle="1" w:styleId="2CD3FAFD29C6465D810FE7C2F06830D5">
    <w:name w:val="2CD3FAFD29C6465D810FE7C2F06830D5"/>
    <w:rsid w:val="006844FB"/>
  </w:style>
  <w:style w:type="paragraph" w:customStyle="1" w:styleId="D3BCC7D00E6D433C97E1A44BB3AB4EE4">
    <w:name w:val="D3BCC7D00E6D433C97E1A44BB3AB4EE4"/>
    <w:rsid w:val="006844FB"/>
  </w:style>
  <w:style w:type="paragraph" w:customStyle="1" w:styleId="F7E27AD184FA40E59F35755EAE01226D">
    <w:name w:val="F7E27AD184FA40E59F35755EAE01226D"/>
    <w:rsid w:val="006844FB"/>
  </w:style>
  <w:style w:type="paragraph" w:customStyle="1" w:styleId="A7FC1F47CBD742C297D6A0BDF61A22F7">
    <w:name w:val="A7FC1F47CBD742C297D6A0BDF61A22F7"/>
    <w:rsid w:val="006844FB"/>
  </w:style>
  <w:style w:type="paragraph" w:customStyle="1" w:styleId="22EFDC4D2D02458A932D60963DA7E05B">
    <w:name w:val="22EFDC4D2D02458A932D60963DA7E05B"/>
    <w:rsid w:val="006844FB"/>
  </w:style>
  <w:style w:type="paragraph" w:customStyle="1" w:styleId="2552DFD31B244BE9B523B5EE988D8F9B">
    <w:name w:val="2552DFD31B244BE9B523B5EE988D8F9B"/>
    <w:rsid w:val="006844FB"/>
  </w:style>
  <w:style w:type="paragraph" w:customStyle="1" w:styleId="418892C22F734BE286EDDDC65D01F6AA">
    <w:name w:val="418892C22F734BE286EDDDC65D01F6AA"/>
    <w:rsid w:val="006844FB"/>
  </w:style>
  <w:style w:type="paragraph" w:customStyle="1" w:styleId="5D67AAF588A04F6491160ADD875A34D4">
    <w:name w:val="5D67AAF588A04F6491160ADD875A34D4"/>
    <w:rsid w:val="006844FB"/>
  </w:style>
  <w:style w:type="paragraph" w:customStyle="1" w:styleId="1DCEBAE010A449BAA100ACA3C3358632">
    <w:name w:val="1DCEBAE010A449BAA100ACA3C3358632"/>
    <w:rsid w:val="006844FB"/>
  </w:style>
  <w:style w:type="paragraph" w:customStyle="1" w:styleId="25FAFC61EF1340B2A87EF9DFA128C093">
    <w:name w:val="25FAFC61EF1340B2A87EF9DFA128C093"/>
    <w:rsid w:val="006844FB"/>
  </w:style>
  <w:style w:type="paragraph" w:customStyle="1" w:styleId="756F031B13C24154A15CAE1603EC502F">
    <w:name w:val="756F031B13C24154A15CAE1603EC502F"/>
    <w:rsid w:val="006844FB"/>
  </w:style>
  <w:style w:type="paragraph" w:customStyle="1" w:styleId="6E4920B64D0D4C60AB154FF5E20E0D5A">
    <w:name w:val="6E4920B64D0D4C60AB154FF5E20E0D5A"/>
    <w:rsid w:val="006844FB"/>
  </w:style>
  <w:style w:type="paragraph" w:customStyle="1" w:styleId="99DB6736DE7E4D9B964ACA1957AA0D82">
    <w:name w:val="99DB6736DE7E4D9B964ACA1957AA0D82"/>
    <w:rsid w:val="006844FB"/>
  </w:style>
  <w:style w:type="paragraph" w:customStyle="1" w:styleId="B25D364B27C24795A3FC60E5BE82EDF2">
    <w:name w:val="B25D364B27C24795A3FC60E5BE82EDF2"/>
    <w:rsid w:val="002930E7"/>
  </w:style>
  <w:style w:type="paragraph" w:customStyle="1" w:styleId="5596C327919E4EC4AC02798A0771AC5E">
    <w:name w:val="5596C327919E4EC4AC02798A0771AC5E"/>
    <w:rsid w:val="002930E7"/>
  </w:style>
  <w:style w:type="paragraph" w:customStyle="1" w:styleId="F4C7290E7A8843D28B43B239EF7BF671">
    <w:name w:val="F4C7290E7A8843D28B43B239EF7BF671"/>
    <w:rsid w:val="002930E7"/>
  </w:style>
  <w:style w:type="paragraph" w:customStyle="1" w:styleId="18A56CB413B44A9D8F707E6D73101EC6">
    <w:name w:val="18A56CB413B44A9D8F707E6D73101EC6"/>
    <w:rsid w:val="002930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3FF71-17F9-42A8-B3CE-CE481775FF90}">
  <ds:schemaRefs>
    <ds:schemaRef ds:uri="http://schemas.openxmlformats.org/officeDocument/2006/bibliography"/>
  </ds:schemaRefs>
</ds:datastoreItem>
</file>

<file path=customXml/itemProps2.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3.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sablonaDP_-_MUNI_-_SCI</Template>
  <TotalTime>121</TotalTime>
  <Pages>80</Pages>
  <Words>151577</Words>
  <Characters>863993</Characters>
  <Application>Microsoft Office Word</Application>
  <DocSecurity>0</DocSecurity>
  <Lines>7199</Lines>
  <Paragraphs>2027</Paragraphs>
  <ScaleCrop>false</ScaleCrop>
  <HeadingPairs>
    <vt:vector size="2" baseType="variant">
      <vt:variant>
        <vt:lpstr>Název</vt:lpstr>
      </vt:variant>
      <vt:variant>
        <vt:i4>1</vt:i4>
      </vt:variant>
    </vt:vector>
  </HeadingPairs>
  <TitlesOfParts>
    <vt:vector size="1" baseType="lpstr">
      <vt:lpstr>Využití močových a tkáňových mikroRNA k zpřesnění diagnostiky karcinomu prostaty</vt:lpstr>
    </vt:vector>
  </TitlesOfParts>
  <Manager>prof. RNDr. Ondřej Slabý, Ph.D.</Manager>
  <Company>Ústav biochemie</Company>
  <LinksUpToDate>false</LinksUpToDate>
  <CharactersWithSpaces>1013543</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Využití močových a tkáňových mikroRNA k zpřesnění diagnostiky karcinomu prostaty</dc:title>
  <dc:subject/>
  <dc:creator>Marie Mądrzyk</dc:creator>
  <cp:keywords/>
  <cp:lastModifiedBy>Marie Mądrzyk</cp:lastModifiedBy>
  <cp:revision>16</cp:revision>
  <cp:lastPrinted>2020-08-12T19:37:00Z</cp:lastPrinted>
  <dcterms:created xsi:type="dcterms:W3CDTF">2020-08-12T19:01:00Z</dcterms:created>
  <dcterms:modified xsi:type="dcterms:W3CDTF">2020-08-12T21:12:00Z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
    <vt:lpwstr>STARE</vt:lpwstr>
  </property>
  <property fmtid="{D5CDD505-2E9C-101B-9397-08002B2CF9AE}" pid="3" name="ContentTypeId">
    <vt:lpwstr>0x01010020E94A790C08CC49A260A2015B6A86EF</vt:lpwstr>
  </property>
  <property fmtid="{D5CDD505-2E9C-101B-9397-08002B2CF9AE}" pid="4"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5" name="ZOTERO_PREF_2">
    <vt:lpwstr>maticJournalAbbreviations" value="true"/&gt;&lt;/prefs&gt;&lt;/data&gt;</vt:lpwstr>
  </property>
  <property fmtid="{D5CDD505-2E9C-101B-9397-08002B2CF9AE}" pid="6" name="MU_SABLONA">
    <vt:lpwstr>SCI</vt:lpwstr>
  </property>
  <property fmtid="{D5CDD505-2E9C-101B-9397-08002B2CF9AE}" pid="7" name="MU_VYGENEROVANO">
    <vt:lpwstr>2019-12-05</vt:lpwstr>
  </property>
  <property fmtid="{D5CDD505-2E9C-101B-9397-08002B2CF9AE}" pid="8" name="Mendeley Document_1">
    <vt:lpwstr>True</vt:lpwstr>
  </property>
  <property fmtid="{D5CDD505-2E9C-101B-9397-08002B2CF9AE}" pid="9" name="Mendeley Citation Style_1">
    <vt:lpwstr>http://www.zotero.org/styles/american-medical-association</vt:lpwstr>
  </property>
  <property fmtid="{D5CDD505-2E9C-101B-9397-08002B2CF9AE}" pid="10" name="Mendeley Unique User Id_1">
    <vt:lpwstr>478b2f04-836a-3d75-baad-75c514afb8fd</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http://www.zotero.org/styles/chicago-note-bibliography</vt:lpwstr>
  </property>
  <property fmtid="{D5CDD505-2E9C-101B-9397-08002B2CF9AE}" pid="18" name="Mendeley Recent Style Name 3_1">
    <vt:lpwstr>Chicago Manual of Style 17th edition (note)</vt:lpwstr>
  </property>
  <property fmtid="{D5CDD505-2E9C-101B-9397-08002B2CF9AE}" pid="19" name="Mendeley Recent Style Id 4_1">
    <vt:lpwstr>http://www.zotero.org/styles/harvard-cite-them-right</vt:lpwstr>
  </property>
  <property fmtid="{D5CDD505-2E9C-101B-9397-08002B2CF9AE}" pid="20" name="Mendeley Recent Style Name 4_1">
    <vt:lpwstr>Cite Them Right 10th edition - Harvard</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(deprecated)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http://www.zotero.org/styles/modern-language-association</vt:lpwstr>
  </property>
  <property fmtid="{D5CDD505-2E9C-101B-9397-08002B2CF9AE}" pid="26" name="Mendeley Recent Style Name 7_1">
    <vt:lpwstr>Modern Language Association 8th edition</vt:lpwstr>
  </property>
  <property fmtid="{D5CDD505-2E9C-101B-9397-08002B2CF9AE}" pid="27" name="Mendeley Recent Style Id 8_1">
    <vt:lpwstr>http://www.zotero.org/styles/national-library-of-medicine</vt:lpwstr>
  </property>
  <property fmtid="{D5CDD505-2E9C-101B-9397-08002B2CF9AE}" pid="28" name="Mendeley Recent Style Name 8_1">
    <vt:lpwstr>National Library of Medicine</vt:lpwstr>
  </property>
  <property fmtid="{D5CDD505-2E9C-101B-9397-08002B2CF9AE}" pid="29" name="Mendeley Recent Style Id 9_1">
    <vt:lpwstr>http://www.zotero.org/styles/vancouver</vt:lpwstr>
  </property>
  <property fmtid="{D5CDD505-2E9C-101B-9397-08002B2CF9AE}" pid="30" name="Mendeley Recent Style Name 9_1">
    <vt:lpwstr>Vancouver</vt:lpwstr>
  </property>
</Properties>
</file>