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36B" w:rsidRDefault="00C0032D">
      <w:pPr>
        <w:pStyle w:val="Nadpis1"/>
        <w:jc w:val="center"/>
      </w:pPr>
      <w:r>
        <w:rPr>
          <w:sz w:val="28"/>
          <w:szCs w:val="28"/>
        </w:rPr>
        <w:t>Hodnocení bakalářské práce – posudek oponenta</w:t>
      </w:r>
    </w:p>
    <w:p w:rsidR="0093036B" w:rsidRDefault="0093036B">
      <w:pPr>
        <w:pStyle w:val="Standard"/>
      </w:pPr>
    </w:p>
    <w:p w:rsidR="0093036B" w:rsidRDefault="0093036B">
      <w:pPr>
        <w:pStyle w:val="Standard"/>
      </w:pPr>
    </w:p>
    <w:tbl>
      <w:tblPr>
        <w:tblW w:w="946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8"/>
        <w:gridCol w:w="900"/>
        <w:gridCol w:w="900"/>
        <w:gridCol w:w="810"/>
        <w:gridCol w:w="990"/>
      </w:tblGrid>
      <w:tr w:rsidR="0093036B">
        <w:tblPrEx>
          <w:tblCellMar>
            <w:top w:w="0" w:type="dxa"/>
            <w:bottom w:w="0" w:type="dxa"/>
          </w:tblCellMar>
        </w:tblPrEx>
        <w:tc>
          <w:tcPr>
            <w:tcW w:w="58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36B" w:rsidRDefault="00C0032D">
            <w:pPr>
              <w:pStyle w:val="Standard"/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Juraj Andrejka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36B" w:rsidRDefault="00C0032D">
            <w:pPr>
              <w:pStyle w:val="Standard"/>
              <w:spacing w:line="360" w:lineRule="auto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GEOG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36B" w:rsidRDefault="00C0032D">
            <w:pPr>
              <w:pStyle w:val="Standard"/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KART</w:t>
            </w:r>
          </w:p>
        </w:tc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36B" w:rsidRDefault="00C0032D">
            <w:pPr>
              <w:pStyle w:val="Standard"/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UZ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36B" w:rsidRDefault="00C0032D">
            <w:pPr>
              <w:pStyle w:val="Standard"/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APGI</w:t>
            </w:r>
          </w:p>
        </w:tc>
      </w:tr>
      <w:tr w:rsidR="0093036B">
        <w:tblPrEx>
          <w:tblCellMar>
            <w:top w:w="0" w:type="dxa"/>
            <w:bottom w:w="0" w:type="dxa"/>
          </w:tblCellMar>
        </w:tblPrEx>
        <w:tc>
          <w:tcPr>
            <w:tcW w:w="58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36B" w:rsidRDefault="00C0032D">
            <w:pPr>
              <w:pStyle w:val="Standard"/>
              <w:spacing w:line="360" w:lineRule="auto"/>
            </w:pPr>
            <w:r>
              <w:rPr>
                <w:b/>
                <w:i/>
                <w:sz w:val="22"/>
                <w:szCs w:val="22"/>
              </w:rPr>
              <w:t>Příjmení a jméno studenta</w:t>
            </w:r>
          </w:p>
        </w:tc>
        <w:tc>
          <w:tcPr>
            <w:tcW w:w="360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36B" w:rsidRDefault="00C0032D">
            <w:pPr>
              <w:pStyle w:val="Standard"/>
              <w:spacing w:line="360" w:lineRule="auto"/>
              <w:jc w:val="center"/>
            </w:pPr>
            <w:r>
              <w:rPr>
                <w:b/>
                <w:i/>
                <w:sz w:val="22"/>
                <w:szCs w:val="22"/>
              </w:rPr>
              <w:t>bakalářský program a obor</w:t>
            </w:r>
          </w:p>
        </w:tc>
      </w:tr>
    </w:tbl>
    <w:p w:rsidR="0093036B" w:rsidRDefault="0093036B">
      <w:pPr>
        <w:pStyle w:val="Standard"/>
        <w:rPr>
          <w:sz w:val="22"/>
          <w:szCs w:val="22"/>
        </w:rPr>
      </w:pPr>
    </w:p>
    <w:p w:rsidR="0093036B" w:rsidRDefault="0093036B">
      <w:pPr>
        <w:pStyle w:val="Standard"/>
        <w:rPr>
          <w:sz w:val="22"/>
          <w:szCs w:val="22"/>
        </w:rPr>
      </w:pPr>
    </w:p>
    <w:tbl>
      <w:tblPr>
        <w:tblW w:w="946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8"/>
      </w:tblGrid>
      <w:tr w:rsidR="0093036B">
        <w:tblPrEx>
          <w:tblCellMar>
            <w:top w:w="0" w:type="dxa"/>
            <w:bottom w:w="0" w:type="dxa"/>
          </w:tblCellMar>
        </w:tblPrEx>
        <w:tc>
          <w:tcPr>
            <w:tcW w:w="94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36B" w:rsidRDefault="00C0032D">
            <w:pPr>
              <w:pStyle w:val="Standard"/>
              <w:spacing w:line="360" w:lineRule="auto"/>
              <w:ind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Dopravná nehodovosť v Českej republike a </w:t>
            </w:r>
            <w:r>
              <w:rPr>
                <w:b/>
                <w:sz w:val="22"/>
                <w:szCs w:val="22"/>
              </w:rPr>
              <w:t>ďalších európskych krajinách</w:t>
            </w:r>
          </w:p>
        </w:tc>
      </w:tr>
      <w:tr w:rsidR="0093036B">
        <w:tblPrEx>
          <w:tblCellMar>
            <w:top w:w="0" w:type="dxa"/>
            <w:bottom w:w="0" w:type="dxa"/>
          </w:tblCellMar>
        </w:tblPrEx>
        <w:tc>
          <w:tcPr>
            <w:tcW w:w="94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36B" w:rsidRDefault="00C0032D">
            <w:pPr>
              <w:pStyle w:val="Standard"/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název práce</w:t>
            </w:r>
          </w:p>
        </w:tc>
      </w:tr>
    </w:tbl>
    <w:p w:rsidR="0093036B" w:rsidRDefault="0093036B">
      <w:pPr>
        <w:pStyle w:val="Standard"/>
        <w:rPr>
          <w:sz w:val="22"/>
          <w:szCs w:val="22"/>
        </w:rPr>
      </w:pPr>
    </w:p>
    <w:p w:rsidR="0093036B" w:rsidRDefault="00C0032D">
      <w:pPr>
        <w:pStyle w:val="Standard"/>
      </w:pPr>
      <w:r>
        <w:rPr>
          <w:b/>
          <w:sz w:val="22"/>
          <w:szCs w:val="22"/>
        </w:rPr>
        <w:t>Charakter práce</w:t>
      </w:r>
      <w:r>
        <w:rPr>
          <w:sz w:val="22"/>
          <w:szCs w:val="22"/>
        </w:rPr>
        <w:t xml:space="preserve">:  </w:t>
      </w:r>
      <w:r>
        <w:rPr>
          <w:sz w:val="22"/>
          <w:szCs w:val="22"/>
          <w:u w:val="single"/>
        </w:rPr>
        <w:t>teoretická</w:t>
      </w:r>
      <w:r>
        <w:rPr>
          <w:sz w:val="22"/>
          <w:szCs w:val="22"/>
        </w:rPr>
        <w:t xml:space="preserve"> </w:t>
      </w:r>
      <w:r>
        <w:rPr>
          <w:sz w:val="48"/>
          <w:szCs w:val="48"/>
        </w:rPr>
        <w:t>□</w:t>
      </w:r>
      <w:r>
        <w:rPr>
          <w:sz w:val="22"/>
          <w:szCs w:val="22"/>
        </w:rPr>
        <w:t xml:space="preserve">, aplikační </w:t>
      </w:r>
      <w:r>
        <w:rPr>
          <w:sz w:val="48"/>
          <w:szCs w:val="48"/>
        </w:rPr>
        <w:t>□</w:t>
      </w:r>
      <w:r>
        <w:rPr>
          <w:sz w:val="22"/>
          <w:szCs w:val="22"/>
        </w:rPr>
        <w:t xml:space="preserve">, metodicko-didaktická </w:t>
      </w:r>
      <w:r>
        <w:rPr>
          <w:sz w:val="48"/>
          <w:szCs w:val="48"/>
        </w:rPr>
        <w:t>□</w:t>
      </w:r>
      <w:r>
        <w:rPr>
          <w:sz w:val="22"/>
          <w:szCs w:val="22"/>
        </w:rPr>
        <w:t>, ...........................................</w:t>
      </w:r>
      <w:r>
        <w:rPr>
          <w:sz w:val="48"/>
          <w:szCs w:val="48"/>
        </w:rPr>
        <w:t>□</w:t>
      </w:r>
    </w:p>
    <w:p w:rsidR="0093036B" w:rsidRDefault="0093036B">
      <w:pPr>
        <w:pStyle w:val="Standard"/>
        <w:rPr>
          <w:sz w:val="22"/>
          <w:szCs w:val="22"/>
        </w:rPr>
      </w:pPr>
    </w:p>
    <w:tbl>
      <w:tblPr>
        <w:tblW w:w="946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8"/>
        <w:gridCol w:w="1560"/>
        <w:gridCol w:w="1560"/>
        <w:gridCol w:w="1560"/>
        <w:gridCol w:w="2340"/>
      </w:tblGrid>
      <w:tr w:rsidR="0093036B">
        <w:tblPrEx>
          <w:tblCellMar>
            <w:top w:w="0" w:type="dxa"/>
            <w:bottom w:w="0" w:type="dxa"/>
          </w:tblCellMar>
        </w:tblPrEx>
        <w:tc>
          <w:tcPr>
            <w:tcW w:w="24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36B" w:rsidRDefault="00C0032D">
            <w:pPr>
              <w:pStyle w:val="Standard"/>
              <w:spacing w:line="48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Splnění úkolu: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36B" w:rsidRDefault="00C0032D">
            <w:pPr>
              <w:pStyle w:val="Standard"/>
              <w:spacing w:line="48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Výborné  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36B" w:rsidRDefault="00C0032D">
            <w:pPr>
              <w:pStyle w:val="Standard"/>
              <w:spacing w:line="48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dobré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36B" w:rsidRDefault="00C0032D">
            <w:pPr>
              <w:pStyle w:val="Standard"/>
              <w:spacing w:line="480" w:lineRule="auto"/>
              <w:jc w:val="right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Dobré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36B" w:rsidRDefault="00C0032D">
            <w:pPr>
              <w:pStyle w:val="Standard"/>
              <w:spacing w:line="48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Nevyhovující</w:t>
            </w:r>
          </w:p>
        </w:tc>
      </w:tr>
      <w:tr w:rsidR="0093036B">
        <w:tblPrEx>
          <w:tblCellMar>
            <w:top w:w="0" w:type="dxa"/>
            <w:bottom w:w="0" w:type="dxa"/>
          </w:tblCellMar>
        </w:tblPrEx>
        <w:tc>
          <w:tcPr>
            <w:tcW w:w="24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36B" w:rsidRDefault="00C0032D">
            <w:pPr>
              <w:pStyle w:val="Standard"/>
              <w:spacing w:line="48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Obsahová úroveň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36B" w:rsidRDefault="00C0032D">
            <w:pPr>
              <w:pStyle w:val="Standard"/>
              <w:spacing w:line="48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Výborné  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36B" w:rsidRDefault="00C0032D">
            <w:pPr>
              <w:pStyle w:val="Standard"/>
              <w:spacing w:line="48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dobré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36B" w:rsidRDefault="00C0032D">
            <w:pPr>
              <w:pStyle w:val="Standard"/>
              <w:spacing w:line="480" w:lineRule="auto"/>
              <w:jc w:val="right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Dobré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36B" w:rsidRDefault="00C0032D">
            <w:pPr>
              <w:pStyle w:val="Standard"/>
              <w:spacing w:line="48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Nevyhovující</w:t>
            </w:r>
          </w:p>
        </w:tc>
      </w:tr>
      <w:tr w:rsidR="0093036B">
        <w:tblPrEx>
          <w:tblCellMar>
            <w:top w:w="0" w:type="dxa"/>
            <w:bottom w:w="0" w:type="dxa"/>
          </w:tblCellMar>
        </w:tblPrEx>
        <w:tc>
          <w:tcPr>
            <w:tcW w:w="24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36B" w:rsidRDefault="00C0032D">
            <w:pPr>
              <w:pStyle w:val="Standard"/>
              <w:spacing w:line="48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Formální úroveň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36B" w:rsidRDefault="00C0032D">
            <w:pPr>
              <w:pStyle w:val="Standard"/>
              <w:spacing w:line="48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Výborné  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36B" w:rsidRDefault="00C0032D">
            <w:pPr>
              <w:pStyle w:val="Standard"/>
              <w:spacing w:line="48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dobré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36B" w:rsidRDefault="00C0032D">
            <w:pPr>
              <w:pStyle w:val="Standard"/>
              <w:spacing w:line="480" w:lineRule="auto"/>
              <w:jc w:val="right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Dobré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36B" w:rsidRDefault="00C0032D">
            <w:pPr>
              <w:pStyle w:val="Standard"/>
              <w:spacing w:line="48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Nevyhovující</w:t>
            </w:r>
          </w:p>
        </w:tc>
      </w:tr>
      <w:tr w:rsidR="0093036B">
        <w:tblPrEx>
          <w:tblCellMar>
            <w:top w:w="0" w:type="dxa"/>
            <w:bottom w:w="0" w:type="dxa"/>
          </w:tblCellMar>
        </w:tblPrEx>
        <w:tc>
          <w:tcPr>
            <w:tcW w:w="24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36B" w:rsidRDefault="00C0032D">
            <w:pPr>
              <w:pStyle w:val="Standard"/>
              <w:spacing w:line="48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Rozsah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36B" w:rsidRDefault="0093036B">
            <w:pPr>
              <w:pStyle w:val="Standard"/>
              <w:snapToGrid w:val="0"/>
              <w:spacing w:line="48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36B" w:rsidRDefault="00C0032D">
            <w:pPr>
              <w:pStyle w:val="Standard"/>
              <w:spacing w:line="480" w:lineRule="auto"/>
              <w:jc w:val="right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Přiměřený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36B" w:rsidRDefault="00C0032D">
            <w:pPr>
              <w:pStyle w:val="Standard"/>
              <w:spacing w:line="48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Příliš krátký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36B" w:rsidRDefault="00C0032D">
            <w:pPr>
              <w:pStyle w:val="Standard"/>
              <w:spacing w:line="48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Příliš dlouhý</w:t>
            </w:r>
          </w:p>
        </w:tc>
      </w:tr>
      <w:tr w:rsidR="0093036B">
        <w:tblPrEx>
          <w:tblCellMar>
            <w:top w:w="0" w:type="dxa"/>
            <w:bottom w:w="0" w:type="dxa"/>
          </w:tblCellMar>
        </w:tblPrEx>
        <w:tc>
          <w:tcPr>
            <w:tcW w:w="24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36B" w:rsidRDefault="00C0032D">
            <w:pPr>
              <w:pStyle w:val="Standard"/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Zjištěné nedostatky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36B" w:rsidRDefault="0093036B">
            <w:pPr>
              <w:pStyle w:val="Standard"/>
              <w:snapToGrid w:val="0"/>
              <w:spacing w:line="36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36B" w:rsidRDefault="00C0032D">
            <w:pPr>
              <w:pStyle w:val="Standard"/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Zanedbatelné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36B" w:rsidRDefault="00C0032D">
            <w:pPr>
              <w:pStyle w:val="Standard"/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Nepodstatné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36B" w:rsidRDefault="00C0032D">
            <w:pPr>
              <w:pStyle w:val="Standard"/>
              <w:spacing w:line="360" w:lineRule="auto"/>
              <w:jc w:val="right"/>
            </w:pPr>
            <w:r>
              <w:rPr>
                <w:sz w:val="22"/>
                <w:szCs w:val="22"/>
                <w:u w:val="single"/>
              </w:rPr>
              <w:t>Podstatné</w:t>
            </w:r>
            <w:r>
              <w:rPr>
                <w:sz w:val="22"/>
                <w:szCs w:val="22"/>
              </w:rPr>
              <w:t xml:space="preserve"> – viz příloha</w:t>
            </w:r>
          </w:p>
        </w:tc>
      </w:tr>
    </w:tbl>
    <w:p w:rsidR="0093036B" w:rsidRDefault="0093036B">
      <w:pPr>
        <w:pStyle w:val="Standard"/>
        <w:rPr>
          <w:sz w:val="22"/>
          <w:szCs w:val="22"/>
        </w:rPr>
      </w:pPr>
    </w:p>
    <w:p w:rsidR="0093036B" w:rsidRDefault="00C0032D">
      <w:pPr>
        <w:pStyle w:val="Standard"/>
      </w:pPr>
      <w:r>
        <w:rPr>
          <w:b/>
          <w:sz w:val="22"/>
          <w:szCs w:val="22"/>
        </w:rPr>
        <w:t>Celkové hodnocení práce:</w:t>
      </w:r>
    </w:p>
    <w:p w:rsidR="0093036B" w:rsidRDefault="0093036B">
      <w:pPr>
        <w:pStyle w:val="Standard"/>
        <w:rPr>
          <w:sz w:val="22"/>
          <w:szCs w:val="22"/>
        </w:rPr>
      </w:pPr>
    </w:p>
    <w:p w:rsidR="0093036B" w:rsidRDefault="00C0032D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Autor sa v predloženej bakalárskej práci venuje téme, ktorá mu je už na prvý pohľad veľmi blízka – vývoju dopravnej nehodovosti v ČR v závislosti od zmien v legislatíve, a to najmä po vstupe ČR do EÚ, pričom tento</w:t>
      </w:r>
      <w:r>
        <w:rPr>
          <w:sz w:val="22"/>
          <w:szCs w:val="22"/>
        </w:rPr>
        <w:t xml:space="preserve"> vývoj porovnáva so situáciou v ďalších dvoch vybraných európskych krajinách. Téma je podľa môjho názoru zvolená veľmi vhodne a autorov osobný záujem sa odrazil ako vo výbere literatúry, tak aj v snahe konzultovať analyzované javy priamo s príslušníkmi Pol</w:t>
      </w:r>
      <w:r>
        <w:rPr>
          <w:sz w:val="22"/>
          <w:szCs w:val="22"/>
        </w:rPr>
        <w:t>icajného zboru ČR. Zároveň však tento osobný zápal bohužiaľ akoby zatienil autorovo geografické vzdelanie a predložená práca tak veľmi často geograficky ani nepôsobí (predovšetkým jej záver apelujúci napríklad i na zodpovedné správanie vodičov). Autorovi b</w:t>
      </w:r>
      <w:r>
        <w:rPr>
          <w:sz w:val="22"/>
          <w:szCs w:val="22"/>
        </w:rPr>
        <w:t>y som</w:t>
      </w:r>
      <w:r w:rsidR="0005442E">
        <w:rPr>
          <w:sz w:val="22"/>
          <w:szCs w:val="22"/>
        </w:rPr>
        <w:t xml:space="preserve"> odporúčala mať v prvom rade na </w:t>
      </w:r>
      <w:r>
        <w:rPr>
          <w:sz w:val="22"/>
          <w:szCs w:val="22"/>
        </w:rPr>
        <w:t>pamäti, akej audiencii je práca určená, p</w:t>
      </w:r>
      <w:r w:rsidR="00993103">
        <w:rPr>
          <w:sz w:val="22"/>
          <w:szCs w:val="22"/>
        </w:rPr>
        <w:t>retože podobne veľmi často skĺza</w:t>
      </w:r>
      <w:r>
        <w:rPr>
          <w:sz w:val="22"/>
          <w:szCs w:val="22"/>
        </w:rPr>
        <w:t>va aj do povedzme novinárskeho či rozprávačského štýlu (obsahom i vyjadrovacím štýlom), ktorý by sa v práci takéhoto rázu nemal objavovať.</w:t>
      </w:r>
    </w:p>
    <w:p w:rsidR="0093036B" w:rsidRDefault="0093036B">
      <w:pPr>
        <w:pStyle w:val="Standard"/>
        <w:jc w:val="both"/>
        <w:rPr>
          <w:sz w:val="22"/>
          <w:szCs w:val="22"/>
        </w:rPr>
      </w:pPr>
    </w:p>
    <w:p w:rsidR="0093036B" w:rsidRDefault="00C0032D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Rozčle</w:t>
      </w:r>
      <w:r>
        <w:rPr>
          <w:sz w:val="22"/>
          <w:szCs w:val="22"/>
        </w:rPr>
        <w:t>nenie práce do kapitol je logické a pomerne vyvážené, avšak výhrady mám k ich názvom – veľmi heslo</w:t>
      </w:r>
      <w:r w:rsidR="0005442E">
        <w:rPr>
          <w:sz w:val="22"/>
          <w:szCs w:val="22"/>
        </w:rPr>
        <w:t>vité, nevystihujúce obsah</w:t>
      </w:r>
      <w:r>
        <w:rPr>
          <w:sz w:val="22"/>
          <w:szCs w:val="22"/>
        </w:rPr>
        <w:t>, „školácke“, žiadalo by sa viac nad nimi zamyslieť. Už aj v samotnom názve práce mi prekáža vyjadrenie „...v ďalších európsk</w:t>
      </w:r>
      <w:r>
        <w:rPr>
          <w:sz w:val="22"/>
          <w:szCs w:val="22"/>
        </w:rPr>
        <w:t>ych krajinách“ ako málo špecifikujúce a vhodnejšie by zrejme bolo hovoriť napríklad o „vybraných krajinách“. Týmto sa zároveň dostávame k jednému z veľkých nedostatkov práce, a to je jej nejasnosť, nedostatočná (i odborná) exaktnosť, autorovi je často veľm</w:t>
      </w:r>
      <w:r>
        <w:rPr>
          <w:sz w:val="22"/>
          <w:szCs w:val="22"/>
        </w:rPr>
        <w:t>i ťažko rozumieť a miestami príliš prevažujú subjektívne úvahy typu eseje či úvahy nad vecným textom. Predovšetkým v prvej časti venovanej teoretickým východiskám by sa autor mal v prvom rade venovať vymedzeniu pojmov, z ktorých bude v práci vychádzať, pra</w:t>
      </w:r>
      <w:r>
        <w:rPr>
          <w:sz w:val="22"/>
          <w:szCs w:val="22"/>
        </w:rPr>
        <w:t>covať s literatúrou, hľadať definície a rôzne pohľady a popri ich predstavení ich aj komentovať. Nie opačne. Snaha uvažovať nad zmyslom a prejavmi mobility sa síce cení a poskytuje zároveň obraz o autorovom vlastnom vnímaní mobility, avšak táto časť nesmie</w:t>
      </w:r>
      <w:r>
        <w:rPr>
          <w:sz w:val="22"/>
          <w:szCs w:val="22"/>
        </w:rPr>
        <w:t xml:space="preserve"> prevažovať </w:t>
      </w:r>
      <w:r w:rsidR="00993103">
        <w:rPr>
          <w:sz w:val="22"/>
          <w:szCs w:val="22"/>
        </w:rPr>
        <w:t>nad odbornou stránkou práce. Veľ</w:t>
      </w:r>
      <w:r>
        <w:rPr>
          <w:sz w:val="22"/>
          <w:szCs w:val="22"/>
        </w:rPr>
        <w:t>mi oceňujem samotný pokus o pridanú hodnotu zaradením konceptov mobility a automobility - čo zadanie práce a ani jej charakter a téma vôbec nevyžadovali - a to aj kvôli tomu, že oba dva koncepty sú v česko-sloven</w:t>
      </w:r>
      <w:r>
        <w:rPr>
          <w:sz w:val="22"/>
          <w:szCs w:val="22"/>
        </w:rPr>
        <w:t>skom geografickom prostredí stále relatívne neznáme. Zásadných autorov mobilitného obratu autor spomenul (veľmi dobre!), bohužiaľ však len spomenul, bez hlbšieho zoznámenia sa s ich tézami a vybrané výroky sú tak veľmi všeobecné, vytrhnuté z kontextu a ven</w:t>
      </w:r>
      <w:r>
        <w:rPr>
          <w:sz w:val="22"/>
          <w:szCs w:val="22"/>
        </w:rPr>
        <w:t>ované v podstate len vyz</w:t>
      </w:r>
      <w:r w:rsidR="00993103">
        <w:rPr>
          <w:sz w:val="22"/>
          <w:szCs w:val="22"/>
        </w:rPr>
        <w:t>d</w:t>
      </w:r>
      <w:r>
        <w:rPr>
          <w:sz w:val="22"/>
          <w:szCs w:val="22"/>
        </w:rPr>
        <w:t>vihnutiu význ</w:t>
      </w:r>
      <w:r w:rsidR="00993103">
        <w:rPr>
          <w:sz w:val="22"/>
          <w:szCs w:val="22"/>
        </w:rPr>
        <w:t>amu mobility pre spoločnosť. Ne</w:t>
      </w:r>
      <w:r>
        <w:rPr>
          <w:sz w:val="22"/>
          <w:szCs w:val="22"/>
        </w:rPr>
        <w:t xml:space="preserve">využitý tým pádom ostal potenciál spojenia témy práce s ideou mobilitného obratu ako zamerania sa na pohyb v (rôznom) kontexte a dopravu ako médium mobility - v </w:t>
      </w:r>
      <w:r>
        <w:rPr>
          <w:sz w:val="22"/>
          <w:szCs w:val="22"/>
        </w:rPr>
        <w:lastRenderedPageBreak/>
        <w:t>tomto prípade konkrétne na</w:t>
      </w:r>
      <w:r>
        <w:rPr>
          <w:sz w:val="22"/>
          <w:szCs w:val="22"/>
        </w:rPr>
        <w:t>príklad mohlo ísť o akúsi čiastkovú analýzu zmien vzorcov chovania účastníkov automobilovej dopravy pod vplyvom legislatívy a edukácie. Medzi jednotlivými kapitolami (ale i odsekmi, či niekedy dokonca vetami) je zároveň i pomerne málo súvislostí a náväznos</w:t>
      </w:r>
      <w:r>
        <w:rPr>
          <w:sz w:val="22"/>
          <w:szCs w:val="22"/>
        </w:rPr>
        <w:t>ti.</w:t>
      </w:r>
    </w:p>
    <w:p w:rsidR="0093036B" w:rsidRDefault="0093036B">
      <w:pPr>
        <w:pStyle w:val="Standard"/>
        <w:jc w:val="both"/>
        <w:rPr>
          <w:sz w:val="22"/>
          <w:szCs w:val="22"/>
        </w:rPr>
      </w:pPr>
    </w:p>
    <w:p w:rsidR="0093036B" w:rsidRDefault="00C0032D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Formálna úprava práce taktiež vykazuje nedostatky – v grafoch napríklad úplne chýbajú popisky osí, takže čitateľ musí hádať, čo je čo; prílohy práce nie sú v samotnom texte vôbec spomenuté a pôsobia tak ako akýsi bonus na záver; odseky miestami nevyro</w:t>
      </w:r>
      <w:r>
        <w:rPr>
          <w:sz w:val="22"/>
          <w:szCs w:val="22"/>
        </w:rPr>
        <w:t>vnané (napr. str. 27 a odsek na dva riadky); doplňujúce či vysvetľujúce informácie sa zvyčajne uvádzajú do poznámok a nie kurzívou do zátvorky; vyvarovať sa častým citáciám typu „...na svojej webovej stránke uvádzajú...“ a pod. Pravopisné a štylistické ned</w:t>
      </w:r>
      <w:r>
        <w:rPr>
          <w:sz w:val="22"/>
          <w:szCs w:val="22"/>
        </w:rPr>
        <w:t>ostatky rovnako veľmi znižujú úroveň práce – kvôli zmätenému používaniu čiarky j</w:t>
      </w:r>
      <w:r w:rsidR="00993103">
        <w:rPr>
          <w:sz w:val="22"/>
          <w:szCs w:val="22"/>
        </w:rPr>
        <w:t>e text miestami dokonca ťažko či</w:t>
      </w:r>
      <w:r>
        <w:rPr>
          <w:sz w:val="22"/>
          <w:szCs w:val="22"/>
        </w:rPr>
        <w:t>tateľný, často nesúhlasí rod a pád v jednej vete, miestami chýbajú predložky, oddeľované sú slová, ktoré sa ustálene píšu spolu („na príklad“, „</w:t>
      </w:r>
      <w:r>
        <w:rPr>
          <w:sz w:val="22"/>
          <w:szCs w:val="22"/>
        </w:rPr>
        <w:t>tak isto“, „nie len“), vyskytujú sa odrážkovité vety bez prísudku. Autorovi tak jednoznačne odporúčam zapracovať aj na písomnom prejave.</w:t>
      </w:r>
    </w:p>
    <w:p w:rsidR="0093036B" w:rsidRDefault="0093036B">
      <w:pPr>
        <w:pStyle w:val="Standard"/>
        <w:jc w:val="both"/>
        <w:rPr>
          <w:sz w:val="22"/>
          <w:szCs w:val="22"/>
        </w:rPr>
      </w:pPr>
    </w:p>
    <w:p w:rsidR="0093036B" w:rsidRDefault="00993103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Ostatné pripomienky už len sche</w:t>
      </w:r>
      <w:r w:rsidR="00C0032D">
        <w:rPr>
          <w:sz w:val="22"/>
          <w:szCs w:val="22"/>
        </w:rPr>
        <w:t>maticky:</w:t>
      </w:r>
    </w:p>
    <w:p w:rsidR="0093036B" w:rsidRDefault="00C0032D">
      <w:pPr>
        <w:pStyle w:val="Standard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sem-tam veľmi preexponované tvrdenia typu „imobilita ako kriminálny čin“, ČR a</w:t>
      </w:r>
      <w:r>
        <w:rPr>
          <w:sz w:val="22"/>
          <w:szCs w:val="22"/>
        </w:rPr>
        <w:t>ko „tranzitná veľmoc“ a pod.</w:t>
      </w:r>
    </w:p>
    <w:p w:rsidR="0093036B" w:rsidRDefault="00C0032D">
      <w:pPr>
        <w:pStyle w:val="Standard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mobilita a migrácia nie sú synonymá</w:t>
      </w:r>
    </w:p>
    <w:p w:rsidR="0093036B" w:rsidRDefault="00C0032D">
      <w:pPr>
        <w:pStyle w:val="Standard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trochu ignorantské mi príde tvrdenie na str. 19 o irelevancii „teórií o chápaní automobilu obyvateľstvom, keďže sú väčšinou z prostredia USA“</w:t>
      </w:r>
    </w:p>
    <w:p w:rsidR="0093036B" w:rsidRDefault="00C0032D">
      <w:pPr>
        <w:pStyle w:val="Standard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nie som si istá, či </w:t>
      </w:r>
      <w:r w:rsidR="0005442E">
        <w:rPr>
          <w:sz w:val="22"/>
          <w:szCs w:val="22"/>
        </w:rPr>
        <w:t xml:space="preserve">sú </w:t>
      </w:r>
      <w:r>
        <w:rPr>
          <w:sz w:val="22"/>
          <w:szCs w:val="22"/>
        </w:rPr>
        <w:t xml:space="preserve">stĺpcové grafy z absolútnych </w:t>
      </w:r>
      <w:r w:rsidR="0005442E">
        <w:rPr>
          <w:sz w:val="22"/>
          <w:szCs w:val="22"/>
        </w:rPr>
        <w:t>počtov</w:t>
      </w:r>
      <w:r>
        <w:rPr>
          <w:sz w:val="22"/>
          <w:szCs w:val="22"/>
        </w:rPr>
        <w:t xml:space="preserve"> najvhodnejšou formou zobrazenia niektorých skutočností (štruktúra účastníkov autonehôd), osobne by som  pri </w:t>
      </w:r>
      <w:r w:rsidR="0005442E">
        <w:rPr>
          <w:sz w:val="22"/>
          <w:szCs w:val="22"/>
        </w:rPr>
        <w:t>grafe 5-7 volila relatívne čísla</w:t>
      </w:r>
    </w:p>
    <w:p w:rsidR="0093036B" w:rsidRDefault="00C0032D">
      <w:pPr>
        <w:pStyle w:val="Standard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autor uvádza, že bodový systém hodnotených krajín je rôzny avšak už nešpecifikuje aspoň stručne v čom – na</w:t>
      </w:r>
      <w:r>
        <w:rPr>
          <w:sz w:val="22"/>
          <w:szCs w:val="22"/>
        </w:rPr>
        <w:t xml:space="preserve"> porovnanie by bola prínosná tabuľka bodovej hodnoty rôznych pr</w:t>
      </w:r>
      <w:r w:rsidR="00993103">
        <w:rPr>
          <w:sz w:val="22"/>
          <w:szCs w:val="22"/>
        </w:rPr>
        <w:t>i</w:t>
      </w:r>
      <w:r>
        <w:rPr>
          <w:sz w:val="22"/>
          <w:szCs w:val="22"/>
        </w:rPr>
        <w:t>estupkov v jednotlivých krajinách</w:t>
      </w:r>
    </w:p>
    <w:p w:rsidR="0093036B" w:rsidRDefault="00C0032D">
      <w:pPr>
        <w:pStyle w:val="Standard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v mapách, aj keď sú uvádzané ako obrázky, by takisto nemali chýbať ich formálne náležitosti, predovšetkým mierka</w:t>
      </w:r>
    </w:p>
    <w:p w:rsidR="0093036B" w:rsidRDefault="00C0032D">
      <w:pPr>
        <w:pStyle w:val="Standard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údaje o nehodovosti za jednotlivé roky </w:t>
      </w:r>
      <w:r>
        <w:rPr>
          <w:sz w:val="22"/>
          <w:szCs w:val="22"/>
        </w:rPr>
        <w:t>považujem za jeden z kľúčových údajov – prečo je vo väčšine tabuliek a grafov obmedzený len na dvojročné obdobia? Je takto ťažko vysledovať m</w:t>
      </w:r>
      <w:r w:rsidR="00993103">
        <w:rPr>
          <w:sz w:val="22"/>
          <w:szCs w:val="22"/>
        </w:rPr>
        <w:t>ožnú súvislosť so vstupom</w:t>
      </w:r>
      <w:r>
        <w:rPr>
          <w:sz w:val="22"/>
          <w:szCs w:val="22"/>
        </w:rPr>
        <w:t xml:space="preserve"> do EÚ či rokom zavedenia bodového systému</w:t>
      </w:r>
    </w:p>
    <w:p w:rsidR="0093036B" w:rsidRDefault="0093036B">
      <w:pPr>
        <w:pStyle w:val="Standard"/>
        <w:jc w:val="both"/>
        <w:rPr>
          <w:sz w:val="22"/>
          <w:szCs w:val="22"/>
        </w:rPr>
      </w:pPr>
    </w:p>
    <w:p w:rsidR="0093036B" w:rsidRDefault="00C0032D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Otázky k diskusii:</w:t>
      </w:r>
    </w:p>
    <w:p w:rsidR="0093036B" w:rsidRDefault="0093036B">
      <w:pPr>
        <w:pStyle w:val="Standard"/>
        <w:jc w:val="both"/>
        <w:rPr>
          <w:sz w:val="22"/>
          <w:szCs w:val="22"/>
        </w:rPr>
      </w:pPr>
    </w:p>
    <w:p w:rsidR="0093036B" w:rsidRDefault="00C0032D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Keďže sa v práci neobjavila</w:t>
      </w:r>
      <w:r>
        <w:rPr>
          <w:sz w:val="22"/>
          <w:szCs w:val="22"/>
        </w:rPr>
        <w:t xml:space="preserve"> definícia niektorých pojmov (netvrdím, že existujú), skúste charakterizovať jednou-dvoma vetami, čo si po napísaní práce myslíte, že znamenajú pojmy mobilita, automobilita a doprava v geografickom chápaní? V čom vidíte rozdiel medzi mobilitou a dopravou?</w:t>
      </w:r>
    </w:p>
    <w:p w:rsidR="0093036B" w:rsidRDefault="0093036B">
      <w:pPr>
        <w:pStyle w:val="Standard"/>
        <w:jc w:val="both"/>
        <w:rPr>
          <w:sz w:val="22"/>
          <w:szCs w:val="22"/>
        </w:rPr>
      </w:pPr>
    </w:p>
    <w:p w:rsidR="0093036B" w:rsidRDefault="00C0032D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Očakávate v ČR stabilizáciu dopravnej nehodovosti na nízkych hodnotách po prudkom poklese ihneď po zavedení bodového systému a opätovnom náraste po určitom čase?</w:t>
      </w:r>
    </w:p>
    <w:p w:rsidR="0093036B" w:rsidRDefault="0093036B">
      <w:pPr>
        <w:pStyle w:val="Standard"/>
        <w:jc w:val="both"/>
        <w:rPr>
          <w:sz w:val="22"/>
          <w:szCs w:val="22"/>
        </w:rPr>
      </w:pPr>
    </w:p>
    <w:p w:rsidR="0093036B" w:rsidRDefault="00C0032D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V závere uvádzate ako jednu z možností eliminácie nehodovosti u mladých vodičov zavedenie tz</w:t>
      </w:r>
      <w:r>
        <w:rPr>
          <w:sz w:val="22"/>
          <w:szCs w:val="22"/>
        </w:rPr>
        <w:t>v „vodičáku na skúšku“. Nemyslíte si, že by takéto opatrenie skôr znižovalo účasť mladých vodičov na premávke počas „skúšobnej doby“, než ich viedlo k opatrnosti? Čo tak napríklad zavedenie preukazu platného len v spoločnosti skúseného vodiča?</w:t>
      </w:r>
    </w:p>
    <w:p w:rsidR="0093036B" w:rsidRDefault="0093036B">
      <w:pPr>
        <w:pStyle w:val="Standard"/>
        <w:jc w:val="both"/>
        <w:rPr>
          <w:sz w:val="22"/>
          <w:szCs w:val="22"/>
        </w:rPr>
      </w:pPr>
    </w:p>
    <w:p w:rsidR="0093036B" w:rsidRDefault="00C0032D" w:rsidP="00993103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Napriek ur</w:t>
      </w:r>
      <w:r>
        <w:rPr>
          <w:sz w:val="22"/>
          <w:szCs w:val="22"/>
        </w:rPr>
        <w:t xml:space="preserve">čitým výhradám k obsahu i forme práce sa nazdávam, že zadané ciele boli splnené a doporučujem </w:t>
      </w:r>
      <w:bookmarkStart w:id="0" w:name="_GoBack"/>
      <w:bookmarkEnd w:id="0"/>
      <w:r>
        <w:rPr>
          <w:sz w:val="22"/>
          <w:szCs w:val="22"/>
        </w:rPr>
        <w:t>preto prácu k obhajobe.</w:t>
      </w:r>
    </w:p>
    <w:p w:rsidR="0093036B" w:rsidRDefault="0093036B">
      <w:pPr>
        <w:pStyle w:val="Standard"/>
        <w:rPr>
          <w:sz w:val="22"/>
          <w:szCs w:val="22"/>
        </w:rPr>
      </w:pPr>
    </w:p>
    <w:p w:rsidR="00993103" w:rsidRDefault="00993103">
      <w:pPr>
        <w:pStyle w:val="Standard"/>
        <w:rPr>
          <w:sz w:val="22"/>
          <w:szCs w:val="22"/>
        </w:rPr>
      </w:pPr>
    </w:p>
    <w:tbl>
      <w:tblPr>
        <w:tblW w:w="656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9"/>
        <w:gridCol w:w="1456"/>
        <w:gridCol w:w="515"/>
        <w:gridCol w:w="1989"/>
        <w:gridCol w:w="515"/>
      </w:tblGrid>
      <w:tr w:rsidR="0093036B">
        <w:tblPrEx>
          <w:tblCellMar>
            <w:top w:w="0" w:type="dxa"/>
            <w:bottom w:w="0" w:type="dxa"/>
          </w:tblCellMar>
        </w:tblPrEx>
        <w:tc>
          <w:tcPr>
            <w:tcW w:w="20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36B" w:rsidRDefault="00C0032D">
            <w:pPr>
              <w:pStyle w:val="Standard"/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Práci k obhajobě:</w:t>
            </w:r>
          </w:p>
        </w:tc>
        <w:tc>
          <w:tcPr>
            <w:tcW w:w="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36B" w:rsidRDefault="00C0032D">
            <w:pPr>
              <w:pStyle w:val="Standard"/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Doporučuji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36B" w:rsidRDefault="00C0032D">
            <w:pPr>
              <w:pStyle w:val="Standard"/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989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36B" w:rsidRDefault="00C0032D">
            <w:pPr>
              <w:pStyle w:val="Standard"/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NEDOPORUČUJI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36B" w:rsidRDefault="0093036B">
            <w:pPr>
              <w:pStyle w:val="Standard"/>
              <w:snapToGrid w:val="0"/>
              <w:spacing w:line="360" w:lineRule="auto"/>
              <w:rPr>
                <w:b/>
                <w:sz w:val="22"/>
                <w:szCs w:val="22"/>
              </w:rPr>
            </w:pPr>
          </w:p>
        </w:tc>
      </w:tr>
    </w:tbl>
    <w:p w:rsidR="0093036B" w:rsidRDefault="00C0032D">
      <w:pPr>
        <w:pStyle w:val="Standard"/>
        <w:spacing w:line="360" w:lineRule="auto"/>
      </w:pPr>
      <w:r>
        <w:rPr>
          <w:b/>
          <w:sz w:val="22"/>
          <w:szCs w:val="22"/>
        </w:rPr>
        <w:t>Klasifikace</w:t>
      </w:r>
      <w:r>
        <w:rPr>
          <w:b/>
          <w:sz w:val="22"/>
          <w:szCs w:val="22"/>
        </w:rPr>
        <w:tab/>
      </w:r>
    </w:p>
    <w:tbl>
      <w:tblPr>
        <w:tblW w:w="955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"/>
        <w:gridCol w:w="436"/>
        <w:gridCol w:w="1322"/>
        <w:gridCol w:w="436"/>
        <w:gridCol w:w="766"/>
        <w:gridCol w:w="436"/>
        <w:gridCol w:w="1231"/>
        <w:gridCol w:w="436"/>
        <w:gridCol w:w="1206"/>
        <w:gridCol w:w="436"/>
        <w:gridCol w:w="1414"/>
        <w:gridCol w:w="446"/>
      </w:tblGrid>
      <w:tr w:rsidR="0093036B">
        <w:tblPrEx>
          <w:tblCellMar>
            <w:top w:w="0" w:type="dxa"/>
            <w:bottom w:w="0" w:type="dxa"/>
          </w:tblCellMar>
        </w:tblPrEx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36B" w:rsidRDefault="00C0032D">
            <w:pPr>
              <w:pStyle w:val="Standard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Výborně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36B" w:rsidRDefault="0093036B">
            <w:pPr>
              <w:pStyle w:val="Standard"/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22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36B" w:rsidRDefault="00C0032D">
            <w:pPr>
              <w:pStyle w:val="Standard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dobře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36B" w:rsidRDefault="0093036B">
            <w:pPr>
              <w:pStyle w:val="Standard"/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66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36B" w:rsidRDefault="00C0032D">
            <w:pPr>
              <w:pStyle w:val="Standard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Dobře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36B" w:rsidRDefault="0093036B">
            <w:pPr>
              <w:pStyle w:val="Standard"/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36B" w:rsidRDefault="00C0032D">
            <w:pPr>
              <w:pStyle w:val="Standard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Uspokojivě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36B" w:rsidRDefault="00C0032D">
            <w:pPr>
              <w:pStyle w:val="Standard"/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206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36B" w:rsidRDefault="00C0032D">
            <w:pPr>
              <w:pStyle w:val="Standard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Vyhovující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36B" w:rsidRDefault="0093036B">
            <w:pPr>
              <w:pStyle w:val="Standard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36B" w:rsidRDefault="00C0032D">
            <w:pPr>
              <w:pStyle w:val="Standard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Nevyhovující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36B" w:rsidRDefault="0093036B">
            <w:pPr>
              <w:pStyle w:val="Standard"/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93036B" w:rsidRDefault="0093036B">
      <w:pPr>
        <w:pStyle w:val="Standard"/>
        <w:spacing w:line="360" w:lineRule="auto"/>
      </w:pPr>
    </w:p>
    <w:p w:rsidR="0093036B" w:rsidRDefault="00C0032D">
      <w:pPr>
        <w:pStyle w:val="Standard"/>
        <w:spacing w:line="360" w:lineRule="auto"/>
      </w:pPr>
      <w:r>
        <w:rPr>
          <w:b/>
        </w:rPr>
        <w:t>Datum:</w:t>
      </w:r>
      <w:r>
        <w:t xml:space="preserve"> 12.06.2014</w:t>
      </w:r>
      <w:r>
        <w:tab/>
      </w:r>
      <w:r>
        <w:tab/>
      </w:r>
      <w:r>
        <w:tab/>
        <w:t xml:space="preserve"> </w:t>
      </w:r>
      <w:r>
        <w:tab/>
        <w:t xml:space="preserve"> </w:t>
      </w:r>
      <w:r>
        <w:rPr>
          <w:b/>
        </w:rPr>
        <w:t>podpis hodnotitele:</w:t>
      </w:r>
      <w:r>
        <w:t xml:space="preserve"> Mgr. Veronika Zuskáčová</w:t>
      </w:r>
    </w:p>
    <w:sectPr w:rsidR="0093036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0032D">
      <w:r>
        <w:separator/>
      </w:r>
    </w:p>
  </w:endnote>
  <w:endnote w:type="continuationSeparator" w:id="0">
    <w:p w:rsidR="00000000" w:rsidRDefault="00C00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Symbol"/>
    <w:panose1 w:val="05010000000000000000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0032D">
      <w:r>
        <w:rPr>
          <w:color w:val="000000"/>
        </w:rPr>
        <w:separator/>
      </w:r>
    </w:p>
  </w:footnote>
  <w:footnote w:type="continuationSeparator" w:id="0">
    <w:p w:rsidR="00000000" w:rsidRDefault="00C00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D671F4"/>
    <w:multiLevelType w:val="multilevel"/>
    <w:tmpl w:val="EF72B21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>
    <w:nsid w:val="4F750370"/>
    <w:multiLevelType w:val="multilevel"/>
    <w:tmpl w:val="3F6A362C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3036B"/>
    <w:rsid w:val="0005442E"/>
    <w:rsid w:val="0093036B"/>
    <w:rsid w:val="00993103"/>
    <w:rsid w:val="00C0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56C7F1-8244-4C43-9606-DFAD7EA4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sk-SK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Standard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1z0">
    <w:name w:val="WW8Num1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se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5AECCD47.dotm</Template>
  <TotalTime>0</TotalTime>
  <Pages>2</Pages>
  <Words>985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6790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Zuskáčová</dc:creator>
  <cp:lastModifiedBy>Veronika Zuskáčová</cp:lastModifiedBy>
  <cp:revision>2</cp:revision>
  <dcterms:created xsi:type="dcterms:W3CDTF">2014-06-13T16:02:00Z</dcterms:created>
  <dcterms:modified xsi:type="dcterms:W3CDTF">2014-06-13T16:02:00Z</dcterms:modified>
</cp:coreProperties>
</file>